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783407">
      <w:pPr>
        <w:pStyle w:val="11"/>
        <w:spacing w:before="120" w:beforeAutospacing="0" w:after="120" w:afterAutospacing="0" w:line="360" w:lineRule="auto"/>
        <w:rPr>
          <w:color w:val="auto"/>
          <w:highlight w:val="none"/>
        </w:rPr>
      </w:pPr>
    </w:p>
    <w:p w14:paraId="099977D5">
      <w:pPr>
        <w:pStyle w:val="11"/>
        <w:spacing w:before="120" w:beforeAutospacing="0" w:after="120" w:afterAutospacing="0" w:line="360" w:lineRule="auto"/>
        <w:rPr>
          <w:color w:val="auto"/>
          <w:highlight w:val="none"/>
        </w:rPr>
      </w:pPr>
    </w:p>
    <w:p w14:paraId="13FDEC5F">
      <w:pPr>
        <w:pStyle w:val="11"/>
        <w:spacing w:before="120" w:beforeAutospacing="0" w:after="120" w:afterAutospacing="0" w:line="360" w:lineRule="auto"/>
        <w:rPr>
          <w:color w:val="auto"/>
          <w:highlight w:val="none"/>
        </w:rPr>
      </w:pPr>
      <w:r>
        <w:rPr>
          <w:color w:val="auto"/>
          <w:highlight w:val="none"/>
        </w:rPr>
        <w:t> </w:t>
      </w:r>
    </w:p>
    <w:p w14:paraId="0CC70030">
      <w:pPr>
        <w:pStyle w:val="11"/>
        <w:spacing w:before="120" w:beforeAutospacing="0" w:after="120" w:afterAutospacing="0" w:line="360" w:lineRule="auto"/>
        <w:jc w:val="center"/>
        <w:rPr>
          <w:color w:val="auto"/>
          <w:highlight w:val="none"/>
        </w:rPr>
      </w:pPr>
      <w:r>
        <w:rPr>
          <w:rFonts w:ascii="Arial" w:hAnsi="Arial" w:cs="Arial"/>
          <w:b/>
          <w:color w:val="auto"/>
          <w:sz w:val="84"/>
          <w:szCs w:val="84"/>
          <w:highlight w:val="none"/>
        </w:rPr>
        <w:t>招 标 文 件</w:t>
      </w:r>
    </w:p>
    <w:p w14:paraId="7583BC52">
      <w:pPr>
        <w:pStyle w:val="11"/>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964" w:firstLineChars="300"/>
        <w:textAlignment w:val="auto"/>
        <w:rPr>
          <w:rFonts w:hint="eastAsia" w:ascii="Arial" w:hAnsi="Arial" w:cs="Arial"/>
          <w:b/>
          <w:color w:val="auto"/>
          <w:sz w:val="32"/>
          <w:szCs w:val="32"/>
          <w:highlight w:val="none"/>
          <w:lang w:eastAsia="zh-CN"/>
        </w:rPr>
      </w:pPr>
      <w:r>
        <w:rPr>
          <w:rFonts w:ascii="Arial" w:hAnsi="Arial" w:cs="Arial"/>
          <w:b/>
          <w:color w:val="auto"/>
          <w:sz w:val="32"/>
          <w:szCs w:val="32"/>
          <w:highlight w:val="none"/>
        </w:rPr>
        <w:t>项目名称：</w:t>
      </w:r>
      <w:r>
        <w:rPr>
          <w:rFonts w:hint="eastAsia" w:ascii="Arial" w:hAnsi="Arial" w:cs="Arial"/>
          <w:b/>
          <w:color w:val="auto"/>
          <w:sz w:val="32"/>
          <w:szCs w:val="32"/>
          <w:highlight w:val="none"/>
          <w:lang w:eastAsia="zh-CN"/>
        </w:rPr>
        <w:t>阜宁县数字化医共体公共设施和智慧医疗</w:t>
      </w:r>
    </w:p>
    <w:p w14:paraId="3F3194F0">
      <w:pPr>
        <w:pStyle w:val="11"/>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3855" w:firstLineChars="1200"/>
        <w:textAlignment w:val="auto"/>
        <w:rPr>
          <w:color w:val="auto"/>
          <w:highlight w:val="none"/>
        </w:rPr>
      </w:pPr>
      <w:r>
        <w:rPr>
          <w:rFonts w:hint="eastAsia" w:ascii="Arial" w:hAnsi="Arial" w:cs="Arial"/>
          <w:b/>
          <w:color w:val="auto"/>
          <w:sz w:val="32"/>
          <w:szCs w:val="32"/>
          <w:highlight w:val="none"/>
          <w:lang w:eastAsia="zh-CN"/>
        </w:rPr>
        <w:t>服务能力提升项目</w:t>
      </w:r>
    </w:p>
    <w:p w14:paraId="707B0D2D">
      <w:pPr>
        <w:pStyle w:val="11"/>
        <w:spacing w:before="120" w:beforeAutospacing="0" w:after="120" w:afterAutospacing="0" w:line="360" w:lineRule="auto"/>
        <w:ind w:firstLine="1405" w:firstLineChars="500"/>
        <w:jc w:val="both"/>
        <w:rPr>
          <w:color w:val="auto"/>
          <w:highlight w:val="none"/>
        </w:rPr>
      </w:pPr>
      <w:r>
        <w:rPr>
          <w:rFonts w:ascii="Arial" w:hAnsi="Arial" w:cs="Arial"/>
          <w:b/>
          <w:color w:val="auto"/>
          <w:sz w:val="28"/>
          <w:szCs w:val="28"/>
          <w:highlight w:val="none"/>
        </w:rPr>
        <w:t>项目编号：JSZC-320923-JZCG-G2024-0018</w:t>
      </w:r>
    </w:p>
    <w:p w14:paraId="6CCA1654">
      <w:pPr>
        <w:pStyle w:val="11"/>
        <w:spacing w:beforeAutospacing="0" w:afterAutospacing="0" w:line="360" w:lineRule="auto"/>
        <w:rPr>
          <w:color w:val="auto"/>
          <w:highlight w:val="none"/>
        </w:rPr>
      </w:pPr>
      <w:r>
        <w:rPr>
          <w:color w:val="auto"/>
          <w:highlight w:val="none"/>
        </w:rPr>
        <w:t> </w:t>
      </w:r>
    </w:p>
    <w:p w14:paraId="5218203C">
      <w:pPr>
        <w:pStyle w:val="11"/>
        <w:spacing w:beforeAutospacing="0" w:afterAutospacing="0" w:line="360" w:lineRule="auto"/>
        <w:rPr>
          <w:color w:val="auto"/>
          <w:highlight w:val="none"/>
        </w:rPr>
      </w:pPr>
      <w:r>
        <w:rPr>
          <w:color w:val="auto"/>
          <w:highlight w:val="none"/>
        </w:rPr>
        <w:t> </w:t>
      </w:r>
    </w:p>
    <w:p w14:paraId="404B14DA">
      <w:pPr>
        <w:pStyle w:val="11"/>
        <w:spacing w:beforeAutospacing="0" w:afterAutospacing="0" w:line="360" w:lineRule="auto"/>
        <w:rPr>
          <w:color w:val="auto"/>
          <w:highlight w:val="none"/>
        </w:rPr>
      </w:pPr>
      <w:r>
        <w:rPr>
          <w:color w:val="auto"/>
          <w:highlight w:val="none"/>
        </w:rPr>
        <w:t> </w:t>
      </w:r>
    </w:p>
    <w:p w14:paraId="0E52A740">
      <w:pPr>
        <w:pStyle w:val="11"/>
        <w:spacing w:beforeAutospacing="0" w:afterAutospacing="0" w:line="360" w:lineRule="auto"/>
        <w:rPr>
          <w:color w:val="auto"/>
          <w:highlight w:val="none"/>
        </w:rPr>
      </w:pPr>
      <w:r>
        <w:rPr>
          <w:color w:val="auto"/>
          <w:highlight w:val="none"/>
        </w:rPr>
        <w:t> </w:t>
      </w:r>
    </w:p>
    <w:p w14:paraId="2ADBA491">
      <w:pPr>
        <w:pStyle w:val="11"/>
        <w:spacing w:beforeAutospacing="0" w:afterAutospacing="0" w:line="360" w:lineRule="auto"/>
        <w:rPr>
          <w:color w:val="auto"/>
          <w:highlight w:val="none"/>
        </w:rPr>
      </w:pPr>
      <w:r>
        <w:rPr>
          <w:color w:val="auto"/>
          <w:highlight w:val="none"/>
        </w:rPr>
        <w:t> </w:t>
      </w:r>
    </w:p>
    <w:p w14:paraId="732DCC14">
      <w:pPr>
        <w:pStyle w:val="11"/>
        <w:spacing w:beforeAutospacing="0" w:afterAutospacing="0" w:line="360" w:lineRule="auto"/>
        <w:rPr>
          <w:color w:val="auto"/>
          <w:highlight w:val="none"/>
        </w:rPr>
      </w:pPr>
    </w:p>
    <w:p w14:paraId="29E8B1B7">
      <w:pPr>
        <w:pStyle w:val="11"/>
        <w:spacing w:beforeAutospacing="0" w:afterAutospacing="0" w:line="360" w:lineRule="auto"/>
        <w:rPr>
          <w:color w:val="auto"/>
          <w:highlight w:val="none"/>
        </w:rPr>
      </w:pPr>
    </w:p>
    <w:p w14:paraId="627F62A7">
      <w:pPr>
        <w:pStyle w:val="11"/>
        <w:spacing w:beforeAutospacing="0" w:afterAutospacing="0" w:line="360" w:lineRule="auto"/>
        <w:rPr>
          <w:color w:val="auto"/>
          <w:highlight w:val="none"/>
        </w:rPr>
      </w:pPr>
    </w:p>
    <w:p w14:paraId="6A6374F4">
      <w:pPr>
        <w:pStyle w:val="11"/>
        <w:spacing w:beforeAutospacing="0" w:afterAutospacing="0" w:line="360" w:lineRule="auto"/>
        <w:rPr>
          <w:color w:val="auto"/>
          <w:highlight w:val="none"/>
        </w:rPr>
      </w:pPr>
      <w:r>
        <w:rPr>
          <w:color w:val="auto"/>
          <w:highlight w:val="none"/>
        </w:rPr>
        <w:t> </w:t>
      </w:r>
    </w:p>
    <w:p w14:paraId="06339947">
      <w:pPr>
        <w:pStyle w:val="11"/>
        <w:spacing w:beforeAutospacing="0" w:afterAutospacing="0" w:line="360" w:lineRule="auto"/>
        <w:rPr>
          <w:color w:val="auto"/>
          <w:highlight w:val="none"/>
        </w:rPr>
      </w:pPr>
      <w:r>
        <w:rPr>
          <w:color w:val="auto"/>
          <w:highlight w:val="none"/>
        </w:rPr>
        <w:t> </w:t>
      </w:r>
    </w:p>
    <w:p w14:paraId="6A3AE43E">
      <w:pPr>
        <w:pStyle w:val="11"/>
        <w:spacing w:beforeAutospacing="0" w:afterAutospacing="0" w:line="360" w:lineRule="auto"/>
        <w:rPr>
          <w:color w:val="auto"/>
          <w:highlight w:val="none"/>
        </w:rPr>
      </w:pPr>
    </w:p>
    <w:p w14:paraId="78949A17">
      <w:pPr>
        <w:pStyle w:val="11"/>
        <w:spacing w:before="120" w:beforeAutospacing="0" w:after="120" w:afterAutospacing="0" w:line="360" w:lineRule="auto"/>
        <w:jc w:val="center"/>
        <w:rPr>
          <w:rFonts w:hint="eastAsia" w:ascii="Arial" w:hAnsi="Arial" w:cs="Arial" w:eastAsiaTheme="minorEastAsia"/>
          <w:b/>
          <w:color w:val="auto"/>
          <w:sz w:val="32"/>
          <w:szCs w:val="32"/>
          <w:highlight w:val="none"/>
          <w:lang w:eastAsia="zh-CN"/>
        </w:rPr>
      </w:pPr>
      <w:r>
        <w:rPr>
          <w:rFonts w:hint="eastAsia" w:ascii="Arial" w:hAnsi="Arial" w:cs="Arial"/>
          <w:b/>
          <w:color w:val="auto"/>
          <w:sz w:val="32"/>
          <w:szCs w:val="32"/>
          <w:highlight w:val="none"/>
        </w:rPr>
        <w:t>采购单位</w:t>
      </w:r>
      <w:r>
        <w:rPr>
          <w:rFonts w:hint="eastAsia" w:ascii="Arial" w:hAnsi="Arial" w:cs="Arial"/>
          <w:b/>
          <w:color w:val="auto"/>
          <w:sz w:val="32"/>
          <w:szCs w:val="32"/>
          <w:highlight w:val="none"/>
          <w:lang w:eastAsia="zh-CN"/>
        </w:rPr>
        <w:t>：阜宁县人民医院</w:t>
      </w:r>
    </w:p>
    <w:p w14:paraId="63C49C4E">
      <w:pPr>
        <w:pStyle w:val="11"/>
        <w:spacing w:before="120" w:beforeAutospacing="0" w:after="120" w:afterAutospacing="0" w:line="360" w:lineRule="auto"/>
        <w:jc w:val="center"/>
        <w:rPr>
          <w:color w:val="auto"/>
          <w:highlight w:val="none"/>
        </w:rPr>
      </w:pPr>
      <w:r>
        <w:rPr>
          <w:rFonts w:hint="eastAsia" w:ascii="Arial" w:hAnsi="Arial" w:cs="Arial"/>
          <w:b/>
          <w:color w:val="auto"/>
          <w:sz w:val="32"/>
          <w:szCs w:val="32"/>
          <w:highlight w:val="none"/>
          <w:u w:val="single"/>
          <w:lang w:val="en-US" w:eastAsia="zh-CN"/>
        </w:rPr>
        <w:t xml:space="preserve"> 2024 </w:t>
      </w:r>
      <w:r>
        <w:rPr>
          <w:rFonts w:ascii="Arial" w:hAnsi="Arial" w:cs="Arial"/>
          <w:b/>
          <w:color w:val="auto"/>
          <w:sz w:val="32"/>
          <w:szCs w:val="32"/>
          <w:highlight w:val="none"/>
        </w:rPr>
        <w:t>年</w:t>
      </w:r>
      <w:r>
        <w:rPr>
          <w:rFonts w:hint="eastAsia" w:ascii="Arial" w:hAnsi="Arial" w:cs="Arial"/>
          <w:b/>
          <w:color w:val="auto"/>
          <w:sz w:val="32"/>
          <w:szCs w:val="32"/>
          <w:highlight w:val="none"/>
          <w:u w:val="single"/>
          <w:lang w:val="en-US" w:eastAsia="zh-CN"/>
        </w:rPr>
        <w:t xml:space="preserve"> 11 </w:t>
      </w:r>
      <w:r>
        <w:rPr>
          <w:rFonts w:ascii="Arial" w:hAnsi="Arial" w:cs="Arial"/>
          <w:b/>
          <w:color w:val="auto"/>
          <w:sz w:val="32"/>
          <w:szCs w:val="32"/>
          <w:highlight w:val="none"/>
        </w:rPr>
        <w:t>月</w:t>
      </w:r>
      <w:r>
        <w:rPr>
          <w:rFonts w:hint="eastAsia" w:ascii="Arial" w:hAnsi="Arial" w:cs="Arial"/>
          <w:b/>
          <w:color w:val="auto"/>
          <w:sz w:val="32"/>
          <w:szCs w:val="32"/>
          <w:highlight w:val="none"/>
          <w:u w:val="single"/>
          <w:lang w:val="en-US" w:eastAsia="zh-CN"/>
        </w:rPr>
        <w:t xml:space="preserve"> 1 </w:t>
      </w:r>
      <w:r>
        <w:rPr>
          <w:rFonts w:ascii="Arial" w:hAnsi="Arial" w:cs="Arial"/>
          <w:b/>
          <w:color w:val="auto"/>
          <w:sz w:val="32"/>
          <w:szCs w:val="32"/>
          <w:highlight w:val="none"/>
        </w:rPr>
        <w:t>日</w:t>
      </w:r>
    </w:p>
    <w:p w14:paraId="2006908C">
      <w:pPr>
        <w:pStyle w:val="11"/>
        <w:spacing w:before="120" w:beforeAutospacing="0" w:after="120" w:afterAutospacing="0" w:line="360" w:lineRule="auto"/>
        <w:rPr>
          <w:color w:val="auto"/>
          <w:highlight w:val="none"/>
        </w:rPr>
      </w:pPr>
      <w:r>
        <w:rPr>
          <w:rFonts w:ascii="Arial" w:hAnsi="Arial" w:cs="Arial"/>
          <w:color w:val="auto"/>
          <w:highlight w:val="none"/>
        </w:rPr>
        <w:t xml:space="preserve">                        </w:t>
      </w:r>
    </w:p>
    <w:p w14:paraId="72718CBB">
      <w:pPr>
        <w:pStyle w:val="11"/>
        <w:spacing w:before="120" w:beforeAutospacing="0" w:after="120" w:afterAutospacing="0" w:line="360" w:lineRule="auto"/>
        <w:jc w:val="center"/>
        <w:rPr>
          <w:color w:val="auto"/>
          <w:highlight w:val="none"/>
        </w:rPr>
      </w:pPr>
      <w:r>
        <w:rPr>
          <w:color w:val="auto"/>
          <w:highlight w:val="none"/>
        </w:rPr>
        <w:t> </w:t>
      </w:r>
    </w:p>
    <w:p w14:paraId="45EBDAB9">
      <w:pPr>
        <w:pStyle w:val="11"/>
        <w:spacing w:beforeAutospacing="0" w:afterAutospacing="0" w:line="480" w:lineRule="auto"/>
        <w:jc w:val="center"/>
        <w:rPr>
          <w:rFonts w:ascii="Times New Roman" w:hAnsi="Times New Roman"/>
          <w:color w:val="auto"/>
          <w:sz w:val="21"/>
          <w:szCs w:val="21"/>
          <w:highlight w:val="none"/>
        </w:rPr>
      </w:pPr>
      <w:r>
        <w:rPr>
          <w:rFonts w:ascii="Times New Roman" w:hAnsi="Times New Roman"/>
          <w:color w:val="auto"/>
          <w:sz w:val="21"/>
          <w:szCs w:val="21"/>
          <w:highlight w:val="none"/>
        </w:rPr>
        <w:br w:type="page"/>
      </w:r>
    </w:p>
    <w:p w14:paraId="735EDBE8">
      <w:pPr>
        <w:pStyle w:val="11"/>
        <w:spacing w:beforeAutospacing="0" w:afterAutospacing="0" w:line="480" w:lineRule="auto"/>
        <w:jc w:val="center"/>
        <w:rPr>
          <w:rFonts w:ascii="Times New Roman" w:hAnsi="Times New Roman"/>
          <w:color w:val="auto"/>
          <w:sz w:val="21"/>
          <w:szCs w:val="21"/>
          <w:highlight w:val="none"/>
        </w:rPr>
      </w:pPr>
    </w:p>
    <w:p w14:paraId="2C61533A">
      <w:pPr>
        <w:pStyle w:val="11"/>
        <w:spacing w:beforeAutospacing="0" w:afterAutospacing="0" w:line="480" w:lineRule="auto"/>
        <w:jc w:val="center"/>
        <w:rPr>
          <w:rFonts w:ascii="Times New Roman" w:hAnsi="Times New Roman"/>
          <w:color w:val="auto"/>
          <w:sz w:val="21"/>
          <w:szCs w:val="21"/>
          <w:highlight w:val="none"/>
        </w:rPr>
      </w:pPr>
    </w:p>
    <w:p w14:paraId="41C608EB">
      <w:pPr>
        <w:pStyle w:val="11"/>
        <w:spacing w:beforeAutospacing="0" w:afterAutospacing="0" w:line="480" w:lineRule="auto"/>
        <w:jc w:val="center"/>
        <w:rPr>
          <w:color w:val="auto"/>
          <w:highlight w:val="none"/>
        </w:rPr>
      </w:pPr>
      <w:r>
        <w:rPr>
          <w:rFonts w:ascii="Times New Roman" w:hAnsi="Times New Roman"/>
          <w:color w:val="auto"/>
          <w:sz w:val="21"/>
          <w:szCs w:val="21"/>
          <w:highlight w:val="none"/>
        </w:rPr>
        <w:t> </w:t>
      </w:r>
      <w:bookmarkStart w:id="0" w:name="_Toc523127445"/>
      <w:bookmarkStart w:id="1" w:name="_Toc120614210"/>
      <w:bookmarkStart w:id="2" w:name="_Toc479757206"/>
      <w:bookmarkStart w:id="3" w:name="_Toc20823272"/>
      <w:bookmarkStart w:id="4" w:name="_Toc513029200"/>
      <w:bookmarkStart w:id="5" w:name="_Toc16938516"/>
      <w:r>
        <w:rPr>
          <w:rFonts w:ascii="黑体" w:hAnsi="宋体" w:eastAsia="黑体" w:cs="黑体"/>
          <w:b/>
          <w:color w:val="auto"/>
          <w:sz w:val="44"/>
          <w:szCs w:val="44"/>
          <w:highlight w:val="none"/>
        </w:rPr>
        <w:t>总  目  录</w:t>
      </w:r>
      <w:bookmarkEnd w:id="0"/>
      <w:bookmarkEnd w:id="1"/>
      <w:bookmarkEnd w:id="2"/>
      <w:bookmarkEnd w:id="3"/>
      <w:bookmarkEnd w:id="4"/>
      <w:bookmarkEnd w:id="5"/>
    </w:p>
    <w:p w14:paraId="4F807B38">
      <w:pPr>
        <w:pStyle w:val="11"/>
        <w:spacing w:beforeAutospacing="0" w:afterAutospacing="0" w:line="480" w:lineRule="auto"/>
        <w:jc w:val="both"/>
        <w:rPr>
          <w:color w:val="auto"/>
          <w:highlight w:val="none"/>
        </w:rPr>
      </w:pPr>
      <w:r>
        <w:rPr>
          <w:color w:val="auto"/>
          <w:highlight w:val="none"/>
        </w:rPr>
        <w:t> </w:t>
      </w:r>
    </w:p>
    <w:p w14:paraId="1A20E344">
      <w:pPr>
        <w:pStyle w:val="11"/>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lang w:val="en-US" w:eastAsia="zh-CN"/>
        </w:rPr>
        <w:t>招标公告</w:t>
      </w:r>
      <w:r>
        <w:rPr>
          <w:rFonts w:hint="eastAsia" w:ascii="黑体" w:hAnsi="宋体" w:eastAsia="黑体" w:cs="黑体"/>
          <w:color w:val="auto"/>
          <w:sz w:val="36"/>
          <w:szCs w:val="36"/>
          <w:highlight w:val="none"/>
        </w:rPr>
        <w:t>…………………………………</w:t>
      </w:r>
      <w:r>
        <w:rPr>
          <w:rFonts w:hint="eastAsia" w:ascii="黑体" w:hAnsi="宋体" w:eastAsia="黑体" w:cs="黑体"/>
          <w:color w:val="auto"/>
          <w:sz w:val="36"/>
          <w:szCs w:val="36"/>
          <w:highlight w:val="none"/>
          <w:lang w:val="en-US" w:eastAsia="zh-CN"/>
        </w:rPr>
        <w:t>3</w:t>
      </w:r>
      <w:r>
        <w:rPr>
          <w:rFonts w:hint="eastAsia" w:ascii="黑体" w:hAnsi="宋体" w:eastAsia="黑体" w:cs="黑体"/>
          <w:color w:val="auto"/>
          <w:sz w:val="36"/>
          <w:szCs w:val="36"/>
          <w:highlight w:val="none"/>
        </w:rPr>
        <w:t xml:space="preserve"> </w:t>
      </w:r>
    </w:p>
    <w:p w14:paraId="3723EE15">
      <w:pPr>
        <w:pStyle w:val="11"/>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投标人须知………………………………</w:t>
      </w:r>
      <w:r>
        <w:rPr>
          <w:rFonts w:hint="eastAsia" w:ascii="黑体" w:hAnsi="宋体" w:eastAsia="黑体" w:cs="黑体"/>
          <w:color w:val="auto"/>
          <w:sz w:val="36"/>
          <w:szCs w:val="36"/>
          <w:highlight w:val="none"/>
          <w:lang w:val="en-US" w:eastAsia="zh-CN"/>
        </w:rPr>
        <w:t>6</w:t>
      </w:r>
      <w:r>
        <w:rPr>
          <w:rFonts w:hint="eastAsia" w:ascii="黑体" w:hAnsi="宋体" w:eastAsia="黑体" w:cs="黑体"/>
          <w:color w:val="auto"/>
          <w:sz w:val="36"/>
          <w:szCs w:val="36"/>
          <w:highlight w:val="none"/>
        </w:rPr>
        <w:t xml:space="preserve">  </w:t>
      </w:r>
    </w:p>
    <w:p w14:paraId="40BA1922">
      <w:pPr>
        <w:pStyle w:val="11"/>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合同</w:t>
      </w:r>
      <w:r>
        <w:rPr>
          <w:rFonts w:hint="eastAsia" w:ascii="黑体" w:hAnsi="宋体" w:eastAsia="黑体" w:cs="黑体"/>
          <w:color w:val="auto"/>
          <w:sz w:val="36"/>
          <w:szCs w:val="36"/>
          <w:highlight w:val="none"/>
          <w:lang w:eastAsia="zh-CN"/>
        </w:rPr>
        <w:t>条款</w:t>
      </w:r>
      <w:r>
        <w:rPr>
          <w:rFonts w:hint="eastAsia" w:ascii="黑体" w:hAnsi="宋体" w:eastAsia="黑体" w:cs="黑体"/>
          <w:color w:val="auto"/>
          <w:sz w:val="36"/>
          <w:szCs w:val="36"/>
          <w:highlight w:val="none"/>
        </w:rPr>
        <w:t>…………………………………</w:t>
      </w:r>
      <w:r>
        <w:rPr>
          <w:rFonts w:hint="eastAsia" w:ascii="黑体" w:hAnsi="宋体" w:eastAsia="黑体" w:cs="黑体"/>
          <w:color w:val="auto"/>
          <w:sz w:val="36"/>
          <w:szCs w:val="36"/>
          <w:highlight w:val="none"/>
          <w:lang w:val="en-US" w:eastAsia="zh-CN"/>
        </w:rPr>
        <w:t>17</w:t>
      </w:r>
    </w:p>
    <w:p w14:paraId="3A91A320">
      <w:pPr>
        <w:pStyle w:val="11"/>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采购需求…………………………………</w:t>
      </w:r>
      <w:r>
        <w:rPr>
          <w:rFonts w:hint="eastAsia" w:ascii="黑体" w:hAnsi="宋体" w:eastAsia="黑体" w:cs="黑体"/>
          <w:color w:val="auto"/>
          <w:sz w:val="36"/>
          <w:szCs w:val="36"/>
          <w:highlight w:val="none"/>
          <w:lang w:val="en-US" w:eastAsia="zh-CN"/>
        </w:rPr>
        <w:t>38</w:t>
      </w:r>
    </w:p>
    <w:p w14:paraId="1B0D5DAE">
      <w:pPr>
        <w:pStyle w:val="11"/>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评标方法与评标标准……………………</w:t>
      </w:r>
      <w:r>
        <w:rPr>
          <w:rFonts w:hint="eastAsia" w:ascii="黑体" w:hAnsi="宋体" w:eastAsia="黑体" w:cs="黑体"/>
          <w:color w:val="auto"/>
          <w:sz w:val="36"/>
          <w:szCs w:val="36"/>
          <w:highlight w:val="none"/>
          <w:lang w:val="en-US" w:eastAsia="zh-CN"/>
        </w:rPr>
        <w:t>121</w:t>
      </w:r>
    </w:p>
    <w:p w14:paraId="670B0C0D">
      <w:pPr>
        <w:pStyle w:val="11"/>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投标文件格式……………………………</w:t>
      </w:r>
      <w:r>
        <w:rPr>
          <w:rFonts w:hint="eastAsia" w:ascii="黑体" w:hAnsi="宋体" w:eastAsia="黑体" w:cs="黑体"/>
          <w:color w:val="auto"/>
          <w:sz w:val="36"/>
          <w:szCs w:val="36"/>
          <w:highlight w:val="none"/>
          <w:lang w:val="en-US" w:eastAsia="zh-CN"/>
        </w:rPr>
        <w:t>126</w:t>
      </w:r>
    </w:p>
    <w:p w14:paraId="4452BCF2">
      <w:pPr>
        <w:pStyle w:val="11"/>
        <w:spacing w:beforeAutospacing="0" w:afterAutospacing="0"/>
        <w:jc w:val="both"/>
        <w:rPr>
          <w:color w:val="auto"/>
          <w:highlight w:val="none"/>
        </w:rPr>
      </w:pPr>
      <w:r>
        <w:rPr>
          <w:color w:val="auto"/>
          <w:highlight w:val="none"/>
        </w:rPr>
        <w:t> </w:t>
      </w:r>
    </w:p>
    <w:p w14:paraId="3E294A64">
      <w:pPr>
        <w:pStyle w:val="11"/>
        <w:spacing w:beforeAutospacing="0" w:afterAutospacing="0"/>
        <w:jc w:val="both"/>
        <w:rPr>
          <w:color w:val="auto"/>
          <w:highlight w:val="none"/>
        </w:rPr>
      </w:pPr>
      <w:r>
        <w:rPr>
          <w:color w:val="auto"/>
          <w:highlight w:val="none"/>
        </w:rPr>
        <w:t> </w:t>
      </w:r>
    </w:p>
    <w:p w14:paraId="779C4157">
      <w:pPr>
        <w:pStyle w:val="11"/>
        <w:spacing w:beforeAutospacing="0" w:afterAutospacing="0"/>
        <w:jc w:val="both"/>
        <w:rPr>
          <w:color w:val="auto"/>
          <w:highlight w:val="none"/>
        </w:rPr>
      </w:pPr>
      <w:r>
        <w:rPr>
          <w:color w:val="auto"/>
          <w:highlight w:val="none"/>
        </w:rPr>
        <w:t> </w:t>
      </w:r>
    </w:p>
    <w:p w14:paraId="394CFEBA">
      <w:pPr>
        <w:pStyle w:val="11"/>
        <w:spacing w:beforeAutospacing="0" w:afterAutospacing="0"/>
        <w:jc w:val="both"/>
        <w:rPr>
          <w:color w:val="auto"/>
          <w:highlight w:val="none"/>
        </w:rPr>
      </w:pPr>
      <w:r>
        <w:rPr>
          <w:color w:val="auto"/>
          <w:highlight w:val="none"/>
        </w:rPr>
        <w:t> </w:t>
      </w:r>
    </w:p>
    <w:p w14:paraId="42059C5C">
      <w:pPr>
        <w:pStyle w:val="11"/>
        <w:spacing w:beforeAutospacing="0" w:afterAutospacing="0"/>
        <w:jc w:val="both"/>
        <w:rPr>
          <w:color w:val="auto"/>
          <w:highlight w:val="none"/>
        </w:rPr>
      </w:pPr>
      <w:r>
        <w:rPr>
          <w:color w:val="auto"/>
          <w:highlight w:val="none"/>
        </w:rPr>
        <w:t> </w:t>
      </w:r>
    </w:p>
    <w:p w14:paraId="61F39F6C">
      <w:pPr>
        <w:pStyle w:val="11"/>
        <w:spacing w:beforeAutospacing="0" w:afterAutospacing="0"/>
        <w:jc w:val="both"/>
        <w:rPr>
          <w:color w:val="auto"/>
          <w:highlight w:val="none"/>
        </w:rPr>
      </w:pPr>
      <w:r>
        <w:rPr>
          <w:color w:val="auto"/>
          <w:highlight w:val="none"/>
        </w:rPr>
        <w:t> </w:t>
      </w:r>
    </w:p>
    <w:p w14:paraId="2C4122FD">
      <w:pPr>
        <w:pStyle w:val="11"/>
        <w:spacing w:beforeAutospacing="0" w:afterAutospacing="0"/>
        <w:jc w:val="both"/>
        <w:rPr>
          <w:color w:val="auto"/>
          <w:highlight w:val="none"/>
        </w:rPr>
      </w:pPr>
      <w:r>
        <w:rPr>
          <w:color w:val="auto"/>
          <w:highlight w:val="none"/>
        </w:rPr>
        <w:t> </w:t>
      </w:r>
    </w:p>
    <w:p w14:paraId="63141F50">
      <w:pPr>
        <w:pStyle w:val="11"/>
        <w:spacing w:beforeAutospacing="0" w:afterAutospacing="0"/>
        <w:jc w:val="both"/>
        <w:rPr>
          <w:color w:val="auto"/>
          <w:highlight w:val="none"/>
        </w:rPr>
      </w:pPr>
      <w:r>
        <w:rPr>
          <w:color w:val="auto"/>
          <w:highlight w:val="none"/>
        </w:rPr>
        <w:t> </w:t>
      </w:r>
    </w:p>
    <w:p w14:paraId="6D3307E7">
      <w:pPr>
        <w:pStyle w:val="11"/>
        <w:spacing w:beforeAutospacing="0" w:afterAutospacing="0"/>
        <w:jc w:val="both"/>
        <w:rPr>
          <w:color w:val="auto"/>
          <w:highlight w:val="none"/>
        </w:rPr>
      </w:pPr>
      <w:r>
        <w:rPr>
          <w:color w:val="auto"/>
          <w:highlight w:val="none"/>
        </w:rPr>
        <w:t> </w:t>
      </w:r>
    </w:p>
    <w:p w14:paraId="3B2F7E51">
      <w:pPr>
        <w:pStyle w:val="11"/>
        <w:spacing w:beforeAutospacing="0" w:afterAutospacing="0"/>
        <w:jc w:val="both"/>
        <w:rPr>
          <w:color w:val="auto"/>
          <w:highlight w:val="none"/>
        </w:rPr>
      </w:pPr>
      <w:r>
        <w:rPr>
          <w:color w:val="auto"/>
          <w:highlight w:val="none"/>
        </w:rPr>
        <w:t> </w:t>
      </w:r>
    </w:p>
    <w:p w14:paraId="5A1F6A62">
      <w:pPr>
        <w:pStyle w:val="11"/>
        <w:spacing w:beforeAutospacing="0" w:afterAutospacing="0"/>
        <w:jc w:val="both"/>
        <w:rPr>
          <w:color w:val="auto"/>
          <w:highlight w:val="none"/>
        </w:rPr>
      </w:pPr>
      <w:r>
        <w:rPr>
          <w:color w:val="auto"/>
          <w:highlight w:val="none"/>
        </w:rPr>
        <w:t> </w:t>
      </w:r>
    </w:p>
    <w:p w14:paraId="7B57901B">
      <w:pPr>
        <w:pStyle w:val="11"/>
        <w:spacing w:beforeAutospacing="0" w:afterAutospacing="0"/>
        <w:jc w:val="both"/>
        <w:rPr>
          <w:color w:val="auto"/>
          <w:highlight w:val="none"/>
        </w:rPr>
      </w:pPr>
      <w:r>
        <w:rPr>
          <w:color w:val="auto"/>
          <w:highlight w:val="none"/>
        </w:rPr>
        <w:t> </w:t>
      </w:r>
    </w:p>
    <w:p w14:paraId="3F93C7F8">
      <w:pPr>
        <w:pStyle w:val="11"/>
        <w:spacing w:beforeAutospacing="0" w:afterAutospacing="0"/>
        <w:jc w:val="both"/>
        <w:rPr>
          <w:color w:val="auto"/>
          <w:highlight w:val="none"/>
        </w:rPr>
      </w:pPr>
      <w:r>
        <w:rPr>
          <w:color w:val="auto"/>
          <w:highlight w:val="none"/>
        </w:rPr>
        <w:t> </w:t>
      </w:r>
    </w:p>
    <w:p w14:paraId="0E5112BB">
      <w:pPr>
        <w:pStyle w:val="11"/>
        <w:spacing w:beforeAutospacing="0" w:afterAutospacing="0"/>
        <w:jc w:val="both"/>
        <w:rPr>
          <w:color w:val="auto"/>
          <w:highlight w:val="none"/>
        </w:rPr>
      </w:pPr>
      <w:r>
        <w:rPr>
          <w:color w:val="auto"/>
          <w:highlight w:val="none"/>
        </w:rPr>
        <w:t> </w:t>
      </w:r>
    </w:p>
    <w:p w14:paraId="78810384">
      <w:pPr>
        <w:pStyle w:val="11"/>
        <w:spacing w:beforeAutospacing="0" w:afterAutospacing="0"/>
        <w:jc w:val="both"/>
        <w:rPr>
          <w:color w:val="auto"/>
          <w:highlight w:val="none"/>
        </w:rPr>
      </w:pPr>
      <w:r>
        <w:rPr>
          <w:color w:val="auto"/>
          <w:highlight w:val="none"/>
        </w:rPr>
        <w:t> </w:t>
      </w:r>
    </w:p>
    <w:p w14:paraId="6E4155C2">
      <w:pPr>
        <w:pStyle w:val="11"/>
        <w:spacing w:beforeAutospacing="0" w:afterAutospacing="0"/>
        <w:jc w:val="both"/>
        <w:rPr>
          <w:color w:val="auto"/>
          <w:highlight w:val="none"/>
        </w:rPr>
      </w:pPr>
      <w:r>
        <w:rPr>
          <w:color w:val="auto"/>
          <w:highlight w:val="none"/>
        </w:rPr>
        <w:t> </w:t>
      </w:r>
    </w:p>
    <w:p w14:paraId="3E84295C">
      <w:pPr>
        <w:pStyle w:val="11"/>
        <w:spacing w:beforeAutospacing="0" w:afterAutospacing="0"/>
        <w:jc w:val="both"/>
        <w:rPr>
          <w:color w:val="auto"/>
          <w:highlight w:val="none"/>
        </w:rPr>
      </w:pPr>
      <w:r>
        <w:rPr>
          <w:color w:val="auto"/>
          <w:highlight w:val="none"/>
        </w:rPr>
        <w:t> </w:t>
      </w:r>
    </w:p>
    <w:p w14:paraId="22747D41">
      <w:pPr>
        <w:pStyle w:val="11"/>
        <w:spacing w:beforeAutospacing="0" w:afterAutospacing="0"/>
        <w:jc w:val="both"/>
        <w:rPr>
          <w:color w:val="auto"/>
          <w:highlight w:val="none"/>
        </w:rPr>
      </w:pPr>
      <w:r>
        <w:rPr>
          <w:color w:val="auto"/>
          <w:highlight w:val="none"/>
        </w:rPr>
        <w:t> </w:t>
      </w:r>
    </w:p>
    <w:p w14:paraId="3704C783">
      <w:pPr>
        <w:pStyle w:val="11"/>
        <w:spacing w:beforeAutospacing="0" w:afterAutospacing="0"/>
        <w:jc w:val="both"/>
        <w:rPr>
          <w:color w:val="auto"/>
          <w:highlight w:val="none"/>
        </w:rPr>
      </w:pPr>
      <w:r>
        <w:rPr>
          <w:color w:val="auto"/>
          <w:highlight w:val="none"/>
        </w:rPr>
        <w:t> </w:t>
      </w:r>
    </w:p>
    <w:p w14:paraId="2FB902F2">
      <w:pPr>
        <w:pStyle w:val="11"/>
        <w:spacing w:beforeAutospacing="0" w:afterAutospacing="0"/>
        <w:jc w:val="both"/>
        <w:rPr>
          <w:color w:val="auto"/>
          <w:highlight w:val="none"/>
        </w:rPr>
      </w:pPr>
      <w:r>
        <w:rPr>
          <w:color w:val="auto"/>
          <w:highlight w:val="none"/>
        </w:rPr>
        <w:t> </w:t>
      </w:r>
    </w:p>
    <w:p w14:paraId="4A1F3AAC">
      <w:pPr>
        <w:pStyle w:val="11"/>
        <w:keepNext/>
        <w:spacing w:beforeAutospacing="0" w:afterAutospacing="0"/>
        <w:jc w:val="center"/>
        <w:rPr>
          <w:rFonts w:hint="default" w:eastAsia="黑体"/>
          <w:color w:val="auto"/>
          <w:highlight w:val="none"/>
          <w:lang w:val="en-US" w:eastAsia="zh-CN"/>
        </w:rPr>
      </w:pPr>
      <w:bookmarkStart w:id="6" w:name="_Toc28359086"/>
      <w:r>
        <w:rPr>
          <w:rFonts w:hint="eastAsia" w:ascii="黑体" w:hAnsi="宋体" w:eastAsia="黑体" w:cs="黑体"/>
          <w:color w:val="auto"/>
          <w:sz w:val="44"/>
          <w:szCs w:val="44"/>
          <w:highlight w:val="none"/>
        </w:rPr>
        <w:t>第一章 </w:t>
      </w:r>
      <w:r>
        <w:rPr>
          <w:rFonts w:hint="eastAsia" w:ascii="黑体" w:hAnsi="宋体" w:eastAsia="黑体" w:cs="黑体"/>
          <w:color w:val="auto"/>
          <w:sz w:val="44"/>
          <w:szCs w:val="44"/>
          <w:highlight w:val="none"/>
          <w:lang w:val="en-US" w:eastAsia="zh-CN"/>
        </w:rPr>
        <w:t>招标公告</w:t>
      </w:r>
    </w:p>
    <w:p w14:paraId="36F0F40B">
      <w:pPr>
        <w:pStyle w:val="11"/>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371ACB72">
      <w:pPr>
        <w:pStyle w:val="11"/>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lang w:eastAsia="zh-CN"/>
        </w:rPr>
        <w:t>阜宁县数字化医共体公共设施和智慧医疗服务能力提升项目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招标项目的潜在投标人可在</w:t>
      </w:r>
      <w:r>
        <w:rPr>
          <w:rFonts w:hint="eastAsia" w:ascii="宋体" w:hAnsi="宋体" w:eastAsia="宋体" w:cs="宋体"/>
          <w:color w:val="auto"/>
          <w:sz w:val="24"/>
          <w:szCs w:val="24"/>
          <w:highlight w:val="none"/>
          <w:u w:val="single"/>
        </w:rPr>
        <w:t>“江苏政府采购网、盐城市政府采购网”</w:t>
      </w:r>
      <w:r>
        <w:rPr>
          <w:rFonts w:hint="eastAsia" w:ascii="宋体" w:hAnsi="宋体" w:eastAsia="宋体" w:cs="宋体"/>
          <w:color w:val="000000"/>
          <w:sz w:val="24"/>
          <w:szCs w:val="24"/>
          <w:u w:val="single"/>
          <w:lang w:eastAsia="zh-CN"/>
        </w:rPr>
        <w:t>、“政府采购一体化平台（苏采云）”</w:t>
      </w:r>
      <w:r>
        <w:rPr>
          <w:rFonts w:hint="eastAsia" w:ascii="宋体" w:hAnsi="宋体" w:eastAsia="宋体" w:cs="宋体"/>
          <w:color w:val="auto"/>
          <w:sz w:val="24"/>
          <w:szCs w:val="24"/>
          <w:highlight w:val="none"/>
          <w:lang w:val="en-US" w:eastAsia="zh-CN"/>
        </w:rPr>
        <w:t>获取</w:t>
      </w:r>
      <w:r>
        <w:rPr>
          <w:rFonts w:hint="eastAsia" w:ascii="宋体" w:hAnsi="宋体" w:eastAsia="宋体" w:cs="宋体"/>
          <w:color w:val="auto"/>
          <w:sz w:val="24"/>
          <w:szCs w:val="24"/>
          <w:highlight w:val="none"/>
        </w:rPr>
        <w:t>招标文件，并于</w:t>
      </w:r>
      <w:r>
        <w:rPr>
          <w:rFonts w:hint="eastAsia" w:ascii="宋体" w:hAnsi="宋体" w:eastAsia="宋体" w:cs="宋体"/>
          <w:color w:val="auto"/>
          <w:sz w:val="24"/>
          <w:szCs w:val="24"/>
          <w:highlight w:val="none"/>
          <w:u w:val="single"/>
          <w:lang w:val="en-US" w:eastAsia="zh-CN"/>
        </w:rPr>
        <w:t xml:space="preserve"> 2024</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11</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25</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09</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rPr>
        <w:t>北京时间）前递交投标文件。</w:t>
      </w:r>
    </w:p>
    <w:p w14:paraId="4648C747">
      <w:pPr>
        <w:pStyle w:val="11"/>
        <w:keepNext/>
        <w:keepLines/>
        <w:pageBreakBefore w:val="0"/>
        <w:widowControl w:val="0"/>
        <w:kinsoku/>
        <w:wordWrap/>
        <w:overflowPunct/>
        <w:topLinePunct w:val="0"/>
        <w:autoSpaceDE/>
        <w:autoSpaceDN/>
        <w:bidi w:val="0"/>
        <w:adjustRightInd/>
        <w:snapToGrid/>
        <w:spacing w:beforeAutospacing="0" w:afterAutospacing="0" w:line="440" w:lineRule="exact"/>
        <w:ind w:firstLine="499"/>
        <w:jc w:val="both"/>
        <w:textAlignment w:val="auto"/>
        <w:rPr>
          <w:color w:val="auto"/>
          <w:highlight w:val="none"/>
        </w:rPr>
      </w:pPr>
      <w:bookmarkStart w:id="7" w:name="_Toc35393790"/>
      <w:bookmarkStart w:id="8" w:name="_Toc35393621"/>
      <w:bookmarkStart w:id="9" w:name="_Toc28359079"/>
      <w:bookmarkStart w:id="10" w:name="_Toc28359002"/>
      <w:bookmarkStart w:id="11" w:name="_Toc38985263"/>
      <w:bookmarkStart w:id="12" w:name="_Hlk24379207"/>
      <w:r>
        <w:rPr>
          <w:rFonts w:ascii="Times New Roman" w:hAnsi="Times New Roman"/>
          <w:b/>
          <w:color w:val="auto"/>
          <w:sz w:val="26"/>
          <w:szCs w:val="26"/>
          <w:highlight w:val="none"/>
        </w:rPr>
        <w:t>一、项目基本情况</w:t>
      </w:r>
      <w:bookmarkEnd w:id="7"/>
      <w:bookmarkEnd w:id="8"/>
      <w:bookmarkEnd w:id="9"/>
      <w:bookmarkEnd w:id="10"/>
      <w:bookmarkEnd w:id="11"/>
      <w:bookmarkEnd w:id="12"/>
    </w:p>
    <w:p w14:paraId="1EB91846">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1.项目编号：JSZC-320923-JZCG-G2024-0018</w:t>
      </w:r>
    </w:p>
    <w:p w14:paraId="14497FA8">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2.项目名称：</w:t>
      </w:r>
      <w:r>
        <w:rPr>
          <w:rFonts w:hint="eastAsia" w:ascii="宋体" w:hAnsi="宋体" w:eastAsia="宋体" w:cs="宋体"/>
          <w:color w:val="auto"/>
          <w:sz w:val="24"/>
          <w:szCs w:val="24"/>
          <w:highlight w:val="none"/>
          <w:lang w:eastAsia="zh-CN"/>
        </w:rPr>
        <w:t>阜宁县数字化医共体公共设施和智慧医疗服务能力提升项目</w:t>
      </w:r>
    </w:p>
    <w:p w14:paraId="7403FAE1">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3.</w:t>
      </w:r>
      <w:r>
        <w:rPr>
          <w:rFonts w:hint="eastAsia" w:ascii="宋体" w:hAnsi="宋体" w:eastAsia="宋体" w:cs="宋体"/>
          <w:i w:val="0"/>
          <w:iCs w:val="0"/>
          <w:caps w:val="0"/>
          <w:color w:val="auto"/>
          <w:spacing w:val="0"/>
          <w:sz w:val="24"/>
          <w:szCs w:val="24"/>
          <w:highlight w:val="none"/>
          <w:shd w:val="clear" w:fill="FFFFFF"/>
        </w:rPr>
        <w:t>采购方式：</w:t>
      </w:r>
      <w:r>
        <w:rPr>
          <w:rFonts w:hint="eastAsia" w:ascii="宋体" w:hAnsi="宋体" w:eastAsia="宋体" w:cs="宋体"/>
          <w:i w:val="0"/>
          <w:iCs w:val="0"/>
          <w:caps w:val="0"/>
          <w:color w:val="auto"/>
          <w:spacing w:val="0"/>
          <w:sz w:val="24"/>
          <w:szCs w:val="24"/>
          <w:highlight w:val="none"/>
          <w:shd w:val="clear" w:fill="FFFFFF"/>
          <w:lang w:val="en-US" w:eastAsia="zh-CN"/>
        </w:rPr>
        <w:t>公开招标</w:t>
      </w:r>
    </w:p>
    <w:p w14:paraId="25128944">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auto"/>
          <w:sz w:val="24"/>
          <w:szCs w:val="24"/>
          <w:highlight w:val="none"/>
          <w:shd w:val="clear" w:color="auto" w:fill="FFFF00"/>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.预算金额：项目预算</w:t>
      </w:r>
      <w:r>
        <w:rPr>
          <w:rFonts w:hint="eastAsia" w:ascii="宋体" w:hAnsi="宋体" w:eastAsia="宋体" w:cs="宋体"/>
          <w:color w:val="auto"/>
          <w:sz w:val="24"/>
          <w:szCs w:val="24"/>
          <w:highlight w:val="none"/>
          <w:lang w:val="en-US" w:eastAsia="zh-CN"/>
        </w:rPr>
        <w:t>2080.00万</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采购资金为</w:t>
      </w:r>
      <w:r>
        <w:rPr>
          <w:rFonts w:hint="eastAsia" w:ascii="宋体" w:hAnsi="宋体" w:eastAsia="宋体" w:cs="宋体"/>
          <w:color w:val="auto"/>
          <w:sz w:val="24"/>
          <w:szCs w:val="24"/>
          <w:highlight w:val="none"/>
          <w:lang w:eastAsia="zh-CN"/>
        </w:rPr>
        <w:t>财政资金</w:t>
      </w:r>
      <w:r>
        <w:rPr>
          <w:rFonts w:hint="eastAsia" w:ascii="宋体" w:hAnsi="宋体" w:eastAsia="宋体" w:cs="宋体"/>
          <w:color w:val="auto"/>
          <w:sz w:val="24"/>
          <w:szCs w:val="24"/>
          <w:highlight w:val="none"/>
        </w:rPr>
        <w:t>，资金来源已经落实</w:t>
      </w:r>
      <w:r>
        <w:rPr>
          <w:rFonts w:hint="eastAsia" w:ascii="宋体" w:hAnsi="宋体" w:eastAsia="宋体" w:cs="宋体"/>
          <w:color w:val="auto"/>
          <w:sz w:val="24"/>
          <w:szCs w:val="24"/>
          <w:highlight w:val="none"/>
          <w:lang w:eastAsia="zh-CN"/>
        </w:rPr>
        <w:t>。</w:t>
      </w:r>
    </w:p>
    <w:p w14:paraId="77B464E1">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auto"/>
          <w:sz w:val="24"/>
          <w:szCs w:val="24"/>
          <w:highlight w:val="none"/>
          <w:shd w:val="clear" w:color="auto" w:fill="FFFF00"/>
        </w:rPr>
      </w:pP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rPr>
        <w:t>最高限价：</w:t>
      </w:r>
      <w:r>
        <w:rPr>
          <w:rFonts w:hint="eastAsia" w:ascii="宋体" w:hAnsi="宋体" w:eastAsia="宋体" w:cs="宋体"/>
          <w:color w:val="auto"/>
          <w:sz w:val="24"/>
          <w:szCs w:val="24"/>
          <w:highlight w:val="none"/>
          <w:lang w:eastAsia="zh-CN"/>
        </w:rPr>
        <w:t>人民币</w:t>
      </w:r>
      <w:r>
        <w:rPr>
          <w:rFonts w:hint="eastAsia" w:ascii="宋体" w:hAnsi="宋体" w:eastAsia="宋体" w:cs="宋体"/>
          <w:color w:val="auto"/>
          <w:sz w:val="24"/>
          <w:szCs w:val="24"/>
          <w:highlight w:val="none"/>
          <w:lang w:val="en-US" w:eastAsia="zh-CN"/>
        </w:rPr>
        <w:t>2080.00万</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eastAsia="zh-CN"/>
        </w:rPr>
        <w:t>。</w:t>
      </w:r>
    </w:p>
    <w:p w14:paraId="043E272A">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.采购需求（简介）：</w:t>
      </w:r>
      <w:r>
        <w:rPr>
          <w:rFonts w:hint="eastAsia" w:ascii="宋体" w:hAnsi="宋体" w:eastAsia="宋体" w:cs="宋体"/>
          <w:color w:val="auto"/>
          <w:sz w:val="24"/>
          <w:szCs w:val="24"/>
          <w:highlight w:val="none"/>
          <w:lang w:val="en-US" w:eastAsia="zh-CN"/>
        </w:rPr>
        <w:t>为加快推阜宁县数字化医共体建设，实现集中建设、集中办公、集成管理；拟对我县内人民医院和各乡镇卫生院各类信息化系统软件进行升级，相关设备的</w:t>
      </w:r>
      <w:r>
        <w:rPr>
          <w:rFonts w:ascii="宋体" w:hAnsi="宋体" w:eastAsia="宋体" w:cs="宋体"/>
          <w:color w:val="000000"/>
          <w:sz w:val="24"/>
        </w:rPr>
        <w:t>采购、供应、运输、安装、调试</w:t>
      </w:r>
      <w:r>
        <w:rPr>
          <w:rFonts w:hint="eastAsia" w:ascii="宋体" w:hAnsi="宋体" w:eastAsia="宋体" w:cs="宋体"/>
          <w:color w:val="000000"/>
          <w:sz w:val="24"/>
          <w:lang w:eastAsia="zh-CN"/>
        </w:rPr>
        <w:t>（含测试）</w:t>
      </w:r>
      <w:r>
        <w:rPr>
          <w:rFonts w:ascii="宋体" w:hAnsi="宋体" w:eastAsia="宋体" w:cs="宋体"/>
          <w:color w:val="000000"/>
          <w:sz w:val="24"/>
        </w:rPr>
        <w:t>、售后</w:t>
      </w:r>
      <w:r>
        <w:rPr>
          <w:rFonts w:hint="eastAsia" w:ascii="宋体" w:hAnsi="宋体" w:eastAsia="宋体" w:cs="宋体"/>
          <w:color w:val="auto"/>
          <w:sz w:val="24"/>
          <w:szCs w:val="24"/>
          <w:highlight w:val="none"/>
          <w:lang w:val="en-US" w:eastAsia="zh-CN"/>
        </w:rPr>
        <w:t>以及相关衍生服务等</w:t>
      </w:r>
      <w:r>
        <w:rPr>
          <w:rFonts w:hint="eastAsia" w:ascii="宋体" w:hAnsi="宋体" w:eastAsia="宋体" w:cs="宋体"/>
          <w:color w:val="auto"/>
          <w:sz w:val="24"/>
          <w:szCs w:val="24"/>
          <w:highlight w:val="none"/>
        </w:rPr>
        <w:t>（详细内容见本</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文件第四章）</w:t>
      </w:r>
      <w:r>
        <w:rPr>
          <w:rFonts w:hint="eastAsia" w:ascii="宋体" w:hAnsi="宋体" w:eastAsia="宋体" w:cs="宋体"/>
          <w:color w:val="auto"/>
          <w:sz w:val="24"/>
          <w:szCs w:val="24"/>
          <w:highlight w:val="none"/>
          <w:lang w:eastAsia="zh-CN"/>
        </w:rPr>
        <w:t>。</w:t>
      </w:r>
    </w:p>
    <w:p w14:paraId="71CAF173">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7.合同履行期限：合同签订60日历天内完成全部软件和硬件设备的开发、采购、包装、运输、供货、安装、</w:t>
      </w:r>
      <w:r>
        <w:rPr>
          <w:rFonts w:ascii="宋体" w:hAnsi="宋体" w:eastAsia="宋体" w:cs="宋体"/>
          <w:color w:val="000000"/>
          <w:sz w:val="24"/>
        </w:rPr>
        <w:t>调试</w:t>
      </w:r>
      <w:r>
        <w:rPr>
          <w:rFonts w:hint="eastAsia" w:ascii="宋体" w:hAnsi="宋体" w:eastAsia="宋体" w:cs="宋体"/>
          <w:color w:val="000000"/>
          <w:sz w:val="24"/>
          <w:lang w:eastAsia="zh-CN"/>
        </w:rPr>
        <w:t>（含测试）</w:t>
      </w:r>
      <w:r>
        <w:rPr>
          <w:rFonts w:hint="eastAsia" w:ascii="宋体" w:hAnsi="宋体" w:eastAsia="宋体" w:cs="宋体"/>
          <w:i w:val="0"/>
          <w:iCs w:val="0"/>
          <w:caps w:val="0"/>
          <w:color w:val="auto"/>
          <w:spacing w:val="0"/>
          <w:sz w:val="24"/>
          <w:szCs w:val="24"/>
          <w:highlight w:val="none"/>
          <w:shd w:val="clear" w:fill="FFFFFF"/>
          <w:lang w:val="en-US" w:eastAsia="zh-CN"/>
        </w:rPr>
        <w:t>、验收等，并交付采购人正常投入使用。</w:t>
      </w:r>
    </w:p>
    <w:p w14:paraId="44426350">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8.质量要求：所有货品及配件、软件必须为合格产品，并符合招标文件技术要求和国家现行最新规范标准，</w:t>
      </w:r>
      <w:r>
        <w:rPr>
          <w:rFonts w:ascii="宋体" w:hAnsi="宋体" w:eastAsia="宋体" w:cs="宋体"/>
          <w:color w:val="000000"/>
          <w:sz w:val="24"/>
        </w:rPr>
        <w:t>确保项目按规范和标准验收</w:t>
      </w:r>
      <w:r>
        <w:rPr>
          <w:rFonts w:hint="eastAsia" w:ascii="宋体" w:hAnsi="宋体" w:eastAsia="宋体" w:cs="宋体"/>
          <w:color w:val="000000"/>
          <w:sz w:val="24"/>
          <w:lang w:eastAsia="zh-CN"/>
        </w:rPr>
        <w:t>通过</w:t>
      </w:r>
      <w:r>
        <w:rPr>
          <w:rFonts w:hint="eastAsia" w:ascii="宋体" w:hAnsi="宋体" w:eastAsia="宋体" w:cs="宋体"/>
          <w:i w:val="0"/>
          <w:iCs w:val="0"/>
          <w:caps w:val="0"/>
          <w:color w:val="auto"/>
          <w:spacing w:val="0"/>
          <w:sz w:val="24"/>
          <w:szCs w:val="24"/>
          <w:highlight w:val="none"/>
          <w:shd w:val="clear" w:fill="FFFFFF"/>
          <w:lang w:val="en-US" w:eastAsia="zh-CN"/>
        </w:rPr>
        <w:t>。本次采购所有货物硬件（含配件）免费质保期为五年、软件及其他合同内容免费质保期均为三年（自交货验收合格之日起计）。</w:t>
      </w:r>
    </w:p>
    <w:p w14:paraId="23A301D3">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auto"/>
          <w:sz w:val="24"/>
          <w:szCs w:val="24"/>
          <w:highlight w:val="none"/>
          <w:shd w:val="clear" w:color="auto" w:fill="FFFF00"/>
          <w:lang w:eastAsia="zh-CN"/>
        </w:rPr>
      </w:pPr>
      <w:r>
        <w:rPr>
          <w:rFonts w:hint="eastAsia" w:ascii="宋体" w:hAnsi="宋体" w:eastAsia="宋体" w:cs="宋体"/>
          <w:i w:val="0"/>
          <w:iCs w:val="0"/>
          <w:caps w:val="0"/>
          <w:color w:val="auto"/>
          <w:spacing w:val="0"/>
          <w:sz w:val="24"/>
          <w:szCs w:val="24"/>
          <w:highlight w:val="none"/>
          <w:shd w:val="clear" w:fill="FFFFFF"/>
          <w:lang w:val="en-US" w:eastAsia="zh-CN"/>
        </w:rPr>
        <w:t>9.</w:t>
      </w:r>
      <w:r>
        <w:rPr>
          <w:rFonts w:hint="eastAsia" w:ascii="宋体" w:hAnsi="宋体" w:eastAsia="宋体" w:cs="宋体"/>
          <w:i w:val="0"/>
          <w:iCs w:val="0"/>
          <w:caps w:val="0"/>
          <w:color w:val="auto"/>
          <w:spacing w:val="0"/>
          <w:sz w:val="24"/>
          <w:szCs w:val="24"/>
          <w:highlight w:val="none"/>
          <w:shd w:val="clear" w:fill="FFFFFF"/>
        </w:rPr>
        <w:t>本项目</w:t>
      </w:r>
      <w:r>
        <w:rPr>
          <w:rFonts w:hint="eastAsia" w:ascii="宋体" w:hAnsi="宋体" w:eastAsia="宋体" w:cs="宋体"/>
          <w:i w:val="0"/>
          <w:iCs w:val="0"/>
          <w:caps w:val="0"/>
          <w:color w:val="auto"/>
          <w:spacing w:val="0"/>
          <w:sz w:val="24"/>
          <w:szCs w:val="24"/>
          <w:highlight w:val="none"/>
          <w:shd w:val="clear" w:fill="FFFFFF"/>
          <w:lang w:eastAsia="zh-CN"/>
        </w:rPr>
        <w:t>不</w:t>
      </w:r>
      <w:r>
        <w:rPr>
          <w:rFonts w:hint="eastAsia" w:ascii="宋体" w:hAnsi="宋体" w:eastAsia="宋体" w:cs="宋体"/>
          <w:i w:val="0"/>
          <w:iCs w:val="0"/>
          <w:caps w:val="0"/>
          <w:color w:val="auto"/>
          <w:spacing w:val="0"/>
          <w:sz w:val="24"/>
          <w:szCs w:val="24"/>
          <w:highlight w:val="none"/>
          <w:shd w:val="clear" w:fill="FFFFFF"/>
        </w:rPr>
        <w:t>接受联合体</w:t>
      </w:r>
      <w:r>
        <w:rPr>
          <w:rFonts w:hint="eastAsia" w:ascii="宋体" w:hAnsi="宋体" w:eastAsia="宋体" w:cs="宋体"/>
          <w:color w:val="auto"/>
          <w:sz w:val="24"/>
          <w:szCs w:val="24"/>
          <w:highlight w:val="none"/>
        </w:rPr>
        <w:t>参与</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w:t>
      </w:r>
    </w:p>
    <w:p w14:paraId="1F90D163">
      <w:pPr>
        <w:pStyle w:val="11"/>
        <w:keepNext/>
        <w:keepLines/>
        <w:pageBreakBefore w:val="0"/>
        <w:widowControl w:val="0"/>
        <w:kinsoku/>
        <w:wordWrap/>
        <w:overflowPunct/>
        <w:topLinePunct w:val="0"/>
        <w:autoSpaceDE/>
        <w:autoSpaceDN/>
        <w:bidi w:val="0"/>
        <w:adjustRightInd/>
        <w:snapToGrid/>
        <w:spacing w:beforeAutospacing="0" w:afterAutospacing="0" w:line="440" w:lineRule="exact"/>
        <w:ind w:firstLine="499"/>
        <w:jc w:val="both"/>
        <w:textAlignment w:val="auto"/>
        <w:rPr>
          <w:rFonts w:ascii="Times New Roman" w:hAnsi="Times New Roman" w:cs="Times New Roman"/>
          <w:b/>
          <w:color w:val="auto"/>
          <w:sz w:val="26"/>
          <w:szCs w:val="26"/>
          <w:highlight w:val="none"/>
        </w:rPr>
      </w:pPr>
      <w:bookmarkStart w:id="13" w:name="_Toc35393791"/>
      <w:bookmarkStart w:id="14" w:name="_Toc28359003"/>
      <w:bookmarkStart w:id="15" w:name="_Toc28359080"/>
      <w:bookmarkStart w:id="16" w:name="_Toc38985264"/>
      <w:bookmarkStart w:id="17" w:name="_Toc35393622"/>
      <w:r>
        <w:rPr>
          <w:rFonts w:ascii="Times New Roman" w:hAnsi="Times New Roman" w:cs="Times New Roman"/>
          <w:b/>
          <w:color w:val="auto"/>
          <w:sz w:val="26"/>
          <w:szCs w:val="26"/>
          <w:highlight w:val="none"/>
        </w:rPr>
        <w:t>二、申请人的资格要求：</w:t>
      </w:r>
      <w:bookmarkEnd w:id="13"/>
      <w:bookmarkEnd w:id="14"/>
      <w:bookmarkEnd w:id="15"/>
      <w:bookmarkEnd w:id="16"/>
      <w:bookmarkEnd w:id="17"/>
    </w:p>
    <w:p w14:paraId="0B76E6CD">
      <w:pPr>
        <w:pStyle w:val="11"/>
        <w:keepNext w:val="0"/>
        <w:keepLines w:val="0"/>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1.满足《中华人民共和国政府采购法》第二十二条规定，并提供下列材料：</w:t>
      </w:r>
    </w:p>
    <w:p w14:paraId="22A9FDDA">
      <w:pPr>
        <w:pStyle w:val="11"/>
        <w:keepNext w:val="0"/>
        <w:keepLines w:val="0"/>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法人或者其他组织的营业执照等证明文件，自然人的身份证明；</w:t>
      </w:r>
    </w:p>
    <w:p w14:paraId="071B8D1A">
      <w:pPr>
        <w:pStyle w:val="11"/>
        <w:keepNext w:val="0"/>
        <w:keepLines w:val="0"/>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1.2上一年度的财务状况报表（财务报表至少应包括资产负债表、利润表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成立不满一年无需提供）；</w:t>
      </w:r>
    </w:p>
    <w:p w14:paraId="792AA060">
      <w:pPr>
        <w:pStyle w:val="11"/>
        <w:keepNext w:val="0"/>
        <w:keepLines w:val="0"/>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具备履行合同所必需的设备和专业技术能力的书面声明；</w:t>
      </w:r>
    </w:p>
    <w:p w14:paraId="1A16B1B6">
      <w:pPr>
        <w:pStyle w:val="11"/>
        <w:keepNext w:val="0"/>
        <w:keepLines w:val="0"/>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12AE5181">
      <w:pPr>
        <w:pStyle w:val="11"/>
        <w:keepNext w:val="0"/>
        <w:keepLines w:val="0"/>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.5参加政府采购活动前3年内在经营活动中没有重大违法记录的书面声明。</w:t>
      </w:r>
    </w:p>
    <w:p w14:paraId="1751CCAA">
      <w:pPr>
        <w:pStyle w:val="11"/>
        <w:keepNext w:val="0"/>
        <w:keepLines w:val="0"/>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1.6法律、行政法规规定的其他条件。</w:t>
      </w:r>
    </w:p>
    <w:p w14:paraId="309D2517">
      <w:pPr>
        <w:pStyle w:val="11"/>
        <w:keepNext w:val="0"/>
        <w:keepLines w:val="0"/>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567BAA4">
      <w:pPr>
        <w:pStyle w:val="11"/>
        <w:keepNext w:val="0"/>
        <w:keepLines w:val="0"/>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单位负责人为同一人或者存在直接控股、管理关系的不同供应商，不得参加同一合同项下的政府采购活动。</w:t>
      </w:r>
    </w:p>
    <w:p w14:paraId="3890CCF1">
      <w:pPr>
        <w:pStyle w:val="11"/>
        <w:keepNext w:val="0"/>
        <w:keepLines w:val="0"/>
        <w:pageBreakBefore w:val="0"/>
        <w:numPr>
          <w:ilvl w:val="0"/>
          <w:numId w:val="0"/>
        </w:numPr>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落实政府采购政策需满足的资格要求：</w:t>
      </w:r>
      <w:r>
        <w:rPr>
          <w:rFonts w:hint="eastAsia" w:ascii="宋体" w:hAnsi="宋体" w:eastAsia="宋体" w:cs="宋体"/>
          <w:color w:val="auto"/>
          <w:sz w:val="24"/>
          <w:szCs w:val="24"/>
          <w:highlight w:val="none"/>
          <w:lang w:eastAsia="zh-CN"/>
        </w:rPr>
        <w:t>无。</w:t>
      </w:r>
    </w:p>
    <w:p w14:paraId="18B21E4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20" w:lineRule="exact"/>
        <w:ind w:right="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本项目的特定资格要求</w:t>
      </w:r>
      <w:r>
        <w:rPr>
          <w:rFonts w:hint="eastAsia" w:ascii="宋体" w:hAnsi="宋体" w:eastAsia="宋体" w:cs="宋体"/>
          <w:color w:val="auto"/>
          <w:sz w:val="24"/>
          <w:szCs w:val="24"/>
          <w:highlight w:val="none"/>
          <w:lang w:eastAsia="zh-CN"/>
        </w:rPr>
        <w:t>：无。</w:t>
      </w:r>
    </w:p>
    <w:p w14:paraId="0AFE662C">
      <w:pPr>
        <w:pStyle w:val="11"/>
        <w:keepNext/>
        <w:keepLines/>
        <w:pageBreakBefore w:val="0"/>
        <w:widowControl w:val="0"/>
        <w:kinsoku/>
        <w:wordWrap/>
        <w:overflowPunct/>
        <w:topLinePunct w:val="0"/>
        <w:autoSpaceDE/>
        <w:autoSpaceDN/>
        <w:bidi w:val="0"/>
        <w:adjustRightInd/>
        <w:snapToGrid/>
        <w:spacing w:beforeAutospacing="0" w:afterAutospacing="0" w:line="440" w:lineRule="exact"/>
        <w:ind w:firstLine="499"/>
        <w:jc w:val="both"/>
        <w:textAlignment w:val="auto"/>
        <w:rPr>
          <w:rFonts w:ascii="Times New Roman" w:hAnsi="Times New Roman" w:cs="Times New Roman"/>
          <w:b/>
          <w:color w:val="auto"/>
          <w:sz w:val="26"/>
          <w:szCs w:val="26"/>
          <w:highlight w:val="none"/>
        </w:rPr>
      </w:pPr>
      <w:r>
        <w:rPr>
          <w:rFonts w:ascii="Times New Roman" w:hAnsi="Times New Roman" w:cs="Times New Roman"/>
          <w:b/>
          <w:color w:val="auto"/>
          <w:sz w:val="26"/>
          <w:szCs w:val="26"/>
          <w:highlight w:val="none"/>
        </w:rPr>
        <w:t>三、获取招标文件</w:t>
      </w:r>
    </w:p>
    <w:p w14:paraId="588BD8D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left="0" w:right="0" w:firstLine="540"/>
        <w:jc w:val="both"/>
        <w:textAlignment w:val="auto"/>
        <w:rPr>
          <w:rFonts w:hint="eastAsia" w:ascii="宋体" w:hAnsi="宋体" w:eastAsia="宋体" w:cs="宋体"/>
          <w:color w:val="auto"/>
          <w:sz w:val="24"/>
          <w:szCs w:val="24"/>
          <w:highlight w:val="none"/>
        </w:rPr>
      </w:pPr>
      <w:bookmarkStart w:id="18" w:name="_Toc35393793"/>
      <w:bookmarkStart w:id="19" w:name="_Toc28359082"/>
      <w:bookmarkStart w:id="20" w:name="_Toc38985266"/>
      <w:bookmarkStart w:id="21" w:name="_Toc28359005"/>
      <w:bookmarkStart w:id="22" w:name="_Toc35393624"/>
      <w:r>
        <w:rPr>
          <w:rFonts w:hint="eastAsia" w:ascii="宋体" w:hAnsi="宋体" w:eastAsia="宋体" w:cs="宋体"/>
          <w:color w:val="auto"/>
          <w:sz w:val="24"/>
          <w:szCs w:val="24"/>
          <w:highlight w:val="none"/>
        </w:rPr>
        <w:t>1.时间：</w:t>
      </w:r>
      <w:bookmarkEnd w:id="18"/>
      <w:bookmarkEnd w:id="19"/>
      <w:bookmarkEnd w:id="20"/>
      <w:bookmarkEnd w:id="21"/>
      <w:bookmarkEnd w:id="22"/>
      <w:r>
        <w:rPr>
          <w:rFonts w:hint="eastAsia" w:ascii="宋体" w:hAnsi="宋体" w:eastAsia="宋体" w:cs="宋体"/>
          <w:i w:val="0"/>
          <w:iCs w:val="0"/>
          <w:caps w:val="0"/>
          <w:color w:val="auto"/>
          <w:spacing w:val="0"/>
          <w:sz w:val="24"/>
          <w:szCs w:val="24"/>
          <w:highlight w:val="none"/>
          <w:u w:val="single"/>
          <w:shd w:val="clear" w:fill="FFFFFF"/>
          <w:lang w:val="en-US" w:eastAsia="zh-CN"/>
        </w:rPr>
        <w:t>2024</w:t>
      </w:r>
      <w:r>
        <w:rPr>
          <w:rFonts w:hint="eastAsia" w:ascii="宋体" w:hAnsi="宋体" w:eastAsia="宋体" w:cs="宋体"/>
          <w:i w:val="0"/>
          <w:iCs w:val="0"/>
          <w:caps w:val="0"/>
          <w:color w:val="auto"/>
          <w:spacing w:val="0"/>
          <w:sz w:val="24"/>
          <w:szCs w:val="24"/>
          <w:highlight w:val="none"/>
          <w:u w:val="single"/>
          <w:shd w:val="clear" w:fill="FFFFFF"/>
        </w:rPr>
        <w:t>年</w:t>
      </w:r>
      <w:r>
        <w:rPr>
          <w:rFonts w:hint="eastAsia" w:ascii="宋体" w:hAnsi="宋体" w:eastAsia="宋体" w:cs="宋体"/>
          <w:i w:val="0"/>
          <w:iCs w:val="0"/>
          <w:caps w:val="0"/>
          <w:color w:val="auto"/>
          <w:spacing w:val="0"/>
          <w:sz w:val="24"/>
          <w:szCs w:val="24"/>
          <w:highlight w:val="none"/>
          <w:u w:val="single"/>
          <w:shd w:val="clear" w:fill="FFFFFF"/>
          <w:lang w:val="en-US" w:eastAsia="zh-CN"/>
        </w:rPr>
        <w:t>11</w:t>
      </w:r>
      <w:r>
        <w:rPr>
          <w:rFonts w:hint="eastAsia" w:ascii="宋体" w:hAnsi="宋体" w:eastAsia="宋体" w:cs="宋体"/>
          <w:i w:val="0"/>
          <w:iCs w:val="0"/>
          <w:caps w:val="0"/>
          <w:color w:val="auto"/>
          <w:spacing w:val="0"/>
          <w:sz w:val="24"/>
          <w:szCs w:val="24"/>
          <w:highlight w:val="none"/>
          <w:u w:val="single"/>
          <w:shd w:val="clear" w:fill="FFFFFF"/>
        </w:rPr>
        <w:t>月</w:t>
      </w:r>
      <w:r>
        <w:rPr>
          <w:rFonts w:hint="eastAsia" w:ascii="宋体" w:hAnsi="宋体" w:eastAsia="宋体" w:cs="宋体"/>
          <w:i w:val="0"/>
          <w:iCs w:val="0"/>
          <w:caps w:val="0"/>
          <w:color w:val="auto"/>
          <w:spacing w:val="0"/>
          <w:sz w:val="24"/>
          <w:szCs w:val="24"/>
          <w:highlight w:val="none"/>
          <w:u w:val="single"/>
          <w:shd w:val="clear" w:fill="FFFFFF"/>
          <w:lang w:val="en-US" w:eastAsia="zh-CN"/>
        </w:rPr>
        <w:t>1</w:t>
      </w:r>
      <w:r>
        <w:rPr>
          <w:rFonts w:hint="eastAsia" w:ascii="宋体" w:hAnsi="宋体" w:eastAsia="宋体" w:cs="宋体"/>
          <w:i w:val="0"/>
          <w:iCs w:val="0"/>
          <w:caps w:val="0"/>
          <w:color w:val="auto"/>
          <w:spacing w:val="0"/>
          <w:sz w:val="24"/>
          <w:szCs w:val="24"/>
          <w:highlight w:val="none"/>
          <w:u w:val="single"/>
          <w:shd w:val="clear" w:fill="FFFFFF"/>
        </w:rPr>
        <w:t>日</w:t>
      </w:r>
      <w:r>
        <w:rPr>
          <w:rFonts w:hint="eastAsia" w:ascii="宋体" w:hAnsi="宋体" w:eastAsia="宋体" w:cs="宋体"/>
          <w:i w:val="0"/>
          <w:iCs w:val="0"/>
          <w:caps w:val="0"/>
          <w:color w:val="auto"/>
          <w:spacing w:val="0"/>
          <w:sz w:val="24"/>
          <w:szCs w:val="24"/>
          <w:highlight w:val="none"/>
          <w:shd w:val="clear" w:fill="FFFFFF"/>
        </w:rPr>
        <w:t>至</w:t>
      </w:r>
      <w:r>
        <w:rPr>
          <w:rFonts w:hint="eastAsia" w:ascii="宋体" w:hAnsi="宋体" w:eastAsia="宋体" w:cs="宋体"/>
          <w:i w:val="0"/>
          <w:iCs w:val="0"/>
          <w:caps w:val="0"/>
          <w:color w:val="auto"/>
          <w:spacing w:val="0"/>
          <w:sz w:val="24"/>
          <w:szCs w:val="24"/>
          <w:highlight w:val="none"/>
          <w:u w:val="single"/>
          <w:shd w:val="clear" w:fill="FFFFFF"/>
          <w:lang w:val="en-US" w:eastAsia="zh-CN"/>
        </w:rPr>
        <w:t>2024</w:t>
      </w:r>
      <w:r>
        <w:rPr>
          <w:rFonts w:hint="eastAsia" w:ascii="宋体" w:hAnsi="宋体" w:eastAsia="宋体" w:cs="宋体"/>
          <w:i w:val="0"/>
          <w:iCs w:val="0"/>
          <w:caps w:val="0"/>
          <w:color w:val="auto"/>
          <w:spacing w:val="0"/>
          <w:sz w:val="24"/>
          <w:szCs w:val="24"/>
          <w:highlight w:val="none"/>
          <w:u w:val="single"/>
          <w:shd w:val="clear" w:fill="FFFFFF"/>
        </w:rPr>
        <w:t>年</w:t>
      </w:r>
      <w:r>
        <w:rPr>
          <w:rFonts w:hint="eastAsia" w:ascii="宋体" w:hAnsi="宋体" w:eastAsia="宋体" w:cs="宋体"/>
          <w:i w:val="0"/>
          <w:iCs w:val="0"/>
          <w:caps w:val="0"/>
          <w:color w:val="auto"/>
          <w:spacing w:val="0"/>
          <w:sz w:val="24"/>
          <w:szCs w:val="24"/>
          <w:highlight w:val="none"/>
          <w:u w:val="single"/>
          <w:shd w:val="clear" w:fill="FFFFFF"/>
          <w:lang w:val="en-US" w:eastAsia="zh-CN"/>
        </w:rPr>
        <w:t>11</w:t>
      </w:r>
      <w:r>
        <w:rPr>
          <w:rFonts w:hint="eastAsia" w:ascii="宋体" w:hAnsi="宋体" w:eastAsia="宋体" w:cs="宋体"/>
          <w:i w:val="0"/>
          <w:iCs w:val="0"/>
          <w:caps w:val="0"/>
          <w:color w:val="auto"/>
          <w:spacing w:val="0"/>
          <w:sz w:val="24"/>
          <w:szCs w:val="24"/>
          <w:highlight w:val="none"/>
          <w:u w:val="single"/>
          <w:shd w:val="clear" w:fill="FFFFFF"/>
        </w:rPr>
        <w:t>月</w:t>
      </w:r>
      <w:r>
        <w:rPr>
          <w:rFonts w:hint="eastAsia" w:ascii="宋体" w:hAnsi="宋体" w:eastAsia="宋体" w:cs="宋体"/>
          <w:i w:val="0"/>
          <w:iCs w:val="0"/>
          <w:caps w:val="0"/>
          <w:color w:val="auto"/>
          <w:spacing w:val="0"/>
          <w:sz w:val="24"/>
          <w:szCs w:val="24"/>
          <w:highlight w:val="none"/>
          <w:u w:val="single"/>
          <w:shd w:val="clear" w:fill="FFFFFF"/>
          <w:lang w:val="en-US" w:eastAsia="zh-CN"/>
        </w:rPr>
        <w:t>8</w:t>
      </w:r>
      <w:r>
        <w:rPr>
          <w:rFonts w:hint="eastAsia" w:ascii="宋体" w:hAnsi="宋体" w:eastAsia="宋体" w:cs="宋体"/>
          <w:i w:val="0"/>
          <w:iCs w:val="0"/>
          <w:caps w:val="0"/>
          <w:color w:val="auto"/>
          <w:spacing w:val="0"/>
          <w:sz w:val="24"/>
          <w:szCs w:val="24"/>
          <w:highlight w:val="none"/>
          <w:u w:val="single"/>
          <w:shd w:val="clear" w:fill="FFFFFF"/>
        </w:rPr>
        <w:t>日</w:t>
      </w:r>
      <w:r>
        <w:rPr>
          <w:rFonts w:hint="eastAsia" w:ascii="宋体" w:hAnsi="宋体" w:eastAsia="宋体" w:cs="宋体"/>
          <w:i w:val="0"/>
          <w:iCs w:val="0"/>
          <w:caps w:val="0"/>
          <w:color w:val="auto"/>
          <w:spacing w:val="0"/>
          <w:sz w:val="24"/>
          <w:szCs w:val="24"/>
          <w:highlight w:val="none"/>
          <w:shd w:val="clear" w:fill="FFFFFF"/>
        </w:rPr>
        <w:t>（北京时间，法定节假日除外 ）</w:t>
      </w:r>
      <w:r>
        <w:rPr>
          <w:rFonts w:hint="eastAsia" w:ascii="宋体" w:hAnsi="宋体" w:eastAsia="宋体" w:cs="宋体"/>
          <w:color w:val="auto"/>
          <w:sz w:val="24"/>
          <w:szCs w:val="24"/>
          <w:highlight w:val="none"/>
        </w:rPr>
        <w:t>。</w:t>
      </w:r>
    </w:p>
    <w:p w14:paraId="0BFE59C0">
      <w:pPr>
        <w:keepNext w:val="0"/>
        <w:keepLines w:val="0"/>
        <w:pageBreakBefore w:val="0"/>
        <w:widowControl/>
        <w:kinsoku/>
        <w:wordWrap/>
        <w:overflowPunct/>
        <w:topLinePunct w:val="0"/>
        <w:autoSpaceDE/>
        <w:autoSpaceDN/>
        <w:bidi w:val="0"/>
        <w:adjustRightInd/>
        <w:snapToGrid/>
        <w:spacing w:line="42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2.地点：</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lang w:val="en-US" w:eastAsia="zh-CN"/>
        </w:rPr>
        <w:t>江苏政府采购网、盐城市政府采购网</w:t>
      </w:r>
    </w:p>
    <w:p w14:paraId="73AEAE1F">
      <w:pPr>
        <w:pStyle w:val="11"/>
        <w:keepNext w:val="0"/>
        <w:keepLines w:val="0"/>
        <w:pageBreakBefore w:val="0"/>
        <w:kinsoku/>
        <w:wordWrap/>
        <w:overflowPunct/>
        <w:topLinePunct w:val="0"/>
        <w:autoSpaceDE/>
        <w:autoSpaceDN/>
        <w:bidi w:val="0"/>
        <w:adjustRightInd/>
        <w:snapToGrid/>
        <w:spacing w:beforeAutospacing="0" w:afterAutospacing="0" w:line="420" w:lineRule="exact"/>
        <w:ind w:firstLine="54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3.方式：在“中国政府采购网”、“江苏政府采购网”、“盐城市政府采购网”自行免费下载招标文件。（注：若决定参加投标的，须持投标人CA在上述时间内登录苏采云政府采购交易系统下载。）</w:t>
      </w:r>
    </w:p>
    <w:p w14:paraId="772BE861">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4.售价：0元</w:t>
      </w:r>
    </w:p>
    <w:p w14:paraId="3A900F6F">
      <w:pPr>
        <w:pStyle w:val="11"/>
        <w:keepNext/>
        <w:keepLines/>
        <w:pageBreakBefore w:val="0"/>
        <w:widowControl w:val="0"/>
        <w:kinsoku/>
        <w:wordWrap/>
        <w:overflowPunct/>
        <w:topLinePunct w:val="0"/>
        <w:autoSpaceDE/>
        <w:autoSpaceDN/>
        <w:bidi w:val="0"/>
        <w:adjustRightInd/>
        <w:snapToGrid/>
        <w:spacing w:beforeAutospacing="0" w:afterAutospacing="0" w:line="440" w:lineRule="exact"/>
        <w:ind w:firstLine="499"/>
        <w:jc w:val="both"/>
        <w:textAlignment w:val="auto"/>
        <w:rPr>
          <w:rFonts w:ascii="Times New Roman" w:hAnsi="Times New Roman" w:cs="Times New Roman"/>
          <w:b/>
          <w:color w:val="auto"/>
          <w:sz w:val="26"/>
          <w:szCs w:val="26"/>
          <w:highlight w:val="none"/>
        </w:rPr>
      </w:pPr>
      <w:r>
        <w:rPr>
          <w:rFonts w:ascii="Times New Roman" w:hAnsi="Times New Roman" w:cs="Times New Roman"/>
          <w:b/>
          <w:color w:val="auto"/>
          <w:sz w:val="26"/>
          <w:szCs w:val="26"/>
          <w:highlight w:val="none"/>
        </w:rPr>
        <w:t>四、提交投标文件截止时间、开标时间和地点</w:t>
      </w:r>
    </w:p>
    <w:p w14:paraId="25106F9B">
      <w:pPr>
        <w:pStyle w:val="11"/>
        <w:pageBreakBefore w:val="0"/>
        <w:widowControl/>
        <w:shd w:val="clear" w:color="auto" w:fill="FFFFFF"/>
        <w:kinsoku/>
        <w:overflowPunct/>
        <w:topLinePunct w:val="0"/>
        <w:autoSpaceDE/>
        <w:autoSpaceDN/>
        <w:bidi w:val="0"/>
        <w:adjustRightInd/>
        <w:snapToGrid/>
        <w:spacing w:beforeAutospacing="0" w:afterAutospacing="0" w:line="440" w:lineRule="exact"/>
        <w:ind w:firstLine="540"/>
        <w:jc w:val="both"/>
        <w:textAlignment w:val="auto"/>
        <w:rPr>
          <w:rFonts w:hint="eastAsia" w:ascii="宋体" w:hAnsi="宋体" w:eastAsia="宋体" w:cs="宋体"/>
          <w:color w:val="auto"/>
          <w:sz w:val="24"/>
          <w:szCs w:val="24"/>
          <w:highlight w:val="none"/>
          <w:lang w:val="en-US" w:eastAsia="zh-CN"/>
        </w:rPr>
      </w:pPr>
      <w:bookmarkStart w:id="23" w:name="_Toc35393794"/>
      <w:bookmarkStart w:id="24" w:name="_Toc38985267"/>
      <w:bookmarkStart w:id="25" w:name="_Toc28359084"/>
      <w:bookmarkStart w:id="26" w:name="_Toc35393625"/>
      <w:bookmarkStart w:id="27" w:name="_Toc28359007"/>
      <w:r>
        <w:rPr>
          <w:rFonts w:hint="eastAsia" w:ascii="宋体" w:hAnsi="宋体" w:eastAsia="宋体" w:cs="宋体"/>
          <w:color w:val="auto"/>
          <w:sz w:val="24"/>
          <w:szCs w:val="24"/>
          <w:highlight w:val="none"/>
          <w:lang w:val="en-US" w:eastAsia="zh-CN"/>
        </w:rPr>
        <w:t>1.提交投标文件截止时间：</w:t>
      </w:r>
      <w:bookmarkStart w:id="28" w:name="_Hlk170307176"/>
      <w:r>
        <w:rPr>
          <w:rFonts w:hint="eastAsia" w:ascii="宋体" w:hAnsi="宋体" w:eastAsia="宋体" w:cs="宋体"/>
          <w:color w:val="auto"/>
          <w:sz w:val="24"/>
          <w:szCs w:val="24"/>
          <w:highlight w:val="none"/>
          <w:u w:val="single"/>
          <w:lang w:val="en-US" w:eastAsia="zh-CN"/>
        </w:rPr>
        <w:t>2024年11月25日9：00</w:t>
      </w:r>
      <w:r>
        <w:rPr>
          <w:rFonts w:hint="eastAsia" w:ascii="宋体" w:hAnsi="宋体" w:eastAsia="宋体" w:cs="宋体"/>
          <w:color w:val="auto"/>
          <w:sz w:val="24"/>
          <w:szCs w:val="24"/>
          <w:highlight w:val="none"/>
          <w:lang w:val="en-US" w:eastAsia="zh-CN"/>
        </w:rPr>
        <w:t>（北京时间）</w:t>
      </w:r>
      <w:bookmarkEnd w:id="28"/>
    </w:p>
    <w:p w14:paraId="02964437">
      <w:pPr>
        <w:pStyle w:val="11"/>
        <w:pageBreakBefore w:val="0"/>
        <w:widowControl/>
        <w:shd w:val="clear" w:color="auto" w:fill="FFFFFF"/>
        <w:kinsoku/>
        <w:overflowPunct/>
        <w:topLinePunct w:val="0"/>
        <w:autoSpaceDE/>
        <w:autoSpaceDN/>
        <w:bidi w:val="0"/>
        <w:adjustRightInd/>
        <w:snapToGrid/>
        <w:spacing w:beforeAutospacing="0" w:afterAutospacing="0" w:line="440" w:lineRule="exact"/>
        <w:ind w:firstLine="54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2.开标时间：</w:t>
      </w:r>
      <w:r>
        <w:rPr>
          <w:rFonts w:hint="eastAsia" w:ascii="宋体" w:hAnsi="宋体" w:eastAsia="宋体" w:cs="宋体"/>
          <w:color w:val="auto"/>
          <w:sz w:val="24"/>
          <w:szCs w:val="24"/>
          <w:highlight w:val="none"/>
          <w:u w:val="single"/>
          <w:lang w:val="en-US" w:eastAsia="zh-CN"/>
        </w:rPr>
        <w:t>2024年11月25日9：00</w:t>
      </w:r>
      <w:r>
        <w:rPr>
          <w:rFonts w:hint="eastAsia" w:ascii="宋体" w:hAnsi="宋体" w:eastAsia="宋体" w:cs="宋体"/>
          <w:color w:val="auto"/>
          <w:sz w:val="24"/>
          <w:szCs w:val="24"/>
          <w:highlight w:val="none"/>
          <w:lang w:val="en-US" w:eastAsia="zh-CN"/>
        </w:rPr>
        <w:t>（北京时间）</w:t>
      </w:r>
    </w:p>
    <w:p w14:paraId="6C0CF62C">
      <w:pPr>
        <w:pStyle w:val="11"/>
        <w:pageBreakBefore w:val="0"/>
        <w:widowControl/>
        <w:shd w:val="clear" w:color="auto" w:fill="FFFFFF"/>
        <w:kinsoku/>
        <w:overflowPunct/>
        <w:topLinePunct w:val="0"/>
        <w:autoSpaceDE/>
        <w:autoSpaceDN/>
        <w:bidi w:val="0"/>
        <w:adjustRightInd/>
        <w:snapToGrid/>
        <w:spacing w:beforeAutospacing="0" w:afterAutospacing="0" w:line="440" w:lineRule="exact"/>
        <w:ind w:firstLine="54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3.地点：“苏采云”政府采购交易系统网上开标大厅。</w:t>
      </w:r>
    </w:p>
    <w:p w14:paraId="41A1674D">
      <w:pPr>
        <w:pStyle w:val="11"/>
        <w:keepNext/>
        <w:keepLines/>
        <w:pageBreakBefore w:val="0"/>
        <w:widowControl w:val="0"/>
        <w:kinsoku/>
        <w:wordWrap/>
        <w:overflowPunct/>
        <w:topLinePunct w:val="0"/>
        <w:autoSpaceDE/>
        <w:autoSpaceDN/>
        <w:bidi w:val="0"/>
        <w:adjustRightInd/>
        <w:snapToGrid/>
        <w:spacing w:beforeAutospacing="0" w:afterAutospacing="0" w:line="440" w:lineRule="exact"/>
        <w:ind w:firstLine="499"/>
        <w:jc w:val="both"/>
        <w:textAlignment w:val="auto"/>
        <w:rPr>
          <w:rFonts w:ascii="Times New Roman" w:hAnsi="Times New Roman" w:cs="Times New Roman"/>
          <w:b/>
          <w:color w:val="auto"/>
          <w:sz w:val="26"/>
          <w:szCs w:val="26"/>
          <w:highlight w:val="none"/>
        </w:rPr>
      </w:pPr>
      <w:r>
        <w:rPr>
          <w:rFonts w:ascii="Times New Roman" w:hAnsi="Times New Roman" w:cs="Times New Roman"/>
          <w:b/>
          <w:color w:val="auto"/>
          <w:sz w:val="26"/>
          <w:szCs w:val="26"/>
          <w:highlight w:val="none"/>
        </w:rPr>
        <w:t>五、公告期限</w:t>
      </w:r>
      <w:bookmarkEnd w:id="23"/>
      <w:bookmarkEnd w:id="24"/>
      <w:bookmarkEnd w:id="25"/>
      <w:bookmarkEnd w:id="26"/>
      <w:bookmarkEnd w:id="27"/>
    </w:p>
    <w:p w14:paraId="71C6A92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left="0" w:right="0" w:firstLine="561"/>
        <w:jc w:val="both"/>
        <w:textAlignment w:val="auto"/>
        <w:rPr>
          <w:rFonts w:hint="eastAsia" w:ascii="仿宋" w:hAnsi="仿宋" w:eastAsia="仿宋" w:cs="仿宋"/>
          <w:i w:val="0"/>
          <w:iCs w:val="0"/>
          <w:caps w:val="0"/>
          <w:color w:val="auto"/>
          <w:spacing w:val="0"/>
          <w:sz w:val="28"/>
          <w:szCs w:val="28"/>
          <w:highlight w:val="none"/>
          <w:shd w:val="clear" w:fill="FFFFFF"/>
          <w:lang w:val="en-US" w:eastAsia="zh-CN"/>
        </w:rPr>
      </w:pPr>
      <w:bookmarkStart w:id="29" w:name="_Toc35393795"/>
      <w:bookmarkStart w:id="30" w:name="_Toc35393626"/>
      <w:bookmarkStart w:id="31" w:name="_Toc38985268"/>
      <w:r>
        <w:rPr>
          <w:rFonts w:hint="eastAsia" w:ascii="宋体" w:hAnsi="宋体" w:eastAsia="宋体" w:cs="宋体"/>
          <w:i w:val="0"/>
          <w:iCs w:val="0"/>
          <w:caps w:val="0"/>
          <w:color w:val="auto"/>
          <w:spacing w:val="0"/>
          <w:sz w:val="24"/>
          <w:szCs w:val="24"/>
          <w:highlight w:val="none"/>
          <w:shd w:val="clear" w:fill="FFFFFF"/>
          <w:lang w:val="en-US" w:eastAsia="zh-CN"/>
        </w:rPr>
        <w:t>自本公告发布之日起5个工作日。</w:t>
      </w:r>
      <w:bookmarkEnd w:id="29"/>
      <w:bookmarkEnd w:id="30"/>
      <w:bookmarkEnd w:id="31"/>
    </w:p>
    <w:p w14:paraId="228EADCF">
      <w:pPr>
        <w:pStyle w:val="11"/>
        <w:keepNext/>
        <w:keepLines/>
        <w:pageBreakBefore w:val="0"/>
        <w:widowControl w:val="0"/>
        <w:kinsoku/>
        <w:wordWrap/>
        <w:overflowPunct/>
        <w:topLinePunct w:val="0"/>
        <w:autoSpaceDE/>
        <w:autoSpaceDN/>
        <w:bidi w:val="0"/>
        <w:adjustRightInd/>
        <w:snapToGrid/>
        <w:spacing w:beforeAutospacing="0" w:afterAutospacing="0" w:line="440" w:lineRule="exact"/>
        <w:ind w:firstLine="499"/>
        <w:jc w:val="both"/>
        <w:textAlignment w:val="auto"/>
        <w:rPr>
          <w:rFonts w:ascii="Times New Roman" w:hAnsi="Times New Roman" w:cs="Times New Roman"/>
          <w:b/>
          <w:color w:val="auto"/>
          <w:sz w:val="26"/>
          <w:szCs w:val="26"/>
          <w:highlight w:val="none"/>
        </w:rPr>
      </w:pPr>
      <w:r>
        <w:rPr>
          <w:rFonts w:ascii="Times New Roman" w:hAnsi="Times New Roman" w:cs="Times New Roman"/>
          <w:b/>
          <w:color w:val="auto"/>
          <w:sz w:val="26"/>
          <w:szCs w:val="26"/>
          <w:highlight w:val="none"/>
        </w:rPr>
        <w:t>六、其他补充事宜</w:t>
      </w:r>
    </w:p>
    <w:p w14:paraId="196F37E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left="0" w:right="0" w:firstLine="561"/>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bookmarkStart w:id="32" w:name="_Toc28359018"/>
      <w:r>
        <w:rPr>
          <w:rFonts w:hint="eastAsia" w:ascii="宋体" w:hAnsi="宋体" w:eastAsia="宋体" w:cs="宋体"/>
          <w:i w:val="0"/>
          <w:iCs w:val="0"/>
          <w:caps w:val="0"/>
          <w:color w:val="auto"/>
          <w:spacing w:val="0"/>
          <w:sz w:val="24"/>
          <w:szCs w:val="24"/>
          <w:highlight w:val="none"/>
          <w:shd w:val="clear"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CB1B89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left="0" w:right="0" w:firstLine="561"/>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2D503A7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left="0" w:right="0" w:firstLine="561"/>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2.有关本次招标的事项若存在变动或修改，敬请及时关注阜宁县公共资源代理机构在“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fill="FFFFFF"/>
          <w:lang w:val="en-US" w:eastAsia="zh-CN"/>
        </w:rPr>
        <w:t>”、“江苏政府采购网”、“盐城市政府采购网”发布的更正公告。</w:t>
      </w:r>
    </w:p>
    <w:p w14:paraId="1D8BA1C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left="0" w:right="0" w:firstLine="561"/>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3.本次招标不收取投标保证金，不收取质量保证金。</w:t>
      </w:r>
    </w:p>
    <w:p w14:paraId="589BDA7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22" w:firstLineChars="200"/>
        <w:jc w:val="both"/>
        <w:textAlignment w:val="auto"/>
        <w:rPr>
          <w:rFonts w:hint="eastAsia" w:ascii="Times New Roman" w:hAnsi="Times New Roman" w:cs="Times New Roman" w:eastAsiaTheme="minorEastAsia"/>
          <w:b/>
          <w:bCs w:val="0"/>
          <w:color w:val="auto"/>
          <w:kern w:val="0"/>
          <w:sz w:val="26"/>
          <w:szCs w:val="26"/>
          <w:highlight w:val="none"/>
          <w:lang w:val="en-US" w:eastAsia="zh-CN" w:bidi="ar-SA"/>
        </w:rPr>
      </w:pPr>
      <w:r>
        <w:rPr>
          <w:rFonts w:hint="eastAsia" w:ascii="Times New Roman" w:hAnsi="Times New Roman" w:cs="Times New Roman" w:eastAsiaTheme="minorEastAsia"/>
          <w:b/>
          <w:bCs w:val="0"/>
          <w:color w:val="auto"/>
          <w:kern w:val="0"/>
          <w:sz w:val="26"/>
          <w:szCs w:val="26"/>
          <w:highlight w:val="none"/>
          <w:lang w:val="en-US" w:eastAsia="zh-CN" w:bidi="ar-SA"/>
        </w:rPr>
        <w:t>七、对本次招标提出询问，请按以下方式联系。</w:t>
      </w:r>
      <w:bookmarkEnd w:id="32"/>
    </w:p>
    <w:p w14:paraId="462920B4">
      <w:pPr>
        <w:keepNext w:val="0"/>
        <w:keepLines w:val="0"/>
        <w:pageBreakBefore w:val="0"/>
        <w:kinsoku/>
        <w:wordWrap/>
        <w:overflowPunct/>
        <w:topLinePunct w:val="0"/>
        <w:autoSpaceDE/>
        <w:autoSpaceDN/>
        <w:bidi w:val="0"/>
        <w:spacing w:line="400" w:lineRule="exact"/>
        <w:ind w:firstLine="480" w:firstLineChars="200"/>
        <w:textAlignment w:val="auto"/>
        <w:rPr>
          <w:rFonts w:hint="eastAsia" w:ascii="宋体" w:hAnsi="宋体" w:eastAsia="宋体" w:cs="Times New Roman"/>
          <w:color w:val="auto"/>
          <w:kern w:val="0"/>
          <w:sz w:val="24"/>
          <w:highlight w:val="none"/>
          <w:lang w:val="en-US" w:eastAsia="zh-CN"/>
        </w:rPr>
      </w:pPr>
      <w:bookmarkStart w:id="33" w:name="_Toc28359087"/>
      <w:bookmarkStart w:id="34" w:name="_Toc28359010"/>
      <w:r>
        <w:rPr>
          <w:rFonts w:hint="eastAsia" w:ascii="宋体" w:hAnsi="宋体" w:eastAsia="宋体" w:cs="Times New Roman"/>
          <w:color w:val="auto"/>
          <w:kern w:val="0"/>
          <w:sz w:val="24"/>
          <w:highlight w:val="none"/>
          <w:lang w:val="en-US" w:eastAsia="zh-CN"/>
        </w:rPr>
        <w:t>1.采购人信息</w:t>
      </w:r>
    </w:p>
    <w:p w14:paraId="6E8F9565">
      <w:pPr>
        <w:keepNext w:val="0"/>
        <w:keepLines w:val="0"/>
        <w:pageBreakBefore w:val="0"/>
        <w:kinsoku/>
        <w:wordWrap/>
        <w:overflowPunct/>
        <w:topLinePunct w:val="0"/>
        <w:autoSpaceDE/>
        <w:autoSpaceDN/>
        <w:bidi w:val="0"/>
        <w:spacing w:line="400" w:lineRule="exact"/>
        <w:ind w:firstLine="720" w:firstLineChars="300"/>
        <w:textAlignment w:val="auto"/>
        <w:rPr>
          <w:rFonts w:hint="eastAsia" w:ascii="宋体" w:hAnsi="宋体" w:eastAsia="宋体" w:cs="Times New Roman"/>
          <w:color w:val="auto"/>
          <w:kern w:val="0"/>
          <w:sz w:val="24"/>
          <w:highlight w:val="none"/>
          <w:lang w:val="en-US" w:eastAsia="zh-CN"/>
        </w:rPr>
      </w:pPr>
      <w:r>
        <w:rPr>
          <w:rFonts w:hint="eastAsia" w:ascii="宋体" w:hAnsi="宋体" w:eastAsia="宋体" w:cs="Times New Roman"/>
          <w:color w:val="auto"/>
          <w:kern w:val="0"/>
          <w:sz w:val="24"/>
          <w:highlight w:val="none"/>
          <w:lang w:val="en-US" w:eastAsia="zh-CN"/>
        </w:rPr>
        <w:t xml:space="preserve">名 称：阜宁县人民医院  </w:t>
      </w:r>
    </w:p>
    <w:p w14:paraId="7C3CC1EE">
      <w:pPr>
        <w:pageBreakBefore w:val="0"/>
        <w:widowControl w:val="0"/>
        <w:kinsoku/>
        <w:wordWrap/>
        <w:overflowPunct/>
        <w:topLinePunct w:val="0"/>
        <w:autoSpaceDE/>
        <w:autoSpaceDN/>
        <w:bidi w:val="0"/>
        <w:spacing w:line="410" w:lineRule="exact"/>
        <w:ind w:right="0" w:firstLine="720" w:firstLineChars="300"/>
        <w:textAlignment w:val="auto"/>
        <w:rPr>
          <w:rFonts w:hint="default" w:ascii="宋体" w:hAnsi="宋体" w:eastAsia="宋体"/>
          <w:color w:val="auto"/>
          <w:sz w:val="24"/>
          <w:highlight w:val="none"/>
          <w:lang w:val="en-US" w:eastAsia="zh-CN"/>
        </w:rPr>
      </w:pPr>
      <w:r>
        <w:rPr>
          <w:rFonts w:hint="eastAsia" w:ascii="宋体" w:hAnsi="宋体" w:eastAsia="宋体" w:cs="Times New Roman"/>
          <w:color w:val="auto"/>
          <w:kern w:val="0"/>
          <w:sz w:val="24"/>
          <w:highlight w:val="none"/>
          <w:lang w:val="en-US" w:eastAsia="zh-CN"/>
        </w:rPr>
        <w:t>地址：</w:t>
      </w:r>
      <w:r>
        <w:rPr>
          <w:rFonts w:hint="eastAsia" w:ascii="宋体" w:hAnsi="宋体" w:cs="宋体"/>
          <w:color w:val="auto"/>
          <w:sz w:val="24"/>
          <w:highlight w:val="none"/>
          <w:lang w:eastAsia="zh-CN" w:bidi="ar"/>
        </w:rPr>
        <w:t>阜宁县阜城大街</w:t>
      </w:r>
      <w:r>
        <w:rPr>
          <w:rFonts w:hint="eastAsia" w:ascii="宋体" w:hAnsi="宋体" w:cs="宋体"/>
          <w:color w:val="auto"/>
          <w:sz w:val="24"/>
          <w:highlight w:val="none"/>
          <w:lang w:val="en-US" w:eastAsia="zh-CN" w:bidi="ar"/>
        </w:rPr>
        <w:t>109</w:t>
      </w:r>
      <w:r>
        <w:rPr>
          <w:rFonts w:hint="eastAsia" w:ascii="宋体" w:hAnsi="宋体" w:cs="宋体"/>
          <w:color w:val="auto"/>
          <w:sz w:val="24"/>
          <w:highlight w:val="none"/>
          <w:lang w:eastAsia="zh-CN" w:bidi="ar"/>
        </w:rPr>
        <w:t>号</w:t>
      </w:r>
    </w:p>
    <w:p w14:paraId="7A1CC16E">
      <w:pPr>
        <w:keepNext w:val="0"/>
        <w:keepLines w:val="0"/>
        <w:pageBreakBefore w:val="0"/>
        <w:kinsoku/>
        <w:wordWrap/>
        <w:overflowPunct/>
        <w:topLinePunct w:val="0"/>
        <w:autoSpaceDE/>
        <w:autoSpaceDN/>
        <w:bidi w:val="0"/>
        <w:spacing w:line="400" w:lineRule="exact"/>
        <w:ind w:firstLine="720" w:firstLineChars="300"/>
        <w:textAlignment w:val="auto"/>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eastAsia="zh-CN"/>
        </w:rPr>
        <w:t xml:space="preserve">联系人：张先生    </w:t>
      </w:r>
      <w:r>
        <w:rPr>
          <w:rFonts w:hint="eastAsia" w:ascii="宋体" w:hAnsi="宋体" w:eastAsia="宋体" w:cs="Times New Roman"/>
          <w:color w:val="auto"/>
          <w:sz w:val="24"/>
          <w:szCs w:val="20"/>
          <w:highlight w:val="none"/>
          <w:lang w:val="en-US" w:eastAsia="zh-CN"/>
        </w:rPr>
        <w:t xml:space="preserve">  </w:t>
      </w:r>
    </w:p>
    <w:p w14:paraId="0A005DF4">
      <w:pPr>
        <w:keepNext w:val="0"/>
        <w:keepLines w:val="0"/>
        <w:pageBreakBefore w:val="0"/>
        <w:kinsoku/>
        <w:wordWrap/>
        <w:overflowPunct/>
        <w:topLinePunct w:val="0"/>
        <w:autoSpaceDE/>
        <w:autoSpaceDN/>
        <w:bidi w:val="0"/>
        <w:spacing w:line="400" w:lineRule="exact"/>
        <w:ind w:firstLine="720" w:firstLineChars="300"/>
        <w:textAlignment w:val="auto"/>
        <w:rPr>
          <w:rFonts w:hint="eastAsia" w:ascii="宋体" w:hAnsi="宋体" w:eastAsia="宋体" w:cs="Times New Roman"/>
          <w:color w:val="auto"/>
          <w:kern w:val="0"/>
          <w:sz w:val="24"/>
          <w:highlight w:val="none"/>
          <w:lang w:val="en-US" w:eastAsia="zh-CN"/>
        </w:rPr>
      </w:pPr>
      <w:r>
        <w:rPr>
          <w:rFonts w:hint="eastAsia" w:ascii="宋体" w:hAnsi="宋体" w:eastAsia="宋体" w:cs="Times New Roman"/>
          <w:color w:val="auto"/>
          <w:sz w:val="24"/>
          <w:szCs w:val="20"/>
          <w:highlight w:val="none"/>
          <w:lang w:eastAsia="zh-CN"/>
        </w:rPr>
        <w:t>联系电话：</w:t>
      </w:r>
      <w:r>
        <w:rPr>
          <w:rFonts w:hint="eastAsia" w:ascii="宋体" w:hAnsi="宋体" w:eastAsia="宋体" w:cs="Times New Roman"/>
          <w:color w:val="auto"/>
          <w:sz w:val="24"/>
          <w:szCs w:val="20"/>
          <w:highlight w:val="none"/>
          <w:lang w:val="en-US" w:eastAsia="zh-CN"/>
        </w:rPr>
        <w:t>13485268877 </w:t>
      </w:r>
      <w:r>
        <w:rPr>
          <w:rFonts w:hint="eastAsia" w:ascii="宋体" w:hAnsi="宋体" w:eastAsia="宋体" w:cs="Times New Roman"/>
          <w:color w:val="auto"/>
          <w:kern w:val="0"/>
          <w:sz w:val="24"/>
          <w:highlight w:val="none"/>
          <w:lang w:val="en-US" w:eastAsia="zh-CN"/>
        </w:rPr>
        <w:t xml:space="preserve">           </w:t>
      </w:r>
    </w:p>
    <w:p w14:paraId="749EEAFB">
      <w:pPr>
        <w:keepNext w:val="0"/>
        <w:keepLines w:val="0"/>
        <w:pageBreakBefore w:val="0"/>
        <w:kinsoku/>
        <w:wordWrap/>
        <w:overflowPunct/>
        <w:topLinePunct w:val="0"/>
        <w:autoSpaceDE/>
        <w:autoSpaceDN/>
        <w:bidi w:val="0"/>
        <w:spacing w:line="400" w:lineRule="exact"/>
        <w:ind w:firstLine="480" w:firstLineChars="200"/>
        <w:textAlignment w:val="auto"/>
        <w:rPr>
          <w:rFonts w:hint="eastAsia" w:ascii="宋体" w:hAnsi="宋体" w:eastAsia="宋体" w:cs="Times New Roman"/>
          <w:color w:val="auto"/>
          <w:kern w:val="0"/>
          <w:sz w:val="24"/>
          <w:highlight w:val="none"/>
          <w:lang w:val="en-US" w:eastAsia="zh-CN"/>
        </w:rPr>
      </w:pPr>
      <w:r>
        <w:rPr>
          <w:rFonts w:hint="eastAsia" w:ascii="宋体" w:hAnsi="宋体" w:eastAsia="宋体" w:cs="Times New Roman"/>
          <w:color w:val="auto"/>
          <w:kern w:val="0"/>
          <w:sz w:val="24"/>
          <w:highlight w:val="none"/>
          <w:lang w:val="en-US" w:eastAsia="zh-CN"/>
        </w:rPr>
        <w:t>2.采购代理机构信息</w:t>
      </w:r>
    </w:p>
    <w:p w14:paraId="718BEB05">
      <w:pPr>
        <w:keepNext w:val="0"/>
        <w:keepLines w:val="0"/>
        <w:pageBreakBefore w:val="0"/>
        <w:kinsoku/>
        <w:wordWrap/>
        <w:overflowPunct/>
        <w:topLinePunct w:val="0"/>
        <w:autoSpaceDE/>
        <w:autoSpaceDN/>
        <w:bidi w:val="0"/>
        <w:spacing w:line="400" w:lineRule="exact"/>
        <w:ind w:firstLine="720" w:firstLineChars="300"/>
        <w:textAlignment w:val="auto"/>
        <w:rPr>
          <w:rFonts w:hint="eastAsia" w:ascii="宋体" w:hAnsi="宋体" w:eastAsia="宋体" w:cs="Times New Roman"/>
          <w:color w:val="auto"/>
          <w:kern w:val="0"/>
          <w:sz w:val="24"/>
          <w:highlight w:val="none"/>
          <w:lang w:val="en-US" w:eastAsia="zh-CN"/>
        </w:rPr>
      </w:pPr>
      <w:r>
        <w:rPr>
          <w:rFonts w:hint="eastAsia" w:ascii="宋体" w:hAnsi="宋体" w:eastAsia="宋体" w:cs="Times New Roman"/>
          <w:color w:val="auto"/>
          <w:kern w:val="0"/>
          <w:sz w:val="24"/>
          <w:highlight w:val="none"/>
          <w:lang w:val="en-US" w:eastAsia="zh-CN"/>
        </w:rPr>
        <w:t>名 称：阜宁县公共资源代理机构</w:t>
      </w:r>
    </w:p>
    <w:p w14:paraId="2B6DCDA0">
      <w:pPr>
        <w:keepNext w:val="0"/>
        <w:keepLines w:val="0"/>
        <w:pageBreakBefore w:val="0"/>
        <w:kinsoku/>
        <w:wordWrap/>
        <w:overflowPunct/>
        <w:topLinePunct w:val="0"/>
        <w:autoSpaceDE/>
        <w:autoSpaceDN/>
        <w:bidi w:val="0"/>
        <w:spacing w:line="400" w:lineRule="exact"/>
        <w:ind w:firstLine="720" w:firstLineChars="300"/>
        <w:textAlignment w:val="auto"/>
        <w:rPr>
          <w:rFonts w:hint="eastAsia" w:ascii="宋体" w:hAnsi="宋体" w:eastAsia="宋体" w:cs="Times New Roman"/>
          <w:color w:val="auto"/>
          <w:kern w:val="0"/>
          <w:sz w:val="24"/>
          <w:highlight w:val="none"/>
          <w:lang w:val="en-US" w:eastAsia="zh-CN"/>
        </w:rPr>
      </w:pPr>
      <w:r>
        <w:rPr>
          <w:rFonts w:hint="eastAsia" w:ascii="宋体" w:hAnsi="宋体" w:eastAsia="宋体" w:cs="Times New Roman"/>
          <w:color w:val="auto"/>
          <w:kern w:val="0"/>
          <w:sz w:val="24"/>
          <w:highlight w:val="none"/>
          <w:lang w:val="en-US" w:eastAsia="zh-CN"/>
        </w:rPr>
        <w:t xml:space="preserve">地 址：阜宁县香港路549号（阜宁县数据局）五楼 </w:t>
      </w:r>
    </w:p>
    <w:p w14:paraId="7C370069">
      <w:pPr>
        <w:keepNext w:val="0"/>
        <w:keepLines w:val="0"/>
        <w:pageBreakBefore w:val="0"/>
        <w:kinsoku/>
        <w:wordWrap/>
        <w:overflowPunct/>
        <w:topLinePunct w:val="0"/>
        <w:autoSpaceDE/>
        <w:autoSpaceDN/>
        <w:bidi w:val="0"/>
        <w:spacing w:line="400" w:lineRule="exact"/>
        <w:ind w:firstLine="720" w:firstLineChars="300"/>
        <w:textAlignment w:val="auto"/>
        <w:rPr>
          <w:rFonts w:hint="eastAsia" w:ascii="宋体" w:hAnsi="宋体" w:eastAsia="宋体" w:cs="Times New Roman"/>
          <w:color w:val="auto"/>
          <w:kern w:val="0"/>
          <w:sz w:val="24"/>
          <w:highlight w:val="none"/>
          <w:lang w:val="en-US" w:eastAsia="zh-CN"/>
        </w:rPr>
      </w:pPr>
      <w:r>
        <w:rPr>
          <w:rFonts w:hint="eastAsia" w:ascii="宋体" w:hAnsi="宋体" w:eastAsia="宋体" w:cs="Times New Roman"/>
          <w:color w:val="auto"/>
          <w:kern w:val="0"/>
          <w:sz w:val="24"/>
          <w:highlight w:val="none"/>
          <w:lang w:val="en-US" w:eastAsia="zh-CN"/>
        </w:rPr>
        <w:t xml:space="preserve">联系人：廖东玲                     </w:t>
      </w:r>
    </w:p>
    <w:p w14:paraId="15A4FD8F">
      <w:pPr>
        <w:keepNext w:val="0"/>
        <w:keepLines w:val="0"/>
        <w:pageBreakBefore w:val="0"/>
        <w:kinsoku/>
        <w:wordWrap/>
        <w:overflowPunct/>
        <w:topLinePunct w:val="0"/>
        <w:autoSpaceDE/>
        <w:autoSpaceDN/>
        <w:bidi w:val="0"/>
        <w:spacing w:line="400" w:lineRule="exact"/>
        <w:ind w:firstLine="720" w:firstLineChars="300"/>
        <w:textAlignment w:val="auto"/>
        <w:rPr>
          <w:rFonts w:hint="eastAsia" w:ascii="宋体" w:hAnsi="宋体" w:eastAsia="宋体" w:cs="Times New Roman"/>
          <w:color w:val="auto"/>
          <w:kern w:val="0"/>
          <w:sz w:val="24"/>
          <w:highlight w:val="none"/>
          <w:lang w:val="en-US" w:eastAsia="zh-CN"/>
        </w:rPr>
      </w:pPr>
      <w:r>
        <w:rPr>
          <w:rFonts w:hint="eastAsia" w:ascii="宋体" w:hAnsi="宋体" w:eastAsia="宋体" w:cs="Times New Roman"/>
          <w:color w:val="auto"/>
          <w:kern w:val="0"/>
          <w:sz w:val="24"/>
          <w:highlight w:val="none"/>
          <w:lang w:val="en-US" w:eastAsia="zh-CN"/>
        </w:rPr>
        <w:t>联系方式：0515-87281985       </w:t>
      </w:r>
      <w:bookmarkEnd w:id="33"/>
      <w:bookmarkEnd w:id="34"/>
      <w:r>
        <w:rPr>
          <w:rFonts w:hint="eastAsia" w:ascii="宋体" w:hAnsi="宋体" w:eastAsia="宋体" w:cs="Times New Roman"/>
          <w:color w:val="auto"/>
          <w:kern w:val="0"/>
          <w:sz w:val="24"/>
          <w:highlight w:val="none"/>
          <w:lang w:val="en-US" w:eastAsia="zh-CN"/>
        </w:rPr>
        <w:t xml:space="preserve">            </w:t>
      </w:r>
    </w:p>
    <w:p w14:paraId="2B5CA2B3">
      <w:pPr>
        <w:keepNext w:val="0"/>
        <w:keepLines w:val="0"/>
        <w:pageBreakBefore w:val="0"/>
        <w:kinsoku/>
        <w:wordWrap/>
        <w:overflowPunct/>
        <w:topLinePunct w:val="0"/>
        <w:autoSpaceDE/>
        <w:autoSpaceDN/>
        <w:bidi w:val="0"/>
        <w:spacing w:line="400" w:lineRule="exact"/>
        <w:ind w:firstLine="480" w:firstLineChars="200"/>
        <w:textAlignment w:val="auto"/>
        <w:rPr>
          <w:rFonts w:hint="eastAsia" w:ascii="宋体" w:hAnsi="宋体" w:eastAsia="宋体" w:cs="Times New Roman"/>
          <w:color w:val="auto"/>
          <w:kern w:val="0"/>
          <w:sz w:val="24"/>
          <w:highlight w:val="none"/>
          <w:lang w:val="en-US" w:eastAsia="zh-CN"/>
        </w:rPr>
      </w:pPr>
      <w:bookmarkStart w:id="35" w:name="_Toc28359021"/>
      <w:r>
        <w:rPr>
          <w:rFonts w:hint="eastAsia" w:ascii="宋体" w:hAnsi="宋体" w:eastAsia="宋体" w:cs="Times New Roman"/>
          <w:color w:val="auto"/>
          <w:kern w:val="0"/>
          <w:sz w:val="24"/>
          <w:highlight w:val="none"/>
          <w:lang w:val="en-US" w:eastAsia="zh-CN"/>
        </w:rPr>
        <w:t>3.</w:t>
      </w:r>
      <w:bookmarkEnd w:id="35"/>
      <w:r>
        <w:rPr>
          <w:rFonts w:hint="eastAsia" w:ascii="宋体" w:hAnsi="宋体" w:eastAsia="宋体" w:cs="Times New Roman"/>
          <w:color w:val="auto"/>
          <w:kern w:val="0"/>
          <w:sz w:val="24"/>
          <w:highlight w:val="none"/>
          <w:lang w:val="en-US" w:eastAsia="zh-CN"/>
        </w:rPr>
        <w:t>项目联系方式</w:t>
      </w:r>
    </w:p>
    <w:p w14:paraId="5D81859F">
      <w:pPr>
        <w:keepNext w:val="0"/>
        <w:keepLines w:val="0"/>
        <w:pageBreakBefore w:val="0"/>
        <w:kinsoku/>
        <w:wordWrap/>
        <w:overflowPunct/>
        <w:topLinePunct w:val="0"/>
        <w:autoSpaceDE/>
        <w:autoSpaceDN/>
        <w:bidi w:val="0"/>
        <w:spacing w:line="400" w:lineRule="exact"/>
        <w:ind w:firstLine="720" w:firstLineChars="300"/>
        <w:textAlignment w:val="auto"/>
        <w:rPr>
          <w:rFonts w:hint="eastAsia" w:ascii="宋体" w:hAnsi="宋体" w:eastAsia="宋体" w:cs="Times New Roman"/>
          <w:color w:val="auto"/>
          <w:kern w:val="0"/>
          <w:sz w:val="24"/>
          <w:highlight w:val="none"/>
          <w:lang w:val="en-US" w:eastAsia="zh-CN"/>
        </w:rPr>
      </w:pPr>
      <w:r>
        <w:rPr>
          <w:rFonts w:hint="eastAsia" w:ascii="宋体" w:hAnsi="宋体" w:eastAsia="宋体" w:cs="Times New Roman"/>
          <w:color w:val="auto"/>
          <w:kern w:val="0"/>
          <w:sz w:val="24"/>
          <w:highlight w:val="none"/>
          <w:lang w:val="en-US" w:eastAsia="zh-CN"/>
        </w:rPr>
        <w:t>项目联系人：</w:t>
      </w:r>
      <w:r>
        <w:rPr>
          <w:rFonts w:hint="eastAsia" w:ascii="宋体" w:hAnsi="宋体" w:eastAsia="宋体" w:cs="Times New Roman"/>
          <w:color w:val="auto"/>
          <w:sz w:val="24"/>
          <w:szCs w:val="20"/>
          <w:highlight w:val="none"/>
          <w:lang w:eastAsia="zh-CN"/>
        </w:rPr>
        <w:t>张先生</w:t>
      </w:r>
      <w:r>
        <w:rPr>
          <w:rFonts w:hint="eastAsia" w:ascii="宋体" w:hAnsi="宋体" w:eastAsia="宋体" w:cs="Times New Roman"/>
          <w:color w:val="auto"/>
          <w:sz w:val="24"/>
          <w:szCs w:val="20"/>
          <w:highlight w:val="none"/>
          <w:lang w:val="en-US" w:eastAsia="zh-CN"/>
        </w:rPr>
        <w:t>/</w:t>
      </w:r>
      <w:r>
        <w:rPr>
          <w:rFonts w:hint="eastAsia" w:ascii="宋体" w:hAnsi="宋体" w:eastAsia="宋体" w:cs="Times New Roman"/>
          <w:color w:val="auto"/>
          <w:kern w:val="0"/>
          <w:sz w:val="24"/>
          <w:highlight w:val="none"/>
          <w:lang w:val="en-US" w:eastAsia="zh-CN"/>
        </w:rPr>
        <w:t>廖东玲</w:t>
      </w:r>
    </w:p>
    <w:p w14:paraId="272C26E4">
      <w:pPr>
        <w:keepNext w:val="0"/>
        <w:keepLines w:val="0"/>
        <w:pageBreakBefore w:val="0"/>
        <w:kinsoku/>
        <w:wordWrap/>
        <w:overflowPunct/>
        <w:topLinePunct w:val="0"/>
        <w:autoSpaceDE/>
        <w:autoSpaceDN/>
        <w:bidi w:val="0"/>
        <w:spacing w:line="400" w:lineRule="exact"/>
        <w:ind w:firstLine="720" w:firstLineChars="300"/>
        <w:textAlignment w:val="auto"/>
        <w:rPr>
          <w:rFonts w:hint="eastAsia" w:ascii="宋体" w:hAnsi="宋体" w:eastAsia="宋体" w:cs="Times New Roman"/>
          <w:color w:val="auto"/>
          <w:kern w:val="0"/>
          <w:sz w:val="24"/>
          <w:highlight w:val="none"/>
          <w:lang w:val="en-US" w:eastAsia="zh-CN"/>
        </w:rPr>
      </w:pPr>
      <w:r>
        <w:rPr>
          <w:rFonts w:hint="eastAsia" w:ascii="宋体" w:hAnsi="宋体" w:eastAsia="宋体" w:cs="Times New Roman"/>
          <w:color w:val="auto"/>
          <w:kern w:val="0"/>
          <w:sz w:val="24"/>
          <w:highlight w:val="none"/>
          <w:lang w:val="en-US" w:eastAsia="zh-CN"/>
        </w:rPr>
        <w:t>电　　 话：</w:t>
      </w:r>
      <w:r>
        <w:rPr>
          <w:rFonts w:hint="eastAsia" w:ascii="宋体" w:hAnsi="宋体" w:eastAsia="宋体" w:cs="Times New Roman"/>
          <w:color w:val="auto"/>
          <w:sz w:val="24"/>
          <w:szCs w:val="20"/>
          <w:highlight w:val="none"/>
          <w:lang w:val="en-US" w:eastAsia="zh-CN"/>
        </w:rPr>
        <w:t>13485268877/</w:t>
      </w:r>
      <w:r>
        <w:rPr>
          <w:rFonts w:hint="eastAsia" w:ascii="宋体" w:hAnsi="宋体" w:eastAsia="宋体" w:cs="Times New Roman"/>
          <w:color w:val="auto"/>
          <w:kern w:val="0"/>
          <w:sz w:val="24"/>
          <w:highlight w:val="none"/>
          <w:lang w:val="en-US" w:eastAsia="zh-CN"/>
        </w:rPr>
        <w:t>0515-87281985</w:t>
      </w:r>
    </w:p>
    <w:p w14:paraId="4298AEE6">
      <w:pPr>
        <w:keepNext w:val="0"/>
        <w:keepLines w:val="0"/>
        <w:pageBreakBefore w:val="0"/>
        <w:kinsoku/>
        <w:wordWrap/>
        <w:overflowPunct/>
        <w:topLinePunct w:val="0"/>
        <w:autoSpaceDE/>
        <w:autoSpaceDN/>
        <w:bidi w:val="0"/>
        <w:spacing w:line="400" w:lineRule="exact"/>
        <w:ind w:firstLine="720" w:firstLineChars="300"/>
        <w:textAlignment w:val="auto"/>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宋体" w:hAnsi="宋体" w:eastAsia="宋体" w:cs="Times New Roman"/>
          <w:color w:val="auto"/>
          <w:kern w:val="0"/>
          <w:sz w:val="24"/>
          <w:highlight w:val="none"/>
          <w:lang w:val="en-US" w:eastAsia="zh-CN"/>
        </w:rPr>
        <w:t>　</w:t>
      </w:r>
      <w:r>
        <w:rPr>
          <w:rFonts w:hint="eastAsia" w:ascii="仿宋" w:hAnsi="仿宋" w:eastAsia="仿宋" w:cs="仿宋"/>
          <w:i w:val="0"/>
          <w:iCs w:val="0"/>
          <w:caps w:val="0"/>
          <w:color w:val="auto"/>
          <w:spacing w:val="0"/>
          <w:sz w:val="28"/>
          <w:szCs w:val="28"/>
          <w:highlight w:val="none"/>
          <w:shd w:val="clear" w:fill="FFFFFF"/>
          <w:lang w:val="en-US" w:eastAsia="zh-CN"/>
        </w:rPr>
        <w:t>　　　　　　　　　　　</w:t>
      </w:r>
    </w:p>
    <w:p w14:paraId="7EF8FAD9">
      <w:pPr>
        <w:rPr>
          <w:color w:val="auto"/>
          <w:highlight w:val="none"/>
        </w:rPr>
      </w:pPr>
      <w:r>
        <w:rPr>
          <w:color w:val="auto"/>
          <w:highlight w:val="none"/>
        </w:rPr>
        <w:t> </w:t>
      </w:r>
    </w:p>
    <w:p w14:paraId="2F011FB1">
      <w:pPr>
        <w:rPr>
          <w:rFonts w:hint="eastAsia" w:ascii="黑体" w:hAnsi="宋体" w:eastAsia="黑体" w:cs="黑体"/>
          <w:b/>
          <w:color w:val="auto"/>
          <w:sz w:val="44"/>
          <w:szCs w:val="44"/>
          <w:highlight w:val="none"/>
        </w:rPr>
      </w:pPr>
      <w:r>
        <w:rPr>
          <w:rFonts w:hint="eastAsia" w:ascii="宋体" w:hAnsi="宋体" w:eastAsia="宋体" w:cs="宋体"/>
          <w:color w:val="auto"/>
          <w:highlight w:val="none"/>
        </w:rPr>
        <w:br w:type="page"/>
      </w:r>
      <w:bookmarkStart w:id="36" w:name="_Toc120614211"/>
    </w:p>
    <w:p w14:paraId="58C5948E">
      <w:pPr>
        <w:pStyle w:val="11"/>
        <w:keepNext/>
        <w:keepLines/>
        <w:spacing w:before="260" w:beforeAutospacing="0" w:after="260" w:afterAutospacing="0" w:line="415" w:lineRule="auto"/>
        <w:ind w:firstLine="2429"/>
        <w:jc w:val="both"/>
        <w:rPr>
          <w:color w:val="auto"/>
          <w:highlight w:val="none"/>
        </w:rPr>
      </w:pPr>
      <w:r>
        <w:rPr>
          <w:rFonts w:hint="eastAsia" w:ascii="黑体" w:hAnsi="宋体" w:eastAsia="黑体" w:cs="黑体"/>
          <w:b/>
          <w:color w:val="auto"/>
          <w:sz w:val="44"/>
          <w:szCs w:val="44"/>
          <w:highlight w:val="none"/>
        </w:rPr>
        <w:t xml:space="preserve">第二章  </w:t>
      </w:r>
      <w:bookmarkEnd w:id="36"/>
      <w:bookmarkStart w:id="37" w:name="_Toc513029202"/>
      <w:bookmarkStart w:id="38" w:name="_Toc20823274"/>
      <w:bookmarkStart w:id="39" w:name="_Toc16938518"/>
      <w:bookmarkStart w:id="40" w:name="_Toc120614213"/>
      <w:r>
        <w:rPr>
          <w:rFonts w:hint="eastAsia" w:ascii="黑体" w:hAnsi="宋体" w:eastAsia="黑体" w:cs="黑体"/>
          <w:b/>
          <w:color w:val="auto"/>
          <w:sz w:val="44"/>
          <w:szCs w:val="44"/>
          <w:highlight w:val="none"/>
        </w:rPr>
        <w:t>投标人须知</w:t>
      </w:r>
      <w:bookmarkEnd w:id="37"/>
      <w:bookmarkEnd w:id="38"/>
      <w:bookmarkEnd w:id="39"/>
      <w:bookmarkEnd w:id="40"/>
    </w:p>
    <w:p w14:paraId="0716354F">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499"/>
        <w:jc w:val="both"/>
        <w:textAlignment w:val="auto"/>
        <w:rPr>
          <w:color w:val="auto"/>
          <w:highlight w:val="none"/>
        </w:rPr>
      </w:pPr>
      <w:bookmarkStart w:id="41" w:name="_Toc16938519"/>
      <w:bookmarkStart w:id="42" w:name="_Toc120614214"/>
      <w:bookmarkStart w:id="43" w:name="_Toc20823275"/>
      <w:bookmarkStart w:id="44" w:name="_Toc513029203"/>
      <w:r>
        <w:rPr>
          <w:rFonts w:ascii="Times New Roman" w:hAnsi="Times New Roman"/>
          <w:b/>
          <w:color w:val="auto"/>
          <w:sz w:val="32"/>
          <w:szCs w:val="32"/>
          <w:highlight w:val="none"/>
        </w:rPr>
        <w:t>一、总则</w:t>
      </w:r>
      <w:bookmarkEnd w:id="41"/>
      <w:bookmarkEnd w:id="42"/>
      <w:bookmarkEnd w:id="43"/>
      <w:bookmarkEnd w:id="44"/>
    </w:p>
    <w:p w14:paraId="7A9A5C3F">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firstLine="420"/>
        <w:jc w:val="both"/>
        <w:textAlignment w:val="auto"/>
        <w:rPr>
          <w:rFonts w:hint="eastAsia" w:ascii="宋体" w:hAnsi="宋体" w:eastAsia="宋体" w:cs="宋体"/>
          <w:b w:val="0"/>
          <w:bCs w:val="0"/>
          <w:color w:val="auto"/>
          <w:sz w:val="24"/>
          <w:szCs w:val="24"/>
          <w:highlight w:val="none"/>
        </w:rPr>
      </w:pPr>
      <w:bookmarkStart w:id="45" w:name="_Toc20823276"/>
      <w:bookmarkStart w:id="46" w:name="_Toc458694821"/>
      <w:bookmarkStart w:id="47" w:name="_Toc513029204"/>
      <w:bookmarkStart w:id="48" w:name="_Toc16938520"/>
      <w:bookmarkStart w:id="49" w:name="_Hlt16619475"/>
      <w:r>
        <w:rPr>
          <w:rFonts w:hint="eastAsia" w:ascii="宋体" w:hAnsi="宋体" w:eastAsia="宋体" w:cs="宋体"/>
          <w:b w:val="0"/>
          <w:bCs w:val="0"/>
          <w:color w:val="auto"/>
          <w:sz w:val="24"/>
          <w:szCs w:val="24"/>
          <w:highlight w:val="none"/>
        </w:rPr>
        <w:t>1</w:t>
      </w:r>
      <w:bookmarkEnd w:id="45"/>
      <w:r>
        <w:rPr>
          <w:rFonts w:hint="eastAsia" w:ascii="宋体" w:hAnsi="宋体" w:eastAsia="宋体" w:cs="宋体"/>
          <w:b w:val="0"/>
          <w:bCs w:val="0"/>
          <w:color w:val="auto"/>
          <w:sz w:val="24"/>
          <w:szCs w:val="24"/>
          <w:highlight w:val="none"/>
        </w:rPr>
        <w:t>、招标方式</w:t>
      </w:r>
      <w:bookmarkEnd w:id="46"/>
      <w:bookmarkEnd w:id="47"/>
      <w:bookmarkEnd w:id="48"/>
    </w:p>
    <w:p w14:paraId="5FD54243">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 本次招标采取公开招标方式，本招标文件仅适用于招标公告中所述项目。</w:t>
      </w:r>
    </w:p>
    <w:p w14:paraId="3773A5C6">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firstLine="420"/>
        <w:jc w:val="both"/>
        <w:textAlignment w:val="auto"/>
        <w:rPr>
          <w:rFonts w:hint="eastAsia" w:ascii="宋体" w:hAnsi="宋体" w:eastAsia="宋体" w:cs="宋体"/>
          <w:b w:val="0"/>
          <w:bCs w:val="0"/>
          <w:color w:val="auto"/>
          <w:sz w:val="24"/>
          <w:szCs w:val="24"/>
          <w:highlight w:val="none"/>
        </w:rPr>
      </w:pPr>
      <w:bookmarkStart w:id="50" w:name="_Toc16938521"/>
      <w:bookmarkStart w:id="51" w:name="_Toc513029205"/>
      <w:bookmarkStart w:id="52" w:name="_Toc20823277"/>
      <w:r>
        <w:rPr>
          <w:rFonts w:hint="eastAsia" w:ascii="宋体" w:hAnsi="宋体" w:eastAsia="宋体" w:cs="宋体"/>
          <w:b w:val="0"/>
          <w:bCs w:val="0"/>
          <w:color w:val="auto"/>
          <w:sz w:val="24"/>
          <w:szCs w:val="24"/>
          <w:highlight w:val="none"/>
        </w:rPr>
        <w:t>2、合格的投标人</w:t>
      </w:r>
      <w:bookmarkEnd w:id="50"/>
      <w:bookmarkEnd w:id="51"/>
      <w:bookmarkEnd w:id="52"/>
    </w:p>
    <w:p w14:paraId="6D29807C">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2.1满足招标公告中供应商的资格要求的规定。</w:t>
      </w:r>
    </w:p>
    <w:p w14:paraId="29376512">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2.2 满足本文件实质性要求和条件的规定。</w:t>
      </w:r>
    </w:p>
    <w:p w14:paraId="2E0EDE56">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firstLine="420"/>
        <w:jc w:val="both"/>
        <w:textAlignment w:val="auto"/>
        <w:rPr>
          <w:rFonts w:hint="eastAsia" w:ascii="宋体" w:hAnsi="宋体" w:eastAsia="宋体" w:cs="宋体"/>
          <w:b w:val="0"/>
          <w:bCs w:val="0"/>
          <w:color w:val="auto"/>
          <w:sz w:val="24"/>
          <w:szCs w:val="24"/>
          <w:highlight w:val="none"/>
        </w:rPr>
      </w:pPr>
      <w:bookmarkStart w:id="53" w:name="_Toc20823278"/>
      <w:bookmarkStart w:id="54" w:name="_Toc16938522"/>
      <w:bookmarkStart w:id="55" w:name="_Toc513029206"/>
      <w:r>
        <w:rPr>
          <w:rFonts w:hint="eastAsia" w:ascii="宋体" w:hAnsi="宋体" w:eastAsia="宋体" w:cs="宋体"/>
          <w:b w:val="0"/>
          <w:bCs w:val="0"/>
          <w:color w:val="auto"/>
          <w:sz w:val="24"/>
          <w:szCs w:val="24"/>
          <w:highlight w:val="none"/>
        </w:rPr>
        <w:t>3、适用法律</w:t>
      </w:r>
      <w:bookmarkEnd w:id="53"/>
      <w:bookmarkEnd w:id="54"/>
      <w:bookmarkEnd w:id="55"/>
    </w:p>
    <w:p w14:paraId="3B0A471A">
      <w:pPr>
        <w:pStyle w:val="11"/>
        <w:pageBreakBefore w:val="0"/>
        <w:widowControl w:val="0"/>
        <w:kinsoku/>
        <w:wordWrap/>
        <w:overflowPunct/>
        <w:topLinePunct w:val="0"/>
        <w:autoSpaceDE/>
        <w:autoSpaceDN/>
        <w:bidi w:val="0"/>
        <w:adjustRightInd/>
        <w:snapToGrid/>
        <w:spacing w:beforeAutospacing="0" w:afterAutospacing="0" w:line="420" w:lineRule="exact"/>
        <w:ind w:firstLine="42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3.1 本次招标及由此产生的合同受中华人民共和国有关的法律法规制约和保护。</w:t>
      </w:r>
    </w:p>
    <w:p w14:paraId="598740BA">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firstLine="420"/>
        <w:jc w:val="both"/>
        <w:textAlignment w:val="auto"/>
        <w:rPr>
          <w:rFonts w:hint="eastAsia" w:ascii="宋体" w:hAnsi="宋体" w:eastAsia="宋体" w:cs="宋体"/>
          <w:b w:val="0"/>
          <w:bCs w:val="0"/>
          <w:color w:val="auto"/>
          <w:sz w:val="24"/>
          <w:szCs w:val="24"/>
          <w:highlight w:val="none"/>
        </w:rPr>
      </w:pPr>
      <w:bookmarkStart w:id="56" w:name="_Toc20823279"/>
      <w:bookmarkStart w:id="57" w:name="_Toc16938523"/>
      <w:bookmarkStart w:id="58" w:name="_Toc513029207"/>
      <w:bookmarkStart w:id="59" w:name="_Toc462564067"/>
      <w:r>
        <w:rPr>
          <w:rFonts w:hint="eastAsia" w:ascii="宋体" w:hAnsi="宋体" w:eastAsia="宋体" w:cs="宋体"/>
          <w:b w:val="0"/>
          <w:bCs w:val="0"/>
          <w:color w:val="auto"/>
          <w:sz w:val="24"/>
          <w:szCs w:val="24"/>
          <w:highlight w:val="none"/>
        </w:rPr>
        <w:t>4、投标费用</w:t>
      </w:r>
      <w:bookmarkEnd w:id="56"/>
      <w:bookmarkEnd w:id="57"/>
      <w:bookmarkEnd w:id="58"/>
      <w:bookmarkEnd w:id="59"/>
    </w:p>
    <w:p w14:paraId="1767C040">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4.1 投标人应自行承担所有与参加投标有关的费用，无论投标过程中的做法和结果如何，</w:t>
      </w:r>
      <w:r>
        <w:rPr>
          <w:rFonts w:hint="eastAsia" w:ascii="宋体" w:hAnsi="宋体" w:eastAsia="宋体" w:cs="宋体"/>
          <w:color w:val="auto"/>
          <w:highlight w:val="none"/>
        </w:rPr>
        <w:t>阜宁县公共资源</w:t>
      </w:r>
      <w:r>
        <w:rPr>
          <w:rFonts w:hint="eastAsia" w:ascii="宋体" w:hAnsi="宋体" w:eastAsia="宋体" w:cs="宋体"/>
          <w:color w:val="auto"/>
          <w:highlight w:val="none"/>
          <w:lang w:eastAsia="zh-CN"/>
        </w:rPr>
        <w:t>代理机构</w:t>
      </w:r>
      <w:r>
        <w:rPr>
          <w:rFonts w:hint="eastAsia" w:ascii="宋体" w:hAnsi="宋体" w:eastAsia="宋体" w:cs="宋体"/>
          <w:b w:val="0"/>
          <w:bCs w:val="0"/>
          <w:color w:val="auto"/>
          <w:sz w:val="24"/>
          <w:szCs w:val="24"/>
          <w:highlight w:val="none"/>
        </w:rPr>
        <w:t>（以下简称</w:t>
      </w:r>
      <w:r>
        <w:rPr>
          <w:rFonts w:hint="eastAsia" w:ascii="宋体" w:hAnsi="宋体" w:eastAsia="宋体" w:cs="宋体"/>
          <w:b w:val="0"/>
          <w:bCs w:val="0"/>
          <w:color w:val="auto"/>
          <w:sz w:val="24"/>
          <w:szCs w:val="24"/>
          <w:highlight w:val="none"/>
          <w:lang w:eastAsia="zh-CN"/>
        </w:rPr>
        <w:t>代理机构</w:t>
      </w:r>
      <w:r>
        <w:rPr>
          <w:rFonts w:hint="eastAsia" w:ascii="宋体" w:hAnsi="宋体" w:eastAsia="宋体" w:cs="宋体"/>
          <w:b w:val="0"/>
          <w:bCs w:val="0"/>
          <w:color w:val="auto"/>
          <w:sz w:val="24"/>
          <w:szCs w:val="24"/>
          <w:highlight w:val="none"/>
        </w:rPr>
        <w:t>）在任何情况下均无义务和责任承担这些费用。</w:t>
      </w:r>
    </w:p>
    <w:p w14:paraId="4E25354C">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4.2本次招标</w:t>
      </w:r>
      <w:r>
        <w:rPr>
          <w:rFonts w:hint="eastAsia" w:ascii="宋体" w:hAnsi="宋体" w:eastAsia="宋体" w:cs="宋体"/>
          <w:b w:val="0"/>
          <w:bCs w:val="0"/>
          <w:color w:val="auto"/>
          <w:sz w:val="24"/>
          <w:szCs w:val="24"/>
          <w:highlight w:val="none"/>
          <w:lang w:eastAsia="zh-CN"/>
        </w:rPr>
        <w:t>代理机构</w:t>
      </w:r>
      <w:r>
        <w:rPr>
          <w:rFonts w:hint="eastAsia" w:ascii="宋体" w:hAnsi="宋体" w:eastAsia="宋体" w:cs="宋体"/>
          <w:b w:val="0"/>
          <w:bCs w:val="0"/>
          <w:color w:val="auto"/>
          <w:sz w:val="24"/>
          <w:szCs w:val="24"/>
          <w:highlight w:val="none"/>
        </w:rPr>
        <w:t>和采购人不收取标书工本费与中标服务费。</w:t>
      </w:r>
    </w:p>
    <w:p w14:paraId="5B55F7D7">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5、招标文件的约束力</w:t>
      </w:r>
    </w:p>
    <w:p w14:paraId="26B50D3A">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5.1 投标人一旦参加本项目采购活动，即被认为接受了本招标文件的规定和约束。</w:t>
      </w:r>
    </w:p>
    <w:p w14:paraId="2D9B2982">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499"/>
        <w:jc w:val="both"/>
        <w:textAlignment w:val="auto"/>
        <w:rPr>
          <w:rFonts w:ascii="Times New Roman" w:hAnsi="Times New Roman" w:cs="Times New Roman"/>
          <w:b/>
          <w:color w:val="auto"/>
          <w:sz w:val="32"/>
          <w:szCs w:val="32"/>
          <w:highlight w:val="none"/>
        </w:rPr>
      </w:pPr>
      <w:bookmarkStart w:id="60" w:name="_Toc120614215"/>
      <w:bookmarkStart w:id="61" w:name="_Toc16938525"/>
      <w:bookmarkStart w:id="62" w:name="_Toc20823281"/>
      <w:bookmarkStart w:id="63" w:name="_Toc513029209"/>
      <w:r>
        <w:rPr>
          <w:rFonts w:ascii="Times New Roman" w:hAnsi="Times New Roman" w:cs="Times New Roman"/>
          <w:b/>
          <w:color w:val="auto"/>
          <w:sz w:val="32"/>
          <w:szCs w:val="32"/>
          <w:highlight w:val="none"/>
        </w:rPr>
        <w:t>二、招标文件</w:t>
      </w:r>
      <w:bookmarkEnd w:id="60"/>
      <w:bookmarkEnd w:id="61"/>
      <w:bookmarkEnd w:id="62"/>
      <w:bookmarkEnd w:id="63"/>
    </w:p>
    <w:p w14:paraId="06D1149F">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firstLine="420"/>
        <w:jc w:val="both"/>
        <w:textAlignment w:val="auto"/>
        <w:rPr>
          <w:rFonts w:hint="eastAsia" w:ascii="宋体" w:hAnsi="宋体" w:eastAsia="宋体" w:cs="宋体"/>
          <w:color w:val="auto"/>
          <w:sz w:val="24"/>
          <w:szCs w:val="24"/>
          <w:highlight w:val="none"/>
        </w:rPr>
      </w:pPr>
      <w:bookmarkStart w:id="64" w:name="_Toc16938526"/>
      <w:bookmarkStart w:id="65" w:name="_Toc20823282"/>
      <w:bookmarkStart w:id="66" w:name="_Toc513029210"/>
      <w:r>
        <w:rPr>
          <w:rFonts w:hint="eastAsia" w:ascii="宋体" w:hAnsi="宋体" w:eastAsia="宋体" w:cs="宋体"/>
          <w:color w:val="auto"/>
          <w:sz w:val="24"/>
          <w:szCs w:val="24"/>
          <w:highlight w:val="none"/>
        </w:rPr>
        <w:t>6、招标文件构成</w:t>
      </w:r>
      <w:bookmarkEnd w:id="64"/>
      <w:bookmarkEnd w:id="65"/>
      <w:bookmarkEnd w:id="66"/>
    </w:p>
    <w:p w14:paraId="6978D972">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招标文件由以下部分组成：</w:t>
      </w:r>
    </w:p>
    <w:p w14:paraId="12A3CF32">
      <w:pPr>
        <w:pStyle w:val="11"/>
        <w:pageBreakBefore w:val="0"/>
        <w:widowControl w:val="0"/>
        <w:kinsoku/>
        <w:wordWrap/>
        <w:overflowPunct/>
        <w:topLinePunct w:val="0"/>
        <w:autoSpaceDE/>
        <w:autoSpaceDN/>
        <w:bidi w:val="0"/>
        <w:adjustRightInd/>
        <w:snapToGrid/>
        <w:spacing w:beforeAutospacing="0" w:afterAutospacing="0" w:line="420" w:lineRule="exact"/>
        <w:ind w:firstLine="36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招标公告</w:t>
      </w:r>
    </w:p>
    <w:p w14:paraId="70CD6B8B">
      <w:pPr>
        <w:pStyle w:val="11"/>
        <w:pageBreakBefore w:val="0"/>
        <w:widowControl w:val="0"/>
        <w:kinsoku/>
        <w:wordWrap/>
        <w:overflowPunct/>
        <w:topLinePunct w:val="0"/>
        <w:autoSpaceDE/>
        <w:autoSpaceDN/>
        <w:bidi w:val="0"/>
        <w:adjustRightInd/>
        <w:snapToGrid/>
        <w:spacing w:beforeAutospacing="0" w:afterAutospacing="0" w:line="42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03842FBE">
      <w:pPr>
        <w:pStyle w:val="11"/>
        <w:pageBreakBefore w:val="0"/>
        <w:widowControl w:val="0"/>
        <w:kinsoku/>
        <w:wordWrap/>
        <w:overflowPunct/>
        <w:topLinePunct w:val="0"/>
        <w:autoSpaceDE/>
        <w:autoSpaceDN/>
        <w:bidi w:val="0"/>
        <w:adjustRightInd/>
        <w:snapToGrid/>
        <w:spacing w:beforeAutospacing="0" w:afterAutospacing="0" w:line="42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2F68BA17">
      <w:pPr>
        <w:pStyle w:val="11"/>
        <w:pageBreakBefore w:val="0"/>
        <w:widowControl w:val="0"/>
        <w:kinsoku/>
        <w:wordWrap/>
        <w:overflowPunct/>
        <w:topLinePunct w:val="0"/>
        <w:autoSpaceDE/>
        <w:autoSpaceDN/>
        <w:bidi w:val="0"/>
        <w:adjustRightInd/>
        <w:snapToGrid/>
        <w:spacing w:beforeAutospacing="0" w:afterAutospacing="0" w:line="42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7771D68A">
      <w:pPr>
        <w:pStyle w:val="11"/>
        <w:pageBreakBefore w:val="0"/>
        <w:widowControl w:val="0"/>
        <w:kinsoku/>
        <w:wordWrap/>
        <w:overflowPunct/>
        <w:topLinePunct w:val="0"/>
        <w:autoSpaceDE/>
        <w:autoSpaceDN/>
        <w:bidi w:val="0"/>
        <w:adjustRightInd/>
        <w:snapToGrid/>
        <w:spacing w:beforeAutospacing="0" w:afterAutospacing="0" w:line="42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0196A16E">
      <w:pPr>
        <w:pStyle w:val="11"/>
        <w:pageBreakBefore w:val="0"/>
        <w:widowControl w:val="0"/>
        <w:kinsoku/>
        <w:wordWrap/>
        <w:overflowPunct/>
        <w:topLinePunct w:val="0"/>
        <w:autoSpaceDE/>
        <w:autoSpaceDN/>
        <w:bidi w:val="0"/>
        <w:adjustRightInd/>
        <w:snapToGrid/>
        <w:spacing w:beforeAutospacing="0" w:afterAutospacing="0" w:line="42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323A294F">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联系解决。</w:t>
      </w:r>
    </w:p>
    <w:p w14:paraId="5D884498">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749A3E5">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firstLine="560"/>
        <w:jc w:val="both"/>
        <w:textAlignment w:val="auto"/>
        <w:rPr>
          <w:rFonts w:hint="eastAsia" w:ascii="宋体" w:hAnsi="宋体" w:eastAsia="宋体" w:cs="宋体"/>
          <w:color w:val="auto"/>
          <w:sz w:val="24"/>
          <w:szCs w:val="24"/>
          <w:highlight w:val="none"/>
        </w:rPr>
      </w:pPr>
      <w:bookmarkStart w:id="67" w:name="_Toc513029211"/>
      <w:bookmarkStart w:id="68" w:name="_Toc20823283"/>
      <w:bookmarkStart w:id="69" w:name="_Toc462564070"/>
      <w:bookmarkStart w:id="70" w:name="_Toc16938527"/>
      <w:r>
        <w:rPr>
          <w:rFonts w:hint="eastAsia" w:ascii="宋体" w:hAnsi="宋体" w:eastAsia="宋体" w:cs="宋体"/>
          <w:color w:val="auto"/>
          <w:sz w:val="24"/>
          <w:szCs w:val="24"/>
          <w:highlight w:val="none"/>
        </w:rPr>
        <w:t>7、招标文件的澄清</w:t>
      </w:r>
      <w:bookmarkEnd w:id="67"/>
      <w:bookmarkEnd w:id="68"/>
      <w:bookmarkEnd w:id="69"/>
      <w:bookmarkEnd w:id="70"/>
    </w:p>
    <w:p w14:paraId="0C4728E4">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任何要求对招标文件进行澄清的投标人，应在投标截止期</w:t>
      </w:r>
      <w:r>
        <w:rPr>
          <w:rFonts w:hint="eastAsia" w:ascii="宋体" w:hAnsi="宋体" w:eastAsia="宋体" w:cs="宋体"/>
          <w:b/>
          <w:color w:val="auto"/>
          <w:sz w:val="24"/>
          <w:szCs w:val="24"/>
          <w:highlight w:val="none"/>
        </w:rPr>
        <w:t>十日</w:t>
      </w:r>
      <w:r>
        <w:rPr>
          <w:rFonts w:hint="eastAsia" w:ascii="宋体" w:hAnsi="宋体" w:eastAsia="宋体" w:cs="宋体"/>
          <w:color w:val="auto"/>
          <w:sz w:val="24"/>
          <w:szCs w:val="24"/>
          <w:highlight w:val="none"/>
        </w:rPr>
        <w:t>前按招标公告中的通讯地址，以书面形式通知</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w:t>
      </w:r>
    </w:p>
    <w:p w14:paraId="1F09848C">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firstLine="560"/>
        <w:jc w:val="both"/>
        <w:textAlignment w:val="auto"/>
        <w:rPr>
          <w:rFonts w:hint="eastAsia" w:ascii="宋体" w:hAnsi="宋体" w:eastAsia="宋体" w:cs="宋体"/>
          <w:color w:val="auto"/>
          <w:sz w:val="24"/>
          <w:szCs w:val="24"/>
          <w:highlight w:val="none"/>
        </w:rPr>
      </w:pPr>
      <w:bookmarkStart w:id="71" w:name="_Toc513029212"/>
      <w:bookmarkStart w:id="72" w:name="_Toc16938528"/>
      <w:bookmarkStart w:id="73" w:name="_Toc20823284"/>
      <w:bookmarkStart w:id="74" w:name="_Toc462564071"/>
      <w:r>
        <w:rPr>
          <w:rFonts w:hint="eastAsia" w:ascii="宋体" w:hAnsi="宋体" w:eastAsia="宋体" w:cs="宋体"/>
          <w:color w:val="auto"/>
          <w:sz w:val="24"/>
          <w:szCs w:val="24"/>
          <w:highlight w:val="none"/>
        </w:rPr>
        <w:t>8、招标文件的修改</w:t>
      </w:r>
      <w:bookmarkEnd w:id="71"/>
      <w:bookmarkEnd w:id="72"/>
      <w:bookmarkEnd w:id="73"/>
      <w:bookmarkEnd w:id="74"/>
    </w:p>
    <w:p w14:paraId="40446830">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在投标截止时间前，</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可以对招标文件进行修改。</w:t>
      </w:r>
    </w:p>
    <w:p w14:paraId="408AEB82">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有权按照法定的要求推迟投标截止日期和开标日期。</w:t>
      </w:r>
    </w:p>
    <w:p w14:paraId="38BE1D48">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 招标文件的修改将在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盐城市政府采购网</w:t>
      </w:r>
      <w:r>
        <w:rPr>
          <w:rFonts w:hint="eastAsia" w:ascii="宋体" w:hAnsi="宋体" w:eastAsia="宋体" w:cs="宋体"/>
          <w:color w:val="auto"/>
          <w:sz w:val="24"/>
          <w:szCs w:val="24"/>
          <w:highlight w:val="none"/>
        </w:rPr>
        <w:t>公布，补充文件将作为招标文件的组成部分，并对投标人具有约束力。</w:t>
      </w:r>
    </w:p>
    <w:p w14:paraId="6CE931F8">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499"/>
        <w:jc w:val="both"/>
        <w:textAlignment w:val="auto"/>
        <w:rPr>
          <w:rFonts w:ascii="Times New Roman" w:hAnsi="Times New Roman" w:cs="Times New Roman"/>
          <w:b/>
          <w:color w:val="auto"/>
          <w:sz w:val="32"/>
          <w:szCs w:val="32"/>
          <w:highlight w:val="none"/>
        </w:rPr>
      </w:pPr>
      <w:bookmarkStart w:id="75" w:name="_Toc120614216"/>
      <w:bookmarkStart w:id="76" w:name="_Toc462564072"/>
      <w:bookmarkStart w:id="77" w:name="_Toc20823285"/>
      <w:bookmarkStart w:id="78" w:name="_Toc513029213"/>
      <w:bookmarkStart w:id="79" w:name="_Toc16938529"/>
      <w:r>
        <w:rPr>
          <w:rFonts w:ascii="Times New Roman" w:hAnsi="Times New Roman" w:cs="Times New Roman"/>
          <w:b/>
          <w:color w:val="auto"/>
          <w:sz w:val="32"/>
          <w:szCs w:val="32"/>
          <w:highlight w:val="none"/>
        </w:rPr>
        <w:t>三、投标文件的编制</w:t>
      </w:r>
      <w:bookmarkEnd w:id="75"/>
      <w:bookmarkEnd w:id="76"/>
      <w:bookmarkEnd w:id="77"/>
      <w:bookmarkEnd w:id="78"/>
      <w:bookmarkEnd w:id="79"/>
    </w:p>
    <w:p w14:paraId="3A5B1817">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auto"/>
          <w:sz w:val="24"/>
          <w:szCs w:val="24"/>
          <w:highlight w:val="none"/>
        </w:rPr>
      </w:pPr>
      <w:bookmarkStart w:id="80" w:name="_Toc20823286"/>
      <w:bookmarkStart w:id="81" w:name="_Toc462564073"/>
      <w:bookmarkStart w:id="82" w:name="_Toc16938530"/>
      <w:bookmarkStart w:id="83" w:name="_Toc513029214"/>
      <w:r>
        <w:rPr>
          <w:rFonts w:hint="eastAsia" w:ascii="宋体" w:hAnsi="宋体" w:eastAsia="宋体" w:cs="宋体"/>
          <w:color w:val="auto"/>
          <w:sz w:val="24"/>
          <w:szCs w:val="24"/>
          <w:highlight w:val="none"/>
        </w:rPr>
        <w:t>9、投标文件的语言及度量衡单位</w:t>
      </w:r>
      <w:bookmarkEnd w:id="80"/>
      <w:bookmarkEnd w:id="81"/>
      <w:bookmarkEnd w:id="82"/>
      <w:bookmarkEnd w:id="83"/>
    </w:p>
    <w:p w14:paraId="04D2DD3A">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投标人提交的投标文件以及投标人与</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就有关投标的所有来往通知、函件和文件均应使用</w:t>
      </w:r>
      <w:r>
        <w:rPr>
          <w:rFonts w:hint="eastAsia" w:ascii="宋体" w:hAnsi="宋体" w:eastAsia="宋体" w:cs="宋体"/>
          <w:b/>
          <w:color w:val="auto"/>
          <w:sz w:val="24"/>
          <w:szCs w:val="24"/>
          <w:highlight w:val="none"/>
        </w:rPr>
        <w:t>简体中文</w:t>
      </w:r>
      <w:r>
        <w:rPr>
          <w:rFonts w:hint="eastAsia" w:ascii="宋体" w:hAnsi="宋体" w:eastAsia="宋体" w:cs="宋体"/>
          <w:color w:val="auto"/>
          <w:sz w:val="24"/>
          <w:szCs w:val="24"/>
          <w:highlight w:val="none"/>
        </w:rPr>
        <w:t>。</w:t>
      </w:r>
    </w:p>
    <w:p w14:paraId="1254D1B1">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除技术性能另有规定外，投标文件所使用的度量衡单位，均须采用国家法定计量单位。</w:t>
      </w:r>
    </w:p>
    <w:p w14:paraId="212A5796">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firstLine="420"/>
        <w:jc w:val="both"/>
        <w:textAlignment w:val="auto"/>
        <w:rPr>
          <w:rFonts w:hint="eastAsia" w:ascii="宋体" w:hAnsi="宋体" w:eastAsia="宋体" w:cs="宋体"/>
          <w:color w:val="auto"/>
          <w:sz w:val="24"/>
          <w:szCs w:val="24"/>
          <w:highlight w:val="none"/>
        </w:rPr>
      </w:pPr>
      <w:bookmarkStart w:id="84" w:name="_Toc16938531"/>
      <w:bookmarkStart w:id="85" w:name="_Toc462564074"/>
      <w:bookmarkStart w:id="86" w:name="_Toc20823287"/>
      <w:bookmarkStart w:id="87" w:name="_Toc513029215"/>
      <w:r>
        <w:rPr>
          <w:rFonts w:hint="eastAsia" w:ascii="宋体" w:hAnsi="宋体" w:eastAsia="宋体" w:cs="宋体"/>
          <w:color w:val="auto"/>
          <w:sz w:val="24"/>
          <w:szCs w:val="24"/>
          <w:highlight w:val="none"/>
        </w:rPr>
        <w:t>10、投标文件构成</w:t>
      </w:r>
      <w:bookmarkEnd w:id="84"/>
      <w:bookmarkEnd w:id="85"/>
      <w:bookmarkEnd w:id="86"/>
      <w:bookmarkEnd w:id="87"/>
    </w:p>
    <w:p w14:paraId="3D6ED652">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投标人编写的投标文件应包括资格证明文件、符合性证明文件、投标分项报价表、技术要求响应及偏离表、商务要求响应及偏离表、其他证明文件、投标函、开标一览表等部分。</w:t>
      </w:r>
    </w:p>
    <w:p w14:paraId="0DC814EB">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如标书制作工具中格式和内容与</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盐城市政府采购网</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sz w:val="24"/>
          <w:szCs w:val="24"/>
          <w:highlight w:val="none"/>
        </w:rPr>
        <w:t>发布的招标文件不一致，请以</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盐城市政府采购网</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sz w:val="24"/>
          <w:szCs w:val="24"/>
          <w:highlight w:val="none"/>
        </w:rPr>
        <w:t>发布的招标文件为准。</w:t>
      </w:r>
    </w:p>
    <w:p w14:paraId="4C683CD1">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firstLine="420"/>
        <w:jc w:val="both"/>
        <w:textAlignment w:val="auto"/>
        <w:rPr>
          <w:rFonts w:hint="eastAsia" w:ascii="宋体" w:hAnsi="宋体" w:eastAsia="宋体" w:cs="宋体"/>
          <w:color w:val="auto"/>
          <w:sz w:val="24"/>
          <w:szCs w:val="24"/>
          <w:highlight w:val="none"/>
        </w:rPr>
      </w:pPr>
      <w:bookmarkStart w:id="88" w:name="_Toc49090509"/>
      <w:bookmarkStart w:id="89" w:name="_Toc14577354"/>
      <w:bookmarkStart w:id="90" w:name="_Toc14577355"/>
      <w:bookmarkStart w:id="91" w:name="_Toc14577357"/>
      <w:bookmarkStart w:id="92" w:name="_Toc513029219"/>
      <w:bookmarkStart w:id="93" w:name="_Toc513029216"/>
      <w:bookmarkStart w:id="94" w:name="_Toc49090508"/>
      <w:bookmarkStart w:id="95" w:name="_Toc49090507"/>
      <w:bookmarkStart w:id="96" w:name="_Hlt26954838"/>
      <w:bookmarkStart w:id="97" w:name="_Hlt26670360"/>
      <w:bookmarkStart w:id="98" w:name="_Hlt26668975"/>
      <w:r>
        <w:rPr>
          <w:rFonts w:hint="eastAsia" w:ascii="宋体" w:hAnsi="宋体" w:eastAsia="宋体" w:cs="宋体"/>
          <w:color w:val="auto"/>
          <w:sz w:val="24"/>
          <w:szCs w:val="24"/>
          <w:highlight w:val="none"/>
        </w:rPr>
        <w:t>11、证明投标人及投标标的符合招标文件规定的文件</w:t>
      </w:r>
      <w:bookmarkEnd w:id="88"/>
      <w:bookmarkEnd w:id="89"/>
      <w:bookmarkEnd w:id="90"/>
      <w:bookmarkEnd w:id="91"/>
      <w:bookmarkEnd w:id="92"/>
      <w:bookmarkEnd w:id="93"/>
      <w:bookmarkEnd w:id="94"/>
      <w:bookmarkEnd w:id="95"/>
    </w:p>
    <w:p w14:paraId="15AE0D50">
      <w:pPr>
        <w:pStyle w:val="11"/>
        <w:pageBreakBefore w:val="0"/>
        <w:widowControl w:val="0"/>
        <w:kinsoku/>
        <w:wordWrap/>
        <w:overflowPunct/>
        <w:topLinePunct w:val="0"/>
        <w:autoSpaceDE/>
        <w:autoSpaceDN/>
        <w:bidi w:val="0"/>
        <w:adjustRightInd/>
        <w:snapToGrid/>
        <w:spacing w:beforeAutospacing="0" w:afterAutospacing="0" w:line="42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11.1 投标人应按照招标文件要求提交证明文件，证明其及投标标的符合招标文件规定。</w:t>
      </w:r>
    </w:p>
    <w:p w14:paraId="74216729">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11.2招标文件对证明文件无明确形式要求的，证明文件可以以文字资料、图纸和数据等形式提交。</w:t>
      </w:r>
    </w:p>
    <w:p w14:paraId="209E9EEF">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12、投标分项报价表</w:t>
      </w:r>
    </w:p>
    <w:p w14:paraId="732DFEBB">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投标人应按照招标文件规定格式填报投标分项报价表。</w:t>
      </w:r>
    </w:p>
    <w:p w14:paraId="46AC0824">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12.2投标货币。投标文件中的单价和总价无特殊规定的采用人民币报价，以元为单位标注。招标文件中另有规定的按规定执行。</w:t>
      </w:r>
    </w:p>
    <w:p w14:paraId="72B053BC">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firstLine="420"/>
        <w:jc w:val="both"/>
        <w:textAlignment w:val="auto"/>
        <w:rPr>
          <w:rFonts w:hint="eastAsia" w:ascii="宋体" w:hAnsi="宋体" w:eastAsia="宋体" w:cs="宋体"/>
          <w:color w:val="auto"/>
          <w:sz w:val="24"/>
          <w:szCs w:val="24"/>
          <w:highlight w:val="none"/>
        </w:rPr>
      </w:pPr>
      <w:bookmarkStart w:id="99" w:name="_Hlt26670486"/>
      <w:bookmarkStart w:id="100" w:name="_Hlt26670482"/>
      <w:bookmarkStart w:id="101" w:name="_Hlt26954846"/>
      <w:bookmarkStart w:id="102" w:name="_Hlt26954848"/>
      <w:bookmarkStart w:id="103" w:name="_Hlt26954731"/>
      <w:r>
        <w:rPr>
          <w:rFonts w:hint="eastAsia" w:ascii="宋体" w:hAnsi="宋体" w:eastAsia="宋体" w:cs="宋体"/>
          <w:color w:val="auto"/>
          <w:sz w:val="24"/>
          <w:szCs w:val="24"/>
          <w:highlight w:val="none"/>
        </w:rPr>
        <w:t>13、技术要求响应及偏离表、商务要求响应及偏离表</w:t>
      </w:r>
    </w:p>
    <w:p w14:paraId="450AA1DD">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投标人需对招标文件中的技术要求与商务要求逐项作出响应或偏离，并说明原因。</w:t>
      </w:r>
    </w:p>
    <w:p w14:paraId="0A62BF6C">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投标人可在投标文件中提供认为需要的其他技术文件或说明。</w:t>
      </w:r>
    </w:p>
    <w:p w14:paraId="3DDE8AAA">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14、服务承诺、培训计划、人员安排及其他</w:t>
      </w:r>
    </w:p>
    <w:p w14:paraId="3C4D5012">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投标人需根据招标文件要求提供有关售后服务的管理制度，售后服务机构的分布情况，售后服务人员的数量、素质、技术水平及售后服务的反应能力等。</w:t>
      </w:r>
    </w:p>
    <w:p w14:paraId="62254179">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投标人需根据招标文件要求提供培训计划。</w:t>
      </w:r>
    </w:p>
    <w:p w14:paraId="30358BDE">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投标人需根据招标文件要求提供所投标的的主要组成部分、功能设计、实现思路及关键技术等。</w:t>
      </w:r>
    </w:p>
    <w:p w14:paraId="10EBCA28">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firstLine="420"/>
        <w:jc w:val="both"/>
        <w:textAlignment w:val="auto"/>
        <w:rPr>
          <w:rFonts w:hint="eastAsia" w:ascii="宋体" w:hAnsi="宋体" w:eastAsia="宋体" w:cs="宋体"/>
          <w:color w:val="auto"/>
          <w:sz w:val="24"/>
          <w:szCs w:val="24"/>
          <w:highlight w:val="none"/>
        </w:rPr>
      </w:pPr>
      <w:bookmarkStart w:id="104" w:name="_Toc49090510"/>
      <w:bookmarkStart w:id="105" w:name="_Toc14577359"/>
      <w:r>
        <w:rPr>
          <w:rFonts w:hint="eastAsia" w:ascii="宋体" w:hAnsi="宋体" w:eastAsia="宋体" w:cs="宋体"/>
          <w:color w:val="auto"/>
          <w:sz w:val="24"/>
          <w:szCs w:val="24"/>
          <w:highlight w:val="none"/>
        </w:rPr>
        <w:t>15、投标函和开标一览表</w:t>
      </w:r>
      <w:bookmarkEnd w:id="104"/>
      <w:bookmarkEnd w:id="105"/>
    </w:p>
    <w:p w14:paraId="022EA34C">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投标人应按照招标文件中提供的格式完整、正确填写投标函、开标一览表。</w:t>
      </w:r>
    </w:p>
    <w:p w14:paraId="4EB85D1F">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对于采用货币报价的项目，开标一览表中的投标总报价应与投标分项报价表中的投标总报价一致，如不一致，不作为无效投标处理，但评标时按开标一览表中价格为准。</w:t>
      </w:r>
    </w:p>
    <w:p w14:paraId="39DA5531">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firstLine="420"/>
        <w:jc w:val="both"/>
        <w:textAlignment w:val="auto"/>
        <w:rPr>
          <w:rFonts w:hint="eastAsia" w:ascii="宋体" w:hAnsi="宋体" w:eastAsia="宋体" w:cs="宋体"/>
          <w:color w:val="auto"/>
          <w:sz w:val="24"/>
          <w:szCs w:val="24"/>
          <w:highlight w:val="none"/>
        </w:rPr>
      </w:pPr>
      <w:bookmarkStart w:id="106" w:name="_Toc14577360"/>
      <w:bookmarkStart w:id="107" w:name="_Toc49090511"/>
      <w:r>
        <w:rPr>
          <w:rFonts w:hint="eastAsia" w:ascii="宋体" w:hAnsi="宋体" w:eastAsia="宋体" w:cs="宋体"/>
          <w:color w:val="auto"/>
          <w:sz w:val="24"/>
          <w:szCs w:val="24"/>
          <w:highlight w:val="none"/>
        </w:rPr>
        <w:t>16、投标有效期</w:t>
      </w:r>
      <w:bookmarkEnd w:id="106"/>
      <w:bookmarkEnd w:id="107"/>
    </w:p>
    <w:p w14:paraId="2E5C33EF">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16.1投标有效期为</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规定的开标之日后</w:t>
      </w:r>
      <w:r>
        <w:rPr>
          <w:rFonts w:hint="eastAsia" w:ascii="宋体" w:hAnsi="宋体" w:eastAsia="宋体" w:cs="宋体"/>
          <w:b/>
          <w:color w:val="auto"/>
          <w:sz w:val="24"/>
          <w:szCs w:val="24"/>
          <w:highlight w:val="none"/>
          <w:u w:val="single"/>
        </w:rPr>
        <w:t>六十（60）天</w:t>
      </w:r>
      <w:r>
        <w:rPr>
          <w:rFonts w:hint="eastAsia" w:ascii="宋体" w:hAnsi="宋体" w:eastAsia="宋体" w:cs="宋体"/>
          <w:color w:val="auto"/>
          <w:sz w:val="24"/>
          <w:szCs w:val="24"/>
          <w:highlight w:val="none"/>
        </w:rPr>
        <w:t>。投标有效期比规定短的将被视为未实质性响应招标文件而予以拒绝。</w:t>
      </w:r>
    </w:p>
    <w:p w14:paraId="39DBE1A9">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17、投标有效期的延长</w:t>
      </w:r>
    </w:p>
    <w:p w14:paraId="59E238F1">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17.1在特殊情况下，</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的这一要求而放弃投标，同意延长投标有效期的投标人既不能要求也不允许修改其投标文件。受投标有效期约束的所有权利与义务均延长至新的有效期。</w:t>
      </w:r>
    </w:p>
    <w:p w14:paraId="19441638">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499"/>
        <w:jc w:val="both"/>
        <w:textAlignment w:val="auto"/>
        <w:rPr>
          <w:rFonts w:ascii="Times New Roman" w:hAnsi="Times New Roman" w:cs="Times New Roman"/>
          <w:b/>
          <w:color w:val="auto"/>
          <w:sz w:val="32"/>
          <w:szCs w:val="32"/>
          <w:highlight w:val="none"/>
        </w:rPr>
      </w:pPr>
      <w:bookmarkStart w:id="108" w:name="_Toc120614217"/>
      <w:bookmarkStart w:id="109" w:name="_Toc20823296"/>
      <w:bookmarkStart w:id="110" w:name="_Toc16938540"/>
      <w:bookmarkStart w:id="111" w:name="_Toc513029224"/>
      <w:bookmarkStart w:id="112" w:name="_Hlt26954852"/>
      <w:bookmarkStart w:id="113" w:name="_Hlt26954739"/>
      <w:r>
        <w:rPr>
          <w:rFonts w:ascii="Times New Roman" w:hAnsi="Times New Roman" w:cs="Times New Roman"/>
          <w:b/>
          <w:color w:val="auto"/>
          <w:sz w:val="32"/>
          <w:szCs w:val="32"/>
          <w:highlight w:val="none"/>
        </w:rPr>
        <w:t>四、投标文件的递交</w:t>
      </w:r>
      <w:bookmarkEnd w:id="108"/>
      <w:bookmarkEnd w:id="109"/>
      <w:bookmarkEnd w:id="110"/>
      <w:bookmarkEnd w:id="111"/>
    </w:p>
    <w:p w14:paraId="7CAD44BF">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20"/>
        <w:jc w:val="both"/>
        <w:textAlignment w:val="auto"/>
        <w:rPr>
          <w:rFonts w:hint="eastAsia" w:ascii="宋体" w:hAnsi="宋体" w:eastAsia="宋体" w:cs="宋体"/>
          <w:i w:val="0"/>
          <w:iCs w:val="0"/>
          <w:color w:val="auto"/>
          <w:sz w:val="24"/>
          <w:szCs w:val="24"/>
          <w:highlight w:val="none"/>
        </w:rPr>
      </w:pPr>
      <w:bookmarkStart w:id="114" w:name="_Toc20823297"/>
      <w:bookmarkStart w:id="115" w:name="_Toc513029225"/>
      <w:bookmarkStart w:id="116" w:name="_Toc16938541"/>
      <w:bookmarkStart w:id="117" w:name="_Toc462564084"/>
      <w:r>
        <w:rPr>
          <w:rFonts w:hint="eastAsia" w:ascii="宋体" w:hAnsi="宋体" w:eastAsia="宋体" w:cs="宋体"/>
          <w:i w:val="0"/>
          <w:iCs w:val="0"/>
          <w:color w:val="auto"/>
          <w:sz w:val="24"/>
          <w:szCs w:val="24"/>
          <w:highlight w:val="none"/>
        </w:rPr>
        <w:t>18、电子投标文件</w:t>
      </w:r>
      <w:bookmarkEnd w:id="114"/>
      <w:bookmarkEnd w:id="115"/>
      <w:bookmarkEnd w:id="116"/>
      <w:bookmarkEnd w:id="117"/>
      <w:r>
        <w:rPr>
          <w:rFonts w:hint="eastAsia" w:ascii="宋体" w:hAnsi="宋体" w:eastAsia="宋体" w:cs="宋体"/>
          <w:i w:val="0"/>
          <w:iCs w:val="0"/>
          <w:color w:val="auto"/>
          <w:sz w:val="24"/>
          <w:szCs w:val="24"/>
          <w:highlight w:val="none"/>
        </w:rPr>
        <w:t>的递交</w:t>
      </w:r>
    </w:p>
    <w:p w14:paraId="66A5556D">
      <w:pPr>
        <w:pStyle w:val="11"/>
        <w:pageBreakBefore w:val="0"/>
        <w:widowControl w:val="0"/>
        <w:kinsoku/>
        <w:wordWrap/>
        <w:overflowPunct/>
        <w:topLinePunct w:val="0"/>
        <w:autoSpaceDE/>
        <w:autoSpaceDN/>
        <w:bidi w:val="0"/>
        <w:adjustRightInd/>
        <w:snapToGrid/>
        <w:spacing w:beforeAutospacing="0" w:afterAutospacing="0" w:line="420" w:lineRule="exact"/>
        <w:ind w:left="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18.1投标人应当按照《操作手册》规定，在投标截止时间前制作并上传电子投标</w:t>
      </w:r>
    </w:p>
    <w:p w14:paraId="5F8AF5FB">
      <w:pPr>
        <w:pStyle w:val="11"/>
        <w:pageBreakBefore w:val="0"/>
        <w:widowControl w:val="0"/>
        <w:kinsoku/>
        <w:wordWrap/>
        <w:overflowPunct/>
        <w:topLinePunct w:val="0"/>
        <w:autoSpaceDE/>
        <w:autoSpaceDN/>
        <w:bidi w:val="0"/>
        <w:adjustRightInd/>
        <w:snapToGrid/>
        <w:spacing w:beforeAutospacing="0" w:afterAutospacing="0" w:line="420" w:lineRule="exact"/>
        <w:ind w:left="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文件。</w:t>
      </w:r>
      <w:bookmarkStart w:id="118" w:name="_Toc20823298"/>
      <w:bookmarkEnd w:id="118"/>
      <w:bookmarkStart w:id="119" w:name="_Toc16938542"/>
      <w:bookmarkEnd w:id="119"/>
      <w:bookmarkStart w:id="120" w:name="_Toc513029226"/>
    </w:p>
    <w:p w14:paraId="112BED9F">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2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19、投标截止日期</w:t>
      </w:r>
    </w:p>
    <w:p w14:paraId="4B0AA849">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u w:val="single"/>
        </w:rPr>
        <w:t>19.1 投标人上传电子投标文件的时间不得迟于招标公告中规定的投标截止时间。</w:t>
      </w:r>
    </w:p>
    <w:p w14:paraId="35C443BF">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投标人应充分考虑到网络环境、网络带宽等风险因素，如因投标人自身原因造成的电子投标文件上传不成功的按照本招标文件第二章第27.1.2条规定做无效投标处理。</w:t>
      </w:r>
    </w:p>
    <w:p w14:paraId="3E3A4454">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19.2 </w:t>
      </w:r>
      <w:r>
        <w:rPr>
          <w:rFonts w:hint="eastAsia" w:ascii="宋体" w:hAnsi="宋体" w:eastAsia="宋体" w:cs="宋体"/>
          <w:i w:val="0"/>
          <w:iCs w:val="0"/>
          <w:color w:val="auto"/>
          <w:sz w:val="24"/>
          <w:szCs w:val="24"/>
          <w:highlight w:val="none"/>
          <w:lang w:eastAsia="zh-CN"/>
        </w:rPr>
        <w:t>代理机构</w:t>
      </w:r>
      <w:r>
        <w:rPr>
          <w:rFonts w:hint="eastAsia" w:ascii="宋体" w:hAnsi="宋体" w:eastAsia="宋体" w:cs="宋体"/>
          <w:i w:val="0"/>
          <w:iCs w:val="0"/>
          <w:color w:val="auto"/>
          <w:sz w:val="24"/>
          <w:szCs w:val="24"/>
          <w:highlight w:val="none"/>
        </w:rPr>
        <w:t>可以按照规定，通过修改招标文件酌情延长投标截止日期，在此情况下，投标人的所有权利和义务以及投标人受制的截止日期均应以延长后新的截止日期为准。</w:t>
      </w:r>
    </w:p>
    <w:p w14:paraId="1628E272">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20"/>
        <w:jc w:val="both"/>
        <w:textAlignment w:val="auto"/>
        <w:rPr>
          <w:rFonts w:hint="eastAsia" w:ascii="宋体" w:hAnsi="宋体" w:eastAsia="宋体" w:cs="宋体"/>
          <w:i w:val="0"/>
          <w:iCs w:val="0"/>
          <w:color w:val="auto"/>
          <w:sz w:val="24"/>
          <w:szCs w:val="24"/>
          <w:highlight w:val="none"/>
        </w:rPr>
      </w:pPr>
      <w:bookmarkStart w:id="121" w:name="_Toc16938543"/>
      <w:bookmarkStart w:id="122" w:name="_Toc513029227"/>
      <w:bookmarkStart w:id="123" w:name="_Toc20823299"/>
      <w:r>
        <w:rPr>
          <w:rFonts w:hint="eastAsia" w:ascii="宋体" w:hAnsi="宋体" w:eastAsia="宋体" w:cs="宋体"/>
          <w:i w:val="0"/>
          <w:iCs w:val="0"/>
          <w:color w:val="auto"/>
          <w:sz w:val="24"/>
          <w:szCs w:val="24"/>
          <w:highlight w:val="none"/>
        </w:rPr>
        <w:t>20、投标文件</w:t>
      </w:r>
      <w:bookmarkEnd w:id="121"/>
      <w:bookmarkEnd w:id="122"/>
      <w:bookmarkEnd w:id="123"/>
      <w:r>
        <w:rPr>
          <w:rFonts w:hint="eastAsia" w:ascii="宋体" w:hAnsi="宋体" w:eastAsia="宋体" w:cs="宋体"/>
          <w:i w:val="0"/>
          <w:iCs w:val="0"/>
          <w:color w:val="auto"/>
          <w:sz w:val="24"/>
          <w:szCs w:val="24"/>
          <w:highlight w:val="none"/>
        </w:rPr>
        <w:t>的拒收</w:t>
      </w:r>
    </w:p>
    <w:p w14:paraId="1C3B3E17">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20.1 </w:t>
      </w:r>
      <w:r>
        <w:rPr>
          <w:rFonts w:hint="eastAsia" w:ascii="宋体" w:hAnsi="宋体" w:eastAsia="宋体" w:cs="宋体"/>
          <w:i w:val="0"/>
          <w:iCs w:val="0"/>
          <w:color w:val="auto"/>
          <w:sz w:val="24"/>
          <w:szCs w:val="24"/>
          <w:highlight w:val="none"/>
          <w:lang w:eastAsia="zh-CN"/>
        </w:rPr>
        <w:t>代理机构</w:t>
      </w:r>
      <w:r>
        <w:rPr>
          <w:rFonts w:hint="eastAsia" w:ascii="宋体" w:hAnsi="宋体" w:eastAsia="宋体" w:cs="宋体"/>
          <w:i w:val="0"/>
          <w:iCs w:val="0"/>
          <w:color w:val="auto"/>
          <w:sz w:val="24"/>
          <w:szCs w:val="24"/>
          <w:highlight w:val="none"/>
        </w:rPr>
        <w:t>拒绝接收在其规定的投标截止时间后上传的任何投标文件。</w:t>
      </w:r>
    </w:p>
    <w:p w14:paraId="606B3634">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20"/>
        <w:jc w:val="both"/>
        <w:textAlignment w:val="auto"/>
        <w:rPr>
          <w:rFonts w:hint="eastAsia" w:ascii="宋体" w:hAnsi="宋体" w:eastAsia="宋体" w:cs="宋体"/>
          <w:i w:val="0"/>
          <w:iCs w:val="0"/>
          <w:color w:val="auto"/>
          <w:sz w:val="24"/>
          <w:szCs w:val="24"/>
          <w:highlight w:val="none"/>
        </w:rPr>
      </w:pPr>
      <w:bookmarkStart w:id="124" w:name="_Toc16938544"/>
      <w:bookmarkStart w:id="125" w:name="_Toc513029228"/>
      <w:bookmarkStart w:id="126" w:name="_Toc20823300"/>
      <w:r>
        <w:rPr>
          <w:rFonts w:hint="eastAsia" w:ascii="宋体" w:hAnsi="宋体" w:eastAsia="宋体" w:cs="宋体"/>
          <w:i w:val="0"/>
          <w:iCs w:val="0"/>
          <w:color w:val="auto"/>
          <w:sz w:val="24"/>
          <w:szCs w:val="24"/>
          <w:highlight w:val="none"/>
        </w:rPr>
        <w:t>21、投标文件的撤回和修改</w:t>
      </w:r>
      <w:bookmarkEnd w:id="124"/>
      <w:bookmarkEnd w:id="125"/>
      <w:bookmarkEnd w:id="126"/>
    </w:p>
    <w:p w14:paraId="7D075394">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 投标文件的撤回</w:t>
      </w:r>
    </w:p>
    <w:p w14:paraId="11931525">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21.1.1 电子投标文件的撤回</w:t>
      </w:r>
    </w:p>
    <w:p w14:paraId="54D58496">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投标人可在投标截止时间前，撤回其电子投标文件，具体操作方法见《操作手册》。</w:t>
      </w:r>
    </w:p>
    <w:p w14:paraId="51E33C78">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21.1.2 投标人撤回电子投标文件，则认为其不再参与本项目投标活动。</w:t>
      </w:r>
    </w:p>
    <w:p w14:paraId="24C718C5">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21.2 投标文件的修改</w:t>
      </w:r>
    </w:p>
    <w:p w14:paraId="1BE7CB4F">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21.2.1投标人可在投标截止时间前，对其电子投标文件进行修改，具体操作方法见《操作手册》。</w:t>
      </w:r>
    </w:p>
    <w:p w14:paraId="26C144C7">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21.2.2 在投标截止时间之后，投标人不得对其电子投标文件作任何修改。</w:t>
      </w:r>
    </w:p>
    <w:p w14:paraId="237D485C">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21.3 在投标截止时间至招标文件中规定的投标有效期满之间的这段时间内，投标人不得撤回其投标。</w:t>
      </w:r>
    </w:p>
    <w:p w14:paraId="7AF460EC">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499"/>
        <w:jc w:val="both"/>
        <w:textAlignment w:val="auto"/>
        <w:rPr>
          <w:rFonts w:ascii="Times New Roman" w:hAnsi="Times New Roman" w:cs="Times New Roman"/>
          <w:b/>
          <w:color w:val="auto"/>
          <w:sz w:val="32"/>
          <w:szCs w:val="32"/>
          <w:highlight w:val="none"/>
        </w:rPr>
      </w:pPr>
      <w:bookmarkStart w:id="127" w:name="_Toc513029229"/>
      <w:bookmarkStart w:id="128" w:name="_Toc20823301"/>
      <w:bookmarkStart w:id="129" w:name="_Toc16938545"/>
      <w:bookmarkStart w:id="130" w:name="_Toc120614218"/>
      <w:r>
        <w:rPr>
          <w:rFonts w:ascii="Times New Roman" w:hAnsi="Times New Roman" w:cs="Times New Roman"/>
          <w:b/>
          <w:color w:val="auto"/>
          <w:sz w:val="32"/>
          <w:szCs w:val="32"/>
          <w:highlight w:val="none"/>
        </w:rPr>
        <w:t>五、开标与评标</w:t>
      </w:r>
      <w:bookmarkEnd w:id="127"/>
      <w:bookmarkEnd w:id="128"/>
      <w:bookmarkEnd w:id="129"/>
      <w:bookmarkEnd w:id="130"/>
    </w:p>
    <w:p w14:paraId="52DCAC21">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20"/>
        <w:jc w:val="both"/>
        <w:textAlignment w:val="auto"/>
        <w:rPr>
          <w:rFonts w:hint="eastAsia" w:ascii="宋体" w:hAnsi="宋体" w:eastAsia="宋体" w:cs="宋体"/>
          <w:color w:val="auto"/>
          <w:sz w:val="24"/>
          <w:szCs w:val="24"/>
          <w:highlight w:val="none"/>
        </w:rPr>
      </w:pPr>
      <w:bookmarkStart w:id="131" w:name="_Toc513029230"/>
      <w:bookmarkStart w:id="132" w:name="_Toc20823302"/>
      <w:bookmarkStart w:id="133" w:name="_Toc16938546"/>
      <w:r>
        <w:rPr>
          <w:rFonts w:hint="eastAsia" w:ascii="宋体" w:hAnsi="宋体" w:eastAsia="宋体" w:cs="宋体"/>
          <w:color w:val="auto"/>
          <w:sz w:val="24"/>
          <w:szCs w:val="24"/>
          <w:highlight w:val="none"/>
        </w:rPr>
        <w:t>22、开标</w:t>
      </w:r>
      <w:bookmarkEnd w:id="131"/>
      <w:bookmarkEnd w:id="132"/>
      <w:bookmarkEnd w:id="133"/>
    </w:p>
    <w:p w14:paraId="5224D174">
      <w:pPr>
        <w:pStyle w:val="11"/>
        <w:pageBreakBefore w:val="0"/>
        <w:widowControl w:val="0"/>
        <w:kinsoku/>
        <w:wordWrap/>
        <w:overflowPunct/>
        <w:topLinePunct w:val="0"/>
        <w:autoSpaceDE/>
        <w:autoSpaceDN/>
        <w:bidi w:val="0"/>
        <w:adjustRightInd/>
        <w:snapToGrid/>
        <w:spacing w:beforeAutospacing="0" w:afterAutospacing="0" w:line="420" w:lineRule="exact"/>
        <w:ind w:left="0"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将在招标公告中规定的时间和地点组织公开开标。投标人应当按照《操作手册》规定，参加开标活动和在苏采云系统规定的时间内对投标文件进行解密。</w:t>
      </w:r>
    </w:p>
    <w:p w14:paraId="27CC00F8">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22.2开标仪式由</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组织。苏采云系统将自动对项目进行开标，并宣布各投标人名称和投标价格。</w:t>
      </w:r>
    </w:p>
    <w:p w14:paraId="72E51155">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22.3投标人在开标过程中涉及到的投标文件解密、开标结果确认等工作，应按照《操作手册》规定执行。</w:t>
      </w:r>
    </w:p>
    <w:p w14:paraId="7E3773D4">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22.4投标人如果对开标过程和开标记录有疑义，应当根据《操作手册》规定提出，如 苏采云系统中《开标记录表》宣布后5分钟内未提出的，视同认可开标结果。</w:t>
      </w:r>
    </w:p>
    <w:p w14:paraId="62568088">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20"/>
        <w:jc w:val="both"/>
        <w:textAlignment w:val="auto"/>
        <w:rPr>
          <w:rFonts w:hint="eastAsia" w:ascii="宋体" w:hAnsi="宋体" w:eastAsia="宋体" w:cs="宋体"/>
          <w:color w:val="auto"/>
          <w:sz w:val="24"/>
          <w:szCs w:val="24"/>
          <w:highlight w:val="none"/>
        </w:rPr>
      </w:pPr>
      <w:bookmarkStart w:id="134" w:name="_Toc513029231"/>
      <w:bookmarkStart w:id="135" w:name="_Toc16938547"/>
      <w:bookmarkStart w:id="136" w:name="_Toc20823303"/>
      <w:r>
        <w:rPr>
          <w:rFonts w:hint="eastAsia" w:ascii="宋体" w:hAnsi="宋体" w:eastAsia="宋体" w:cs="宋体"/>
          <w:color w:val="auto"/>
          <w:sz w:val="24"/>
          <w:szCs w:val="24"/>
          <w:highlight w:val="none"/>
        </w:rPr>
        <w:t>23、评标委员会</w:t>
      </w:r>
      <w:bookmarkEnd w:id="134"/>
      <w:bookmarkEnd w:id="135"/>
      <w:bookmarkEnd w:id="136"/>
    </w:p>
    <w:p w14:paraId="2644E0D5">
      <w:pPr>
        <w:pStyle w:val="11"/>
        <w:pageBreakBefore w:val="0"/>
        <w:widowControl w:val="0"/>
        <w:kinsoku/>
        <w:wordWrap/>
        <w:overflowPunct/>
        <w:topLinePunct w:val="0"/>
        <w:autoSpaceDE/>
        <w:autoSpaceDN/>
        <w:bidi w:val="0"/>
        <w:adjustRightInd/>
        <w:snapToGrid/>
        <w:spacing w:beforeAutospacing="0" w:afterAutospacing="0" w:line="420" w:lineRule="exact"/>
        <w:ind w:left="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23.1</w:t>
      </w:r>
      <w:r>
        <w:rPr>
          <w:rFonts w:hint="eastAsia" w:ascii="宋体" w:hAnsi="宋体" w:eastAsia="宋体" w:cs="宋体"/>
          <w:b/>
          <w:color w:val="auto"/>
          <w:sz w:val="24"/>
          <w:szCs w:val="24"/>
          <w:highlight w:val="none"/>
        </w:rPr>
        <w:t> </w:t>
      </w:r>
      <w:r>
        <w:rPr>
          <w:rFonts w:hint="eastAsia" w:ascii="宋体" w:hAnsi="宋体" w:eastAsia="宋体" w:cs="宋体"/>
          <w:color w:val="auto"/>
          <w:sz w:val="24"/>
          <w:szCs w:val="24"/>
          <w:highlight w:val="none"/>
        </w:rPr>
        <w:t>开标后，</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将立即组织评标委员会（以下简称评委会）进行评标。</w:t>
      </w:r>
    </w:p>
    <w:p w14:paraId="727A176B">
      <w:pPr>
        <w:pStyle w:val="11"/>
        <w:pageBreakBefore w:val="0"/>
        <w:widowControl w:val="0"/>
        <w:kinsoku/>
        <w:wordWrap/>
        <w:overflowPunct/>
        <w:topLinePunct w:val="0"/>
        <w:autoSpaceDE/>
        <w:autoSpaceDN/>
        <w:bidi w:val="0"/>
        <w:adjustRightInd/>
        <w:snapToGrid/>
        <w:spacing w:beforeAutospacing="0" w:afterAutospacing="0" w:line="420" w:lineRule="exact"/>
        <w:ind w:left="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23.2 评委会由采购人代表和有关技术、经济等方面的专家组成，且人员构成符合政府采购有关规定。</w:t>
      </w:r>
    </w:p>
    <w:p w14:paraId="48388E02">
      <w:pPr>
        <w:pStyle w:val="11"/>
        <w:pageBreakBefore w:val="0"/>
        <w:widowControl w:val="0"/>
        <w:kinsoku/>
        <w:wordWrap/>
        <w:overflowPunct/>
        <w:topLinePunct w:val="0"/>
        <w:autoSpaceDE/>
        <w:autoSpaceDN/>
        <w:bidi w:val="0"/>
        <w:adjustRightInd/>
        <w:snapToGrid/>
        <w:spacing w:beforeAutospacing="0" w:afterAutospacing="0" w:line="420" w:lineRule="exact"/>
        <w:ind w:left="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23.3评委会独立工作，负责评审所有投标文件并确定中标侯选人。</w:t>
      </w:r>
    </w:p>
    <w:p w14:paraId="10A8C491">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24．评标过程的保密与公正</w:t>
      </w:r>
    </w:p>
    <w:p w14:paraId="62A42C6E">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24.1凡是与审查、澄清、评价和比较投标的有关资料以及授标建议等，采购人、评委、</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均不得向投标人或与评标无关的其他人员透露。</w:t>
      </w:r>
    </w:p>
    <w:p w14:paraId="4C132F85">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24.2在评标过程中，投标人不得以任何行为影响评标过程，否则其投标文件将被作为无效投标文件。</w:t>
      </w:r>
    </w:p>
    <w:p w14:paraId="165EA69C">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和评标委员会不向未中标的投标人解释未中标原因，也不公布评标过程中的相关细节。</w:t>
      </w:r>
    </w:p>
    <w:p w14:paraId="2BC6EBAF">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 采用综合评分法的项目，未中标的投标人可于中标结果公告期限届满之日起通过苏采云系统查看自己的评审得分及排序情况。</w:t>
      </w:r>
    </w:p>
    <w:p w14:paraId="3D36DDFC">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20"/>
        <w:jc w:val="both"/>
        <w:textAlignment w:val="auto"/>
        <w:rPr>
          <w:rFonts w:hint="eastAsia" w:ascii="宋体" w:hAnsi="宋体" w:eastAsia="宋体" w:cs="宋体"/>
          <w:color w:val="auto"/>
          <w:sz w:val="24"/>
          <w:szCs w:val="24"/>
          <w:highlight w:val="none"/>
        </w:rPr>
      </w:pPr>
      <w:bookmarkStart w:id="137" w:name="_Toc20823304"/>
      <w:bookmarkStart w:id="138" w:name="_Toc513029232"/>
      <w:bookmarkStart w:id="139" w:name="_Toc16938548"/>
      <w:r>
        <w:rPr>
          <w:rFonts w:hint="eastAsia" w:ascii="宋体" w:hAnsi="宋体" w:eastAsia="宋体" w:cs="宋体"/>
          <w:color w:val="auto"/>
          <w:sz w:val="24"/>
          <w:szCs w:val="24"/>
          <w:highlight w:val="none"/>
        </w:rPr>
        <w:t>25．投标文件的澄清</w:t>
      </w:r>
      <w:bookmarkEnd w:id="137"/>
      <w:bookmarkEnd w:id="138"/>
      <w:bookmarkEnd w:id="139"/>
    </w:p>
    <w:p w14:paraId="42C88F92">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bookmarkStart w:id="140" w:name="_Toc20823305"/>
      <w:bookmarkStart w:id="141" w:name="_Toc513029233"/>
      <w:bookmarkStart w:id="142" w:name="_Toc16938549"/>
      <w:r>
        <w:rPr>
          <w:rFonts w:hint="eastAsia" w:ascii="宋体" w:hAnsi="宋体" w:eastAsia="宋体" w:cs="宋体"/>
          <w:color w:val="auto"/>
          <w:sz w:val="24"/>
          <w:szCs w:val="24"/>
          <w:highlight w:val="none"/>
        </w:rPr>
        <w:t>25.1评标期间，评委会对投标文件中含义不明确、同类问题表述不一致或者有明显文字和计算错误的内容 ，有权要求投标人作出必要的澄清、说明或者补正。</w:t>
      </w:r>
      <w:bookmarkEnd w:id="140"/>
      <w:bookmarkEnd w:id="141"/>
      <w:bookmarkEnd w:id="142"/>
    </w:p>
    <w:p w14:paraId="17ADDD55">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576B7627">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6906D56E">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4598A84">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接到评委会澄清、说明和补正要求的投标人如未按规定做出澄清、说明和补正，其风险由投标人自行承担。</w:t>
      </w:r>
    </w:p>
    <w:p w14:paraId="1A9B8909">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26、对投标文件的初审</w:t>
      </w:r>
    </w:p>
    <w:p w14:paraId="6BD6D836">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26.1投标文件初审分为资格审查和符合性审查。</w:t>
      </w:r>
    </w:p>
    <w:p w14:paraId="24166924">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 资格审查：依据法律法规和招标文件的规定，由采购人</w:t>
      </w:r>
      <w:r>
        <w:rPr>
          <w:rFonts w:hint="eastAsia" w:ascii="宋体" w:hAnsi="宋体" w:eastAsia="宋体" w:cs="宋体"/>
          <w:color w:val="auto"/>
          <w:sz w:val="24"/>
          <w:szCs w:val="24"/>
          <w:highlight w:val="none"/>
          <w:lang w:eastAsia="zh-CN"/>
        </w:rPr>
        <w:t>或代理机构</w:t>
      </w:r>
      <w:r>
        <w:rPr>
          <w:rFonts w:hint="eastAsia" w:ascii="宋体" w:hAnsi="宋体" w:eastAsia="宋体" w:cs="宋体"/>
          <w:color w:val="auto"/>
          <w:sz w:val="24"/>
          <w:szCs w:val="24"/>
          <w:highlight w:val="none"/>
        </w:rPr>
        <w:t>对投标文件中的资格证明文件进行审查。资格审查的结论，采购人以书面形式向评委会进行反馈。</w:t>
      </w:r>
    </w:p>
    <w:p w14:paraId="6F304142">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eastAsia="zh-CN"/>
        </w:rPr>
        <w:t>或代理机构</w:t>
      </w:r>
      <w:r>
        <w:rPr>
          <w:rFonts w:hint="eastAsia" w:ascii="宋体" w:hAnsi="宋体" w:eastAsia="宋体" w:cs="宋体"/>
          <w:color w:val="auto"/>
          <w:sz w:val="24"/>
          <w:szCs w:val="24"/>
          <w:highlight w:val="none"/>
        </w:rPr>
        <w:t>在进行资格性审查的同时，将在“信用中国”网站（www.creditchina.gov.cn）查询投标人的信用记录，以确定投标人是否具备投标资格,查询结果留存并归档。</w:t>
      </w:r>
    </w:p>
    <w:p w14:paraId="4C197E7D">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5DEFFD97">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 符合性审查：依据招标文件的规定，由评委会从投标文件的有效性、完整性和对招标文件的响应程度进行审查，以确定是否对招标文件的实质性要求作出响应。</w:t>
      </w:r>
    </w:p>
    <w:p w14:paraId="72BF7179">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 未通过资格审查或符合性审查的投标人，</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将在苏采云系统中告知未通过资格审查或符合性审查的原因，评审结束后，</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将不再告知未通过资格审查或符合性审查的原因。</w:t>
      </w:r>
    </w:p>
    <w:p w14:paraId="32C118C2">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1B7F4CDB">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C349D54">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26.3如果投标文件实质上没有响应招标文件的要求，评委会将予以拒绝，投标人不得通过修改或撤销不合要求的偏离或保留而使其投标成为实质性响应的投标。</w:t>
      </w:r>
    </w:p>
    <w:p w14:paraId="0D7383BB">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26.4评委会将对确定为实质性响应的投标进行进一步审核，看其是否有计算上或累加上的算术错误，修正错误的原则如下：</w:t>
      </w:r>
    </w:p>
    <w:p w14:paraId="1DCF1066">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（1）投标文件中开标一览表内容与投标文件中相应内容不一致的，以开标一览表为准。</w:t>
      </w:r>
    </w:p>
    <w:p w14:paraId="259F3928">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114DFFB3">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71508675">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315485EB">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3A5E9B21">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4F9F26CC">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bookmarkStart w:id="143" w:name="_Toc20823306"/>
      <w:bookmarkStart w:id="144" w:name="_Toc513029234"/>
      <w:bookmarkStart w:id="145" w:name="_Toc16938550"/>
      <w:r>
        <w:rPr>
          <w:rFonts w:hint="eastAsia" w:ascii="宋体" w:hAnsi="宋体" w:eastAsia="宋体" w:cs="宋体"/>
          <w:color w:val="auto"/>
          <w:sz w:val="24"/>
          <w:szCs w:val="24"/>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3"/>
      <w:bookmarkEnd w:id="144"/>
      <w:bookmarkEnd w:id="145"/>
    </w:p>
    <w:p w14:paraId="2A042671">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8DBC75C">
      <w:pPr>
        <w:pStyle w:val="11"/>
        <w:pageBreakBefore w:val="0"/>
        <w:widowControl w:val="0"/>
        <w:kinsoku/>
        <w:wordWrap/>
        <w:overflowPunct/>
        <w:topLinePunct w:val="0"/>
        <w:autoSpaceDE/>
        <w:autoSpaceDN/>
        <w:bidi w:val="0"/>
        <w:adjustRightInd/>
        <w:snapToGrid/>
        <w:spacing w:beforeAutospacing="0" w:afterAutospacing="0" w:line="42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非单一产品采购项目，招标文件中将载明其中的核心产品。多家投标人提供的核心产品品牌相同的，按前两款规定处理。</w:t>
      </w:r>
    </w:p>
    <w:p w14:paraId="6154F961">
      <w:pPr>
        <w:pStyle w:val="11"/>
        <w:pageBreakBefore w:val="0"/>
        <w:widowControl w:val="0"/>
        <w:kinsoku/>
        <w:wordWrap/>
        <w:overflowPunct/>
        <w:topLinePunct w:val="0"/>
        <w:autoSpaceDE/>
        <w:autoSpaceDN/>
        <w:bidi w:val="0"/>
        <w:adjustRightInd/>
        <w:snapToGrid/>
        <w:spacing w:beforeAutospacing="0" w:afterAutospacing="0" w:line="42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26.7投标人在开、评标全过程中应保持通讯畅通，及时登录苏采云系统查阅、答复相关信息，并安排专人与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及评标委员会联系。</w:t>
      </w:r>
    </w:p>
    <w:p w14:paraId="43EAD4B7">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27、无效投标条款和废标条款</w:t>
      </w:r>
    </w:p>
    <w:p w14:paraId="3AF84612">
      <w:pPr>
        <w:pStyle w:val="11"/>
        <w:pageBreakBefore w:val="0"/>
        <w:widowControl w:val="0"/>
        <w:kinsoku/>
        <w:wordWrap/>
        <w:overflowPunct/>
        <w:topLinePunct w:val="0"/>
        <w:autoSpaceDE/>
        <w:autoSpaceDN/>
        <w:bidi w:val="0"/>
        <w:adjustRightInd/>
        <w:snapToGrid/>
        <w:spacing w:beforeAutospacing="0" w:afterAutospacing="0" w:line="420" w:lineRule="exact"/>
        <w:ind w:left="0"/>
        <w:jc w:val="both"/>
        <w:textAlignment w:val="auto"/>
        <w:rPr>
          <w:rFonts w:hint="eastAsia" w:ascii="宋体" w:hAnsi="宋体" w:eastAsia="宋体" w:cs="宋体"/>
          <w:color w:val="auto"/>
          <w:sz w:val="24"/>
          <w:szCs w:val="24"/>
          <w:highlight w:val="none"/>
        </w:rPr>
      </w:pPr>
      <w:bookmarkStart w:id="146" w:name="_Toc513029235"/>
      <w:bookmarkStart w:id="147" w:name="_Toc20823307"/>
      <w:bookmarkStart w:id="148" w:name="_Toc16938551"/>
      <w:r>
        <w:rPr>
          <w:rFonts w:hint="eastAsia" w:ascii="宋体" w:hAnsi="宋体" w:eastAsia="宋体" w:cs="宋体"/>
          <w:color w:val="auto"/>
          <w:sz w:val="24"/>
          <w:szCs w:val="24"/>
          <w:highlight w:val="none"/>
        </w:rPr>
        <w:t>27.1无效投标条款</w:t>
      </w:r>
      <w:bookmarkEnd w:id="146"/>
      <w:bookmarkEnd w:id="147"/>
      <w:bookmarkEnd w:id="148"/>
    </w:p>
    <w:p w14:paraId="2D0C7B67">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 投标人在苏采云系统规定的时间内未成功解密电子投标文件的。</w:t>
      </w:r>
    </w:p>
    <w:p w14:paraId="5915695C">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 投标人未按照招标文件要求上传电子投标文件的。</w:t>
      </w:r>
    </w:p>
    <w:p w14:paraId="75560D45">
      <w:pPr>
        <w:pStyle w:val="11"/>
        <w:pageBreakBefore w:val="0"/>
        <w:widowControl w:val="0"/>
        <w:kinsoku/>
        <w:wordWrap/>
        <w:overflowPunct/>
        <w:topLinePunct w:val="0"/>
        <w:autoSpaceDE/>
        <w:autoSpaceDN/>
        <w:bidi w:val="0"/>
        <w:adjustRightInd/>
        <w:snapToGrid/>
        <w:spacing w:beforeAutospacing="0" w:afterAutospacing="0" w:line="420" w:lineRule="exact"/>
        <w:ind w:left="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27.1.3同一投标人提交两个（含两个）以上不同的投标报价的。</w:t>
      </w:r>
    </w:p>
    <w:p w14:paraId="48AF76CE">
      <w:pPr>
        <w:pStyle w:val="11"/>
        <w:pageBreakBefore w:val="0"/>
        <w:widowControl w:val="0"/>
        <w:kinsoku/>
        <w:wordWrap/>
        <w:overflowPunct/>
        <w:topLinePunct w:val="0"/>
        <w:autoSpaceDE/>
        <w:autoSpaceDN/>
        <w:bidi w:val="0"/>
        <w:adjustRightInd/>
        <w:snapToGrid/>
        <w:spacing w:beforeAutospacing="0" w:afterAutospacing="0" w:line="420" w:lineRule="exact"/>
        <w:ind w:left="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27.1.4投标人不具备招标文件中规定资格要求的。</w:t>
      </w:r>
    </w:p>
    <w:p w14:paraId="269B4AED">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27.1.5投标人的报价超过了采购预算或最高限价的。</w:t>
      </w:r>
    </w:p>
    <w:p w14:paraId="072BD4CF">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27.1.6未通过符合性审查的。</w:t>
      </w:r>
    </w:p>
    <w:p w14:paraId="2D014121">
      <w:pPr>
        <w:pStyle w:val="11"/>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27.1.7不符合招标文件中规定的实质性要求和条件的</w:t>
      </w:r>
      <w:r>
        <w:rPr>
          <w:rFonts w:hint="eastAsia" w:ascii="宋体" w:hAnsi="宋体" w:eastAsia="宋体" w:cs="宋体"/>
          <w:color w:val="auto"/>
          <w:sz w:val="24"/>
          <w:szCs w:val="24"/>
          <w:highlight w:val="none"/>
          <w:lang w:eastAsia="zh-CN"/>
        </w:rPr>
        <w:t>。</w:t>
      </w:r>
    </w:p>
    <w:p w14:paraId="267922C8">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22687FF">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27.1.9  投标文件含有采购人不能接受的附加条件的。</w:t>
      </w:r>
    </w:p>
    <w:p w14:paraId="2E99011A">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6300B37D">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06F02283">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27.1.12 投标文件未按照招标文件要求加盖CA电子公章的。</w:t>
      </w:r>
    </w:p>
    <w:p w14:paraId="1FECBA2E">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27.1.13其他法律、法规及本招标文件规定的属无效投标的情形。</w:t>
      </w:r>
    </w:p>
    <w:p w14:paraId="45A91656">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27.2废标条款</w:t>
      </w:r>
    </w:p>
    <w:p w14:paraId="40C91AC2">
      <w:pPr>
        <w:pStyle w:val="11"/>
        <w:pageBreakBefore w:val="0"/>
        <w:widowControl w:val="0"/>
        <w:kinsoku/>
        <w:wordWrap/>
        <w:overflowPunct/>
        <w:topLinePunct w:val="0"/>
        <w:autoSpaceDE/>
        <w:autoSpaceDN/>
        <w:bidi w:val="0"/>
        <w:adjustRightInd/>
        <w:snapToGrid/>
        <w:spacing w:beforeAutospacing="0" w:afterAutospacing="0" w:line="420" w:lineRule="exact"/>
        <w:ind w:left="479" w:leftChars="228"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27.2.1符合专业条件的供应商或者对招标文件作实质响应的供应商不足三家的。27.2.2出现影响采购公正的违法、违规行为的。</w:t>
      </w:r>
    </w:p>
    <w:p w14:paraId="3C574F24">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27.2.3因重大变故，采购任务取消的。</w:t>
      </w:r>
    </w:p>
    <w:p w14:paraId="0AD304A2">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27.2.4评标委员会认定招标文件存在歧义、重大缺陷导致评审工作无法进行。</w:t>
      </w:r>
    </w:p>
    <w:p w14:paraId="6288858A">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27.2.5 因苏采云系统系统故障原因造成开标不成功的。</w:t>
      </w:r>
    </w:p>
    <w:p w14:paraId="2BDCA9B4">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 投标截止时间结束后参加投标的供应商不足三家的处理：</w:t>
      </w:r>
    </w:p>
    <w:p w14:paraId="47B502AB">
      <w:pPr>
        <w:pStyle w:val="11"/>
        <w:pageBreakBefore w:val="0"/>
        <w:widowControl w:val="0"/>
        <w:kinsoku/>
        <w:wordWrap/>
        <w:overflowPunct/>
        <w:topLinePunct w:val="0"/>
        <w:autoSpaceDE/>
        <w:autoSpaceDN/>
        <w:bidi w:val="0"/>
        <w:adjustRightInd/>
        <w:snapToGrid/>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27.3.1如出现投标截止时间结束后参加投标的供应商或者在评标期间对招标文件做出实质响应的供应商不足三家情况，按政府采购相关规定执行。</w:t>
      </w:r>
    </w:p>
    <w:p w14:paraId="3134B7B5">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499"/>
        <w:jc w:val="both"/>
        <w:textAlignment w:val="auto"/>
        <w:rPr>
          <w:rFonts w:ascii="Times New Roman" w:hAnsi="Times New Roman" w:cs="Times New Roman"/>
          <w:b/>
          <w:color w:val="auto"/>
          <w:sz w:val="32"/>
          <w:szCs w:val="32"/>
          <w:highlight w:val="none"/>
        </w:rPr>
      </w:pPr>
      <w:bookmarkStart w:id="149" w:name="_Toc120614219"/>
      <w:r>
        <w:rPr>
          <w:rFonts w:ascii="Times New Roman" w:hAnsi="Times New Roman" w:cs="Times New Roman"/>
          <w:b/>
          <w:color w:val="auto"/>
          <w:sz w:val="32"/>
          <w:szCs w:val="32"/>
          <w:highlight w:val="none"/>
        </w:rPr>
        <w:t>六、定标</w:t>
      </w:r>
      <w:bookmarkEnd w:id="149"/>
    </w:p>
    <w:p w14:paraId="5705E93D">
      <w:pPr>
        <w:pStyle w:val="11"/>
        <w:keepNext/>
        <w:keepLines/>
        <w:spacing w:beforeAutospacing="0" w:afterAutospacing="0"/>
        <w:ind w:firstLine="600"/>
        <w:jc w:val="both"/>
        <w:rPr>
          <w:color w:val="auto"/>
          <w:highlight w:val="none"/>
        </w:rPr>
      </w:pPr>
      <w:bookmarkStart w:id="150" w:name="_Toc20823310"/>
      <w:bookmarkStart w:id="151" w:name="_Toc513029238"/>
      <w:bookmarkStart w:id="152" w:name="_Toc16938554"/>
      <w:r>
        <w:rPr>
          <w:rFonts w:hint="eastAsia" w:ascii="黑体" w:hAnsi="宋体" w:eastAsia="黑体" w:cs="黑体"/>
          <w:color w:val="auto"/>
          <w:sz w:val="28"/>
          <w:szCs w:val="28"/>
          <w:highlight w:val="none"/>
        </w:rPr>
        <w:t>28、</w:t>
      </w:r>
      <w:bookmarkEnd w:id="150"/>
      <w:r>
        <w:rPr>
          <w:rFonts w:hint="eastAsia" w:ascii="黑体" w:hAnsi="宋体" w:eastAsia="黑体" w:cs="黑体"/>
          <w:color w:val="auto"/>
          <w:sz w:val="28"/>
          <w:szCs w:val="28"/>
          <w:highlight w:val="none"/>
        </w:rPr>
        <w:t>确定</w:t>
      </w:r>
      <w:bookmarkEnd w:id="151"/>
      <w:bookmarkEnd w:id="152"/>
      <w:r>
        <w:rPr>
          <w:rFonts w:hint="eastAsia" w:ascii="黑体" w:hAnsi="宋体" w:eastAsia="黑体" w:cs="黑体"/>
          <w:color w:val="auto"/>
          <w:sz w:val="28"/>
          <w:szCs w:val="28"/>
          <w:highlight w:val="none"/>
        </w:rPr>
        <w:t>中标单位</w:t>
      </w:r>
    </w:p>
    <w:p w14:paraId="42D643A6">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p>
    <w:p w14:paraId="3FDF2982">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 采购人应根据评委会推荐的中标候选人确定中标人。</w:t>
      </w:r>
    </w:p>
    <w:p w14:paraId="666936BE">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将在</w:t>
      </w:r>
      <w:r>
        <w:rPr>
          <w:rFonts w:hint="eastAsia" w:ascii="宋体" w:hAnsi="宋体" w:eastAsia="宋体" w:cs="宋体"/>
          <w:color w:val="auto"/>
          <w:sz w:val="24"/>
          <w:szCs w:val="24"/>
          <w:highlight w:val="none"/>
          <w:lang w:val="en-US" w:eastAsia="zh-CN"/>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盐城市政府采购网”</w:t>
      </w:r>
      <w:r>
        <w:rPr>
          <w:rFonts w:hint="eastAsia" w:ascii="宋体" w:hAnsi="宋体" w:eastAsia="宋体" w:cs="宋体"/>
          <w:color w:val="auto"/>
          <w:sz w:val="24"/>
          <w:szCs w:val="24"/>
          <w:highlight w:val="none"/>
        </w:rPr>
        <w:t>发布中标公告，公告期限为1个工作日。</w:t>
      </w:r>
    </w:p>
    <w:p w14:paraId="320DDBAA">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  若有充分证据证明，中标人出现下列情况之一的，一经查实，将被取消中标资格：</w:t>
      </w:r>
    </w:p>
    <w:p w14:paraId="333C1E36">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28.4.1提供虚假材料谋取中标的。</w:t>
      </w:r>
    </w:p>
    <w:p w14:paraId="5CA8420F">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28.4.2向采购人、</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行贿或者提供其他不正当利益的。</w:t>
      </w:r>
    </w:p>
    <w:p w14:paraId="15E42FFA">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28.4.3属于本文件规定的无效条件，但在评标过程中又未被评委会发现的。</w:t>
      </w:r>
    </w:p>
    <w:p w14:paraId="702C3D7C">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28.4.4与采购人或者其他供应商恶意串通的。</w:t>
      </w:r>
    </w:p>
    <w:p w14:paraId="72FC0587">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28.4.5采取不正当手段诋毁、排挤其他供应商的。</w:t>
      </w:r>
    </w:p>
    <w:p w14:paraId="64B8C371">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bookmarkStart w:id="153" w:name="_Toc200451960"/>
      <w:r>
        <w:rPr>
          <w:rFonts w:hint="eastAsia" w:ascii="宋体" w:hAnsi="宋体" w:eastAsia="宋体" w:cs="宋体"/>
          <w:color w:val="auto"/>
          <w:sz w:val="24"/>
          <w:szCs w:val="24"/>
          <w:highlight w:val="none"/>
        </w:rPr>
        <w:t>28.5. 有下列情形之一的，视为投标人串通投标，投标无效：</w:t>
      </w:r>
      <w:bookmarkEnd w:id="153"/>
    </w:p>
    <w:p w14:paraId="63E923FD">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28.5.1不同投标人的投标文件由同一单位或者个人编制；</w:t>
      </w:r>
    </w:p>
    <w:p w14:paraId="4C6B86B5">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28.5.2不同投标人委托同一单位或者个人办理投标事宜；</w:t>
      </w:r>
    </w:p>
    <w:p w14:paraId="64965FBB">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28.5.3 不同投标人的投标文件载明的项目管理成员或者联系人员为同一人；</w:t>
      </w:r>
    </w:p>
    <w:p w14:paraId="32AF8CE3">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28.5.4不同投标人的投标文件异常一致或者投标报价呈规律性差异；</w:t>
      </w:r>
    </w:p>
    <w:p w14:paraId="14F852CA">
      <w:pPr>
        <w:pStyle w:val="11"/>
        <w:keepNext/>
        <w:keepLines/>
        <w:spacing w:beforeAutospacing="0" w:afterAutospacing="0"/>
        <w:ind w:firstLine="600"/>
        <w:jc w:val="both"/>
        <w:rPr>
          <w:rFonts w:hint="eastAsia" w:ascii="黑体" w:hAnsi="宋体" w:eastAsia="黑体" w:cs="黑体"/>
          <w:color w:val="auto"/>
          <w:sz w:val="28"/>
          <w:szCs w:val="28"/>
          <w:highlight w:val="none"/>
        </w:rPr>
      </w:pPr>
      <w:r>
        <w:rPr>
          <w:rFonts w:hint="eastAsia" w:ascii="黑体" w:hAnsi="宋体" w:eastAsia="黑体" w:cs="黑体"/>
          <w:color w:val="auto"/>
          <w:sz w:val="28"/>
          <w:szCs w:val="28"/>
          <w:highlight w:val="none"/>
        </w:rPr>
        <w:t>29、质疑处理</w:t>
      </w:r>
    </w:p>
    <w:p w14:paraId="4311F3D3">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提出质疑的供应商应当是参与所质疑项目采购活动的供应商。潜在供应商依法获取其可质疑的采购文件的，可以对采购文件提出质疑。</w:t>
      </w:r>
    </w:p>
    <w:p w14:paraId="2722F8C8">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或采购人提出质疑。上述应知其权益受到损害之日，是指：</w:t>
      </w:r>
    </w:p>
    <w:p w14:paraId="783FA00C">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29.2.1对可以质疑的采购文件提出质疑的，为收到采购文件之日或者采购文件公告期限届满之日；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29.2.2对采购过程提出质疑的，为各采购程序环节结束之日；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29.2.3对中标或者成交结果提出质疑的，为中标或者成交结果公告期限届满之日。</w:t>
      </w:r>
    </w:p>
    <w:p w14:paraId="723B7EA1">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供应商应当在法定质疑期内一次性提出针对同一采购程序环节的质疑。供应商如在法定期限内对同一采购程序环节提出多次质疑的，采购人</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将只对供应商第一次质疑作出答复。</w:t>
      </w:r>
    </w:p>
    <w:p w14:paraId="16F1A4CF">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质疑函必须按照本招标文件中《质疑函范本》要求的格式和内容进行填写。供应商如组成联合体参加投标，则《质疑函范本》中要求签字、盖章、加盖公章之处，联合体各方均须按要求签字、盖章、加盖公章。</w:t>
      </w:r>
    </w:p>
    <w:p w14:paraId="22851E66">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提出，由</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负责答复。</w:t>
      </w:r>
    </w:p>
    <w:p w14:paraId="40AC9C6F">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采购人及</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只接收以纸质原件形式送达的质疑,采购人和</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不接受未填写快递运单的快件。质疑接收部门为</w:t>
      </w:r>
      <w:r>
        <w:rPr>
          <w:rFonts w:hint="eastAsia" w:ascii="宋体" w:hAnsi="宋体" w:eastAsia="宋体" w:cs="宋体"/>
          <w:color w:val="auto"/>
          <w:sz w:val="24"/>
          <w:szCs w:val="24"/>
          <w:highlight w:val="none"/>
          <w:lang w:val="en-US" w:eastAsia="zh-CN"/>
        </w:rPr>
        <w:t>公共资源代理机构业务</w:t>
      </w:r>
      <w:r>
        <w:rPr>
          <w:rFonts w:hint="eastAsia" w:ascii="宋体" w:hAnsi="宋体" w:eastAsia="宋体" w:cs="宋体"/>
          <w:color w:val="auto"/>
          <w:sz w:val="24"/>
          <w:szCs w:val="24"/>
          <w:highlight w:val="none"/>
        </w:rPr>
        <w:t>受理处，联系地址：</w:t>
      </w:r>
      <w:r>
        <w:rPr>
          <w:rFonts w:hint="eastAsia" w:ascii="宋体" w:hAnsi="宋体" w:eastAsia="宋体" w:cs="宋体"/>
          <w:color w:val="auto"/>
          <w:sz w:val="24"/>
          <w:szCs w:val="24"/>
          <w:highlight w:val="none"/>
          <w:lang w:eastAsia="zh-CN"/>
        </w:rPr>
        <w:t>阜宁县</w:t>
      </w:r>
      <w:r>
        <w:rPr>
          <w:rFonts w:hint="eastAsia" w:ascii="宋体" w:hAnsi="宋体" w:eastAsia="宋体" w:cs="宋体"/>
          <w:color w:val="auto"/>
          <w:sz w:val="24"/>
          <w:szCs w:val="24"/>
          <w:highlight w:val="none"/>
        </w:rPr>
        <w:t>公共资源</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，联系电话：</w:t>
      </w:r>
      <w:r>
        <w:rPr>
          <w:rFonts w:hint="eastAsia" w:ascii="宋体" w:hAnsi="宋体" w:eastAsia="宋体" w:cs="Times New Roman"/>
          <w:color w:val="auto"/>
          <w:kern w:val="0"/>
          <w:sz w:val="24"/>
          <w:highlight w:val="none"/>
          <w:lang w:val="en-US" w:eastAsia="zh-CN"/>
        </w:rPr>
        <w:t>0515-87281985</w:t>
      </w:r>
      <w:r>
        <w:rPr>
          <w:rFonts w:hint="eastAsia" w:ascii="宋体" w:hAnsi="宋体" w:eastAsia="宋体" w:cs="宋体"/>
          <w:color w:val="auto"/>
          <w:sz w:val="24"/>
          <w:szCs w:val="24"/>
          <w:highlight w:val="none"/>
        </w:rPr>
        <w:t>。</w:t>
      </w:r>
    </w:p>
    <w:p w14:paraId="5EFCE0F1">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 以下情形的质疑不予受理</w:t>
      </w:r>
    </w:p>
    <w:p w14:paraId="7A027DF6">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29.5.1 内容不符合《政府采购质疑和投诉办法》第十二条规定的质疑。</w:t>
      </w:r>
    </w:p>
    <w:p w14:paraId="78A10959">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29.5.2 超出政府采购法定期限的质疑。</w:t>
      </w:r>
    </w:p>
    <w:p w14:paraId="7B20B0C7">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29.5.3 以传真、电子邮件等方式递交的非原件形式的质疑。</w:t>
      </w:r>
    </w:p>
    <w:p w14:paraId="31218C90">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29.5.4 未参加投标活动的供应商或在投标活动中自身权益未受到损害的供应商所提出的质疑。</w:t>
      </w:r>
    </w:p>
    <w:p w14:paraId="47D09CC9">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29.5.5供应商组成联合体参加投标，联合体中任何一方或多方未按要求签字、盖章、加盖公章的质疑。</w:t>
      </w:r>
    </w:p>
    <w:p w14:paraId="2CF37763">
      <w:pPr>
        <w:pStyle w:val="11"/>
        <w:pageBreakBefore w:val="0"/>
        <w:widowControl w:val="0"/>
        <w:kinsoku/>
        <w:wordWrap/>
        <w:overflowPunct/>
        <w:topLinePunct w:val="0"/>
        <w:autoSpaceDE/>
        <w:autoSpaceDN/>
        <w:bidi w:val="0"/>
        <w:adjustRightInd/>
        <w:snapToGrid/>
        <w:spacing w:beforeAutospacing="0" w:afterAutospacing="0" w:line="420" w:lineRule="exact"/>
        <w:ind w:firstLine="46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  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39070AFA">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30、中标通知书</w:t>
      </w:r>
    </w:p>
    <w:p w14:paraId="21644431">
      <w:pPr>
        <w:pStyle w:val="11"/>
        <w:pageBreakBefore w:val="0"/>
        <w:widowControl w:val="0"/>
        <w:kinsoku/>
        <w:wordWrap/>
        <w:overflowPunct/>
        <w:topLinePunct w:val="0"/>
        <w:autoSpaceDE/>
        <w:autoSpaceDN/>
        <w:bidi w:val="0"/>
        <w:adjustRightInd/>
        <w:snapToGrid/>
        <w:spacing w:beforeAutospacing="0" w:afterAutospacing="0" w:line="420" w:lineRule="exact"/>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30.l</w:t>
      </w:r>
      <w:r>
        <w:rPr>
          <w:rFonts w:hint="eastAsia" w:ascii="宋体" w:hAnsi="宋体" w:eastAsia="宋体" w:cs="宋体"/>
          <w:b/>
          <w:color w:val="auto"/>
          <w:sz w:val="24"/>
          <w:szCs w:val="24"/>
          <w:highlight w:val="none"/>
        </w:rPr>
        <w:t> </w:t>
      </w:r>
      <w:r>
        <w:rPr>
          <w:rFonts w:hint="eastAsia" w:ascii="宋体" w:hAnsi="宋体" w:eastAsia="宋体" w:cs="宋体"/>
          <w:color w:val="auto"/>
          <w:sz w:val="24"/>
          <w:szCs w:val="24"/>
          <w:highlight w:val="none"/>
        </w:rPr>
        <w:t>中标结果确定后，</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00AC87D">
      <w:pPr>
        <w:pStyle w:val="11"/>
        <w:pageBreakBefore w:val="0"/>
        <w:widowControl w:val="0"/>
        <w:kinsoku/>
        <w:wordWrap/>
        <w:overflowPunct/>
        <w:topLinePunct w:val="0"/>
        <w:autoSpaceDE/>
        <w:autoSpaceDN/>
        <w:bidi w:val="0"/>
        <w:adjustRightInd/>
        <w:snapToGrid/>
        <w:spacing w:beforeAutospacing="0" w:afterAutospacing="0" w:line="420" w:lineRule="exact"/>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30.2中标通知书将是合同的一个组成部分。对采购人和中标供应商均具有法律效力。中标通知书发出后，采购人改变中标结果的，或者中标供应商放弃中标项目的，应当依法承担法律责任。</w:t>
      </w:r>
    </w:p>
    <w:p w14:paraId="50ED4358">
      <w:pPr>
        <w:pStyle w:val="11"/>
        <w:keepNext/>
        <w:keepLines/>
        <w:pageBreakBefore w:val="0"/>
        <w:widowControl w:val="0"/>
        <w:kinsoku/>
        <w:wordWrap/>
        <w:overflowPunct/>
        <w:topLinePunct w:val="0"/>
        <w:autoSpaceDE/>
        <w:autoSpaceDN/>
        <w:bidi w:val="0"/>
        <w:adjustRightInd/>
        <w:snapToGrid/>
        <w:spacing w:beforeAutospacing="0" w:afterAutospacing="0" w:line="480" w:lineRule="exact"/>
        <w:ind w:firstLine="499"/>
        <w:jc w:val="both"/>
        <w:textAlignment w:val="auto"/>
        <w:rPr>
          <w:rFonts w:ascii="Times New Roman" w:hAnsi="Times New Roman" w:cs="Times New Roman"/>
          <w:b/>
          <w:color w:val="auto"/>
          <w:sz w:val="32"/>
          <w:szCs w:val="32"/>
          <w:highlight w:val="none"/>
        </w:rPr>
      </w:pPr>
      <w:bookmarkStart w:id="154" w:name="_Toc16938552"/>
      <w:bookmarkStart w:id="155" w:name="_Toc513029236"/>
      <w:bookmarkStart w:id="156" w:name="_Toc120614220"/>
      <w:bookmarkStart w:id="157" w:name="_Toc20823308"/>
      <w:r>
        <w:rPr>
          <w:rFonts w:ascii="Times New Roman" w:hAnsi="Times New Roman" w:cs="Times New Roman"/>
          <w:b/>
          <w:color w:val="auto"/>
          <w:sz w:val="32"/>
          <w:szCs w:val="32"/>
          <w:highlight w:val="none"/>
        </w:rPr>
        <w:t>七、授予合同</w:t>
      </w:r>
      <w:bookmarkEnd w:id="154"/>
      <w:bookmarkEnd w:id="155"/>
      <w:bookmarkEnd w:id="156"/>
      <w:bookmarkEnd w:id="157"/>
    </w:p>
    <w:p w14:paraId="488BC5AC">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firstLine="600"/>
        <w:jc w:val="both"/>
        <w:textAlignment w:val="auto"/>
        <w:rPr>
          <w:rFonts w:hint="eastAsia" w:ascii="宋体" w:hAnsi="宋体" w:eastAsia="宋体" w:cs="宋体"/>
          <w:i w:val="0"/>
          <w:iCs w:val="0"/>
          <w:color w:val="auto"/>
          <w:sz w:val="24"/>
          <w:szCs w:val="24"/>
          <w:highlight w:val="none"/>
          <w:u w:val="none"/>
        </w:rPr>
      </w:pPr>
      <w:bookmarkStart w:id="158" w:name="_Toc16938553"/>
      <w:bookmarkStart w:id="159" w:name="_Toc513029237"/>
      <w:bookmarkStart w:id="160" w:name="_Toc20823309"/>
      <w:r>
        <w:rPr>
          <w:rFonts w:hint="eastAsia" w:ascii="宋体" w:hAnsi="宋体" w:eastAsia="宋体" w:cs="宋体"/>
          <w:i w:val="0"/>
          <w:iCs w:val="0"/>
          <w:color w:val="auto"/>
          <w:sz w:val="24"/>
          <w:szCs w:val="24"/>
          <w:highlight w:val="none"/>
          <w:u w:val="none"/>
        </w:rPr>
        <w:t>31. 签订合同</w:t>
      </w:r>
      <w:bookmarkEnd w:id="158"/>
      <w:bookmarkEnd w:id="159"/>
      <w:bookmarkEnd w:id="160"/>
    </w:p>
    <w:p w14:paraId="42AE526A">
      <w:pPr>
        <w:pStyle w:val="11"/>
        <w:pageBreakBefore w:val="0"/>
        <w:widowControl w:val="0"/>
        <w:kinsoku/>
        <w:wordWrap/>
        <w:overflowPunct/>
        <w:topLinePunct w:val="0"/>
        <w:autoSpaceDE/>
        <w:autoSpaceDN/>
        <w:bidi w:val="0"/>
        <w:adjustRightInd/>
        <w:snapToGrid/>
        <w:spacing w:beforeAutospacing="0" w:afterAutospacing="0" w:line="420" w:lineRule="exact"/>
        <w:ind w:firstLine="600"/>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31.l中标人应当在中标通知书发出之日起三十日内，按照招标文件确定的事项与采购人签订政府采购合同。</w:t>
      </w:r>
    </w:p>
    <w:p w14:paraId="55DF5EAF">
      <w:pPr>
        <w:pStyle w:val="11"/>
        <w:pageBreakBefore w:val="0"/>
        <w:widowControl w:val="0"/>
        <w:kinsoku/>
        <w:wordWrap/>
        <w:overflowPunct/>
        <w:topLinePunct w:val="0"/>
        <w:autoSpaceDE/>
        <w:autoSpaceDN/>
        <w:bidi w:val="0"/>
        <w:adjustRightInd/>
        <w:snapToGrid/>
        <w:spacing w:beforeAutospacing="0" w:afterAutospacing="0" w:line="420" w:lineRule="exact"/>
        <w:ind w:firstLine="600"/>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31.2</w:t>
      </w:r>
      <w:r>
        <w:rPr>
          <w:rFonts w:hint="eastAsia" w:ascii="宋体" w:hAnsi="宋体" w:eastAsia="宋体" w:cs="宋体"/>
          <w:b/>
          <w:i w:val="0"/>
          <w:iCs w:val="0"/>
          <w:color w:val="auto"/>
          <w:sz w:val="24"/>
          <w:szCs w:val="24"/>
          <w:highlight w:val="none"/>
          <w:u w:val="none"/>
        </w:rPr>
        <w:t> </w:t>
      </w:r>
      <w:r>
        <w:rPr>
          <w:rFonts w:hint="eastAsia" w:ascii="宋体" w:hAnsi="宋体" w:eastAsia="宋体" w:cs="宋体"/>
          <w:i w:val="0"/>
          <w:iCs w:val="0"/>
          <w:color w:val="auto"/>
          <w:sz w:val="24"/>
          <w:szCs w:val="24"/>
          <w:highlight w:val="none"/>
          <w:u w:val="none"/>
        </w:rPr>
        <w:t>招标文件、中标人的投标文件及招标过程中有关澄清、承诺文件均应作为合同附件。</w:t>
      </w:r>
    </w:p>
    <w:p w14:paraId="129B0596">
      <w:pPr>
        <w:pStyle w:val="11"/>
        <w:pageBreakBefore w:val="0"/>
        <w:widowControl w:val="0"/>
        <w:kinsoku/>
        <w:wordWrap/>
        <w:overflowPunct/>
        <w:topLinePunct w:val="0"/>
        <w:autoSpaceDE/>
        <w:autoSpaceDN/>
        <w:bidi w:val="0"/>
        <w:adjustRightInd/>
        <w:snapToGrid/>
        <w:spacing w:beforeAutospacing="0" w:afterAutospacing="0" w:line="420" w:lineRule="exact"/>
        <w:ind w:firstLine="600"/>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31.3 签订合同后，</w:t>
      </w:r>
      <w:r>
        <w:rPr>
          <w:rFonts w:hint="eastAsia" w:ascii="宋体" w:hAnsi="宋体" w:eastAsia="宋体" w:cs="宋体"/>
          <w:i w:val="0"/>
          <w:iCs w:val="0"/>
          <w:color w:val="auto"/>
          <w:sz w:val="24"/>
          <w:szCs w:val="24"/>
          <w:highlight w:val="none"/>
          <w:u w:val="single"/>
        </w:rPr>
        <w:t>中标人不得将合同标的进行转包</w:t>
      </w:r>
      <w:r>
        <w:rPr>
          <w:rFonts w:hint="eastAsia" w:ascii="宋体" w:hAnsi="宋体" w:eastAsia="宋体" w:cs="宋体"/>
          <w:i w:val="0"/>
          <w:iCs w:val="0"/>
          <w:color w:val="auto"/>
          <w:sz w:val="24"/>
          <w:szCs w:val="24"/>
          <w:highlight w:val="none"/>
          <w:u w:val="none"/>
        </w:rPr>
        <w:t>。未经采购人同意，中标人也不得采用分包的形式履行合同，否则采购人有权终止合同。转包或分包造成采购人损失的，中标人应承担相应赔偿责任。</w:t>
      </w:r>
    </w:p>
    <w:p w14:paraId="1AAD08DD">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firstLine="600"/>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32、货物（包含与货物相关的服务）的追加</w:t>
      </w:r>
    </w:p>
    <w:p w14:paraId="69A11D98">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0D1C6E61">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firstLine="600"/>
        <w:jc w:val="both"/>
        <w:textAlignment w:val="auto"/>
        <w:rPr>
          <w:rFonts w:hint="eastAsia" w:ascii="宋体" w:hAnsi="宋体" w:eastAsia="宋体" w:cs="宋体"/>
          <w:i w:val="0"/>
          <w:iCs w:val="0"/>
          <w:color w:val="auto"/>
          <w:sz w:val="24"/>
          <w:szCs w:val="24"/>
          <w:highlight w:val="none"/>
          <w:u w:val="none"/>
        </w:rPr>
      </w:pPr>
      <w:bookmarkStart w:id="161" w:name="_Toc120614221"/>
      <w:bookmarkStart w:id="162" w:name="_Toc20823314"/>
      <w:bookmarkStart w:id="163" w:name="_Toc16938558"/>
      <w:bookmarkStart w:id="164" w:name="_Toc479757207"/>
      <w:bookmarkStart w:id="165" w:name="_Toc513029242"/>
      <w:r>
        <w:rPr>
          <w:rFonts w:hint="eastAsia" w:ascii="宋体" w:hAnsi="宋体" w:eastAsia="宋体" w:cs="宋体"/>
          <w:i w:val="0"/>
          <w:iCs w:val="0"/>
          <w:color w:val="auto"/>
          <w:sz w:val="24"/>
          <w:szCs w:val="24"/>
          <w:highlight w:val="none"/>
          <w:u w:val="none"/>
        </w:rPr>
        <w:t>33、</w:t>
      </w:r>
      <w:bookmarkEnd w:id="161"/>
      <w:bookmarkEnd w:id="162"/>
      <w:bookmarkEnd w:id="163"/>
      <w:bookmarkEnd w:id="164"/>
      <w:bookmarkEnd w:id="165"/>
      <w:r>
        <w:rPr>
          <w:rFonts w:hint="eastAsia" w:ascii="宋体" w:hAnsi="宋体" w:eastAsia="宋体" w:cs="宋体"/>
          <w:i w:val="0"/>
          <w:iCs w:val="0"/>
          <w:color w:val="auto"/>
          <w:sz w:val="24"/>
          <w:szCs w:val="24"/>
          <w:highlight w:val="none"/>
          <w:u w:val="none"/>
        </w:rPr>
        <w:t>政府采购</w:t>
      </w:r>
      <w:r>
        <w:rPr>
          <w:rFonts w:hint="eastAsia" w:ascii="宋体" w:hAnsi="宋体" w:eastAsia="宋体" w:cs="宋体"/>
          <w:i w:val="0"/>
          <w:iCs w:val="0"/>
          <w:color w:val="auto"/>
          <w:sz w:val="24"/>
          <w:szCs w:val="24"/>
          <w:highlight w:val="none"/>
          <w:u w:val="none"/>
          <w:lang w:eastAsia="zh-CN"/>
        </w:rPr>
        <w:t>线上合同信用融资</w:t>
      </w:r>
      <w:r>
        <w:rPr>
          <w:rFonts w:hint="eastAsia" w:ascii="宋体" w:hAnsi="宋体" w:eastAsia="宋体" w:cs="宋体"/>
          <w:i w:val="0"/>
          <w:iCs w:val="0"/>
          <w:color w:val="auto"/>
          <w:sz w:val="24"/>
          <w:szCs w:val="24"/>
          <w:highlight w:val="none"/>
          <w:u w:val="none"/>
        </w:rPr>
        <w:t>政策</w:t>
      </w:r>
    </w:p>
    <w:p w14:paraId="070FF0E2">
      <w:pPr>
        <w:pStyle w:val="11"/>
        <w:keepNext/>
        <w:pageBreakBefore w:val="0"/>
        <w:widowControl w:val="0"/>
        <w:kinsoku/>
        <w:wordWrap/>
        <w:overflowPunct/>
        <w:topLinePunct w:val="0"/>
        <w:autoSpaceDE/>
        <w:autoSpaceDN/>
        <w:bidi w:val="0"/>
        <w:adjustRightInd/>
        <w:snapToGrid/>
        <w:spacing w:beforeAutospacing="0" w:afterAutospacing="0" w:line="420" w:lineRule="exact"/>
        <w:ind w:firstLine="480" w:firstLineChars="200"/>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635BBCEF">
      <w:pPr>
        <w:pStyle w:val="11"/>
        <w:pageBreakBefore w:val="0"/>
        <w:widowControl w:val="0"/>
        <w:kinsoku/>
        <w:wordWrap/>
        <w:overflowPunct/>
        <w:topLinePunct w:val="0"/>
        <w:autoSpaceDE/>
        <w:autoSpaceDN/>
        <w:bidi w:val="0"/>
        <w:adjustRightInd/>
        <w:snapToGrid/>
        <w:spacing w:beforeAutospacing="0" w:afterAutospacing="0" w:line="420" w:lineRule="exact"/>
        <w:ind w:firstLine="420"/>
        <w:jc w:val="both"/>
        <w:textAlignment w:val="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3</w:t>
      </w:r>
      <w:r>
        <w:rPr>
          <w:rFonts w:hint="eastAsia" w:ascii="宋体" w:hAnsi="宋体" w:eastAsia="宋体" w:cs="宋体"/>
          <w:i w:val="0"/>
          <w:iCs w:val="0"/>
          <w:color w:val="auto"/>
          <w:sz w:val="24"/>
          <w:szCs w:val="24"/>
          <w:highlight w:val="none"/>
          <w:u w:val="none"/>
          <w:lang w:val="en-US" w:eastAsia="zh-CN"/>
        </w:rPr>
        <w:t>4</w:t>
      </w:r>
      <w:r>
        <w:rPr>
          <w:rFonts w:hint="eastAsia" w:ascii="宋体" w:hAnsi="宋体" w:eastAsia="宋体" w:cs="宋体"/>
          <w:i w:val="0"/>
          <w:iCs w:val="0"/>
          <w:color w:val="auto"/>
          <w:sz w:val="24"/>
          <w:szCs w:val="24"/>
          <w:highlight w:val="none"/>
          <w:u w:val="none"/>
        </w:rPr>
        <w:t>、</w:t>
      </w:r>
      <w:r>
        <w:rPr>
          <w:rFonts w:hint="eastAsia" w:ascii="宋体" w:hAnsi="宋体" w:eastAsia="宋体" w:cs="宋体"/>
          <w:i w:val="0"/>
          <w:iCs w:val="0"/>
          <w:color w:val="auto"/>
          <w:sz w:val="24"/>
          <w:szCs w:val="24"/>
          <w:highlight w:val="none"/>
          <w:u w:val="none"/>
          <w:lang w:eastAsia="zh-CN"/>
        </w:rPr>
        <w:t>其他</w:t>
      </w:r>
    </w:p>
    <w:p w14:paraId="21691371">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i w:val="0"/>
          <w:iCs w:val="0"/>
          <w:color w:val="auto"/>
          <w:kern w:val="0"/>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SA"/>
        </w:rPr>
        <w:t>34.1</w:t>
      </w:r>
      <w:r>
        <w:rPr>
          <w:rFonts w:hint="eastAsia" w:ascii="宋体" w:hAnsi="宋体" w:eastAsia="宋体" w:cs="宋体"/>
          <w:i w:val="0"/>
          <w:iCs w:val="0"/>
          <w:color w:val="auto"/>
          <w:kern w:val="0"/>
          <w:sz w:val="24"/>
          <w:szCs w:val="24"/>
          <w:highlight w:val="none"/>
          <w:u w:val="none"/>
        </w:rPr>
        <w:t>供应商对于投标产品的商品包装、快递包装应按照《关于印发《商品包装政府采购需求标准（试行）》、《快递包装政府采购需求标准（试行）》的通知》</w:t>
      </w:r>
      <w:r>
        <w:rPr>
          <w:rFonts w:hint="eastAsia" w:ascii="宋体" w:hAnsi="宋体" w:eastAsia="宋体" w:cs="宋体"/>
          <w:i w:val="0"/>
          <w:iCs w:val="0"/>
          <w:color w:val="auto"/>
          <w:kern w:val="0"/>
          <w:sz w:val="24"/>
          <w:szCs w:val="24"/>
          <w:highlight w:val="none"/>
          <w:u w:val="none"/>
          <w:lang w:eastAsia="zh-CN"/>
        </w:rPr>
        <w:t>（</w:t>
      </w:r>
      <w:r>
        <w:rPr>
          <w:rFonts w:hint="eastAsia" w:ascii="宋体" w:hAnsi="宋体" w:eastAsia="宋体" w:cs="宋体"/>
          <w:i w:val="0"/>
          <w:iCs w:val="0"/>
          <w:color w:val="auto"/>
          <w:kern w:val="0"/>
          <w:sz w:val="24"/>
          <w:szCs w:val="24"/>
          <w:highlight w:val="none"/>
          <w:u w:val="none"/>
        </w:rPr>
        <w:t>财办库〔2020〕123号</w:t>
      </w:r>
      <w:r>
        <w:rPr>
          <w:rFonts w:hint="eastAsia" w:ascii="宋体" w:hAnsi="宋体" w:eastAsia="宋体" w:cs="宋体"/>
          <w:i w:val="0"/>
          <w:iCs w:val="0"/>
          <w:color w:val="auto"/>
          <w:kern w:val="0"/>
          <w:sz w:val="24"/>
          <w:szCs w:val="24"/>
          <w:highlight w:val="none"/>
          <w:u w:val="none"/>
          <w:lang w:eastAsia="zh-CN"/>
        </w:rPr>
        <w:t>）</w:t>
      </w:r>
      <w:r>
        <w:rPr>
          <w:rFonts w:hint="eastAsia" w:ascii="宋体" w:hAnsi="宋体" w:eastAsia="宋体" w:cs="宋体"/>
          <w:i w:val="0"/>
          <w:iCs w:val="0"/>
          <w:color w:val="auto"/>
          <w:kern w:val="0"/>
          <w:sz w:val="24"/>
          <w:szCs w:val="24"/>
          <w:highlight w:val="none"/>
          <w:u w:val="none"/>
        </w:rPr>
        <w:t>执行。</w:t>
      </w:r>
    </w:p>
    <w:p w14:paraId="0BEC72F8">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i w:val="0"/>
          <w:iCs w:val="0"/>
          <w:color w:val="auto"/>
          <w:kern w:val="0"/>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rPr>
        <w:t>34.2</w:t>
      </w:r>
      <w:r>
        <w:rPr>
          <w:rFonts w:hint="eastAsia" w:ascii="宋体" w:hAnsi="宋体" w:eastAsia="宋体" w:cs="宋体"/>
          <w:i w:val="0"/>
          <w:iCs w:val="0"/>
          <w:color w:val="auto"/>
          <w:kern w:val="0"/>
          <w:sz w:val="24"/>
          <w:szCs w:val="24"/>
          <w:highlight w:val="none"/>
          <w:u w:val="none"/>
        </w:rPr>
        <w:t>本文件中若涉及到数据中心采购，应按照《&lt;绿色数据中心政府采购需求标准（试行）&gt;的通知》（财库〔2023〕7号）执行。</w:t>
      </w:r>
    </w:p>
    <w:p w14:paraId="0103B5E7">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34.3 本项目落实预付款制度，预付款比例为30%。在签订合同时，中标、成交供应商明确书面表示无需预付款或者主动要求降低预付款比例的，采购人可就预付款比例作相应调整。</w:t>
      </w:r>
    </w:p>
    <w:p w14:paraId="10E52AC2">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34.4 确需收取履约保证金的，履约保证金的缴纳形式：</w:t>
      </w:r>
    </w:p>
    <w:p w14:paraId="0B4BCA03">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EAA3481">
      <w:pPr>
        <w:pStyle w:val="11"/>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 如以履约保函（保险）形式缴纳履约保证金，供应商可通过政府采购电子履约保函（保险）平台（www.jsdzbh.com）在线申请履约保函（保险）。</w:t>
      </w:r>
    </w:p>
    <w:p w14:paraId="16847973">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i w:val="0"/>
          <w:iCs w:val="0"/>
          <w:color w:val="auto"/>
          <w:kern w:val="0"/>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p>
    <w:p w14:paraId="673167C7">
      <w:pPr>
        <w:pStyle w:val="11"/>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 </w:t>
      </w:r>
    </w:p>
    <w:p w14:paraId="5D063CAE">
      <w:pPr>
        <w:pStyle w:val="11"/>
        <w:spacing w:beforeAutospacing="0" w:afterAutospacing="0" w:line="0" w:lineRule="atLeast"/>
        <w:ind w:firstLine="480"/>
        <w:jc w:val="both"/>
        <w:rPr>
          <w:rFonts w:ascii="宋体" w:hAnsi="宋体" w:eastAsia="宋体" w:cs="宋体"/>
          <w:color w:val="auto"/>
          <w:highlight w:val="none"/>
        </w:rPr>
      </w:pPr>
    </w:p>
    <w:p w14:paraId="5CF883DB">
      <w:pPr>
        <w:pStyle w:val="11"/>
        <w:spacing w:beforeAutospacing="0" w:afterAutospacing="0"/>
        <w:jc w:val="both"/>
        <w:rPr>
          <w:color w:val="auto"/>
          <w:highlight w:val="none"/>
        </w:rPr>
      </w:pPr>
      <w:r>
        <w:rPr>
          <w:color w:val="auto"/>
          <w:highlight w:val="none"/>
        </w:rPr>
        <w:t> </w:t>
      </w:r>
    </w:p>
    <w:p w14:paraId="34E73022">
      <w:pPr>
        <w:pStyle w:val="11"/>
        <w:spacing w:beforeAutospacing="0" w:afterAutospacing="0"/>
        <w:jc w:val="both"/>
        <w:rPr>
          <w:color w:val="auto"/>
          <w:highlight w:val="none"/>
        </w:rPr>
      </w:pPr>
    </w:p>
    <w:p w14:paraId="1B239916">
      <w:pPr>
        <w:pStyle w:val="11"/>
        <w:keepNext/>
        <w:keepLines/>
        <w:pageBreakBefore w:val="0"/>
        <w:widowControl w:val="0"/>
        <w:kinsoku/>
        <w:wordWrap/>
        <w:overflowPunct/>
        <w:topLinePunct w:val="0"/>
        <w:autoSpaceDE/>
        <w:autoSpaceDN/>
        <w:bidi w:val="0"/>
        <w:adjustRightInd/>
        <w:snapToGrid/>
        <w:spacing w:beforeAutospacing="0" w:afterAutospacing="0" w:line="420" w:lineRule="exact"/>
        <w:ind w:firstLine="42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附件：</w:t>
      </w:r>
      <w:r>
        <w:rPr>
          <w:rFonts w:hint="eastAsia" w:ascii="宋体" w:hAnsi="宋体" w:eastAsia="宋体" w:cs="宋体"/>
          <w:b w:val="0"/>
          <w:bCs w:val="0"/>
          <w:color w:val="auto"/>
          <w:sz w:val="24"/>
          <w:szCs w:val="24"/>
          <w:highlight w:val="none"/>
        </w:rPr>
        <w:t> </w:t>
      </w:r>
    </w:p>
    <w:p w14:paraId="3FB49511">
      <w:pPr>
        <w:pStyle w:val="11"/>
        <w:keepNext w:val="0"/>
        <w:keepLines w:val="0"/>
        <w:pageBreakBefore w:val="0"/>
        <w:shd w:val="clear" w:color="auto" w:fill="FFFFFF"/>
        <w:kinsoku/>
        <w:wordWrap w:val="0"/>
        <w:overflowPunct/>
        <w:topLinePunct w:val="0"/>
        <w:autoSpaceDE/>
        <w:autoSpaceDN/>
        <w:bidi w:val="0"/>
        <w:adjustRightInd/>
        <w:snapToGrid/>
        <w:spacing w:beforeAutospacing="0" w:afterAutospacing="0" w:line="480" w:lineRule="exact"/>
        <w:ind w:left="0" w:firstLine="482"/>
        <w:jc w:val="center"/>
        <w:textAlignment w:val="auto"/>
        <w:rPr>
          <w:rFonts w:ascii="Times New Roman" w:hAnsi="Times New Roman" w:eastAsia="宋体"/>
          <w:color w:val="auto"/>
          <w:sz w:val="28"/>
          <w:szCs w:val="28"/>
          <w:highlight w:val="none"/>
        </w:rPr>
      </w:pPr>
      <w:r>
        <w:rPr>
          <w:color w:val="auto"/>
          <w:highlight w:val="none"/>
        </w:rPr>
        <w:t> </w:t>
      </w:r>
      <w:r>
        <w:rPr>
          <w:rFonts w:hint="eastAsia" w:ascii="方正大标宋_GBK" w:hAnsi="Times New Roman" w:eastAsia="方正大标宋_GBK"/>
          <w:color w:val="auto"/>
          <w:sz w:val="28"/>
          <w:szCs w:val="28"/>
          <w:highlight w:val="none"/>
        </w:rPr>
        <w:t>阜宁县政府采购线上合同信用融资政策</w:t>
      </w:r>
    </w:p>
    <w:p w14:paraId="0DC7903C">
      <w:pPr>
        <w:keepNext w:val="0"/>
        <w:keepLines w:val="0"/>
        <w:pageBreakBefore w:val="0"/>
        <w:widowControl/>
        <w:shd w:val="clear" w:color="auto" w:fill="FFFFFF"/>
        <w:kinsoku/>
        <w:wordWrap w:val="0"/>
        <w:overflowPunct/>
        <w:topLinePunct w:val="0"/>
        <w:autoSpaceDE/>
        <w:autoSpaceDN/>
        <w:bidi w:val="0"/>
        <w:adjustRightInd/>
        <w:snapToGrid/>
        <w:spacing w:line="480" w:lineRule="exact"/>
        <w:ind w:left="0" w:firstLine="883"/>
        <w:jc w:val="center"/>
        <w:textAlignment w:val="auto"/>
        <w:rPr>
          <w:rFonts w:ascii="Times New Roman" w:hAnsi="Times New Roman" w:eastAsia="宋体" w:cs="Times New Roman"/>
          <w:color w:val="auto"/>
          <w:kern w:val="0"/>
          <w:sz w:val="28"/>
          <w:szCs w:val="28"/>
          <w:highlight w:val="none"/>
        </w:rPr>
      </w:pPr>
      <w:r>
        <w:rPr>
          <w:rFonts w:hint="eastAsia" w:ascii="方正大标宋_GBK" w:hAnsi="Times New Roman" w:eastAsia="方正大标宋_GBK" w:cs="Times New Roman"/>
          <w:color w:val="auto"/>
          <w:kern w:val="0"/>
          <w:sz w:val="28"/>
          <w:szCs w:val="28"/>
          <w:highlight w:val="none"/>
        </w:rPr>
        <w:t>告知函</w:t>
      </w:r>
    </w:p>
    <w:p w14:paraId="3BF50638">
      <w:pPr>
        <w:keepNext w:val="0"/>
        <w:keepLines w:val="0"/>
        <w:pageBreakBefore w:val="0"/>
        <w:widowControl/>
        <w:shd w:val="clear" w:color="auto" w:fill="FFFFFF"/>
        <w:kinsoku/>
        <w:wordWrap w:val="0"/>
        <w:overflowPunct/>
        <w:topLinePunct w:val="0"/>
        <w:autoSpaceDE/>
        <w:autoSpaceDN/>
        <w:bidi w:val="0"/>
        <w:adjustRightInd/>
        <w:snapToGrid/>
        <w:spacing w:line="480" w:lineRule="exact"/>
        <w:ind w:left="0" w:firstLine="482"/>
        <w:textAlignment w:val="auto"/>
        <w:rPr>
          <w:rFonts w:ascii="Times New Roman" w:hAnsi="Times New Roman" w:eastAsia="宋体" w:cs="Times New Roman"/>
          <w:color w:val="auto"/>
          <w:kern w:val="0"/>
          <w:sz w:val="28"/>
          <w:szCs w:val="28"/>
          <w:highlight w:val="none"/>
        </w:rPr>
      </w:pPr>
      <w:r>
        <w:rPr>
          <w:rFonts w:hint="eastAsia" w:ascii="宋体" w:hAnsi="宋体" w:eastAsia="宋体" w:cs="Times New Roman"/>
          <w:color w:val="auto"/>
          <w:kern w:val="0"/>
          <w:sz w:val="28"/>
          <w:szCs w:val="28"/>
          <w:highlight w:val="none"/>
        </w:rPr>
        <w:t> </w:t>
      </w:r>
    </w:p>
    <w:p w14:paraId="41FC6391">
      <w:pPr>
        <w:keepNext w:val="0"/>
        <w:keepLines w:val="0"/>
        <w:pageBreakBefore w:val="0"/>
        <w:widowControl/>
        <w:shd w:val="clear" w:color="auto" w:fill="FFFFFF"/>
        <w:kinsoku/>
        <w:wordWrap w:val="0"/>
        <w:overflowPunct/>
        <w:topLinePunct w:val="0"/>
        <w:autoSpaceDE/>
        <w:autoSpaceDN/>
        <w:bidi w:val="0"/>
        <w:adjustRightInd/>
        <w:snapToGrid/>
        <w:spacing w:line="480" w:lineRule="exact"/>
        <w:ind w:left="0" w:firstLine="643"/>
        <w:textAlignment w:val="auto"/>
        <w:rPr>
          <w:rFonts w:ascii="Times New Roman" w:hAnsi="Times New Roman" w:eastAsia="宋体" w:cs="Times New Roman"/>
          <w:color w:val="auto"/>
          <w:kern w:val="0"/>
          <w:sz w:val="28"/>
          <w:szCs w:val="28"/>
          <w:highlight w:val="none"/>
        </w:rPr>
      </w:pPr>
      <w:r>
        <w:rPr>
          <w:rFonts w:hint="eastAsia" w:ascii="仿宋" w:hAnsi="仿宋" w:eastAsia="仿宋" w:cs="Times New Roman"/>
          <w:color w:val="auto"/>
          <w:kern w:val="0"/>
          <w:sz w:val="28"/>
          <w:szCs w:val="28"/>
          <w:highlight w:val="none"/>
        </w:rPr>
        <w:t>各政府采购供应商：</w:t>
      </w:r>
    </w:p>
    <w:p w14:paraId="0A84879F">
      <w:pPr>
        <w:keepNext w:val="0"/>
        <w:keepLines w:val="0"/>
        <w:pageBreakBefore w:val="0"/>
        <w:widowControl/>
        <w:shd w:val="clear" w:color="auto" w:fill="FFFFFF"/>
        <w:kinsoku/>
        <w:wordWrap w:val="0"/>
        <w:overflowPunct/>
        <w:topLinePunct w:val="0"/>
        <w:autoSpaceDE/>
        <w:autoSpaceDN/>
        <w:bidi w:val="0"/>
        <w:adjustRightInd/>
        <w:snapToGrid/>
        <w:spacing w:line="480" w:lineRule="exact"/>
        <w:ind w:left="0" w:firstLine="643"/>
        <w:textAlignment w:val="auto"/>
        <w:rPr>
          <w:rFonts w:ascii="Times New Roman" w:hAnsi="Times New Roman" w:eastAsia="宋体" w:cs="Times New Roman"/>
          <w:color w:val="auto"/>
          <w:kern w:val="0"/>
          <w:sz w:val="28"/>
          <w:szCs w:val="28"/>
          <w:highlight w:val="none"/>
        </w:rPr>
      </w:pPr>
      <w:r>
        <w:rPr>
          <w:rFonts w:hint="eastAsia" w:ascii="仿宋" w:hAnsi="仿宋" w:eastAsia="仿宋" w:cs="Times New Roman"/>
          <w:color w:val="auto"/>
          <w:kern w:val="0"/>
          <w:sz w:val="28"/>
          <w:szCs w:val="28"/>
          <w:highlight w:val="none"/>
        </w:rPr>
        <w:t>欢迎贵公司参与阜宁县政府采购活动！政府采购线上合同信用融资是阜宁县财政局和中国人民银行阜宁县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阜宁县财政局 中国人民银行阜宁县中心支行转发江苏省财政厅 中国人民银行南京分行&lt;关于深入推进政府采购线上合同信用融资工作的通知&gt;的通知》（阜财购〔2021〕16号），按照双方自愿的原则提供便捷、优惠的贷款服务。</w:t>
      </w:r>
    </w:p>
    <w:p w14:paraId="19539F5A">
      <w:pPr>
        <w:keepNext w:val="0"/>
        <w:keepLines w:val="0"/>
        <w:pageBreakBefore w:val="0"/>
        <w:widowControl/>
        <w:shd w:val="clear" w:color="auto" w:fill="FFFFFF"/>
        <w:kinsoku/>
        <w:wordWrap w:val="0"/>
        <w:overflowPunct/>
        <w:topLinePunct w:val="0"/>
        <w:autoSpaceDE/>
        <w:autoSpaceDN/>
        <w:bidi w:val="0"/>
        <w:adjustRightInd/>
        <w:snapToGrid/>
        <w:spacing w:line="480" w:lineRule="exact"/>
        <w:ind w:left="0" w:firstLine="643"/>
        <w:textAlignment w:val="auto"/>
        <w:rPr>
          <w:rFonts w:hint="eastAsia" w:ascii="仿宋" w:hAnsi="仿宋" w:eastAsia="仿宋" w:cs="Times New Roman"/>
          <w:color w:val="auto"/>
          <w:kern w:val="0"/>
          <w:sz w:val="28"/>
          <w:szCs w:val="28"/>
          <w:highlight w:val="none"/>
        </w:rPr>
      </w:pPr>
      <w:r>
        <w:rPr>
          <w:rFonts w:hint="eastAsia" w:ascii="仿宋" w:hAnsi="仿宋" w:eastAsia="仿宋" w:cs="Times New Roman"/>
          <w:color w:val="auto"/>
          <w:kern w:val="0"/>
          <w:sz w:val="28"/>
          <w:szCs w:val="28"/>
          <w:highlight w:val="none"/>
        </w:rPr>
        <w:t>我县提供贷款的金融机构是江苏银行，联系人：陈曦，电话：13401723128</w:t>
      </w:r>
    </w:p>
    <w:p w14:paraId="4B2D82A9">
      <w:pPr>
        <w:pStyle w:val="6"/>
        <w:rPr>
          <w:rFonts w:hint="eastAsia" w:ascii="仿宋" w:hAnsi="仿宋" w:eastAsia="仿宋" w:cs="Times New Roman"/>
          <w:color w:val="auto"/>
          <w:kern w:val="0"/>
          <w:sz w:val="28"/>
          <w:szCs w:val="28"/>
          <w:highlight w:val="none"/>
        </w:rPr>
      </w:pPr>
    </w:p>
    <w:p w14:paraId="3ED7C28D">
      <w:pPr>
        <w:rPr>
          <w:rFonts w:hint="eastAsia" w:ascii="仿宋" w:hAnsi="仿宋" w:eastAsia="仿宋" w:cs="Times New Roman"/>
          <w:color w:val="auto"/>
          <w:kern w:val="0"/>
          <w:sz w:val="28"/>
          <w:szCs w:val="28"/>
          <w:highlight w:val="none"/>
        </w:rPr>
      </w:pPr>
    </w:p>
    <w:p w14:paraId="0A874EE5">
      <w:pPr>
        <w:pStyle w:val="6"/>
        <w:rPr>
          <w:rFonts w:hint="eastAsia" w:ascii="仿宋" w:hAnsi="仿宋" w:eastAsia="仿宋" w:cs="Times New Roman"/>
          <w:color w:val="auto"/>
          <w:kern w:val="0"/>
          <w:sz w:val="28"/>
          <w:szCs w:val="28"/>
          <w:highlight w:val="none"/>
        </w:rPr>
      </w:pPr>
    </w:p>
    <w:p w14:paraId="105186BA">
      <w:pPr>
        <w:rPr>
          <w:rFonts w:hint="eastAsia" w:ascii="仿宋" w:hAnsi="仿宋" w:eastAsia="仿宋" w:cs="Times New Roman"/>
          <w:color w:val="auto"/>
          <w:kern w:val="0"/>
          <w:sz w:val="28"/>
          <w:szCs w:val="28"/>
          <w:highlight w:val="none"/>
        </w:rPr>
      </w:pPr>
    </w:p>
    <w:p w14:paraId="0266148A">
      <w:pPr>
        <w:pStyle w:val="6"/>
        <w:rPr>
          <w:rFonts w:hint="eastAsia" w:ascii="仿宋" w:hAnsi="仿宋" w:eastAsia="仿宋" w:cs="Times New Roman"/>
          <w:color w:val="auto"/>
          <w:kern w:val="0"/>
          <w:sz w:val="28"/>
          <w:szCs w:val="28"/>
          <w:highlight w:val="none"/>
        </w:rPr>
      </w:pPr>
    </w:p>
    <w:p w14:paraId="0D9AE53B">
      <w:pPr>
        <w:rPr>
          <w:rFonts w:hint="eastAsia" w:ascii="仿宋" w:hAnsi="仿宋" w:eastAsia="仿宋" w:cs="Times New Roman"/>
          <w:color w:val="auto"/>
          <w:kern w:val="0"/>
          <w:sz w:val="28"/>
          <w:szCs w:val="28"/>
          <w:highlight w:val="none"/>
        </w:rPr>
      </w:pPr>
    </w:p>
    <w:p w14:paraId="6689F8C2">
      <w:pPr>
        <w:pStyle w:val="6"/>
        <w:rPr>
          <w:rFonts w:hint="eastAsia" w:ascii="仿宋" w:hAnsi="仿宋" w:eastAsia="仿宋" w:cs="Times New Roman"/>
          <w:color w:val="auto"/>
          <w:kern w:val="0"/>
          <w:sz w:val="28"/>
          <w:szCs w:val="28"/>
          <w:highlight w:val="none"/>
        </w:rPr>
      </w:pPr>
    </w:p>
    <w:p w14:paraId="4EC4348F">
      <w:pPr>
        <w:pStyle w:val="11"/>
        <w:spacing w:beforeAutospacing="0" w:afterAutospacing="0"/>
        <w:jc w:val="both"/>
        <w:rPr>
          <w:color w:val="auto"/>
          <w:highlight w:val="none"/>
        </w:rPr>
      </w:pPr>
    </w:p>
    <w:p w14:paraId="2E00F8E5">
      <w:pPr>
        <w:pStyle w:val="11"/>
        <w:spacing w:beforeAutospacing="0" w:afterAutospacing="0"/>
        <w:jc w:val="both"/>
        <w:rPr>
          <w:color w:val="auto"/>
          <w:highlight w:val="none"/>
        </w:rPr>
      </w:pPr>
    </w:p>
    <w:p w14:paraId="1C82C506">
      <w:pPr>
        <w:pStyle w:val="11"/>
        <w:spacing w:beforeAutospacing="0" w:afterAutospacing="0"/>
        <w:jc w:val="both"/>
        <w:rPr>
          <w:color w:val="auto"/>
          <w:highlight w:val="none"/>
        </w:rPr>
      </w:pPr>
    </w:p>
    <w:p w14:paraId="27E57F0B">
      <w:pPr>
        <w:pStyle w:val="11"/>
        <w:spacing w:beforeAutospacing="0" w:afterAutospacing="0"/>
        <w:jc w:val="both"/>
        <w:rPr>
          <w:color w:val="auto"/>
          <w:highlight w:val="none"/>
        </w:rPr>
      </w:pPr>
    </w:p>
    <w:p w14:paraId="622D991E">
      <w:pPr>
        <w:pStyle w:val="11"/>
        <w:spacing w:beforeAutospacing="0" w:afterAutospacing="0"/>
        <w:jc w:val="both"/>
        <w:rPr>
          <w:color w:val="auto"/>
          <w:highlight w:val="none"/>
        </w:rPr>
      </w:pPr>
    </w:p>
    <w:p w14:paraId="3C180CFC">
      <w:pPr>
        <w:pStyle w:val="11"/>
        <w:spacing w:beforeAutospacing="0" w:afterAutospacing="0"/>
        <w:jc w:val="both"/>
        <w:rPr>
          <w:color w:val="auto"/>
          <w:highlight w:val="none"/>
        </w:rPr>
      </w:pPr>
    </w:p>
    <w:p w14:paraId="0ECE5965">
      <w:pPr>
        <w:pStyle w:val="11"/>
        <w:spacing w:beforeAutospacing="0" w:afterAutospacing="0"/>
        <w:jc w:val="both"/>
        <w:rPr>
          <w:color w:val="auto"/>
          <w:highlight w:val="none"/>
        </w:rPr>
      </w:pPr>
    </w:p>
    <w:p w14:paraId="26ED38C0">
      <w:pPr>
        <w:pStyle w:val="11"/>
        <w:spacing w:beforeAutospacing="0" w:afterAutospacing="0"/>
        <w:jc w:val="both"/>
        <w:rPr>
          <w:color w:val="auto"/>
          <w:highlight w:val="none"/>
        </w:rPr>
      </w:pPr>
    </w:p>
    <w:p w14:paraId="7D24B36B">
      <w:pPr>
        <w:pStyle w:val="11"/>
        <w:spacing w:beforeAutospacing="0" w:afterAutospacing="0"/>
        <w:jc w:val="both"/>
        <w:rPr>
          <w:color w:val="auto"/>
          <w:highlight w:val="none"/>
        </w:rPr>
      </w:pPr>
      <w:bookmarkStart w:id="166" w:name="_Toc3995"/>
      <w:bookmarkStart w:id="167" w:name="_Toc479757211"/>
      <w:bookmarkStart w:id="168" w:name="_Toc462564139"/>
      <w:bookmarkStart w:id="169" w:name="_Toc120614244"/>
      <w:bookmarkStart w:id="170" w:name="_Toc16938590"/>
      <w:bookmarkStart w:id="171" w:name="_Hlt16619350"/>
      <w:bookmarkStart w:id="172" w:name="_Toc20823346"/>
      <w:bookmarkStart w:id="173" w:name="_Hlt16619369"/>
    </w:p>
    <w:p w14:paraId="66D0648A">
      <w:pPr>
        <w:pStyle w:val="11"/>
        <w:spacing w:beforeAutospacing="0" w:afterAutospacing="0"/>
        <w:jc w:val="both"/>
        <w:rPr>
          <w:color w:val="auto"/>
          <w:highlight w:val="none"/>
        </w:rPr>
      </w:pPr>
    </w:p>
    <w:p w14:paraId="6DC2DFF2">
      <w:pPr>
        <w:pStyle w:val="11"/>
        <w:spacing w:beforeAutospacing="0" w:afterAutospacing="0"/>
        <w:jc w:val="both"/>
        <w:rPr>
          <w:color w:val="auto"/>
          <w:highlight w:val="none"/>
        </w:rPr>
      </w:pPr>
    </w:p>
    <w:p w14:paraId="1921153B">
      <w:pPr>
        <w:widowControl/>
        <w:spacing w:line="360" w:lineRule="auto"/>
        <w:jc w:val="center"/>
        <w:rPr>
          <w:rFonts w:hint="eastAsia" w:ascii="黑体" w:hAnsi="宋体" w:eastAsia="黑体" w:cs="黑体"/>
          <w:b/>
          <w:color w:val="auto"/>
          <w:kern w:val="0"/>
          <w:sz w:val="40"/>
          <w:szCs w:val="40"/>
          <w:highlight w:val="none"/>
          <w:lang w:val="en-US" w:eastAsia="zh-CN" w:bidi="ar-SA"/>
        </w:rPr>
      </w:pPr>
      <w:r>
        <w:rPr>
          <w:rFonts w:hint="eastAsia" w:ascii="黑体" w:hAnsi="宋体" w:eastAsia="黑体" w:cs="黑体"/>
          <w:b/>
          <w:color w:val="auto"/>
          <w:kern w:val="0"/>
          <w:sz w:val="40"/>
          <w:szCs w:val="40"/>
          <w:highlight w:val="none"/>
          <w:lang w:val="en-US" w:eastAsia="zh-CN" w:bidi="ar-SA"/>
        </w:rPr>
        <w:t> </w:t>
      </w:r>
    </w:p>
    <w:p w14:paraId="51965BCC">
      <w:pPr>
        <w:widowControl/>
        <w:spacing w:line="360" w:lineRule="auto"/>
        <w:jc w:val="center"/>
        <w:rPr>
          <w:rFonts w:ascii="宋体" w:hAnsi="宋体" w:cs="宋体"/>
          <w:b/>
          <w:color w:val="auto"/>
          <w:sz w:val="30"/>
          <w:highlight w:val="none"/>
        </w:rPr>
      </w:pPr>
      <w:r>
        <w:rPr>
          <w:rFonts w:hint="eastAsia" w:ascii="黑体" w:hAnsi="宋体" w:eastAsia="黑体" w:cs="黑体"/>
          <w:b/>
          <w:color w:val="auto"/>
          <w:kern w:val="0"/>
          <w:sz w:val="40"/>
          <w:szCs w:val="40"/>
          <w:highlight w:val="none"/>
          <w:lang w:val="en-US" w:eastAsia="zh-CN" w:bidi="ar-SA"/>
        </w:rPr>
        <w:t>第三章  合同条款</w:t>
      </w:r>
    </w:p>
    <w:p w14:paraId="188467A9">
      <w:pPr>
        <w:rPr>
          <w:rFonts w:ascii="宋体" w:hAnsi="宋体" w:cs="宋体"/>
          <w:color w:val="auto"/>
          <w:highlight w:val="none"/>
        </w:rPr>
      </w:pPr>
      <w:bookmarkStart w:id="174" w:name="EB6d2006462e294de090c16e672cecc3bd"/>
    </w:p>
    <w:bookmarkEnd w:id="174"/>
    <w:p w14:paraId="6F38FCA8">
      <w:pPr>
        <w:jc w:val="center"/>
        <w:rPr>
          <w:rFonts w:ascii="宋体" w:hAnsi="宋体" w:cs="宋体"/>
          <w:b/>
          <w:bCs/>
          <w:color w:val="auto"/>
          <w:spacing w:val="-20"/>
          <w:sz w:val="48"/>
          <w:szCs w:val="48"/>
          <w:highlight w:val="none"/>
        </w:rPr>
      </w:pPr>
    </w:p>
    <w:p w14:paraId="2FDC0D3F">
      <w:pPr>
        <w:jc w:val="both"/>
        <w:rPr>
          <w:rFonts w:ascii="宋体" w:hAnsi="宋体" w:cs="宋体"/>
          <w:color w:val="auto"/>
          <w:sz w:val="30"/>
          <w:highlight w:val="none"/>
        </w:rPr>
      </w:pPr>
    </w:p>
    <w:p w14:paraId="565525EA">
      <w:pPr>
        <w:jc w:val="center"/>
        <w:rPr>
          <w:rFonts w:ascii="宋体" w:hAnsi="宋体" w:cs="宋体"/>
          <w:color w:val="auto"/>
          <w:sz w:val="30"/>
          <w:highlight w:val="none"/>
        </w:rPr>
      </w:pPr>
      <w:r>
        <w:rPr>
          <w:rFonts w:hint="eastAsia" w:ascii="宋体" w:hAnsi="宋体" w:cs="宋体"/>
          <w:color w:val="auto"/>
          <w:sz w:val="30"/>
          <w:highlight w:val="none"/>
        </w:rPr>
        <w:t>政府采购货物买卖合同</w:t>
      </w:r>
    </w:p>
    <w:p w14:paraId="1F1453E4">
      <w:pPr>
        <w:jc w:val="center"/>
        <w:rPr>
          <w:rFonts w:ascii="宋体" w:hAnsi="宋体" w:cs="宋体"/>
          <w:color w:val="auto"/>
          <w:sz w:val="30"/>
          <w:highlight w:val="none"/>
        </w:rPr>
      </w:pPr>
    </w:p>
    <w:p w14:paraId="621A05FA">
      <w:pPr>
        <w:rPr>
          <w:rFonts w:ascii="宋体" w:hAnsi="宋体" w:cs="宋体"/>
          <w:color w:val="auto"/>
          <w:sz w:val="30"/>
          <w:highlight w:val="none"/>
        </w:rPr>
      </w:pPr>
    </w:p>
    <w:p w14:paraId="1440CE9C">
      <w:pPr>
        <w:rPr>
          <w:rFonts w:ascii="宋体" w:hAnsi="宋体" w:cs="宋体"/>
          <w:color w:val="auto"/>
          <w:sz w:val="30"/>
          <w:highlight w:val="none"/>
        </w:rPr>
      </w:pPr>
    </w:p>
    <w:p w14:paraId="08F60F5C">
      <w:pPr>
        <w:spacing w:line="360" w:lineRule="auto"/>
        <w:ind w:left="420" w:firstLine="600" w:firstLineChars="200"/>
        <w:rPr>
          <w:rFonts w:ascii="宋体" w:hAnsi="宋体" w:cs="宋体"/>
          <w:color w:val="auto"/>
          <w:sz w:val="30"/>
          <w:highlight w:val="none"/>
        </w:rPr>
      </w:pPr>
      <w:r>
        <w:rPr>
          <w:rFonts w:hint="eastAsia" w:ascii="宋体" w:hAnsi="宋体" w:cs="宋体"/>
          <w:color w:val="auto"/>
          <w:sz w:val="30"/>
          <w:highlight w:val="none"/>
        </w:rPr>
        <w:t>项目名称：</w:t>
      </w:r>
    </w:p>
    <w:p w14:paraId="745EB354">
      <w:pPr>
        <w:spacing w:line="360" w:lineRule="auto"/>
        <w:ind w:left="420" w:firstLine="600" w:firstLineChars="200"/>
        <w:rPr>
          <w:rFonts w:ascii="宋体" w:hAnsi="宋体" w:cs="宋体"/>
          <w:color w:val="auto"/>
          <w:sz w:val="30"/>
          <w:highlight w:val="none"/>
        </w:rPr>
      </w:pPr>
      <w:r>
        <w:rPr>
          <w:rFonts w:hint="eastAsia" w:ascii="宋体" w:hAnsi="宋体" w:cs="宋体"/>
          <w:color w:val="auto"/>
          <w:sz w:val="30"/>
          <w:highlight w:val="none"/>
        </w:rPr>
        <w:t>合同编号：</w:t>
      </w:r>
    </w:p>
    <w:p w14:paraId="745FF5A8">
      <w:pPr>
        <w:spacing w:line="360" w:lineRule="auto"/>
        <w:ind w:left="420" w:firstLine="600" w:firstLineChars="200"/>
        <w:rPr>
          <w:rFonts w:ascii="宋体" w:hAnsi="宋体" w:cs="宋体"/>
          <w:color w:val="auto"/>
          <w:sz w:val="30"/>
          <w:highlight w:val="none"/>
        </w:rPr>
      </w:pPr>
      <w:r>
        <w:rPr>
          <w:rFonts w:hint="eastAsia" w:ascii="宋体" w:hAnsi="宋体" w:cs="宋体"/>
          <w:color w:val="auto"/>
          <w:sz w:val="30"/>
          <w:highlight w:val="none"/>
        </w:rPr>
        <w:t>甲    方：</w:t>
      </w:r>
    </w:p>
    <w:p w14:paraId="3B5B9A58">
      <w:pPr>
        <w:spacing w:line="360" w:lineRule="auto"/>
        <w:ind w:left="420" w:firstLine="600" w:firstLineChars="200"/>
        <w:rPr>
          <w:rFonts w:ascii="宋体" w:hAnsi="宋体" w:cs="宋体"/>
          <w:color w:val="auto"/>
          <w:sz w:val="30"/>
          <w:highlight w:val="none"/>
        </w:rPr>
      </w:pPr>
      <w:r>
        <w:rPr>
          <w:rFonts w:hint="eastAsia" w:ascii="宋体" w:hAnsi="宋体" w:cs="宋体"/>
          <w:color w:val="auto"/>
          <w:sz w:val="30"/>
          <w:highlight w:val="none"/>
        </w:rPr>
        <w:t>乙    方：</w:t>
      </w:r>
    </w:p>
    <w:p w14:paraId="30EE387D">
      <w:pPr>
        <w:spacing w:line="360" w:lineRule="auto"/>
        <w:ind w:left="420" w:firstLine="600" w:firstLineChars="200"/>
        <w:rPr>
          <w:rFonts w:ascii="宋体" w:hAnsi="宋体" w:cs="宋体"/>
          <w:color w:val="auto"/>
          <w:sz w:val="30"/>
          <w:highlight w:val="none"/>
        </w:rPr>
      </w:pPr>
      <w:r>
        <w:rPr>
          <w:rFonts w:hint="eastAsia" w:ascii="宋体" w:hAnsi="宋体" w:cs="宋体"/>
          <w:color w:val="auto"/>
          <w:sz w:val="30"/>
          <w:highlight w:val="none"/>
        </w:rPr>
        <w:t>签订时间：</w:t>
      </w:r>
    </w:p>
    <w:p w14:paraId="5CD34D83">
      <w:pPr>
        <w:rPr>
          <w:color w:val="auto"/>
          <w:highlight w:val="none"/>
        </w:rPr>
      </w:pPr>
    </w:p>
    <w:p w14:paraId="37ECC8CA">
      <w:pPr>
        <w:rPr>
          <w:rFonts w:eastAsia="黑体"/>
          <w:color w:val="auto"/>
          <w:sz w:val="44"/>
          <w:szCs w:val="44"/>
          <w:highlight w:val="none"/>
        </w:rPr>
      </w:pPr>
      <w:r>
        <w:rPr>
          <w:rFonts w:eastAsia="黑体"/>
          <w:color w:val="auto"/>
          <w:sz w:val="44"/>
          <w:szCs w:val="44"/>
          <w:highlight w:val="none"/>
        </w:rPr>
        <w:br w:type="page" w:clear="all"/>
      </w:r>
    </w:p>
    <w:p w14:paraId="3860EB2E">
      <w:pPr>
        <w:jc w:val="center"/>
        <w:rPr>
          <w:rFonts w:hint="eastAsia" w:eastAsia="黑体"/>
          <w:color w:val="auto"/>
          <w:sz w:val="44"/>
          <w:szCs w:val="44"/>
          <w:highlight w:val="none"/>
        </w:rPr>
      </w:pPr>
    </w:p>
    <w:p w14:paraId="040D7FCC">
      <w:pPr>
        <w:jc w:val="center"/>
        <w:rPr>
          <w:rFonts w:eastAsia="黑体"/>
          <w:color w:val="auto"/>
          <w:sz w:val="44"/>
          <w:szCs w:val="44"/>
          <w:highlight w:val="none"/>
        </w:rPr>
      </w:pPr>
      <w:r>
        <w:rPr>
          <w:rFonts w:hint="eastAsia" w:eastAsia="黑体"/>
          <w:color w:val="auto"/>
          <w:sz w:val="44"/>
          <w:szCs w:val="44"/>
          <w:highlight w:val="none"/>
        </w:rPr>
        <w:t>使用说明</w:t>
      </w:r>
    </w:p>
    <w:p w14:paraId="7DEB2FE2">
      <w:pPr>
        <w:ind w:firstLine="640"/>
        <w:rPr>
          <w:rFonts w:ascii="仿宋_GB2312" w:hAnsi="仿宋_GB2312" w:eastAsia="仿宋_GB2312" w:cs="仿宋_GB2312"/>
          <w:color w:val="auto"/>
          <w:sz w:val="32"/>
          <w:szCs w:val="32"/>
          <w:highlight w:val="none"/>
        </w:rPr>
      </w:pPr>
    </w:p>
    <w:p w14:paraId="0C5DA91A">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1.本合同标准文本适用于购买现成货物的采购项目，不包括需要供应商定制开发、创新研发的货物采购项目。</w:t>
      </w:r>
    </w:p>
    <w:p w14:paraId="3251A0A4">
      <w:pPr>
        <w:ind w:firstLine="640" w:firstLineChars="200"/>
        <w:rPr>
          <w:rFonts w:eastAsia="黑体"/>
          <w:color w:val="auto"/>
          <w:sz w:val="44"/>
          <w:szCs w:val="44"/>
          <w:highlight w:val="none"/>
        </w:rPr>
      </w:pPr>
      <w:r>
        <w:rPr>
          <w:rFonts w:hint="eastAsia" w:ascii="仿宋_GB2312" w:hAnsi="仿宋_GB2312" w:eastAsia="仿宋_GB2312" w:cs="仿宋_GB2312"/>
          <w:color w:val="auto"/>
          <w:sz w:val="32"/>
          <w:szCs w:val="32"/>
          <w:highlight w:val="none"/>
        </w:rPr>
        <w:t>2.本合同标准文本为政府采购货物买卖合同编制提供参考，可以结合采购项目具体情况，对文本作必要的调整修订后使用。</w:t>
      </w:r>
    </w:p>
    <w:p w14:paraId="21DFF2A9">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3.本合同标准文本各条款中，如涉及填写多家供应商、制造商，多种采购标的、分包主要内容等信息的，可根据采购项目具体情况添加信息项。</w:t>
      </w:r>
    </w:p>
    <w:p w14:paraId="2873FB7B">
      <w:pPr>
        <w:ind w:firstLine="880"/>
        <w:rPr>
          <w:rFonts w:eastAsia="黑体"/>
          <w:color w:val="auto"/>
          <w:sz w:val="44"/>
          <w:szCs w:val="44"/>
          <w:highlight w:val="none"/>
        </w:rPr>
        <w:sectPr>
          <w:footerReference r:id="rId3" w:type="default"/>
          <w:pgSz w:w="11906" w:h="16838"/>
          <w:pgMar w:top="1440" w:right="1361" w:bottom="1440" w:left="1474" w:header="851" w:footer="992" w:gutter="0"/>
          <w:cols w:space="425" w:num="1"/>
          <w:docGrid w:linePitch="360" w:charSpace="0"/>
        </w:sectPr>
      </w:pPr>
    </w:p>
    <w:bookmarkEnd w:id="166"/>
    <w:p w14:paraId="650889D4">
      <w:pPr>
        <w:keepNext/>
        <w:keepLines/>
        <w:spacing w:line="400" w:lineRule="exact"/>
        <w:jc w:val="center"/>
        <w:outlineLvl w:val="1"/>
        <w:rPr>
          <w:rFonts w:ascii="黑体" w:hAnsi="华文中宋" w:eastAsia="黑体"/>
          <w:color w:val="auto"/>
          <w:sz w:val="28"/>
          <w:szCs w:val="28"/>
          <w:highlight w:val="none"/>
        </w:rPr>
      </w:pPr>
      <w:bookmarkStart w:id="175" w:name="_Toc22209"/>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政府采购合同协议书</w:t>
      </w:r>
      <w:bookmarkEnd w:id="175"/>
    </w:p>
    <w:p w14:paraId="4CC72944">
      <w:pPr>
        <w:keepNext/>
        <w:keepLines/>
        <w:pageBreakBefore w:val="0"/>
        <w:kinsoku/>
        <w:wordWrap/>
        <w:overflowPunct/>
        <w:topLinePunct w:val="0"/>
        <w:bidi w:val="0"/>
        <w:spacing w:beforeAutospacing="0" w:afterAutospacing="0" w:line="400" w:lineRule="exact"/>
        <w:ind w:left="0" w:leftChars="0"/>
        <w:jc w:val="center"/>
        <w:textAlignment w:val="auto"/>
        <w:outlineLvl w:val="1"/>
        <w:rPr>
          <w:rFonts w:hint="eastAsia" w:ascii="宋体" w:hAnsi="宋体" w:eastAsia="宋体" w:cs="宋体"/>
          <w:color w:val="auto"/>
          <w:sz w:val="22"/>
          <w:szCs w:val="22"/>
          <w:highlight w:val="none"/>
        </w:rPr>
      </w:pPr>
    </w:p>
    <w:p w14:paraId="399F69C9">
      <w:pPr>
        <w:pageBreakBefore w:val="0"/>
        <w:kinsoku/>
        <w:wordWrap/>
        <w:overflowPunct/>
        <w:topLinePunct w:val="0"/>
        <w:bidi w:val="0"/>
        <w:spacing w:beforeAutospacing="0" w:afterAutospacing="0" w:line="400" w:lineRule="exact"/>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甲方（全称）：</w:t>
      </w:r>
    </w:p>
    <w:p w14:paraId="3E6BE041">
      <w:pPr>
        <w:pageBreakBefore w:val="0"/>
        <w:kinsoku/>
        <w:wordWrap/>
        <w:overflowPunct/>
        <w:topLinePunct w:val="0"/>
        <w:bidi w:val="0"/>
        <w:spacing w:beforeAutospacing="0" w:afterAutospacing="0" w:line="400" w:lineRule="exact"/>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乙方（全称）： </w:t>
      </w:r>
    </w:p>
    <w:p w14:paraId="3DA06E84">
      <w:pPr>
        <w:pageBreakBefore w:val="0"/>
        <w:kinsoku/>
        <w:wordWrap/>
        <w:overflowPunct/>
        <w:topLinePunct w:val="0"/>
        <w:bidi w:val="0"/>
        <w:spacing w:beforeAutospacing="0" w:afterAutospacing="0" w:line="400" w:lineRule="exact"/>
        <w:ind w:left="0" w:leftChars="0"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69C02C3A">
      <w:pPr>
        <w:pageBreakBefore w:val="0"/>
        <w:numPr>
          <w:ilvl w:val="0"/>
          <w:numId w:val="1"/>
        </w:numPr>
        <w:kinsoku/>
        <w:wordWrap/>
        <w:overflowPunct/>
        <w:topLinePunct w:val="0"/>
        <w:bidi w:val="0"/>
        <w:spacing w:beforeAutospacing="0" w:afterAutospacing="0" w:line="400" w:lineRule="exact"/>
        <w:ind w:left="0" w:leftChars="0"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项目信息</w:t>
      </w:r>
    </w:p>
    <w:p w14:paraId="7A5774AD">
      <w:pPr>
        <w:pageBreakBefore w:val="0"/>
        <w:numPr>
          <w:ilvl w:val="0"/>
          <w:numId w:val="2"/>
        </w:numPr>
        <w:kinsoku/>
        <w:wordWrap/>
        <w:overflowPunct/>
        <w:topLinePunct w:val="0"/>
        <w:bidi w:val="0"/>
        <w:spacing w:beforeAutospacing="0" w:afterAutospacing="0" w:line="400" w:lineRule="exact"/>
        <w:ind w:left="0" w:leftChars="0" w:firstLine="480"/>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采购项目名称：</w:t>
      </w:r>
      <w:r>
        <w:rPr>
          <w:rFonts w:hint="eastAsia" w:ascii="宋体" w:hAnsi="宋体" w:eastAsia="宋体" w:cs="宋体"/>
          <w:color w:val="auto"/>
          <w:sz w:val="21"/>
          <w:szCs w:val="21"/>
          <w:highlight w:val="none"/>
          <w:lang w:eastAsia="zh-CN"/>
        </w:rPr>
        <w:t>阜宁县数字化医共体公共设施和智慧医疗服务能力提升项目</w:t>
      </w:r>
    </w:p>
    <w:p w14:paraId="719F02CA">
      <w:pPr>
        <w:pageBreakBefore w:val="0"/>
        <w:numPr>
          <w:ilvl w:val="255"/>
          <w:numId w:val="0"/>
        </w:numPr>
        <w:tabs>
          <w:tab w:val="left" w:pos="999"/>
        </w:tabs>
        <w:kinsoku/>
        <w:wordWrap/>
        <w:overflowPunct/>
        <w:topLinePunct w:val="0"/>
        <w:bidi w:val="0"/>
        <w:spacing w:beforeAutospacing="0" w:afterAutospacing="0" w:line="400" w:lineRule="exact"/>
        <w:ind w:left="0" w:leftChars="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采购项目编号：</w:t>
      </w:r>
    </w:p>
    <w:p w14:paraId="6B886440">
      <w:pPr>
        <w:pageBreakBefore w:val="0"/>
        <w:kinsoku/>
        <w:wordWrap/>
        <w:overflowPunct/>
        <w:topLinePunct w:val="0"/>
        <w:bidi w:val="0"/>
        <w:spacing w:beforeAutospacing="0" w:afterAutospacing="0" w:line="400" w:lineRule="exact"/>
        <w:ind w:left="0" w:leftChars="0"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（2）采购计划编号：</w:t>
      </w:r>
    </w:p>
    <w:p w14:paraId="1D3BEEE4">
      <w:pPr>
        <w:keepNext w:val="0"/>
        <w:keepLines w:val="0"/>
        <w:pageBreakBefore w:val="0"/>
        <w:kinsoku/>
        <w:wordWrap/>
        <w:overflowPunct/>
        <w:topLinePunct w:val="0"/>
        <w:autoSpaceDE/>
        <w:autoSpaceDN/>
        <w:bidi w:val="0"/>
        <w:adjustRightInd/>
        <w:snapToGrid/>
        <w:spacing w:beforeAutospacing="0" w:afterAutospacing="0" w:line="360" w:lineRule="exact"/>
        <w:ind w:left="0" w:leftChars="0"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（3）项目内容：</w:t>
      </w:r>
      <w:r>
        <w:rPr>
          <w:rFonts w:hint="eastAsia" w:ascii="宋体" w:hAnsi="宋体" w:eastAsia="宋体" w:cs="宋体"/>
          <w:color w:val="auto"/>
          <w:sz w:val="22"/>
          <w:szCs w:val="22"/>
          <w:highlight w:val="none"/>
          <w:lang w:eastAsia="zh-CN"/>
        </w:rPr>
        <w:t>本</w:t>
      </w:r>
      <w:r>
        <w:rPr>
          <w:rFonts w:hint="eastAsia" w:ascii="宋体" w:hAnsi="宋体" w:eastAsia="宋体" w:cs="宋体"/>
          <w:color w:val="auto"/>
          <w:sz w:val="22"/>
          <w:szCs w:val="22"/>
          <w:highlight w:val="none"/>
          <w:lang w:val="en-US" w:eastAsia="zh-CN"/>
        </w:rPr>
        <w:t>为加快推阜宁县数字化医共体建设，实现集中建设、集中办公、集成管理；拟对我县内人民医院和各乡镇卫生院各类信息化系统软件进行升级，相关设备的</w:t>
      </w:r>
      <w:r>
        <w:rPr>
          <w:rFonts w:hint="eastAsia" w:ascii="宋体" w:hAnsi="宋体" w:eastAsia="宋体" w:cs="宋体"/>
          <w:color w:val="auto"/>
          <w:sz w:val="22"/>
          <w:szCs w:val="22"/>
          <w:highlight w:val="none"/>
        </w:rPr>
        <w:t>采购、供应、运输、安装、调试、售后</w:t>
      </w:r>
      <w:r>
        <w:rPr>
          <w:rFonts w:hint="eastAsia" w:ascii="宋体" w:hAnsi="宋体" w:eastAsia="宋体" w:cs="宋体"/>
          <w:color w:val="auto"/>
          <w:sz w:val="22"/>
          <w:szCs w:val="22"/>
          <w:highlight w:val="none"/>
          <w:lang w:val="en-US" w:eastAsia="zh-CN"/>
        </w:rPr>
        <w:t>以及相关衍生服务等</w:t>
      </w:r>
      <w:r>
        <w:rPr>
          <w:rFonts w:hint="eastAsia" w:ascii="宋体" w:hAnsi="宋体" w:eastAsia="宋体" w:cs="宋体"/>
          <w:color w:val="auto"/>
          <w:sz w:val="22"/>
          <w:szCs w:val="22"/>
          <w:highlight w:val="none"/>
          <w:lang w:eastAsia="zh-CN"/>
        </w:rPr>
        <w:t>。</w:t>
      </w:r>
    </w:p>
    <w:p w14:paraId="48A8B125">
      <w:pPr>
        <w:keepNext w:val="0"/>
        <w:keepLines w:val="0"/>
        <w:pageBreakBefore w:val="0"/>
        <w:kinsoku/>
        <w:wordWrap/>
        <w:overflowPunct/>
        <w:topLinePunct w:val="0"/>
        <w:autoSpaceDE/>
        <w:autoSpaceDN/>
        <w:bidi w:val="0"/>
        <w:adjustRightInd/>
        <w:snapToGrid/>
        <w:spacing w:beforeAutospacing="0" w:afterAutospacing="0" w:line="360" w:lineRule="exact"/>
        <w:ind w:firstLine="880" w:firstLineChars="400"/>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采购标的及数量（台/套/个/架/组等）：</w:t>
      </w:r>
      <w:r>
        <w:rPr>
          <w:rFonts w:hint="eastAsia" w:ascii="宋体" w:hAnsi="宋体" w:eastAsia="宋体" w:cs="宋体"/>
          <w:color w:val="auto"/>
          <w:sz w:val="22"/>
          <w:szCs w:val="22"/>
          <w:highlight w:val="none"/>
          <w:lang w:eastAsia="zh-CN"/>
        </w:rPr>
        <w:t>详见本项目招标文件。</w:t>
      </w:r>
    </w:p>
    <w:p w14:paraId="106D128E">
      <w:pPr>
        <w:keepNext w:val="0"/>
        <w:keepLines w:val="0"/>
        <w:pageBreakBefore w:val="0"/>
        <w:numPr>
          <w:ilvl w:val="255"/>
          <w:numId w:val="0"/>
        </w:numPr>
        <w:kinsoku/>
        <w:wordWrap/>
        <w:overflowPunct/>
        <w:topLinePunct w:val="0"/>
        <w:autoSpaceDE/>
        <w:autoSpaceDN/>
        <w:bidi w:val="0"/>
        <w:adjustRightInd/>
        <w:snapToGrid/>
        <w:spacing w:beforeAutospacing="0" w:afterAutospacing="0" w:line="360" w:lineRule="exact"/>
        <w:ind w:firstLine="880" w:firstLineChars="4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品牌：</w:t>
      </w:r>
      <w:r>
        <w:rPr>
          <w:rFonts w:hint="eastAsia" w:ascii="宋体" w:hAnsi="宋体" w:eastAsia="宋体" w:cs="宋体"/>
          <w:color w:val="auto"/>
          <w:sz w:val="21"/>
          <w:szCs w:val="21"/>
          <w:highlight w:val="none"/>
          <w:lang w:eastAsia="zh-CN"/>
        </w:rPr>
        <w:t>详见乙方的投标文件。</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2"/>
          <w:szCs w:val="22"/>
          <w:highlight w:val="none"/>
        </w:rPr>
        <w:t>规格型号：</w:t>
      </w:r>
      <w:r>
        <w:rPr>
          <w:rFonts w:hint="eastAsia" w:ascii="宋体" w:hAnsi="宋体" w:eastAsia="宋体" w:cs="宋体"/>
          <w:color w:val="auto"/>
          <w:sz w:val="21"/>
          <w:szCs w:val="21"/>
          <w:highlight w:val="none"/>
          <w:lang w:eastAsia="zh-CN"/>
        </w:rPr>
        <w:t>详见乙方的投标文件。</w:t>
      </w:r>
    </w:p>
    <w:p w14:paraId="7C54D357">
      <w:pPr>
        <w:keepNext w:val="0"/>
        <w:keepLines w:val="0"/>
        <w:pageBreakBefore w:val="0"/>
        <w:kinsoku/>
        <w:wordWrap/>
        <w:overflowPunct/>
        <w:topLinePunct w:val="0"/>
        <w:autoSpaceDE/>
        <w:autoSpaceDN/>
        <w:bidi w:val="0"/>
        <w:adjustRightInd/>
        <w:snapToGrid/>
        <w:spacing w:beforeAutospacing="0" w:afterAutospacing="0" w:line="360" w:lineRule="exact"/>
        <w:ind w:firstLine="880" w:firstLineChars="400"/>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采购标的的技术要求、商务要求具体见附件。</w:t>
      </w:r>
    </w:p>
    <w:p w14:paraId="4AD872B8">
      <w:pPr>
        <w:keepNext w:val="0"/>
        <w:keepLines w:val="0"/>
        <w:pageBreakBefore w:val="0"/>
        <w:numPr>
          <w:ilvl w:val="255"/>
          <w:numId w:val="0"/>
        </w:numPr>
        <w:kinsoku/>
        <w:wordWrap/>
        <w:overflowPunct/>
        <w:topLinePunct w:val="0"/>
        <w:autoSpaceDE/>
        <w:autoSpaceDN/>
        <w:bidi w:val="0"/>
        <w:adjustRightInd/>
        <w:snapToGrid/>
        <w:spacing w:beforeAutospacing="0" w:afterAutospacing="0" w:line="360" w:lineRule="exact"/>
        <w:ind w:firstLine="880" w:firstLineChars="4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①涉及信息类产品，请填写该产品关键部件的品牌、型号：</w:t>
      </w:r>
      <w:r>
        <w:rPr>
          <w:rFonts w:hint="eastAsia" w:ascii="宋体" w:hAnsi="宋体" w:eastAsia="宋体" w:cs="宋体"/>
          <w:color w:val="auto"/>
          <w:sz w:val="22"/>
          <w:szCs w:val="22"/>
          <w:highlight w:val="none"/>
          <w:lang w:val="en-US" w:eastAsia="zh-CN"/>
        </w:rPr>
        <w:t>/</w:t>
      </w:r>
    </w:p>
    <w:p w14:paraId="66876D8B">
      <w:pPr>
        <w:keepNext w:val="0"/>
        <w:keepLines w:val="0"/>
        <w:pageBreakBefore w:val="0"/>
        <w:widowControl/>
        <w:numPr>
          <w:ilvl w:val="255"/>
          <w:numId w:val="0"/>
        </w:numPr>
        <w:kinsoku/>
        <w:wordWrap/>
        <w:overflowPunct/>
        <w:topLinePunct w:val="0"/>
        <w:autoSpaceDE/>
        <w:autoSpaceDN/>
        <w:bidi w:val="0"/>
        <w:adjustRightInd/>
        <w:snapToGrid/>
        <w:spacing w:beforeAutospacing="0" w:afterAutospacing="0" w:line="360" w:lineRule="exact"/>
        <w:ind w:left="0" w:leftChars="0" w:firstLine="880" w:firstLineChars="4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②涉及车辆采购，请填写是否属于新能源汽车：</w:t>
      </w:r>
      <w:r>
        <w:rPr>
          <w:rFonts w:hint="eastAsia" w:ascii="宋体" w:hAnsi="宋体" w:eastAsia="宋体" w:cs="宋体"/>
          <w:color w:val="auto"/>
          <w:sz w:val="22"/>
          <w:szCs w:val="22"/>
          <w:highlight w:val="none"/>
          <w:lang w:val="en-US" w:eastAsia="zh-CN"/>
        </w:rPr>
        <w:t>/</w:t>
      </w:r>
    </w:p>
    <w:p w14:paraId="5E641AC5">
      <w:pPr>
        <w:keepNext w:val="0"/>
        <w:keepLines w:val="0"/>
        <w:pageBreakBefore w:val="0"/>
        <w:widowControl/>
        <w:numPr>
          <w:ilvl w:val="255"/>
          <w:numId w:val="0"/>
        </w:numPr>
        <w:kinsoku/>
        <w:wordWrap/>
        <w:overflowPunct/>
        <w:topLinePunct w:val="0"/>
        <w:autoSpaceDE/>
        <w:autoSpaceDN/>
        <w:bidi w:val="0"/>
        <w:adjustRightInd/>
        <w:snapToGrid/>
        <w:spacing w:beforeAutospacing="0" w:afterAutospacing="0" w:line="360" w:lineRule="exact"/>
        <w:ind w:left="0" w:leftChars="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（4）政府采购组织形式：</w:t>
      </w:r>
      <w:r>
        <w:rPr>
          <w:rFonts w:hint="eastAsia" w:ascii="宋体" w:hAnsi="宋体" w:eastAsia="宋体" w:cs="宋体"/>
          <w:color w:val="auto"/>
          <w:sz w:val="22"/>
          <w:szCs w:val="22"/>
          <w:highlight w:val="none"/>
        </w:rPr>
        <w:sym w:font="Wingdings" w:char="00FE"/>
      </w:r>
      <w:r>
        <w:rPr>
          <w:rFonts w:hint="eastAsia" w:ascii="宋体" w:hAnsi="宋体" w:eastAsia="宋体" w:cs="宋体"/>
          <w:color w:val="auto"/>
          <w:sz w:val="22"/>
          <w:szCs w:val="22"/>
          <w:highlight w:val="none"/>
        </w:rPr>
        <w:t>政府集中采购</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部门集中采购</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分散采购</w:t>
      </w:r>
    </w:p>
    <w:p w14:paraId="14439AD6">
      <w:pPr>
        <w:keepNext w:val="0"/>
        <w:keepLines w:val="0"/>
        <w:pageBreakBefore w:val="0"/>
        <w:widowControl/>
        <w:numPr>
          <w:ilvl w:val="255"/>
          <w:numId w:val="0"/>
        </w:numPr>
        <w:kinsoku/>
        <w:wordWrap/>
        <w:overflowPunct/>
        <w:topLinePunct w:val="0"/>
        <w:autoSpaceDE/>
        <w:autoSpaceDN/>
        <w:bidi w:val="0"/>
        <w:adjustRightInd/>
        <w:snapToGrid/>
        <w:spacing w:beforeAutospacing="0" w:afterAutospacing="0" w:line="360" w:lineRule="exact"/>
        <w:ind w:left="0" w:leftChars="0" w:firstLine="420"/>
        <w:jc w:val="left"/>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（5）政府采购方式：</w:t>
      </w:r>
      <w:r>
        <w:rPr>
          <w:rFonts w:hint="eastAsia" w:ascii="宋体" w:hAnsi="宋体" w:eastAsia="宋体" w:cs="宋体"/>
          <w:color w:val="auto"/>
          <w:sz w:val="22"/>
          <w:szCs w:val="22"/>
          <w:highlight w:val="none"/>
        </w:rPr>
        <w:sym w:font="Wingdings" w:char="00FE"/>
      </w:r>
      <w:r>
        <w:rPr>
          <w:rFonts w:hint="eastAsia" w:ascii="宋体" w:hAnsi="宋体" w:eastAsia="宋体" w:cs="宋体"/>
          <w:color w:val="auto"/>
          <w:sz w:val="22"/>
          <w:szCs w:val="22"/>
          <w:highlight w:val="none"/>
        </w:rPr>
        <w:t>公开招标</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邀请招标</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竞争性谈判</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竞争性磋商</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询价</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单一来源</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框架协议</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其他：</w:t>
      </w:r>
    </w:p>
    <w:p w14:paraId="7BE16E37">
      <w:pPr>
        <w:keepNext w:val="0"/>
        <w:keepLines w:val="0"/>
        <w:pageBreakBefore w:val="0"/>
        <w:widowControl/>
        <w:numPr>
          <w:ilvl w:val="255"/>
          <w:numId w:val="0"/>
        </w:numPr>
        <w:kinsoku/>
        <w:wordWrap/>
        <w:overflowPunct/>
        <w:topLinePunct w:val="0"/>
        <w:autoSpaceDE/>
        <w:autoSpaceDN/>
        <w:bidi w:val="0"/>
        <w:adjustRightInd/>
        <w:snapToGrid/>
        <w:spacing w:beforeAutospacing="0" w:afterAutospacing="0" w:line="360" w:lineRule="exact"/>
        <w:ind w:left="0" w:leftChars="0" w:firstLine="24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（6）中标（成交）采购标的制造商是否为中小企业：</w:t>
      </w: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 xml:space="preserve">是 </w:t>
      </w: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否</w:t>
      </w:r>
    </w:p>
    <w:p w14:paraId="4700FF8E">
      <w:pPr>
        <w:keepNext w:val="0"/>
        <w:keepLines w:val="0"/>
        <w:pageBreakBefore w:val="0"/>
        <w:numPr>
          <w:ilvl w:val="255"/>
          <w:numId w:val="0"/>
        </w:numPr>
        <w:kinsoku/>
        <w:wordWrap/>
        <w:overflowPunct/>
        <w:topLinePunct w:val="0"/>
        <w:autoSpaceDE/>
        <w:autoSpaceDN/>
        <w:bidi w:val="0"/>
        <w:adjustRightInd/>
        <w:snapToGrid/>
        <w:spacing w:beforeAutospacing="0" w:afterAutospacing="0" w:line="360" w:lineRule="exact"/>
        <w:ind w:left="0" w:leftChars="0"/>
        <w:textAlignment w:val="auto"/>
        <w:rPr>
          <w:rFonts w:hint="eastAsia" w:ascii="宋体" w:hAnsi="宋体" w:eastAsia="宋体" w:cs="宋体"/>
          <w:iCs/>
          <w:color w:val="auto"/>
          <w:sz w:val="22"/>
          <w:szCs w:val="22"/>
          <w:highlight w:val="none"/>
        </w:rPr>
      </w:pPr>
      <w:r>
        <w:rPr>
          <w:rFonts w:hint="eastAsia" w:ascii="宋体" w:hAnsi="宋体" w:eastAsia="宋体" w:cs="宋体"/>
          <w:color w:val="auto"/>
          <w:sz w:val="22"/>
          <w:szCs w:val="22"/>
          <w:highlight w:val="none"/>
        </w:rPr>
        <w:t xml:space="preserve">         本合同是否为专门面向中小企业的采购合同（中小企业预留合同）：</w:t>
      </w: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 xml:space="preserve">是 </w:t>
      </w:r>
      <w:r>
        <w:rPr>
          <w:rFonts w:hint="eastAsia" w:ascii="宋体" w:hAnsi="宋体" w:eastAsia="宋体" w:cs="宋体"/>
          <w:color w:val="auto"/>
          <w:sz w:val="22"/>
          <w:szCs w:val="22"/>
          <w:highlight w:val="none"/>
        </w:rPr>
        <w:sym w:font="Wingdings" w:char="00FE"/>
      </w:r>
      <w:r>
        <w:rPr>
          <w:rFonts w:hint="eastAsia" w:ascii="宋体" w:hAnsi="宋体" w:eastAsia="宋体" w:cs="宋体"/>
          <w:color w:val="auto"/>
          <w:sz w:val="22"/>
          <w:szCs w:val="22"/>
          <w:highlight w:val="none"/>
        </w:rPr>
        <w:t>否</w:t>
      </w:r>
    </w:p>
    <w:p w14:paraId="32659939">
      <w:pPr>
        <w:keepNext w:val="0"/>
        <w:keepLines w:val="0"/>
        <w:pageBreakBefore w:val="0"/>
        <w:numPr>
          <w:ilvl w:val="255"/>
          <w:numId w:val="0"/>
        </w:numPr>
        <w:kinsoku/>
        <w:wordWrap/>
        <w:overflowPunct/>
        <w:topLinePunct w:val="0"/>
        <w:autoSpaceDE/>
        <w:autoSpaceDN/>
        <w:bidi w:val="0"/>
        <w:adjustRightInd/>
        <w:snapToGrid/>
        <w:spacing w:beforeAutospacing="0" w:afterAutospacing="0" w:line="360" w:lineRule="exact"/>
        <w:ind w:left="0" w:leftChars="0"/>
        <w:textAlignment w:val="auto"/>
        <w:rPr>
          <w:rFonts w:hint="eastAsia" w:ascii="宋体" w:hAnsi="宋体" w:eastAsia="宋体" w:cs="宋体"/>
          <w:iCs/>
          <w:color w:val="auto"/>
          <w:sz w:val="22"/>
          <w:szCs w:val="22"/>
          <w:highlight w:val="none"/>
        </w:rPr>
      </w:pPr>
      <w:r>
        <w:rPr>
          <w:rFonts w:hint="eastAsia" w:ascii="宋体" w:hAnsi="宋体" w:eastAsia="宋体" w:cs="宋体"/>
          <w:color w:val="auto"/>
          <w:sz w:val="22"/>
          <w:szCs w:val="22"/>
          <w:highlight w:val="none"/>
        </w:rPr>
        <w:t xml:space="preserve">         若本项目不专门面向中小企业采购，是否给予小微企业评审优惠：</w:t>
      </w:r>
      <w:r>
        <w:rPr>
          <w:rFonts w:hint="eastAsia" w:ascii="宋体" w:hAnsi="宋体" w:eastAsia="宋体" w:cs="宋体"/>
          <w:color w:val="auto"/>
          <w:sz w:val="22"/>
          <w:szCs w:val="22"/>
          <w:highlight w:val="none"/>
        </w:rPr>
        <w:sym w:font="Wingdings" w:char="00FE"/>
      </w:r>
      <w:r>
        <w:rPr>
          <w:rFonts w:hint="eastAsia" w:ascii="宋体" w:hAnsi="宋体" w:eastAsia="宋体" w:cs="宋体"/>
          <w:color w:val="auto"/>
          <w:sz w:val="22"/>
          <w:szCs w:val="22"/>
          <w:highlight w:val="none"/>
        </w:rPr>
        <w:t xml:space="preserve">是 </w:t>
      </w: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否</w:t>
      </w:r>
    </w:p>
    <w:p w14:paraId="79AFA697">
      <w:pPr>
        <w:keepNext w:val="0"/>
        <w:keepLines w:val="0"/>
        <w:pageBreakBefore w:val="0"/>
        <w:numPr>
          <w:ilvl w:val="255"/>
          <w:numId w:val="0"/>
        </w:numPr>
        <w:kinsoku/>
        <w:wordWrap/>
        <w:overflowPunct/>
        <w:topLinePunct w:val="0"/>
        <w:autoSpaceDE/>
        <w:autoSpaceDN/>
        <w:bidi w:val="0"/>
        <w:adjustRightInd/>
        <w:snapToGrid/>
        <w:spacing w:beforeAutospacing="0" w:afterAutospacing="0" w:line="360" w:lineRule="exact"/>
        <w:ind w:left="0" w:leftChars="0"/>
        <w:textAlignment w:val="auto"/>
        <w:rPr>
          <w:rFonts w:hint="eastAsia" w:ascii="宋体" w:hAnsi="宋体" w:eastAsia="宋体" w:cs="宋体"/>
          <w:iCs/>
          <w:color w:val="auto"/>
          <w:sz w:val="22"/>
          <w:szCs w:val="22"/>
          <w:highlight w:val="none"/>
        </w:rPr>
      </w:pPr>
      <w:r>
        <w:rPr>
          <w:rFonts w:hint="eastAsia" w:ascii="宋体" w:hAnsi="宋体" w:eastAsia="宋体" w:cs="宋体"/>
          <w:color w:val="auto"/>
          <w:sz w:val="22"/>
          <w:szCs w:val="22"/>
          <w:highlight w:val="none"/>
        </w:rPr>
        <w:t xml:space="preserve">         中标（成交）采购标的制造商是否为残疾人福利性单位：</w:t>
      </w: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 xml:space="preserve">是 </w:t>
      </w: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否</w:t>
      </w:r>
    </w:p>
    <w:p w14:paraId="42C91FBD">
      <w:pPr>
        <w:keepNext w:val="0"/>
        <w:keepLines w:val="0"/>
        <w:pageBreakBefore w:val="0"/>
        <w:kinsoku/>
        <w:wordWrap/>
        <w:overflowPunct/>
        <w:topLinePunct w:val="0"/>
        <w:autoSpaceDE/>
        <w:autoSpaceDN/>
        <w:bidi w:val="0"/>
        <w:adjustRightInd/>
        <w:snapToGrid/>
        <w:spacing w:beforeAutospacing="0" w:afterAutospacing="0" w:line="360" w:lineRule="exact"/>
        <w:ind w:left="0" w:leftChars="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中标（成交）采购标的制造商是否为监狱企业：</w:t>
      </w: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 xml:space="preserve">是 </w:t>
      </w: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否</w:t>
      </w:r>
    </w:p>
    <w:p w14:paraId="2BD93EAB">
      <w:pPr>
        <w:keepNext w:val="0"/>
        <w:keepLines w:val="0"/>
        <w:pageBreakBefore w:val="0"/>
        <w:kinsoku/>
        <w:wordWrap/>
        <w:overflowPunct/>
        <w:topLinePunct w:val="0"/>
        <w:autoSpaceDE/>
        <w:autoSpaceDN/>
        <w:bidi w:val="0"/>
        <w:adjustRightInd/>
        <w:snapToGrid/>
        <w:spacing w:beforeAutospacing="0" w:afterAutospacing="0" w:line="360" w:lineRule="exact"/>
        <w:ind w:left="0" w:leftChars="0"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（7）合同是否分包：</w:t>
      </w: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 xml:space="preserve">是 </w:t>
      </w:r>
      <w:r>
        <w:rPr>
          <w:rFonts w:hint="eastAsia" w:ascii="宋体" w:hAnsi="宋体" w:eastAsia="宋体" w:cs="宋体"/>
          <w:color w:val="auto"/>
          <w:sz w:val="22"/>
          <w:szCs w:val="22"/>
          <w:highlight w:val="none"/>
        </w:rPr>
        <w:sym w:font="Wingdings" w:char="00FE"/>
      </w:r>
      <w:r>
        <w:rPr>
          <w:rFonts w:hint="eastAsia" w:ascii="宋体" w:hAnsi="宋体" w:eastAsia="宋体" w:cs="宋体"/>
          <w:color w:val="auto"/>
          <w:sz w:val="22"/>
          <w:szCs w:val="22"/>
          <w:highlight w:val="none"/>
        </w:rPr>
        <w:t>否</w:t>
      </w:r>
    </w:p>
    <w:p w14:paraId="20690BA9">
      <w:pPr>
        <w:keepNext w:val="0"/>
        <w:keepLines w:val="0"/>
        <w:pageBreakBefore w:val="0"/>
        <w:kinsoku/>
        <w:wordWrap/>
        <w:overflowPunct/>
        <w:topLinePunct w:val="0"/>
        <w:autoSpaceDE/>
        <w:autoSpaceDN/>
        <w:bidi w:val="0"/>
        <w:adjustRightInd/>
        <w:snapToGrid/>
        <w:spacing w:beforeAutospacing="0" w:afterAutospacing="0" w:line="360" w:lineRule="exact"/>
        <w:ind w:left="0" w:leftChars="0" w:firstLine="960"/>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分包主要内容：</w:t>
      </w:r>
    </w:p>
    <w:p w14:paraId="21E41D54">
      <w:pPr>
        <w:keepNext w:val="0"/>
        <w:keepLines w:val="0"/>
        <w:pageBreakBefore w:val="0"/>
        <w:kinsoku/>
        <w:wordWrap/>
        <w:overflowPunct/>
        <w:topLinePunct w:val="0"/>
        <w:autoSpaceDE/>
        <w:autoSpaceDN/>
        <w:bidi w:val="0"/>
        <w:adjustRightInd/>
        <w:snapToGrid/>
        <w:spacing w:beforeAutospacing="0" w:afterAutospacing="0" w:line="360" w:lineRule="exact"/>
        <w:ind w:left="0" w:leftChars="0" w:firstLine="96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分包供应商/制造商名称（如供应商和制造商不同，请分别填写）：</w:t>
      </w:r>
    </w:p>
    <w:p w14:paraId="0CBE5A85">
      <w:pPr>
        <w:keepNext w:val="0"/>
        <w:keepLines w:val="0"/>
        <w:pageBreakBefore w:val="0"/>
        <w:kinsoku/>
        <w:wordWrap/>
        <w:overflowPunct/>
        <w:topLinePunct w:val="0"/>
        <w:autoSpaceDE/>
        <w:autoSpaceDN/>
        <w:bidi w:val="0"/>
        <w:adjustRightInd/>
        <w:snapToGrid/>
        <w:spacing w:beforeAutospacing="0" w:afterAutospacing="0" w:line="360" w:lineRule="exact"/>
        <w:ind w:left="0" w:leftChars="0" w:firstLine="96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分包供应商/制造商类型（如果供应商和制造商不同，只填写制造商类型）：</w:t>
      </w:r>
    </w:p>
    <w:p w14:paraId="1D369445">
      <w:pPr>
        <w:keepNext w:val="0"/>
        <w:keepLines w:val="0"/>
        <w:pageBreakBefore w:val="0"/>
        <w:kinsoku/>
        <w:wordWrap/>
        <w:overflowPunct/>
        <w:topLinePunct w:val="0"/>
        <w:autoSpaceDE/>
        <w:autoSpaceDN/>
        <w:bidi w:val="0"/>
        <w:adjustRightInd/>
        <w:snapToGrid/>
        <w:spacing w:beforeAutospacing="0" w:afterAutospacing="0" w:line="360" w:lineRule="exact"/>
        <w:ind w:left="0" w:leftChars="0" w:firstLine="960"/>
        <w:textAlignment w:val="auto"/>
        <w:rPr>
          <w:rFonts w:hint="eastAsia" w:ascii="宋体" w:hAnsi="宋体" w:eastAsia="宋体" w:cs="宋体"/>
          <w:iCs/>
          <w:color w:val="auto"/>
          <w:sz w:val="22"/>
          <w:szCs w:val="22"/>
          <w:highlight w:val="none"/>
        </w:rPr>
      </w:pPr>
      <w:r>
        <w:rPr>
          <w:rFonts w:hint="eastAsia" w:ascii="宋体" w:hAnsi="宋体" w:eastAsia="宋体" w:cs="宋体"/>
          <w:iCs/>
          <w:color w:val="auto"/>
          <w:sz w:val="22"/>
          <w:szCs w:val="22"/>
          <w:highlight w:val="none"/>
        </w:rPr>
        <w:t></w:t>
      </w:r>
      <w:r>
        <w:rPr>
          <w:rFonts w:hint="eastAsia" w:ascii="宋体" w:hAnsi="宋体" w:eastAsia="宋体" w:cs="宋体"/>
          <w:color w:val="auto"/>
          <w:sz w:val="22"/>
          <w:szCs w:val="22"/>
          <w:highlight w:val="none"/>
        </w:rPr>
        <w:sym w:font="Wingdings" w:char="00A8"/>
      </w:r>
      <w:r>
        <w:rPr>
          <w:rFonts w:hint="eastAsia" w:ascii="宋体" w:hAnsi="宋体" w:eastAsia="宋体" w:cs="宋体"/>
          <w:iCs/>
          <w:color w:val="auto"/>
          <w:sz w:val="22"/>
          <w:szCs w:val="22"/>
          <w:highlight w:val="none"/>
        </w:rPr>
        <w:t>大型企业  </w:t>
      </w:r>
      <w:r>
        <w:rPr>
          <w:rFonts w:hint="eastAsia" w:ascii="宋体" w:hAnsi="宋体" w:eastAsia="宋体" w:cs="宋体"/>
          <w:color w:val="auto"/>
          <w:sz w:val="22"/>
          <w:szCs w:val="22"/>
          <w:highlight w:val="none"/>
        </w:rPr>
        <w:sym w:font="Wingdings" w:char="00A8"/>
      </w:r>
      <w:r>
        <w:rPr>
          <w:rFonts w:hint="eastAsia" w:ascii="宋体" w:hAnsi="宋体" w:eastAsia="宋体" w:cs="宋体"/>
          <w:iCs/>
          <w:color w:val="auto"/>
          <w:sz w:val="22"/>
          <w:szCs w:val="22"/>
          <w:highlight w:val="none"/>
        </w:rPr>
        <w:t>中型企业  </w:t>
      </w:r>
      <w:r>
        <w:rPr>
          <w:rFonts w:hint="eastAsia" w:ascii="宋体" w:hAnsi="宋体" w:eastAsia="宋体" w:cs="宋体"/>
          <w:color w:val="auto"/>
          <w:sz w:val="22"/>
          <w:szCs w:val="22"/>
          <w:highlight w:val="none"/>
        </w:rPr>
        <w:sym w:font="Wingdings" w:char="00A8"/>
      </w:r>
      <w:r>
        <w:rPr>
          <w:rFonts w:hint="eastAsia" w:ascii="宋体" w:hAnsi="宋体" w:eastAsia="宋体" w:cs="宋体"/>
          <w:iCs/>
          <w:color w:val="auto"/>
          <w:sz w:val="22"/>
          <w:szCs w:val="22"/>
          <w:highlight w:val="none"/>
        </w:rPr>
        <w:t>小微型企业</w:t>
      </w:r>
    </w:p>
    <w:p w14:paraId="733CA649">
      <w:pPr>
        <w:keepNext w:val="0"/>
        <w:keepLines w:val="0"/>
        <w:pageBreakBefore w:val="0"/>
        <w:kinsoku/>
        <w:wordWrap/>
        <w:overflowPunct/>
        <w:topLinePunct w:val="0"/>
        <w:autoSpaceDE/>
        <w:autoSpaceDN/>
        <w:bidi w:val="0"/>
        <w:adjustRightInd/>
        <w:snapToGrid/>
        <w:spacing w:beforeAutospacing="0" w:afterAutospacing="0" w:line="360" w:lineRule="exact"/>
        <w:ind w:left="0" w:leftChars="0" w:firstLine="960"/>
        <w:textAlignment w:val="auto"/>
        <w:rPr>
          <w:rFonts w:hint="eastAsia" w:ascii="宋体" w:hAnsi="宋体" w:eastAsia="宋体" w:cs="宋体"/>
          <w:color w:val="auto"/>
          <w:sz w:val="22"/>
          <w:szCs w:val="22"/>
          <w:highlight w:val="none"/>
        </w:rPr>
      </w:pPr>
      <w:r>
        <w:rPr>
          <w:rFonts w:hint="eastAsia" w:ascii="宋体" w:hAnsi="宋体" w:eastAsia="宋体" w:cs="宋体"/>
          <w:iCs/>
          <w:color w:val="auto"/>
          <w:sz w:val="22"/>
          <w:szCs w:val="22"/>
          <w:highlight w:val="none"/>
        </w:rPr>
        <w:t></w:t>
      </w:r>
      <w:r>
        <w:rPr>
          <w:rFonts w:hint="eastAsia" w:ascii="宋体" w:hAnsi="宋体" w:eastAsia="宋体" w:cs="宋体"/>
          <w:color w:val="auto"/>
          <w:sz w:val="22"/>
          <w:szCs w:val="22"/>
          <w:highlight w:val="none"/>
        </w:rPr>
        <w:sym w:font="Wingdings" w:char="00A8"/>
      </w:r>
      <w:r>
        <w:rPr>
          <w:rFonts w:hint="eastAsia" w:ascii="宋体" w:hAnsi="宋体" w:eastAsia="宋体" w:cs="宋体"/>
          <w:iCs/>
          <w:color w:val="auto"/>
          <w:sz w:val="22"/>
          <w:szCs w:val="22"/>
          <w:highlight w:val="none"/>
        </w:rPr>
        <w:t>残疾人福利性单位</w:t>
      </w:r>
      <w:r>
        <w:rPr>
          <w:rFonts w:hint="eastAsia" w:ascii="宋体" w:hAnsi="宋体" w:eastAsia="宋体" w:cs="宋体"/>
          <w:color w:val="auto"/>
          <w:sz w:val="22"/>
          <w:szCs w:val="22"/>
          <w:highlight w:val="none"/>
        </w:rPr>
        <w:sym w:font="Wingdings" w:char="00A8"/>
      </w:r>
      <w:r>
        <w:rPr>
          <w:rFonts w:hint="eastAsia" w:ascii="宋体" w:hAnsi="宋体" w:eastAsia="宋体" w:cs="宋体"/>
          <w:iCs/>
          <w:color w:val="auto"/>
          <w:sz w:val="22"/>
          <w:szCs w:val="22"/>
          <w:highlight w:val="none"/>
        </w:rPr>
        <w:t>监狱企业</w:t>
      </w:r>
      <w:r>
        <w:rPr>
          <w:rFonts w:hint="eastAsia" w:ascii="宋体" w:hAnsi="宋体" w:eastAsia="宋体" w:cs="宋体"/>
          <w:color w:val="auto"/>
          <w:sz w:val="22"/>
          <w:szCs w:val="22"/>
          <w:highlight w:val="none"/>
        </w:rPr>
        <w:sym w:font="Wingdings" w:char="00A8"/>
      </w:r>
      <w:r>
        <w:rPr>
          <w:rFonts w:hint="eastAsia" w:ascii="宋体" w:hAnsi="宋体" w:eastAsia="宋体" w:cs="宋体"/>
          <w:iCs/>
          <w:color w:val="auto"/>
          <w:sz w:val="22"/>
          <w:szCs w:val="22"/>
          <w:highlight w:val="none"/>
        </w:rPr>
        <w:t>其他</w:t>
      </w:r>
    </w:p>
    <w:p w14:paraId="452E9FBA">
      <w:pPr>
        <w:keepNext w:val="0"/>
        <w:keepLines w:val="0"/>
        <w:pageBreakBefore w:val="0"/>
        <w:numPr>
          <w:ilvl w:val="255"/>
          <w:numId w:val="0"/>
        </w:numPr>
        <w:kinsoku/>
        <w:wordWrap/>
        <w:overflowPunct/>
        <w:topLinePunct w:val="0"/>
        <w:autoSpaceDE/>
        <w:autoSpaceDN/>
        <w:bidi w:val="0"/>
        <w:adjustRightInd/>
        <w:snapToGrid/>
        <w:spacing w:beforeAutospacing="0" w:afterAutospacing="0" w:line="360" w:lineRule="exact"/>
        <w:ind w:left="0" w:leftChars="0" w:firstLine="480"/>
        <w:textAlignment w:val="auto"/>
        <w:rPr>
          <w:rFonts w:hint="eastAsia" w:ascii="宋体" w:hAnsi="宋体" w:eastAsia="宋体" w:cs="宋体"/>
          <w:iCs/>
          <w:color w:val="auto"/>
          <w:sz w:val="22"/>
          <w:szCs w:val="22"/>
          <w:highlight w:val="none"/>
        </w:rPr>
      </w:pPr>
      <w:r>
        <w:rPr>
          <w:rFonts w:hint="eastAsia" w:ascii="宋体" w:hAnsi="宋体" w:eastAsia="宋体" w:cs="宋体"/>
          <w:color w:val="auto"/>
          <w:sz w:val="22"/>
          <w:szCs w:val="22"/>
          <w:highlight w:val="none"/>
        </w:rPr>
        <w:t>（8）中标（成交）供应商是否为外商投资企业：</w:t>
      </w:r>
      <w:r>
        <w:rPr>
          <w:rFonts w:hint="eastAsia" w:ascii="宋体" w:hAnsi="宋体" w:eastAsia="宋体" w:cs="宋体"/>
          <w:color w:val="auto"/>
          <w:sz w:val="22"/>
          <w:szCs w:val="22"/>
          <w:highlight w:val="none"/>
        </w:rPr>
        <w:sym w:font="Wingdings" w:char="00A8"/>
      </w:r>
      <w:r>
        <w:rPr>
          <w:rFonts w:hint="eastAsia" w:ascii="宋体" w:hAnsi="宋体" w:eastAsia="宋体" w:cs="宋体"/>
          <w:iCs/>
          <w:color w:val="auto"/>
          <w:sz w:val="22"/>
          <w:szCs w:val="22"/>
          <w:highlight w:val="none"/>
        </w:rPr>
        <w:t xml:space="preserve">是  </w:t>
      </w:r>
      <w:r>
        <w:rPr>
          <w:rFonts w:hint="eastAsia" w:ascii="宋体" w:hAnsi="宋体" w:eastAsia="宋体" w:cs="宋体"/>
          <w:color w:val="auto"/>
          <w:sz w:val="22"/>
          <w:szCs w:val="22"/>
          <w:highlight w:val="none"/>
        </w:rPr>
        <w:sym w:font="Wingdings" w:char="00FE"/>
      </w:r>
      <w:r>
        <w:rPr>
          <w:rFonts w:hint="eastAsia" w:ascii="宋体" w:hAnsi="宋体" w:eastAsia="宋体" w:cs="宋体"/>
          <w:iCs/>
          <w:color w:val="auto"/>
          <w:sz w:val="22"/>
          <w:szCs w:val="22"/>
          <w:highlight w:val="none"/>
        </w:rPr>
        <w:t>否</w:t>
      </w:r>
    </w:p>
    <w:p w14:paraId="4114F4EC">
      <w:pPr>
        <w:keepNext w:val="0"/>
        <w:keepLines w:val="0"/>
        <w:pageBreakBefore w:val="0"/>
        <w:widowControl/>
        <w:tabs>
          <w:tab w:val="left" w:pos="1340"/>
        </w:tabs>
        <w:kinsoku/>
        <w:wordWrap/>
        <w:overflowPunct/>
        <w:topLinePunct w:val="0"/>
        <w:autoSpaceDE/>
        <w:autoSpaceDN/>
        <w:bidi w:val="0"/>
        <w:adjustRightInd/>
        <w:snapToGrid/>
        <w:spacing w:beforeAutospacing="0" w:afterAutospacing="0" w:line="360" w:lineRule="exact"/>
        <w:ind w:left="0" w:leftChars="0" w:firstLine="480"/>
        <w:jc w:val="left"/>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     外商投资企业类型：</w:t>
      </w: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 xml:space="preserve">全部由外国投资者投资 </w:t>
      </w:r>
      <w:r>
        <w:rPr>
          <w:rFonts w:hint="eastAsia" w:ascii="宋体" w:hAnsi="宋体" w:eastAsia="宋体" w:cs="宋体"/>
          <w:color w:val="auto"/>
          <w:sz w:val="22"/>
          <w:szCs w:val="22"/>
          <w:highlight w:val="none"/>
        </w:rPr>
        <w:sym w:font="Wingdings" w:char="00A8"/>
      </w:r>
      <w:r>
        <w:rPr>
          <w:rFonts w:hint="eastAsia" w:ascii="宋体" w:hAnsi="宋体" w:eastAsia="宋体" w:cs="宋体"/>
          <w:iCs/>
          <w:color w:val="auto"/>
          <w:sz w:val="22"/>
          <w:szCs w:val="22"/>
          <w:highlight w:val="none"/>
        </w:rPr>
        <w:t>部分由外国投资者投资</w:t>
      </w:r>
    </w:p>
    <w:p w14:paraId="7080A135">
      <w:pPr>
        <w:keepNext w:val="0"/>
        <w:keepLines w:val="0"/>
        <w:pageBreakBefore w:val="0"/>
        <w:numPr>
          <w:ilvl w:val="255"/>
          <w:numId w:val="0"/>
        </w:numPr>
        <w:kinsoku/>
        <w:wordWrap/>
        <w:overflowPunct/>
        <w:topLinePunct w:val="0"/>
        <w:autoSpaceDE/>
        <w:autoSpaceDN/>
        <w:bidi w:val="0"/>
        <w:adjustRightInd/>
        <w:snapToGrid/>
        <w:spacing w:beforeAutospacing="0" w:afterAutospacing="0" w:line="360" w:lineRule="exact"/>
        <w:ind w:left="0" w:leftChars="0"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（9）是否涉及进口产品：</w:t>
      </w:r>
    </w:p>
    <w:p w14:paraId="640CA7A8">
      <w:pPr>
        <w:keepNext w:val="0"/>
        <w:keepLines w:val="0"/>
        <w:pageBreakBefore w:val="0"/>
        <w:numPr>
          <w:ilvl w:val="255"/>
          <w:numId w:val="0"/>
        </w:numPr>
        <w:kinsoku/>
        <w:wordWrap/>
        <w:overflowPunct/>
        <w:topLinePunct w:val="0"/>
        <w:autoSpaceDE/>
        <w:autoSpaceDN/>
        <w:bidi w:val="0"/>
        <w:adjustRightInd/>
        <w:snapToGrid/>
        <w:spacing w:beforeAutospacing="0" w:afterAutospacing="0" w:line="360" w:lineRule="exact"/>
        <w:ind w:left="0" w:leftChars="0" w:firstLine="1225" w:firstLineChars="557"/>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是，《政府采购品目分类目录》底级品目名称：金额：</w:t>
      </w:r>
    </w:p>
    <w:p w14:paraId="7E8F28D2">
      <w:pPr>
        <w:keepNext w:val="0"/>
        <w:keepLines w:val="0"/>
        <w:pageBreakBefore w:val="0"/>
        <w:numPr>
          <w:ilvl w:val="255"/>
          <w:numId w:val="0"/>
        </w:numPr>
        <w:kinsoku/>
        <w:wordWrap/>
        <w:overflowPunct/>
        <w:topLinePunct w:val="0"/>
        <w:autoSpaceDE/>
        <w:autoSpaceDN/>
        <w:bidi w:val="0"/>
        <w:adjustRightInd/>
        <w:snapToGrid/>
        <w:spacing w:beforeAutospacing="0" w:afterAutospacing="0" w:line="360" w:lineRule="exact"/>
        <w:ind w:left="0" w:leftChars="0" w:firstLine="96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国别：</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品牌：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规格型号：</w:t>
      </w:r>
    </w:p>
    <w:p w14:paraId="3ED2DBC4">
      <w:pPr>
        <w:keepNext w:val="0"/>
        <w:keepLines w:val="0"/>
        <w:pageBreakBefore w:val="0"/>
        <w:kinsoku/>
        <w:wordWrap/>
        <w:overflowPunct/>
        <w:topLinePunct w:val="0"/>
        <w:autoSpaceDE/>
        <w:autoSpaceDN/>
        <w:bidi w:val="0"/>
        <w:adjustRightInd/>
        <w:snapToGrid/>
        <w:spacing w:beforeAutospacing="0" w:afterAutospacing="0" w:line="360" w:lineRule="exact"/>
        <w:ind w:left="0" w:leftChars="0" w:firstLine="96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rPr>
        <w:sym w:font="Wingdings" w:char="00FE"/>
      </w:r>
      <w:r>
        <w:rPr>
          <w:rFonts w:hint="eastAsia" w:ascii="宋体" w:hAnsi="宋体" w:eastAsia="宋体" w:cs="宋体"/>
          <w:color w:val="auto"/>
          <w:sz w:val="22"/>
          <w:szCs w:val="22"/>
          <w:highlight w:val="none"/>
        </w:rPr>
        <w:t>否</w:t>
      </w:r>
    </w:p>
    <w:p w14:paraId="30E3A1CE">
      <w:pPr>
        <w:keepNext w:val="0"/>
        <w:keepLines w:val="0"/>
        <w:pageBreakBefore w:val="0"/>
        <w:numPr>
          <w:ilvl w:val="255"/>
          <w:numId w:val="0"/>
        </w:numPr>
        <w:tabs>
          <w:tab w:val="left" w:pos="740"/>
        </w:tabs>
        <w:kinsoku/>
        <w:wordWrap/>
        <w:overflowPunct/>
        <w:topLinePunct w:val="0"/>
        <w:autoSpaceDE/>
        <w:autoSpaceDN/>
        <w:bidi w:val="0"/>
        <w:adjustRightInd/>
        <w:snapToGrid/>
        <w:spacing w:beforeAutospacing="0" w:afterAutospacing="0" w:line="360" w:lineRule="exact"/>
        <w:ind w:left="0" w:leftChars="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（10）是否涉及节能产品：</w:t>
      </w:r>
    </w:p>
    <w:p w14:paraId="290F1DA6">
      <w:pPr>
        <w:keepNext w:val="0"/>
        <w:keepLines w:val="0"/>
        <w:pageBreakBefore w:val="0"/>
        <w:numPr>
          <w:ilvl w:val="255"/>
          <w:numId w:val="0"/>
        </w:numPr>
        <w:tabs>
          <w:tab w:val="left" w:pos="740"/>
        </w:tabs>
        <w:kinsoku/>
        <w:wordWrap/>
        <w:overflowPunct/>
        <w:topLinePunct w:val="0"/>
        <w:autoSpaceDE/>
        <w:autoSpaceDN/>
        <w:bidi w:val="0"/>
        <w:adjustRightInd/>
        <w:snapToGrid/>
        <w:spacing w:beforeAutospacing="0" w:afterAutospacing="0" w:line="360" w:lineRule="exact"/>
        <w:ind w:left="0" w:leftChars="0" w:firstLine="960"/>
        <w:textAlignment w:val="auto"/>
        <w:rPr>
          <w:rFonts w:hint="eastAsia" w:ascii="宋体" w:hAnsi="宋体" w:eastAsia="宋体" w:cs="宋体"/>
          <w:iCs/>
          <w:color w:val="auto"/>
          <w:sz w:val="22"/>
          <w:szCs w:val="22"/>
          <w:highlight w:val="none"/>
        </w:rPr>
      </w:pP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rPr>
        <w:sym w:font="Wingdings" w:char="00FE"/>
      </w:r>
      <w:r>
        <w:rPr>
          <w:rFonts w:hint="eastAsia" w:ascii="宋体" w:hAnsi="宋体" w:eastAsia="宋体" w:cs="宋体"/>
          <w:color w:val="auto"/>
          <w:sz w:val="22"/>
          <w:szCs w:val="22"/>
          <w:highlight w:val="none"/>
        </w:rPr>
        <w:t>是，《节能产品政府采购品目清单》的底级品目名称：</w:t>
      </w:r>
    </w:p>
    <w:p w14:paraId="3B3004A9">
      <w:pPr>
        <w:keepNext w:val="0"/>
        <w:keepLines w:val="0"/>
        <w:pageBreakBefore w:val="0"/>
        <w:numPr>
          <w:ilvl w:val="255"/>
          <w:numId w:val="0"/>
        </w:numPr>
        <w:tabs>
          <w:tab w:val="left" w:pos="740"/>
        </w:tabs>
        <w:kinsoku/>
        <w:wordWrap/>
        <w:overflowPunct/>
        <w:topLinePunct w:val="0"/>
        <w:autoSpaceDE/>
        <w:autoSpaceDN/>
        <w:bidi w:val="0"/>
        <w:adjustRightInd/>
        <w:snapToGrid/>
        <w:spacing w:beforeAutospacing="0" w:afterAutospacing="0" w:line="360" w:lineRule="exact"/>
        <w:ind w:left="0" w:leftChars="0" w:firstLine="96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强制采购</w:t>
      </w:r>
      <w:r>
        <w:rPr>
          <w:rFonts w:hint="eastAsia" w:ascii="宋体" w:hAnsi="宋体" w:eastAsia="宋体" w:cs="宋体"/>
          <w:color w:val="auto"/>
          <w:sz w:val="22"/>
          <w:szCs w:val="22"/>
          <w:highlight w:val="none"/>
        </w:rPr>
        <w:sym w:font="Wingdings" w:char="00FE"/>
      </w:r>
      <w:r>
        <w:rPr>
          <w:rFonts w:hint="eastAsia" w:ascii="宋体" w:hAnsi="宋体" w:eastAsia="宋体" w:cs="宋体"/>
          <w:color w:val="auto"/>
          <w:sz w:val="22"/>
          <w:szCs w:val="22"/>
          <w:highlight w:val="none"/>
        </w:rPr>
        <w:t>优先采购</w:t>
      </w:r>
    </w:p>
    <w:p w14:paraId="156B816A">
      <w:pPr>
        <w:keepNext w:val="0"/>
        <w:keepLines w:val="0"/>
        <w:pageBreakBefore w:val="0"/>
        <w:numPr>
          <w:ilvl w:val="255"/>
          <w:numId w:val="0"/>
        </w:numPr>
        <w:tabs>
          <w:tab w:val="left" w:pos="740"/>
        </w:tabs>
        <w:kinsoku/>
        <w:wordWrap/>
        <w:overflowPunct/>
        <w:topLinePunct w:val="0"/>
        <w:autoSpaceDE/>
        <w:autoSpaceDN/>
        <w:bidi w:val="0"/>
        <w:adjustRightInd/>
        <w:snapToGrid/>
        <w:spacing w:beforeAutospacing="0" w:afterAutospacing="0" w:line="360" w:lineRule="exact"/>
        <w:ind w:left="0" w:leftChars="0" w:firstLine="96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否</w:t>
      </w:r>
    </w:p>
    <w:p w14:paraId="76E260B8">
      <w:pPr>
        <w:keepNext w:val="0"/>
        <w:keepLines w:val="0"/>
        <w:pageBreakBefore w:val="0"/>
        <w:numPr>
          <w:ilvl w:val="255"/>
          <w:numId w:val="0"/>
        </w:numPr>
        <w:tabs>
          <w:tab w:val="left" w:pos="740"/>
        </w:tabs>
        <w:kinsoku/>
        <w:wordWrap/>
        <w:overflowPunct/>
        <w:topLinePunct w:val="0"/>
        <w:autoSpaceDE/>
        <w:autoSpaceDN/>
        <w:bidi w:val="0"/>
        <w:adjustRightInd/>
        <w:snapToGrid/>
        <w:spacing w:beforeAutospacing="0" w:afterAutospacing="0" w:line="360" w:lineRule="exact"/>
        <w:ind w:left="0" w:leftChars="0" w:firstLine="96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是否涉及环境标志产品：</w:t>
      </w:r>
    </w:p>
    <w:p w14:paraId="2F7E5AAF">
      <w:pPr>
        <w:keepNext w:val="0"/>
        <w:keepLines w:val="0"/>
        <w:pageBreakBefore w:val="0"/>
        <w:numPr>
          <w:ilvl w:val="255"/>
          <w:numId w:val="0"/>
        </w:numPr>
        <w:tabs>
          <w:tab w:val="left" w:pos="740"/>
        </w:tabs>
        <w:kinsoku/>
        <w:wordWrap/>
        <w:overflowPunct/>
        <w:topLinePunct w:val="0"/>
        <w:autoSpaceDE/>
        <w:autoSpaceDN/>
        <w:bidi w:val="0"/>
        <w:adjustRightInd/>
        <w:snapToGrid/>
        <w:spacing w:beforeAutospacing="0" w:afterAutospacing="0" w:line="360" w:lineRule="exact"/>
        <w:ind w:left="0" w:leftChars="0" w:firstLine="96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rPr>
        <w:sym w:font="Wingdings" w:char="00FE"/>
      </w:r>
      <w:r>
        <w:rPr>
          <w:rFonts w:hint="eastAsia" w:ascii="宋体" w:hAnsi="宋体" w:eastAsia="宋体" w:cs="宋体"/>
          <w:color w:val="auto"/>
          <w:sz w:val="22"/>
          <w:szCs w:val="22"/>
          <w:highlight w:val="none"/>
        </w:rPr>
        <w:t>是，《环境标志产品政府采购品目清单》的底级品目名称：</w:t>
      </w:r>
    </w:p>
    <w:p w14:paraId="58642CEA">
      <w:pPr>
        <w:keepNext w:val="0"/>
        <w:keepLines w:val="0"/>
        <w:pageBreakBefore w:val="0"/>
        <w:numPr>
          <w:ilvl w:val="255"/>
          <w:numId w:val="0"/>
        </w:numPr>
        <w:tabs>
          <w:tab w:val="left" w:pos="740"/>
        </w:tabs>
        <w:kinsoku/>
        <w:wordWrap/>
        <w:overflowPunct/>
        <w:topLinePunct w:val="0"/>
        <w:autoSpaceDE/>
        <w:autoSpaceDN/>
        <w:bidi w:val="0"/>
        <w:adjustRightInd/>
        <w:snapToGrid/>
        <w:spacing w:beforeAutospacing="0" w:afterAutospacing="0" w:line="360" w:lineRule="exact"/>
        <w:ind w:left="0" w:leftChars="0" w:firstLine="84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强制采购</w:t>
      </w:r>
      <w:r>
        <w:rPr>
          <w:rFonts w:hint="eastAsia" w:ascii="宋体" w:hAnsi="宋体" w:eastAsia="宋体" w:cs="宋体"/>
          <w:color w:val="auto"/>
          <w:sz w:val="22"/>
          <w:szCs w:val="22"/>
          <w:highlight w:val="none"/>
        </w:rPr>
        <w:sym w:font="Wingdings" w:char="00FE"/>
      </w:r>
      <w:r>
        <w:rPr>
          <w:rFonts w:hint="eastAsia" w:ascii="宋体" w:hAnsi="宋体" w:eastAsia="宋体" w:cs="宋体"/>
          <w:color w:val="auto"/>
          <w:sz w:val="22"/>
          <w:szCs w:val="22"/>
          <w:highlight w:val="none"/>
        </w:rPr>
        <w:t>优先采购</w:t>
      </w:r>
    </w:p>
    <w:p w14:paraId="38D9152A">
      <w:pPr>
        <w:keepNext w:val="0"/>
        <w:keepLines w:val="0"/>
        <w:pageBreakBefore w:val="0"/>
        <w:numPr>
          <w:ilvl w:val="255"/>
          <w:numId w:val="0"/>
        </w:numPr>
        <w:tabs>
          <w:tab w:val="left" w:pos="740"/>
        </w:tabs>
        <w:kinsoku/>
        <w:wordWrap/>
        <w:overflowPunct/>
        <w:topLinePunct w:val="0"/>
        <w:autoSpaceDE/>
        <w:autoSpaceDN/>
        <w:bidi w:val="0"/>
        <w:adjustRightInd/>
        <w:snapToGrid/>
        <w:spacing w:beforeAutospacing="0" w:afterAutospacing="0" w:line="360" w:lineRule="exact"/>
        <w:ind w:left="0" w:leftChars="0" w:firstLine="96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否</w:t>
      </w:r>
    </w:p>
    <w:p w14:paraId="689060DF">
      <w:pPr>
        <w:keepNext w:val="0"/>
        <w:keepLines w:val="0"/>
        <w:pageBreakBefore w:val="0"/>
        <w:widowControl/>
        <w:numPr>
          <w:ilvl w:val="255"/>
          <w:numId w:val="0"/>
        </w:numPr>
        <w:kinsoku/>
        <w:wordWrap/>
        <w:overflowPunct/>
        <w:topLinePunct w:val="0"/>
        <w:autoSpaceDE/>
        <w:autoSpaceDN/>
        <w:bidi w:val="0"/>
        <w:adjustRightInd/>
        <w:snapToGrid/>
        <w:spacing w:beforeAutospacing="0" w:afterAutospacing="0" w:line="360" w:lineRule="exact"/>
        <w:ind w:left="0" w:leftChars="0" w:firstLine="84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是否涉及绿色产品：</w:t>
      </w:r>
    </w:p>
    <w:p w14:paraId="059BDF46">
      <w:pPr>
        <w:keepNext w:val="0"/>
        <w:keepLines w:val="0"/>
        <w:pageBreakBefore w:val="0"/>
        <w:widowControl/>
        <w:kinsoku/>
        <w:wordWrap/>
        <w:overflowPunct/>
        <w:topLinePunct w:val="0"/>
        <w:autoSpaceDE/>
        <w:autoSpaceDN/>
        <w:bidi w:val="0"/>
        <w:adjustRightInd/>
        <w:snapToGrid/>
        <w:spacing w:beforeAutospacing="0" w:afterAutospacing="0" w:line="360" w:lineRule="exact"/>
        <w:ind w:left="0" w:leftChars="0" w:firstLine="9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rPr>
        <w:sym w:font="Wingdings" w:char="00FE"/>
      </w:r>
      <w:r>
        <w:rPr>
          <w:rFonts w:hint="eastAsia" w:ascii="宋体" w:hAnsi="宋体" w:eastAsia="宋体" w:cs="宋体"/>
          <w:color w:val="auto"/>
          <w:sz w:val="22"/>
          <w:szCs w:val="22"/>
          <w:highlight w:val="none"/>
        </w:rPr>
        <w:t>是，绿色产品政府采购相关政策确定的底级品目名称：</w:t>
      </w:r>
    </w:p>
    <w:p w14:paraId="76611714">
      <w:pPr>
        <w:keepNext w:val="0"/>
        <w:keepLines w:val="0"/>
        <w:pageBreakBefore w:val="0"/>
        <w:numPr>
          <w:ilvl w:val="255"/>
          <w:numId w:val="0"/>
        </w:numPr>
        <w:tabs>
          <w:tab w:val="left" w:pos="740"/>
        </w:tabs>
        <w:kinsoku/>
        <w:wordWrap/>
        <w:overflowPunct/>
        <w:topLinePunct w:val="0"/>
        <w:autoSpaceDE/>
        <w:autoSpaceDN/>
        <w:bidi w:val="0"/>
        <w:adjustRightInd/>
        <w:snapToGrid/>
        <w:spacing w:beforeAutospacing="0" w:afterAutospacing="0" w:line="360" w:lineRule="exact"/>
        <w:ind w:left="0" w:leftChars="0" w:firstLine="84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强制采购</w:t>
      </w:r>
      <w:r>
        <w:rPr>
          <w:rFonts w:hint="eastAsia" w:ascii="宋体" w:hAnsi="宋体" w:eastAsia="宋体" w:cs="宋体"/>
          <w:color w:val="auto"/>
          <w:sz w:val="22"/>
          <w:szCs w:val="22"/>
          <w:highlight w:val="none"/>
        </w:rPr>
        <w:sym w:font="Wingdings" w:char="00FE"/>
      </w:r>
      <w:r>
        <w:rPr>
          <w:rFonts w:hint="eastAsia" w:ascii="宋体" w:hAnsi="宋体" w:eastAsia="宋体" w:cs="宋体"/>
          <w:color w:val="auto"/>
          <w:sz w:val="22"/>
          <w:szCs w:val="22"/>
          <w:highlight w:val="none"/>
        </w:rPr>
        <w:t>优先采购</w:t>
      </w:r>
    </w:p>
    <w:p w14:paraId="75491978">
      <w:pPr>
        <w:keepNext w:val="0"/>
        <w:keepLines w:val="0"/>
        <w:pageBreakBefore w:val="0"/>
        <w:widowControl/>
        <w:kinsoku/>
        <w:wordWrap/>
        <w:overflowPunct/>
        <w:topLinePunct w:val="0"/>
        <w:autoSpaceDE/>
        <w:autoSpaceDN/>
        <w:bidi w:val="0"/>
        <w:adjustRightInd/>
        <w:snapToGrid/>
        <w:spacing w:beforeAutospacing="0" w:afterAutospacing="0" w:line="360" w:lineRule="exact"/>
        <w:ind w:left="0" w:leftChars="0" w:firstLine="9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否</w:t>
      </w:r>
    </w:p>
    <w:p w14:paraId="62833BEA">
      <w:pPr>
        <w:keepNext w:val="0"/>
        <w:keepLines w:val="0"/>
        <w:pageBreakBefore w:val="0"/>
        <w:numPr>
          <w:ilvl w:val="255"/>
          <w:numId w:val="0"/>
        </w:numPr>
        <w:kinsoku/>
        <w:wordWrap/>
        <w:overflowPunct/>
        <w:topLinePunct w:val="0"/>
        <w:autoSpaceDE/>
        <w:autoSpaceDN/>
        <w:bidi w:val="0"/>
        <w:adjustRightInd/>
        <w:snapToGrid/>
        <w:spacing w:beforeAutospacing="0" w:afterAutospacing="0" w:line="360" w:lineRule="exact"/>
        <w:ind w:left="0" w:leftChars="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（11）涉及商品包装和快递包装的，是否参考《商品包装政府采购需求标准（试行）》、《快递包装政府采购需求标准（试行）》明确产品及相关快递服务的具体包装要求：</w:t>
      </w:r>
    </w:p>
    <w:p w14:paraId="6446CDF6">
      <w:pPr>
        <w:keepNext w:val="0"/>
        <w:keepLines w:val="0"/>
        <w:pageBreakBefore w:val="0"/>
        <w:numPr>
          <w:ilvl w:val="255"/>
          <w:numId w:val="0"/>
        </w:numPr>
        <w:kinsoku/>
        <w:wordWrap/>
        <w:overflowPunct/>
        <w:topLinePunct w:val="0"/>
        <w:autoSpaceDE/>
        <w:autoSpaceDN/>
        <w:bidi w:val="0"/>
        <w:adjustRightInd/>
        <w:snapToGrid/>
        <w:spacing w:beforeAutospacing="0" w:afterAutospacing="0" w:line="360" w:lineRule="exact"/>
        <w:ind w:left="0" w:leftChars="0" w:firstLine="96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 xml:space="preserve">是    </w:t>
      </w: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否</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sym w:font="Wingdings" w:char="00FE"/>
      </w:r>
      <w:r>
        <w:rPr>
          <w:rFonts w:hint="eastAsia" w:ascii="宋体" w:hAnsi="宋体" w:eastAsia="宋体" w:cs="宋体"/>
          <w:color w:val="auto"/>
          <w:sz w:val="22"/>
          <w:szCs w:val="22"/>
          <w:highlight w:val="none"/>
        </w:rPr>
        <w:t>不涉及</w:t>
      </w:r>
    </w:p>
    <w:p w14:paraId="7FD9913B">
      <w:pPr>
        <w:pageBreakBefore w:val="0"/>
        <w:numPr>
          <w:ilvl w:val="0"/>
          <w:numId w:val="1"/>
        </w:numPr>
        <w:kinsoku/>
        <w:wordWrap/>
        <w:overflowPunct/>
        <w:topLinePunct w:val="0"/>
        <w:bidi w:val="0"/>
        <w:spacing w:beforeAutospacing="0" w:afterAutospacing="0" w:line="400" w:lineRule="exact"/>
        <w:ind w:left="0" w:leftChars="0"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合同金额</w:t>
      </w:r>
    </w:p>
    <w:p w14:paraId="1FE10276">
      <w:pPr>
        <w:pageBreakBefore w:val="0"/>
        <w:kinsoku/>
        <w:wordWrap/>
        <w:overflowPunct/>
        <w:topLinePunct w:val="0"/>
        <w:bidi w:val="0"/>
        <w:spacing w:beforeAutospacing="0" w:afterAutospacing="0" w:line="400" w:lineRule="exact"/>
        <w:ind w:left="0" w:leftChars="0"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（1）合同金额小写：</w:t>
      </w:r>
    </w:p>
    <w:p w14:paraId="6B1C9A5F">
      <w:pPr>
        <w:pageBreakBefore w:val="0"/>
        <w:kinsoku/>
        <w:wordWrap/>
        <w:overflowPunct/>
        <w:topLinePunct w:val="0"/>
        <w:bidi w:val="0"/>
        <w:spacing w:beforeAutospacing="0" w:afterAutospacing="0" w:line="400" w:lineRule="exact"/>
        <w:ind w:left="0" w:leftChars="0" w:firstLine="1944" w:firstLineChars="884"/>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大写：</w:t>
      </w:r>
    </w:p>
    <w:p w14:paraId="1D8980B6">
      <w:pPr>
        <w:pageBreakBefore w:val="0"/>
        <w:kinsoku/>
        <w:wordWrap/>
        <w:overflowPunct/>
        <w:topLinePunct w:val="0"/>
        <w:bidi w:val="0"/>
        <w:spacing w:beforeAutospacing="0" w:afterAutospacing="0" w:line="400" w:lineRule="exact"/>
        <w:ind w:firstLine="1100" w:firstLineChars="5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分包金额（如有）小写：</w:t>
      </w:r>
      <w:r>
        <w:rPr>
          <w:rFonts w:hint="eastAsia" w:ascii="宋体" w:hAnsi="宋体" w:eastAsia="宋体" w:cs="宋体"/>
          <w:color w:val="auto"/>
          <w:sz w:val="22"/>
          <w:szCs w:val="22"/>
          <w:highlight w:val="none"/>
          <w:lang w:val="en-US" w:eastAsia="zh-CN"/>
        </w:rPr>
        <w:t>/</w:t>
      </w:r>
    </w:p>
    <w:p w14:paraId="7487AE77">
      <w:pPr>
        <w:pageBreakBefore w:val="0"/>
        <w:kinsoku/>
        <w:wordWrap/>
        <w:overflowPunct/>
        <w:topLinePunct w:val="0"/>
        <w:bidi w:val="0"/>
        <w:spacing w:beforeAutospacing="0" w:afterAutospacing="0" w:line="400" w:lineRule="exact"/>
        <w:ind w:left="0" w:leftChars="0" w:firstLine="2917" w:firstLineChars="1326"/>
        <w:textAlignment w:val="auto"/>
        <w:rPr>
          <w:rFonts w:hint="eastAsia" w:ascii="宋体" w:hAnsi="宋体" w:eastAsia="宋体" w:cs="宋体"/>
          <w:color w:val="auto"/>
          <w:sz w:val="22"/>
          <w:szCs w:val="22"/>
          <w:highlight w:val="none"/>
          <w:u w:val="single"/>
          <w:lang w:val="en-US" w:eastAsia="zh-CN"/>
        </w:rPr>
      </w:pPr>
      <w:r>
        <w:rPr>
          <w:rFonts w:hint="eastAsia" w:ascii="宋体" w:hAnsi="宋体" w:eastAsia="宋体" w:cs="宋体"/>
          <w:color w:val="auto"/>
          <w:sz w:val="22"/>
          <w:szCs w:val="22"/>
          <w:highlight w:val="none"/>
        </w:rPr>
        <w:t>大写：</w:t>
      </w:r>
      <w:r>
        <w:rPr>
          <w:rFonts w:hint="eastAsia" w:ascii="宋体" w:hAnsi="宋体" w:eastAsia="宋体" w:cs="宋体"/>
          <w:color w:val="auto"/>
          <w:sz w:val="22"/>
          <w:szCs w:val="22"/>
          <w:highlight w:val="none"/>
          <w:lang w:val="en-US" w:eastAsia="zh-CN"/>
        </w:rPr>
        <w:t>/</w:t>
      </w:r>
    </w:p>
    <w:p w14:paraId="1B883857">
      <w:pPr>
        <w:pageBreakBefore w:val="0"/>
        <w:kinsoku/>
        <w:wordWrap/>
        <w:overflowPunct/>
        <w:topLinePunct w:val="0"/>
        <w:bidi w:val="0"/>
        <w:spacing w:beforeAutospacing="0" w:afterAutospacing="0" w:line="400" w:lineRule="exact"/>
        <w:ind w:left="0" w:leftChars="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（2）付款方式（按项目实际勾选填写，具体详见专用条款第二节第12.2款）：</w:t>
      </w:r>
    </w:p>
    <w:p w14:paraId="51D1F8ED">
      <w:pPr>
        <w:pageBreakBefore w:val="0"/>
        <w:kinsoku/>
        <w:wordWrap/>
        <w:overflowPunct/>
        <w:topLinePunct w:val="0"/>
        <w:bidi w:val="0"/>
        <w:adjustRightInd w:val="0"/>
        <w:snapToGrid w:val="0"/>
        <w:spacing w:beforeAutospacing="0" w:afterAutospacing="0" w:line="400" w:lineRule="exact"/>
        <w:ind w:left="0" w:leftChars="0" w:firstLine="660" w:firstLineChars="300"/>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sym w:font="Wingdings" w:char="F0A8"/>
      </w:r>
      <w:r>
        <w:rPr>
          <w:rFonts w:hint="eastAsia" w:ascii="宋体" w:hAnsi="宋体" w:eastAsia="宋体" w:cs="宋体"/>
          <w:color w:val="auto"/>
          <w:sz w:val="22"/>
          <w:szCs w:val="22"/>
          <w:highlight w:val="none"/>
        </w:rPr>
        <w:t>全额付款：</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p>
    <w:p w14:paraId="319E4760">
      <w:pPr>
        <w:pageBreakBefore w:val="0"/>
        <w:kinsoku/>
        <w:wordWrap/>
        <w:overflowPunct/>
        <w:topLinePunct w:val="0"/>
        <w:bidi w:val="0"/>
        <w:snapToGrid w:val="0"/>
        <w:spacing w:beforeAutospacing="0" w:afterAutospacing="0" w:line="400" w:lineRule="exact"/>
        <w:ind w:left="0" w:leftChars="0" w:firstLine="660" w:firstLineChars="300"/>
        <w:textAlignment w:val="auto"/>
        <w:rPr>
          <w:rFonts w:hint="eastAsia" w:ascii="宋体" w:hAnsi="宋体" w:eastAsia="宋体" w:cs="宋体"/>
          <w:b/>
          <w:bCs/>
          <w:color w:val="auto"/>
          <w:sz w:val="21"/>
          <w:szCs w:val="21"/>
          <w:highlight w:val="none"/>
          <w:u w:val="single"/>
          <w:lang w:eastAsia="zh-CN"/>
        </w:rPr>
      </w:pPr>
      <w:r>
        <w:rPr>
          <w:rFonts w:hint="eastAsia" w:ascii="宋体" w:hAnsi="宋体" w:eastAsia="宋体" w:cs="宋体"/>
          <w:color w:val="auto"/>
          <w:sz w:val="22"/>
          <w:szCs w:val="22"/>
          <w:highlight w:val="none"/>
        </w:rPr>
        <w:sym w:font="Wingdings" w:char="00FE"/>
      </w:r>
      <w:r>
        <w:rPr>
          <w:rFonts w:hint="eastAsia" w:ascii="宋体" w:hAnsi="宋体" w:eastAsia="宋体" w:cs="宋体"/>
          <w:color w:val="auto"/>
          <w:sz w:val="22"/>
          <w:szCs w:val="22"/>
          <w:highlight w:val="none"/>
        </w:rPr>
        <w:t>分期付款：</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1"/>
          <w:szCs w:val="21"/>
          <w:highlight w:val="yellow"/>
          <w:u w:val="single"/>
          <w:lang w:eastAsia="zh-CN"/>
        </w:rPr>
        <w:t>甲乙双方合同签订完成后</w:t>
      </w:r>
      <w:r>
        <w:rPr>
          <w:rFonts w:hint="eastAsia" w:ascii="宋体" w:hAnsi="宋体" w:eastAsia="宋体" w:cs="宋体"/>
          <w:b/>
          <w:bCs/>
          <w:color w:val="auto"/>
          <w:sz w:val="21"/>
          <w:szCs w:val="21"/>
          <w:highlight w:val="yellow"/>
          <w:u w:val="single"/>
          <w:lang w:val="en-US" w:eastAsia="zh-CN"/>
        </w:rPr>
        <w:t>10个工作日内支付合同总价款的30%为预付款，</w:t>
      </w:r>
      <w:r>
        <w:rPr>
          <w:rFonts w:hint="eastAsia" w:ascii="宋体" w:hAnsi="宋体" w:eastAsia="宋体" w:cs="宋体"/>
          <w:b/>
          <w:bCs/>
          <w:color w:val="auto"/>
          <w:sz w:val="21"/>
          <w:szCs w:val="21"/>
          <w:highlight w:val="yellow"/>
          <w:u w:val="single"/>
          <w:lang w:eastAsia="zh-CN"/>
        </w:rPr>
        <w:t>乙方按照合同约定提交全部软件及货品且</w:t>
      </w:r>
      <w:r>
        <w:rPr>
          <w:rFonts w:hint="eastAsia" w:ascii="宋体" w:hAnsi="宋体" w:eastAsia="宋体" w:cs="宋体"/>
          <w:b/>
          <w:bCs/>
          <w:color w:val="auto"/>
          <w:sz w:val="21"/>
          <w:szCs w:val="21"/>
          <w:highlight w:val="yellow"/>
          <w:u w:val="single"/>
        </w:rPr>
        <w:t>安装</w:t>
      </w:r>
      <w:r>
        <w:rPr>
          <w:rFonts w:hint="eastAsia" w:ascii="宋体" w:hAnsi="宋体" w:eastAsia="宋体" w:cs="宋体"/>
          <w:b/>
          <w:bCs/>
          <w:color w:val="auto"/>
          <w:sz w:val="21"/>
          <w:szCs w:val="21"/>
          <w:highlight w:val="yellow"/>
          <w:u w:val="single"/>
          <w:lang w:eastAsia="zh-CN"/>
        </w:rPr>
        <w:t>调试</w:t>
      </w:r>
      <w:r>
        <w:rPr>
          <w:rFonts w:hint="eastAsia" w:ascii="宋体" w:hAnsi="宋体" w:eastAsia="宋体" w:cs="宋体"/>
          <w:b/>
          <w:bCs/>
          <w:color w:val="auto"/>
          <w:sz w:val="21"/>
          <w:szCs w:val="21"/>
          <w:highlight w:val="yellow"/>
          <w:u w:val="single"/>
        </w:rPr>
        <w:t>完毕并经</w:t>
      </w:r>
      <w:r>
        <w:rPr>
          <w:rFonts w:hint="eastAsia" w:ascii="宋体" w:hAnsi="宋体" w:eastAsia="宋体" w:cs="宋体"/>
          <w:b/>
          <w:bCs/>
          <w:color w:val="auto"/>
          <w:sz w:val="21"/>
          <w:szCs w:val="21"/>
          <w:highlight w:val="yellow"/>
          <w:u w:val="single"/>
          <w:lang w:eastAsia="zh-CN"/>
        </w:rPr>
        <w:t>采购人与政府相关监管机构联合</w:t>
      </w:r>
      <w:r>
        <w:rPr>
          <w:rFonts w:hint="eastAsia" w:ascii="宋体" w:hAnsi="宋体" w:eastAsia="宋体" w:cs="宋体"/>
          <w:b/>
          <w:bCs/>
          <w:color w:val="auto"/>
          <w:sz w:val="21"/>
          <w:szCs w:val="21"/>
          <w:highlight w:val="yellow"/>
          <w:u w:val="single"/>
        </w:rPr>
        <w:t>验收合格无问题后付</w:t>
      </w:r>
      <w:r>
        <w:rPr>
          <w:rFonts w:hint="eastAsia" w:ascii="宋体" w:hAnsi="宋体" w:eastAsia="宋体" w:cs="宋体"/>
          <w:b/>
          <w:bCs/>
          <w:color w:val="auto"/>
          <w:sz w:val="21"/>
          <w:szCs w:val="21"/>
          <w:highlight w:val="yellow"/>
          <w:u w:val="single"/>
          <w:lang w:eastAsia="zh-CN"/>
        </w:rPr>
        <w:t>至</w:t>
      </w:r>
      <w:r>
        <w:rPr>
          <w:rFonts w:hint="eastAsia" w:ascii="宋体" w:hAnsi="宋体" w:eastAsia="宋体" w:cs="宋体"/>
          <w:b/>
          <w:bCs/>
          <w:color w:val="auto"/>
          <w:sz w:val="21"/>
          <w:szCs w:val="21"/>
          <w:highlight w:val="yellow"/>
          <w:u w:val="single"/>
        </w:rPr>
        <w:t>合同价款的</w:t>
      </w:r>
      <w:r>
        <w:rPr>
          <w:rFonts w:hint="eastAsia" w:ascii="宋体" w:hAnsi="宋体" w:eastAsia="宋体" w:cs="宋体"/>
          <w:b/>
          <w:bCs/>
          <w:color w:val="auto"/>
          <w:sz w:val="21"/>
          <w:szCs w:val="21"/>
          <w:highlight w:val="yellow"/>
          <w:u w:val="single"/>
          <w:lang w:val="en-US" w:eastAsia="zh-CN"/>
        </w:rPr>
        <w:t>75</w:t>
      </w:r>
      <w:r>
        <w:rPr>
          <w:rFonts w:hint="eastAsia" w:ascii="宋体" w:hAnsi="宋体" w:eastAsia="宋体" w:cs="宋体"/>
          <w:b/>
          <w:bCs/>
          <w:color w:val="auto"/>
          <w:sz w:val="21"/>
          <w:szCs w:val="21"/>
          <w:highlight w:val="yellow"/>
          <w:u w:val="single"/>
        </w:rPr>
        <w:t>%；</w:t>
      </w:r>
      <w:r>
        <w:rPr>
          <w:rFonts w:hint="eastAsia" w:ascii="宋体" w:hAnsi="宋体" w:eastAsia="宋体" w:cs="宋体"/>
          <w:b/>
          <w:bCs/>
          <w:color w:val="auto"/>
          <w:sz w:val="21"/>
          <w:szCs w:val="21"/>
          <w:highlight w:val="yellow"/>
          <w:u w:val="single"/>
          <w:lang w:eastAsia="zh-CN"/>
        </w:rPr>
        <w:t>本次采购软件及货品</w:t>
      </w:r>
      <w:r>
        <w:rPr>
          <w:rFonts w:hint="eastAsia" w:ascii="宋体" w:hAnsi="宋体" w:eastAsia="宋体" w:cs="宋体"/>
          <w:b/>
          <w:bCs/>
          <w:color w:val="auto"/>
          <w:sz w:val="21"/>
          <w:szCs w:val="21"/>
          <w:highlight w:val="yellow"/>
          <w:u w:val="single"/>
        </w:rPr>
        <w:t>验收合格</w:t>
      </w:r>
      <w:r>
        <w:rPr>
          <w:rFonts w:hint="eastAsia" w:ascii="宋体" w:hAnsi="宋体" w:eastAsia="宋体" w:cs="宋体"/>
          <w:b/>
          <w:bCs/>
          <w:color w:val="auto"/>
          <w:sz w:val="21"/>
          <w:szCs w:val="21"/>
          <w:highlight w:val="yellow"/>
          <w:u w:val="single"/>
          <w:lang w:eastAsia="zh-CN"/>
        </w:rPr>
        <w:t>且正常运行</w:t>
      </w:r>
      <w:r>
        <w:rPr>
          <w:rFonts w:hint="eastAsia" w:ascii="宋体" w:hAnsi="宋体" w:eastAsia="宋体" w:cs="宋体"/>
          <w:b/>
          <w:bCs/>
          <w:color w:val="auto"/>
          <w:sz w:val="21"/>
          <w:szCs w:val="21"/>
          <w:highlight w:val="yellow"/>
          <w:u w:val="single"/>
        </w:rPr>
        <w:t>满一年无问题</w:t>
      </w:r>
      <w:r>
        <w:rPr>
          <w:rFonts w:hint="eastAsia" w:ascii="宋体" w:hAnsi="宋体" w:eastAsia="宋体" w:cs="宋体"/>
          <w:b/>
          <w:bCs/>
          <w:color w:val="auto"/>
          <w:sz w:val="21"/>
          <w:szCs w:val="21"/>
          <w:highlight w:val="yellow"/>
          <w:u w:val="single"/>
          <w:lang w:eastAsia="zh-CN"/>
        </w:rPr>
        <w:t>，并经有权审计部门审计结束且出具审计结论后</w:t>
      </w:r>
      <w:r>
        <w:rPr>
          <w:rFonts w:hint="eastAsia" w:ascii="宋体" w:hAnsi="宋体" w:eastAsia="宋体" w:cs="宋体"/>
          <w:b/>
          <w:bCs/>
          <w:color w:val="auto"/>
          <w:sz w:val="21"/>
          <w:szCs w:val="21"/>
          <w:highlight w:val="yellow"/>
          <w:u w:val="single"/>
        </w:rPr>
        <w:t>付</w:t>
      </w:r>
      <w:r>
        <w:rPr>
          <w:rFonts w:hint="eastAsia" w:ascii="宋体" w:hAnsi="宋体" w:eastAsia="宋体" w:cs="宋体"/>
          <w:b/>
          <w:bCs/>
          <w:color w:val="auto"/>
          <w:sz w:val="21"/>
          <w:szCs w:val="21"/>
          <w:highlight w:val="yellow"/>
          <w:u w:val="single"/>
          <w:lang w:eastAsia="zh-CN"/>
        </w:rPr>
        <w:t>至最终审定价</w:t>
      </w:r>
      <w:r>
        <w:rPr>
          <w:rFonts w:hint="eastAsia" w:ascii="宋体" w:hAnsi="宋体" w:eastAsia="宋体" w:cs="宋体"/>
          <w:b/>
          <w:bCs/>
          <w:color w:val="auto"/>
          <w:sz w:val="21"/>
          <w:szCs w:val="21"/>
          <w:highlight w:val="yellow"/>
          <w:u w:val="single"/>
        </w:rPr>
        <w:t>的</w:t>
      </w:r>
      <w:r>
        <w:rPr>
          <w:rFonts w:hint="eastAsia" w:ascii="宋体" w:hAnsi="宋体" w:eastAsia="宋体" w:cs="宋体"/>
          <w:b/>
          <w:bCs/>
          <w:color w:val="auto"/>
          <w:sz w:val="21"/>
          <w:szCs w:val="21"/>
          <w:highlight w:val="yellow"/>
          <w:u w:val="single"/>
          <w:lang w:val="en-US" w:eastAsia="zh-CN"/>
        </w:rPr>
        <w:t>95</w:t>
      </w:r>
      <w:r>
        <w:rPr>
          <w:rFonts w:hint="eastAsia" w:ascii="宋体" w:hAnsi="宋体" w:eastAsia="宋体" w:cs="宋体"/>
          <w:b/>
          <w:bCs/>
          <w:color w:val="auto"/>
          <w:sz w:val="21"/>
          <w:szCs w:val="21"/>
          <w:highlight w:val="yellow"/>
          <w:u w:val="single"/>
        </w:rPr>
        <w:t>%；</w:t>
      </w:r>
      <w:r>
        <w:rPr>
          <w:rFonts w:hint="eastAsia" w:ascii="宋体" w:hAnsi="宋体" w:eastAsia="宋体" w:cs="宋体"/>
          <w:b/>
          <w:bCs/>
          <w:color w:val="auto"/>
          <w:sz w:val="21"/>
          <w:szCs w:val="21"/>
          <w:highlight w:val="yellow"/>
          <w:u w:val="single"/>
          <w:lang w:eastAsia="zh-CN"/>
        </w:rPr>
        <w:t>审计结束且本合同约定的全部软件质保期满且经甲方确认无遗留问题后</w:t>
      </w:r>
      <w:r>
        <w:rPr>
          <w:rFonts w:hint="eastAsia" w:ascii="宋体" w:hAnsi="宋体" w:eastAsia="宋体" w:cs="宋体"/>
          <w:b/>
          <w:bCs/>
          <w:color w:val="auto"/>
          <w:sz w:val="21"/>
          <w:szCs w:val="21"/>
          <w:highlight w:val="yellow"/>
          <w:u w:val="single"/>
        </w:rPr>
        <w:t>付</w:t>
      </w:r>
      <w:r>
        <w:rPr>
          <w:rFonts w:hint="eastAsia" w:ascii="宋体" w:hAnsi="宋体" w:eastAsia="宋体" w:cs="宋体"/>
          <w:b/>
          <w:bCs/>
          <w:color w:val="auto"/>
          <w:sz w:val="21"/>
          <w:szCs w:val="21"/>
          <w:highlight w:val="yellow"/>
          <w:u w:val="single"/>
          <w:lang w:eastAsia="zh-CN"/>
        </w:rPr>
        <w:t>至最终审定价</w:t>
      </w:r>
      <w:r>
        <w:rPr>
          <w:rFonts w:hint="eastAsia" w:ascii="宋体" w:hAnsi="宋体" w:eastAsia="宋体" w:cs="宋体"/>
          <w:b/>
          <w:bCs/>
          <w:color w:val="auto"/>
          <w:sz w:val="21"/>
          <w:szCs w:val="21"/>
          <w:highlight w:val="yellow"/>
          <w:u w:val="single"/>
        </w:rPr>
        <w:t>的</w:t>
      </w:r>
      <w:r>
        <w:rPr>
          <w:rFonts w:hint="eastAsia" w:ascii="宋体" w:hAnsi="宋体" w:eastAsia="宋体" w:cs="宋体"/>
          <w:b/>
          <w:bCs/>
          <w:color w:val="auto"/>
          <w:sz w:val="21"/>
          <w:szCs w:val="21"/>
          <w:highlight w:val="yellow"/>
          <w:u w:val="single"/>
          <w:lang w:val="en-US" w:eastAsia="zh-CN"/>
        </w:rPr>
        <w:t>97</w:t>
      </w:r>
      <w:r>
        <w:rPr>
          <w:rFonts w:hint="eastAsia" w:ascii="宋体" w:hAnsi="宋体" w:eastAsia="宋体" w:cs="宋体"/>
          <w:b/>
          <w:bCs/>
          <w:color w:val="auto"/>
          <w:sz w:val="21"/>
          <w:szCs w:val="21"/>
          <w:highlight w:val="yellow"/>
          <w:u w:val="single"/>
        </w:rPr>
        <w:t>%；</w:t>
      </w:r>
      <w:r>
        <w:rPr>
          <w:rFonts w:hint="eastAsia" w:ascii="宋体" w:hAnsi="宋体" w:eastAsia="宋体" w:cs="宋体"/>
          <w:b/>
          <w:bCs/>
          <w:color w:val="auto"/>
          <w:sz w:val="21"/>
          <w:szCs w:val="21"/>
          <w:highlight w:val="yellow"/>
          <w:u w:val="single"/>
          <w:lang w:eastAsia="zh-CN"/>
        </w:rPr>
        <w:t>审计结束且本合同约定的全部硬件质保期满且经甲方确认无遗留问题后按最终审定价结清余款</w:t>
      </w:r>
      <w:r>
        <w:rPr>
          <w:rFonts w:hint="eastAsia" w:ascii="宋体" w:hAnsi="宋体" w:eastAsia="宋体" w:cs="宋体"/>
          <w:b/>
          <w:bCs/>
          <w:color w:val="auto"/>
          <w:sz w:val="21"/>
          <w:szCs w:val="21"/>
          <w:highlight w:val="yellow"/>
          <w:u w:val="single"/>
        </w:rPr>
        <w:t>（以上付款均无息）</w:t>
      </w:r>
      <w:r>
        <w:rPr>
          <w:rFonts w:hint="eastAsia" w:ascii="宋体" w:hAnsi="宋体" w:eastAsia="宋体" w:cs="宋体"/>
          <w:b/>
          <w:bCs/>
          <w:color w:val="auto"/>
          <w:sz w:val="21"/>
          <w:szCs w:val="21"/>
          <w:highlight w:val="none"/>
          <w:u w:val="single"/>
          <w:lang w:eastAsia="zh-CN"/>
        </w:rPr>
        <w:t>。</w:t>
      </w:r>
    </w:p>
    <w:p w14:paraId="16E5B2C6">
      <w:pPr>
        <w:pageBreakBefore w:val="0"/>
        <w:kinsoku/>
        <w:wordWrap/>
        <w:overflowPunct/>
        <w:topLinePunct w:val="0"/>
        <w:bidi w:val="0"/>
        <w:snapToGrid w:val="0"/>
        <w:spacing w:beforeAutospacing="0" w:afterAutospacing="0" w:line="400" w:lineRule="exact"/>
        <w:ind w:left="0" w:leftChars="0" w:firstLine="632" w:firstLineChars="300"/>
        <w:textAlignment w:val="auto"/>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特别说明：</w:t>
      </w:r>
      <w:r>
        <w:rPr>
          <w:rFonts w:hint="default" w:ascii="Calibri" w:hAnsi="Calibri" w:eastAsia="宋体" w:cs="Calibri"/>
          <w:b/>
          <w:bCs/>
          <w:color w:val="auto"/>
          <w:sz w:val="21"/>
          <w:szCs w:val="21"/>
          <w:highlight w:val="none"/>
          <w:u w:val="single"/>
          <w:lang w:eastAsia="zh-CN"/>
        </w:rPr>
        <w:t>①</w:t>
      </w:r>
      <w:r>
        <w:rPr>
          <w:rFonts w:hint="eastAsia" w:ascii="宋体" w:hAnsi="宋体" w:eastAsia="宋体" w:cs="宋体"/>
          <w:b/>
          <w:bCs/>
          <w:color w:val="auto"/>
          <w:sz w:val="21"/>
          <w:szCs w:val="21"/>
          <w:highlight w:val="none"/>
          <w:u w:val="single"/>
          <w:lang w:eastAsia="zh-CN"/>
        </w:rPr>
        <w:t>付款前乙方须提供符合甲方要求的正规发票，最终审计核减率超过5%(含5%)的，审计费用由乙方承担，费用从项目审定价款中扣除。乙方开具审定价全额发票、审计公司开具费用发票，结算时乙方扣除审计费进行支付。</w:t>
      </w:r>
    </w:p>
    <w:p w14:paraId="0EA6B7DF">
      <w:pPr>
        <w:pageBreakBefore w:val="0"/>
        <w:kinsoku/>
        <w:wordWrap/>
        <w:overflowPunct/>
        <w:topLinePunct w:val="0"/>
        <w:bidi w:val="0"/>
        <w:snapToGrid w:val="0"/>
        <w:spacing w:beforeAutospacing="0" w:afterAutospacing="0" w:line="400" w:lineRule="exact"/>
        <w:ind w:left="0" w:leftChars="0" w:firstLine="632" w:firstLineChars="300"/>
        <w:textAlignment w:val="auto"/>
        <w:rPr>
          <w:rFonts w:hint="eastAsia" w:ascii="宋体" w:hAnsi="宋体" w:eastAsia="宋体" w:cs="宋体"/>
          <w:b/>
          <w:bCs/>
          <w:color w:val="auto"/>
          <w:sz w:val="21"/>
          <w:szCs w:val="21"/>
          <w:highlight w:val="none"/>
          <w:u w:val="single"/>
          <w:lang w:eastAsia="zh-CN"/>
        </w:rPr>
      </w:pPr>
      <w:r>
        <w:rPr>
          <w:rFonts w:hint="default" w:ascii="Calibri" w:hAnsi="Calibri" w:eastAsia="宋体" w:cs="Calibri"/>
          <w:b/>
          <w:bCs/>
          <w:color w:val="auto"/>
          <w:sz w:val="21"/>
          <w:szCs w:val="21"/>
          <w:highlight w:val="none"/>
          <w:u w:val="single"/>
          <w:lang w:eastAsia="zh-CN"/>
        </w:rPr>
        <w:t>②</w:t>
      </w:r>
      <w:r>
        <w:rPr>
          <w:rFonts w:hint="eastAsia" w:ascii="宋体" w:hAnsi="宋体" w:eastAsia="宋体" w:cs="宋体"/>
          <w:b/>
          <w:bCs/>
          <w:color w:val="auto"/>
          <w:sz w:val="21"/>
          <w:szCs w:val="21"/>
          <w:highlight w:val="none"/>
          <w:u w:val="single"/>
          <w:lang w:eastAsia="zh-CN"/>
        </w:rPr>
        <w:t>当采购数量与实际使用数量不一致时，乙方应根据实际使用量供货，合同的最终结算金额按实际使用量乘以成交单价进行计算，合同的增加的采购金额不得超过原合同采购金额的10%。</w:t>
      </w:r>
    </w:p>
    <w:p w14:paraId="3ACF00B8">
      <w:pPr>
        <w:pageBreakBefore w:val="0"/>
        <w:kinsoku/>
        <w:wordWrap/>
        <w:overflowPunct/>
        <w:topLinePunct w:val="0"/>
        <w:bidi w:val="0"/>
        <w:snapToGrid w:val="0"/>
        <w:spacing w:beforeAutospacing="0" w:afterAutospacing="0" w:line="400" w:lineRule="exact"/>
        <w:ind w:left="0" w:leftChars="0" w:firstLine="660" w:firstLineChars="300"/>
        <w:textAlignment w:val="auto"/>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color w:val="auto"/>
          <w:sz w:val="22"/>
          <w:szCs w:val="22"/>
          <w:highlight w:val="none"/>
        </w:rPr>
        <w:t>其中涉及预付款的：</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1"/>
          <w:szCs w:val="21"/>
          <w:highlight w:val="none"/>
          <w:u w:val="single"/>
          <w:lang w:val="en-US" w:eastAsia="zh-CN"/>
        </w:rPr>
        <w:t>合同总价款的30%；</w:t>
      </w:r>
      <w:r>
        <w:rPr>
          <w:rFonts w:hint="eastAsia" w:ascii="宋体" w:hAnsi="宋体" w:eastAsia="宋体" w:cs="宋体"/>
          <w:b/>
          <w:bCs/>
          <w:color w:val="auto"/>
          <w:sz w:val="21"/>
          <w:szCs w:val="21"/>
          <w:highlight w:val="none"/>
          <w:u w:val="single"/>
          <w:lang w:eastAsia="zh-CN"/>
        </w:rPr>
        <w:t>甲乙双方合同签订完成后</w:t>
      </w:r>
      <w:r>
        <w:rPr>
          <w:rFonts w:hint="eastAsia" w:ascii="宋体" w:hAnsi="宋体" w:eastAsia="宋体" w:cs="宋体"/>
          <w:b/>
          <w:bCs/>
          <w:color w:val="auto"/>
          <w:sz w:val="21"/>
          <w:szCs w:val="21"/>
          <w:highlight w:val="none"/>
          <w:u w:val="single"/>
          <w:lang w:val="en-US" w:eastAsia="zh-CN"/>
        </w:rPr>
        <w:t>10个工作日内支付。</w:t>
      </w:r>
    </w:p>
    <w:p w14:paraId="2F3088DF">
      <w:pPr>
        <w:pageBreakBefore w:val="0"/>
        <w:kinsoku/>
        <w:wordWrap/>
        <w:overflowPunct/>
        <w:topLinePunct w:val="0"/>
        <w:bidi w:val="0"/>
        <w:snapToGrid w:val="0"/>
        <w:spacing w:beforeAutospacing="0" w:afterAutospacing="0" w:line="400" w:lineRule="exact"/>
        <w:ind w:left="0" w:leftChars="0" w:firstLine="632" w:firstLineChars="300"/>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1"/>
          <w:szCs w:val="21"/>
          <w:highlight w:val="none"/>
          <w:u w:val="single"/>
          <w:lang w:val="en-US" w:eastAsia="zh-CN"/>
        </w:rPr>
        <w:t>注：在签订合同时，乙方明确表示无需预付款或者主动要求降低预付款比例的，甲方可不适用前述预付款规定。</w:t>
      </w:r>
      <w:r>
        <w:rPr>
          <w:rFonts w:hint="eastAsia" w:ascii="宋体" w:hAnsi="宋体" w:eastAsia="宋体" w:cs="宋体"/>
          <w:color w:val="auto"/>
          <w:sz w:val="22"/>
          <w:szCs w:val="22"/>
          <w:highlight w:val="none"/>
          <w:u w:val="single"/>
        </w:rPr>
        <w:t xml:space="preserve"> </w:t>
      </w:r>
    </w:p>
    <w:p w14:paraId="73714E12">
      <w:pPr>
        <w:pageBreakBefore w:val="0"/>
        <w:kinsoku/>
        <w:wordWrap/>
        <w:overflowPunct/>
        <w:topLinePunct w:val="0"/>
        <w:bidi w:val="0"/>
        <w:adjustRightInd w:val="0"/>
        <w:snapToGrid w:val="0"/>
        <w:spacing w:beforeAutospacing="0" w:afterAutospacing="0" w:line="400" w:lineRule="exact"/>
        <w:ind w:left="0" w:leftChars="0" w:firstLine="660" w:firstLineChars="300"/>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sym w:font="Wingdings" w:char="F0A8"/>
      </w:r>
      <w:r>
        <w:rPr>
          <w:rFonts w:hint="eastAsia" w:ascii="宋体" w:hAnsi="宋体" w:eastAsia="宋体" w:cs="宋体"/>
          <w:color w:val="auto"/>
          <w:sz w:val="22"/>
          <w:szCs w:val="22"/>
          <w:highlight w:val="none"/>
        </w:rPr>
        <w:t>成本补偿：</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p>
    <w:p w14:paraId="3B9A2990">
      <w:pPr>
        <w:pageBreakBefore w:val="0"/>
        <w:kinsoku/>
        <w:wordWrap/>
        <w:overflowPunct/>
        <w:topLinePunct w:val="0"/>
        <w:bidi w:val="0"/>
        <w:adjustRightInd w:val="0"/>
        <w:snapToGrid w:val="0"/>
        <w:spacing w:beforeAutospacing="0" w:afterAutospacing="0" w:line="400" w:lineRule="exact"/>
        <w:ind w:left="0" w:leftChars="0" w:firstLine="660" w:firstLineChars="3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sym w:font="Wingdings" w:char="F0A8"/>
      </w:r>
      <w:r>
        <w:rPr>
          <w:rFonts w:hint="eastAsia" w:ascii="宋体" w:hAnsi="宋体" w:eastAsia="宋体" w:cs="宋体"/>
          <w:color w:val="auto"/>
          <w:sz w:val="22"/>
          <w:szCs w:val="22"/>
          <w:highlight w:val="none"/>
        </w:rPr>
        <w:t>绩效激励：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u w:val="single"/>
        </w:rPr>
        <w:t xml:space="preserve">   </w:t>
      </w:r>
    </w:p>
    <w:p w14:paraId="7B98DABA">
      <w:pPr>
        <w:pageBreakBefore w:val="0"/>
        <w:numPr>
          <w:ilvl w:val="0"/>
          <w:numId w:val="1"/>
        </w:numPr>
        <w:kinsoku/>
        <w:wordWrap/>
        <w:overflowPunct/>
        <w:topLinePunct w:val="0"/>
        <w:bidi w:val="0"/>
        <w:spacing w:beforeAutospacing="0" w:afterAutospacing="0" w:line="400" w:lineRule="exact"/>
        <w:ind w:left="0" w:leftChars="0" w:firstLine="482"/>
        <w:textAlignment w:val="auto"/>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rPr>
        <w:t>合同履行</w:t>
      </w:r>
    </w:p>
    <w:p w14:paraId="7CEDBE43">
      <w:pPr>
        <w:pageBreakBefore w:val="0"/>
        <w:kinsoku/>
        <w:wordWrap/>
        <w:overflowPunct/>
        <w:topLinePunct w:val="0"/>
        <w:bidi w:val="0"/>
        <w:spacing w:beforeAutospacing="0" w:afterAutospacing="0" w:line="400" w:lineRule="exact"/>
        <w:ind w:left="0" w:leftChars="0"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（1）起始日期：</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年</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月</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日，完成日期：</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年</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月</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日。</w:t>
      </w:r>
    </w:p>
    <w:p w14:paraId="50CD8081">
      <w:pPr>
        <w:pageBreakBefore w:val="0"/>
        <w:kinsoku/>
        <w:wordWrap/>
        <w:overflowPunct/>
        <w:topLinePunct w:val="0"/>
        <w:bidi w:val="0"/>
        <w:spacing w:beforeAutospacing="0" w:afterAutospacing="0" w:line="400" w:lineRule="exact"/>
        <w:ind w:left="0" w:leftChars="0" w:firstLine="480"/>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（2）履约地点</w:t>
      </w:r>
      <w:r>
        <w:rPr>
          <w:rFonts w:hint="eastAsia" w:ascii="宋体" w:hAnsi="宋体" w:eastAsia="宋体" w:cs="宋体"/>
          <w:bCs/>
          <w:color w:val="auto"/>
          <w:sz w:val="22"/>
          <w:szCs w:val="22"/>
          <w:highlight w:val="none"/>
        </w:rPr>
        <w:t>：</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1"/>
          <w:szCs w:val="21"/>
          <w:highlight w:val="none"/>
          <w:u w:val="single"/>
          <w:lang w:eastAsia="zh-CN"/>
        </w:rPr>
        <w:t>甲方要求的各供货地址。</w:t>
      </w:r>
      <w:r>
        <w:rPr>
          <w:rFonts w:hint="eastAsia" w:ascii="宋体" w:hAnsi="宋体" w:eastAsia="宋体" w:cs="宋体"/>
          <w:bCs/>
          <w:color w:val="auto"/>
          <w:sz w:val="22"/>
          <w:szCs w:val="22"/>
          <w:highlight w:val="none"/>
        </w:rPr>
        <w:t xml:space="preserve">  </w:t>
      </w:r>
    </w:p>
    <w:p w14:paraId="10D3CC7C">
      <w:pPr>
        <w:pageBreakBefore w:val="0"/>
        <w:kinsoku/>
        <w:wordWrap/>
        <w:overflowPunct/>
        <w:topLinePunct w:val="0"/>
        <w:bidi w:val="0"/>
        <w:spacing w:beforeAutospacing="0" w:afterAutospacing="0" w:line="400" w:lineRule="exact"/>
        <w:ind w:left="0" w:leftChars="0" w:firstLine="480"/>
        <w:textAlignment w:val="auto"/>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（3）</w:t>
      </w:r>
      <w:r>
        <w:rPr>
          <w:rFonts w:hint="eastAsia" w:ascii="宋体" w:hAnsi="宋体" w:eastAsia="宋体" w:cs="宋体"/>
          <w:color w:val="auto"/>
          <w:sz w:val="22"/>
          <w:szCs w:val="22"/>
          <w:highlight w:val="none"/>
        </w:rPr>
        <w:t>履约担保：是否收取履约保证金：</w:t>
      </w:r>
      <w:r>
        <w:rPr>
          <w:rFonts w:hint="eastAsia" w:ascii="宋体" w:hAnsi="宋体" w:eastAsia="宋体" w:cs="宋体"/>
          <w:color w:val="auto"/>
          <w:sz w:val="22"/>
          <w:szCs w:val="22"/>
          <w:highlight w:val="none"/>
        </w:rPr>
        <w:sym w:font="Wingdings" w:char="00FE"/>
      </w:r>
      <w:r>
        <w:rPr>
          <w:rFonts w:hint="eastAsia" w:ascii="宋体" w:hAnsi="宋体" w:eastAsia="宋体" w:cs="宋体"/>
          <w:color w:val="auto"/>
          <w:sz w:val="22"/>
          <w:szCs w:val="22"/>
          <w:highlight w:val="none"/>
        </w:rPr>
        <w:t xml:space="preserve">是    </w:t>
      </w: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否</w:t>
      </w:r>
    </w:p>
    <w:p w14:paraId="782776B1">
      <w:pPr>
        <w:pageBreakBefore w:val="0"/>
        <w:kinsoku/>
        <w:wordWrap/>
        <w:overflowPunct/>
        <w:topLinePunct w:val="0"/>
        <w:bidi w:val="0"/>
        <w:spacing w:beforeAutospacing="0" w:afterAutospacing="0" w:line="400" w:lineRule="exact"/>
        <w:ind w:left="0" w:leftChars="0"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收取履约保证金形式：</w:t>
      </w:r>
    </w:p>
    <w:p w14:paraId="1DCBFC26">
      <w:pPr>
        <w:keepNext w:val="0"/>
        <w:keepLines w:val="0"/>
        <w:pageBreakBefore w:val="0"/>
        <w:widowControl w:val="0"/>
        <w:kinsoku/>
        <w:wordWrap/>
        <w:overflowPunct/>
        <w:topLinePunct w:val="0"/>
        <w:autoSpaceDE/>
        <w:autoSpaceDN/>
        <w:bidi w:val="0"/>
        <w:adjustRightInd w:val="0"/>
        <w:snapToGrid w:val="0"/>
        <w:spacing w:line="400" w:lineRule="exact"/>
        <w:ind w:right="0" w:righ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乙方</w:t>
      </w:r>
      <w:r>
        <w:rPr>
          <w:rFonts w:hint="eastAsia" w:ascii="宋体" w:hAnsi="宋体" w:eastAsia="宋体" w:cs="宋体"/>
          <w:color w:val="auto"/>
          <w:sz w:val="21"/>
          <w:szCs w:val="21"/>
          <w:highlight w:val="none"/>
          <w:u w:val="single"/>
        </w:rPr>
        <w:t>在本项目中标（成交）结果公告质疑期结束之日起</w:t>
      </w:r>
      <w:r>
        <w:rPr>
          <w:rFonts w:hint="eastAsia" w:ascii="宋体" w:hAnsi="宋体" w:eastAsia="宋体" w:cs="宋体"/>
          <w:color w:val="auto"/>
          <w:sz w:val="21"/>
          <w:szCs w:val="21"/>
          <w:highlight w:val="none"/>
          <w:u w:val="single"/>
          <w:lang w:eastAsia="zh-CN"/>
        </w:rPr>
        <w:t>、签订合同前</w:t>
      </w:r>
      <w:r>
        <w:rPr>
          <w:rFonts w:hint="eastAsia" w:ascii="宋体" w:hAnsi="宋体" w:eastAsia="宋体" w:cs="宋体"/>
          <w:color w:val="auto"/>
          <w:sz w:val="21"/>
          <w:szCs w:val="21"/>
          <w:highlight w:val="none"/>
          <w:u w:val="single"/>
        </w:rPr>
        <w:t>内且在领取中标通知书前将履约保证金以转帐、电汇或银行汇票等形式从</w:t>
      </w:r>
      <w:r>
        <w:rPr>
          <w:rFonts w:hint="eastAsia" w:ascii="宋体" w:hAnsi="宋体" w:eastAsia="宋体" w:cs="宋体"/>
          <w:color w:val="auto"/>
          <w:sz w:val="21"/>
          <w:szCs w:val="21"/>
          <w:highlight w:val="none"/>
          <w:u w:val="single"/>
          <w:lang w:eastAsia="zh-CN"/>
        </w:rPr>
        <w:t>乙方</w:t>
      </w:r>
      <w:r>
        <w:rPr>
          <w:rFonts w:hint="eastAsia" w:ascii="宋体" w:hAnsi="宋体" w:eastAsia="宋体" w:cs="宋体"/>
          <w:color w:val="auto"/>
          <w:sz w:val="21"/>
          <w:szCs w:val="21"/>
          <w:highlight w:val="none"/>
          <w:u w:val="single"/>
        </w:rPr>
        <w:t>的帐户转至下列账户，</w:t>
      </w:r>
      <w:r>
        <w:rPr>
          <w:rFonts w:hint="eastAsia" w:ascii="宋体" w:hAnsi="宋体" w:eastAsia="宋体" w:cs="宋体"/>
          <w:b/>
          <w:color w:val="auto"/>
          <w:sz w:val="21"/>
          <w:szCs w:val="21"/>
          <w:highlight w:val="none"/>
          <w:u w:val="single"/>
        </w:rPr>
        <w:t>收款单位名称：阜宁县公共资源</w:t>
      </w:r>
      <w:r>
        <w:rPr>
          <w:rFonts w:hint="eastAsia" w:ascii="宋体" w:hAnsi="宋体" w:eastAsia="宋体" w:cs="宋体"/>
          <w:b/>
          <w:color w:val="auto"/>
          <w:sz w:val="21"/>
          <w:szCs w:val="21"/>
          <w:highlight w:val="none"/>
          <w:u w:val="single"/>
          <w:lang w:eastAsia="zh-CN"/>
        </w:rPr>
        <w:t>代理机构</w:t>
      </w:r>
      <w:r>
        <w:rPr>
          <w:rFonts w:hint="eastAsia" w:ascii="宋体" w:hAnsi="宋体" w:eastAsia="宋体" w:cs="宋体"/>
          <w:b/>
          <w:color w:val="auto"/>
          <w:sz w:val="21"/>
          <w:szCs w:val="21"/>
          <w:highlight w:val="none"/>
          <w:u w:val="single"/>
        </w:rPr>
        <w:t>，开户银行：中国邮政储蓄银行股份有限公司阜宁县南城区支行；帐号：932002010058987777，</w:t>
      </w:r>
      <w:r>
        <w:rPr>
          <w:rFonts w:hint="eastAsia" w:ascii="宋体" w:hAnsi="宋体" w:eastAsia="宋体" w:cs="宋体"/>
          <w:b/>
          <w:color w:val="auto"/>
          <w:sz w:val="21"/>
          <w:szCs w:val="21"/>
          <w:highlight w:val="none"/>
          <w:u w:val="single"/>
          <w:lang w:eastAsia="zh-CN"/>
        </w:rPr>
        <w:t>乙方</w:t>
      </w:r>
      <w:r>
        <w:rPr>
          <w:rFonts w:hint="eastAsia" w:ascii="宋体" w:hAnsi="宋体" w:eastAsia="宋体" w:cs="宋体"/>
          <w:b/>
          <w:color w:val="auto"/>
          <w:sz w:val="21"/>
          <w:szCs w:val="21"/>
          <w:highlight w:val="none"/>
          <w:u w:val="single"/>
        </w:rPr>
        <w:t>也可以采用银行保函形式提交履约保证金，采用银行保函提交的，其受益人为</w:t>
      </w:r>
      <w:r>
        <w:rPr>
          <w:rFonts w:hint="eastAsia" w:ascii="宋体" w:hAnsi="宋体" w:eastAsia="宋体" w:cs="宋体"/>
          <w:b/>
          <w:color w:val="auto"/>
          <w:sz w:val="21"/>
          <w:szCs w:val="21"/>
          <w:highlight w:val="none"/>
          <w:u w:val="single"/>
          <w:lang w:eastAsia="zh-CN"/>
        </w:rPr>
        <w:t>甲方</w:t>
      </w:r>
      <w:r>
        <w:rPr>
          <w:rFonts w:hint="eastAsia" w:ascii="宋体" w:hAnsi="宋体" w:eastAsia="宋体" w:cs="宋体"/>
          <w:b/>
          <w:color w:val="auto"/>
          <w:sz w:val="21"/>
          <w:szCs w:val="21"/>
          <w:highlight w:val="none"/>
          <w:u w:val="single"/>
        </w:rPr>
        <w:t>，保函的有效期不得低于合同的履行期限</w:t>
      </w:r>
      <w:r>
        <w:rPr>
          <w:rFonts w:hint="eastAsia" w:ascii="宋体" w:hAnsi="宋体" w:eastAsia="宋体" w:cs="宋体"/>
          <w:color w:val="auto"/>
          <w:sz w:val="21"/>
          <w:szCs w:val="21"/>
          <w:highlight w:val="none"/>
          <w:u w:val="single"/>
        </w:rPr>
        <w:t>。</w:t>
      </w:r>
    </w:p>
    <w:p w14:paraId="3A757BD7">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firstLine="422"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b/>
          <w:bCs/>
          <w:color w:val="auto"/>
          <w:sz w:val="21"/>
          <w:szCs w:val="21"/>
          <w:highlight w:val="none"/>
          <w:u w:val="single"/>
        </w:rPr>
        <w:t>依据盐财购〔2021〕19号文件规定，</w:t>
      </w:r>
      <w:r>
        <w:rPr>
          <w:rFonts w:hint="eastAsia" w:ascii="宋体" w:hAnsi="宋体" w:eastAsia="宋体" w:cs="宋体"/>
          <w:b/>
          <w:bCs/>
          <w:color w:val="auto"/>
          <w:sz w:val="21"/>
          <w:szCs w:val="21"/>
          <w:highlight w:val="none"/>
          <w:u w:val="single"/>
          <w:lang w:eastAsia="zh-CN"/>
        </w:rPr>
        <w:t>乙方</w:t>
      </w:r>
      <w:r>
        <w:rPr>
          <w:rFonts w:hint="eastAsia" w:ascii="宋体" w:hAnsi="宋体" w:eastAsia="宋体" w:cs="宋体"/>
          <w:b/>
          <w:bCs/>
          <w:color w:val="auto"/>
          <w:sz w:val="21"/>
          <w:szCs w:val="21"/>
          <w:highlight w:val="none"/>
          <w:u w:val="single"/>
        </w:rPr>
        <w:t>具有AA评级及以上（或80分及以上）信用等级的且信用报告通过信用管理部门备案并通过“信用盐城网”可查实或信用报告概述页等内容通过“信用盐城网”可查实（需向阜宁县公共资源</w:t>
      </w:r>
      <w:r>
        <w:rPr>
          <w:rFonts w:hint="eastAsia" w:ascii="宋体" w:hAnsi="宋体" w:eastAsia="宋体" w:cs="宋体"/>
          <w:b/>
          <w:bCs/>
          <w:color w:val="auto"/>
          <w:sz w:val="21"/>
          <w:szCs w:val="21"/>
          <w:highlight w:val="none"/>
          <w:u w:val="single"/>
          <w:lang w:eastAsia="zh-CN"/>
        </w:rPr>
        <w:t>代理机构</w:t>
      </w:r>
      <w:r>
        <w:rPr>
          <w:rFonts w:hint="eastAsia" w:ascii="宋体" w:hAnsi="宋体" w:eastAsia="宋体" w:cs="宋体"/>
          <w:b/>
          <w:bCs/>
          <w:color w:val="auto"/>
          <w:sz w:val="21"/>
          <w:szCs w:val="21"/>
          <w:highlight w:val="none"/>
          <w:u w:val="single"/>
        </w:rPr>
        <w:t>提供第三方信用报告原件和加盖中标</w:t>
      </w:r>
      <w:r>
        <w:rPr>
          <w:rFonts w:hint="eastAsia" w:ascii="宋体" w:hAnsi="宋体" w:eastAsia="宋体" w:cs="宋体"/>
          <w:b/>
          <w:bCs/>
          <w:color w:val="auto"/>
          <w:sz w:val="21"/>
          <w:szCs w:val="21"/>
          <w:highlight w:val="none"/>
          <w:u w:val="single"/>
          <w:lang w:eastAsia="zh-CN"/>
        </w:rPr>
        <w:t>投标人</w:t>
      </w:r>
      <w:r>
        <w:rPr>
          <w:rFonts w:hint="eastAsia" w:ascii="宋体" w:hAnsi="宋体" w:eastAsia="宋体" w:cs="宋体"/>
          <w:b/>
          <w:bCs/>
          <w:color w:val="auto"/>
          <w:sz w:val="21"/>
          <w:szCs w:val="21"/>
          <w:highlight w:val="none"/>
          <w:u w:val="single"/>
        </w:rPr>
        <w:t>公章的第三方信用报告的复印件），履约保证金将减按3%缴纳</w:t>
      </w:r>
      <w:r>
        <w:rPr>
          <w:rFonts w:hint="eastAsia" w:ascii="宋体" w:hAnsi="宋体" w:eastAsia="宋体" w:cs="宋体"/>
          <w:color w:val="auto"/>
          <w:sz w:val="21"/>
          <w:szCs w:val="21"/>
          <w:highlight w:val="none"/>
          <w:u w:val="single"/>
        </w:rPr>
        <w:t>。</w:t>
      </w:r>
    </w:p>
    <w:p w14:paraId="03DD10DB">
      <w:pPr>
        <w:keepNext w:val="0"/>
        <w:keepLines w:val="0"/>
        <w:pageBreakBefore w:val="0"/>
        <w:widowControl w:val="0"/>
        <w:kinsoku/>
        <w:wordWrap/>
        <w:overflowPunct/>
        <w:topLinePunct w:val="0"/>
        <w:autoSpaceDE/>
        <w:autoSpaceDN/>
        <w:bidi w:val="0"/>
        <w:spacing w:line="400" w:lineRule="exact"/>
        <w:ind w:firstLine="422" w:firstLineChars="200"/>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lang w:eastAsia="zh-CN"/>
        </w:rPr>
        <w:t>乙方</w:t>
      </w:r>
      <w:r>
        <w:rPr>
          <w:rFonts w:hint="eastAsia" w:ascii="宋体" w:hAnsi="宋体" w:eastAsia="宋体" w:cs="宋体"/>
          <w:b/>
          <w:bCs/>
          <w:color w:val="auto"/>
          <w:sz w:val="21"/>
          <w:szCs w:val="21"/>
          <w:highlight w:val="none"/>
          <w:u w:val="single"/>
        </w:rPr>
        <w:t>不遵守本</w:t>
      </w:r>
      <w:r>
        <w:rPr>
          <w:rFonts w:hint="eastAsia" w:ascii="宋体" w:hAnsi="宋体" w:eastAsia="宋体" w:cs="宋体"/>
          <w:b/>
          <w:bCs/>
          <w:color w:val="auto"/>
          <w:sz w:val="21"/>
          <w:szCs w:val="21"/>
          <w:highlight w:val="none"/>
          <w:u w:val="single"/>
          <w:lang w:eastAsia="zh-CN"/>
        </w:rPr>
        <w:t>招标</w:t>
      </w:r>
      <w:r>
        <w:rPr>
          <w:rFonts w:hint="eastAsia" w:ascii="宋体" w:hAnsi="宋体" w:eastAsia="宋体" w:cs="宋体"/>
          <w:b/>
          <w:bCs/>
          <w:color w:val="auto"/>
          <w:sz w:val="21"/>
          <w:szCs w:val="21"/>
          <w:highlight w:val="none"/>
          <w:u w:val="single"/>
        </w:rPr>
        <w:t>文件约定，不能按时交纳履约保证金等费用，影响或推迟签订合同的，</w:t>
      </w:r>
      <w:r>
        <w:rPr>
          <w:rFonts w:hint="eastAsia" w:ascii="宋体" w:hAnsi="宋体" w:eastAsia="宋体" w:cs="宋体"/>
          <w:b/>
          <w:bCs/>
          <w:color w:val="auto"/>
          <w:sz w:val="21"/>
          <w:szCs w:val="21"/>
          <w:highlight w:val="none"/>
          <w:u w:val="single"/>
          <w:lang w:eastAsia="zh-CN"/>
        </w:rPr>
        <w:t>甲方</w:t>
      </w:r>
      <w:r>
        <w:rPr>
          <w:rFonts w:hint="eastAsia" w:ascii="宋体" w:hAnsi="宋体" w:eastAsia="宋体" w:cs="宋体"/>
          <w:b/>
          <w:bCs/>
          <w:color w:val="auto"/>
          <w:sz w:val="21"/>
          <w:szCs w:val="21"/>
          <w:highlight w:val="none"/>
          <w:u w:val="single"/>
        </w:rPr>
        <w:t>将取消其中标资格，并报告财政监管部门备案。</w:t>
      </w:r>
    </w:p>
    <w:p w14:paraId="239834C3">
      <w:pPr>
        <w:keepNext w:val="0"/>
        <w:keepLines w:val="0"/>
        <w:pageBreakBefore w:val="0"/>
        <w:widowControl w:val="0"/>
        <w:kinsoku/>
        <w:wordWrap/>
        <w:overflowPunct/>
        <w:topLinePunct w:val="0"/>
        <w:autoSpaceDE/>
        <w:autoSpaceDN/>
        <w:bidi w:val="0"/>
        <w:spacing w:line="400" w:lineRule="exact"/>
        <w:ind w:firstLine="422" w:firstLineChars="200"/>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1"/>
          <w:szCs w:val="21"/>
          <w:highlight w:val="none"/>
          <w:u w:val="single"/>
        </w:rPr>
        <w:t>履约保证金作为</w:t>
      </w:r>
      <w:r>
        <w:rPr>
          <w:rFonts w:hint="eastAsia" w:ascii="宋体" w:hAnsi="宋体" w:eastAsia="宋体" w:cs="宋体"/>
          <w:b/>
          <w:bCs/>
          <w:color w:val="auto"/>
          <w:sz w:val="21"/>
          <w:szCs w:val="21"/>
          <w:highlight w:val="none"/>
          <w:u w:val="single"/>
          <w:lang w:eastAsia="zh-CN"/>
        </w:rPr>
        <w:t>乙方</w:t>
      </w:r>
      <w:r>
        <w:rPr>
          <w:rFonts w:hint="eastAsia" w:ascii="宋体" w:hAnsi="宋体" w:eastAsia="宋体" w:cs="宋体"/>
          <w:b/>
          <w:bCs/>
          <w:color w:val="auto"/>
          <w:sz w:val="21"/>
          <w:szCs w:val="21"/>
          <w:highlight w:val="none"/>
          <w:u w:val="single"/>
        </w:rPr>
        <w:t>承担违约责任的担保，如果</w:t>
      </w:r>
      <w:r>
        <w:rPr>
          <w:rFonts w:hint="eastAsia" w:ascii="宋体" w:hAnsi="宋体" w:eastAsia="宋体" w:cs="宋体"/>
          <w:b/>
          <w:bCs/>
          <w:color w:val="auto"/>
          <w:sz w:val="21"/>
          <w:szCs w:val="21"/>
          <w:highlight w:val="none"/>
          <w:u w:val="single"/>
          <w:lang w:eastAsia="zh-CN"/>
        </w:rPr>
        <w:t>乙方</w:t>
      </w:r>
      <w:r>
        <w:rPr>
          <w:rFonts w:hint="eastAsia" w:ascii="宋体" w:hAnsi="宋体" w:eastAsia="宋体" w:cs="宋体"/>
          <w:b/>
          <w:bCs/>
          <w:color w:val="auto"/>
          <w:sz w:val="21"/>
          <w:szCs w:val="21"/>
          <w:highlight w:val="none"/>
          <w:u w:val="single"/>
        </w:rPr>
        <w:t>没有及时承担违约责任，履约保证金可作为</w:t>
      </w:r>
      <w:r>
        <w:rPr>
          <w:rFonts w:hint="eastAsia" w:ascii="宋体" w:hAnsi="宋体" w:eastAsia="宋体" w:cs="宋体"/>
          <w:b/>
          <w:bCs/>
          <w:color w:val="auto"/>
          <w:sz w:val="21"/>
          <w:szCs w:val="21"/>
          <w:highlight w:val="none"/>
          <w:u w:val="single"/>
          <w:lang w:eastAsia="zh-CN"/>
        </w:rPr>
        <w:t>甲方</w:t>
      </w:r>
      <w:r>
        <w:rPr>
          <w:rFonts w:hint="eastAsia" w:ascii="宋体" w:hAnsi="宋体" w:eastAsia="宋体" w:cs="宋体"/>
          <w:b/>
          <w:bCs/>
          <w:color w:val="auto"/>
          <w:sz w:val="21"/>
          <w:szCs w:val="21"/>
          <w:highlight w:val="none"/>
          <w:u w:val="single"/>
        </w:rPr>
        <w:t>损失的弥补，不予退还，不足部分，另行赔偿。如果</w:t>
      </w:r>
      <w:r>
        <w:rPr>
          <w:rFonts w:hint="eastAsia" w:ascii="宋体" w:hAnsi="宋体" w:eastAsia="宋体" w:cs="宋体"/>
          <w:b/>
          <w:bCs/>
          <w:color w:val="auto"/>
          <w:sz w:val="21"/>
          <w:szCs w:val="21"/>
          <w:highlight w:val="none"/>
          <w:u w:val="single"/>
          <w:lang w:eastAsia="zh-CN"/>
        </w:rPr>
        <w:t>乙方</w:t>
      </w:r>
      <w:r>
        <w:rPr>
          <w:rFonts w:hint="eastAsia" w:ascii="宋体" w:hAnsi="宋体" w:eastAsia="宋体" w:cs="宋体"/>
          <w:b/>
          <w:bCs/>
          <w:color w:val="auto"/>
          <w:sz w:val="21"/>
          <w:szCs w:val="21"/>
          <w:highlight w:val="none"/>
          <w:u w:val="single"/>
        </w:rPr>
        <w:t>承担了相关责任，则</w:t>
      </w:r>
      <w:r>
        <w:rPr>
          <w:rFonts w:hint="eastAsia" w:ascii="宋体" w:hAnsi="宋体" w:eastAsia="宋体" w:cs="宋体"/>
          <w:b/>
          <w:bCs/>
          <w:color w:val="auto"/>
          <w:sz w:val="21"/>
          <w:szCs w:val="21"/>
          <w:highlight w:val="none"/>
          <w:u w:val="single"/>
          <w:lang w:eastAsia="zh-CN"/>
        </w:rPr>
        <w:t>甲方</w:t>
      </w:r>
      <w:r>
        <w:rPr>
          <w:rFonts w:hint="eastAsia" w:ascii="宋体" w:hAnsi="宋体" w:eastAsia="宋体" w:cs="宋体"/>
          <w:b/>
          <w:bCs/>
          <w:color w:val="auto"/>
          <w:sz w:val="21"/>
          <w:szCs w:val="21"/>
          <w:highlight w:val="none"/>
          <w:u w:val="single"/>
        </w:rPr>
        <w:t>应在合同责任解除后退还全部的履约保证金。</w:t>
      </w:r>
      <w:r>
        <w:rPr>
          <w:rFonts w:hint="eastAsia" w:ascii="宋体" w:hAnsi="宋体" w:eastAsia="宋体" w:cs="宋体"/>
          <w:b/>
          <w:bCs/>
          <w:color w:val="auto"/>
          <w:sz w:val="21"/>
          <w:szCs w:val="21"/>
          <w:highlight w:val="none"/>
          <w:u w:val="single"/>
          <w:lang w:eastAsia="zh-CN"/>
        </w:rPr>
        <w:t>乙方</w:t>
      </w:r>
      <w:r>
        <w:rPr>
          <w:rFonts w:hint="eastAsia" w:ascii="宋体" w:hAnsi="宋体" w:eastAsia="宋体" w:cs="宋体"/>
          <w:b/>
          <w:bCs/>
          <w:color w:val="auto"/>
          <w:sz w:val="21"/>
          <w:szCs w:val="21"/>
          <w:highlight w:val="none"/>
          <w:u w:val="single"/>
        </w:rPr>
        <w:t>在项目合同全部履行完毕并经验收合格后，凭履约保证金退还申请表并经</w:t>
      </w:r>
      <w:r>
        <w:rPr>
          <w:rFonts w:hint="eastAsia" w:ascii="宋体" w:hAnsi="宋体" w:eastAsia="宋体" w:cs="宋体"/>
          <w:b/>
          <w:bCs/>
          <w:color w:val="auto"/>
          <w:sz w:val="21"/>
          <w:szCs w:val="21"/>
          <w:highlight w:val="none"/>
          <w:u w:val="single"/>
          <w:lang w:eastAsia="zh-CN"/>
        </w:rPr>
        <w:t>甲方</w:t>
      </w:r>
      <w:r>
        <w:rPr>
          <w:rFonts w:hint="eastAsia" w:ascii="宋体" w:hAnsi="宋体" w:eastAsia="宋体" w:cs="宋体"/>
          <w:b/>
          <w:bCs/>
          <w:color w:val="auto"/>
          <w:sz w:val="21"/>
          <w:szCs w:val="21"/>
          <w:highlight w:val="none"/>
          <w:u w:val="single"/>
        </w:rPr>
        <w:t>同意后，即可到阜宁县公共资源</w:t>
      </w:r>
      <w:r>
        <w:rPr>
          <w:rFonts w:hint="eastAsia" w:ascii="宋体" w:hAnsi="宋体" w:eastAsia="宋体" w:cs="宋体"/>
          <w:b/>
          <w:bCs/>
          <w:color w:val="auto"/>
          <w:sz w:val="21"/>
          <w:szCs w:val="21"/>
          <w:highlight w:val="none"/>
          <w:u w:val="single"/>
          <w:lang w:eastAsia="zh-CN"/>
        </w:rPr>
        <w:t>代理机构</w:t>
      </w:r>
      <w:r>
        <w:rPr>
          <w:rFonts w:hint="eastAsia" w:ascii="宋体" w:hAnsi="宋体" w:eastAsia="宋体" w:cs="宋体"/>
          <w:b/>
          <w:bCs/>
          <w:color w:val="auto"/>
          <w:sz w:val="21"/>
          <w:szCs w:val="21"/>
          <w:highlight w:val="none"/>
          <w:u w:val="single"/>
        </w:rPr>
        <w:t>原渠道无息退还。因</w:t>
      </w:r>
      <w:r>
        <w:rPr>
          <w:rFonts w:hint="eastAsia" w:ascii="宋体" w:hAnsi="宋体" w:eastAsia="宋体" w:cs="宋体"/>
          <w:b/>
          <w:bCs/>
          <w:color w:val="auto"/>
          <w:sz w:val="21"/>
          <w:szCs w:val="21"/>
          <w:highlight w:val="none"/>
          <w:u w:val="single"/>
          <w:lang w:eastAsia="zh-CN"/>
        </w:rPr>
        <w:t>乙方</w:t>
      </w:r>
      <w:r>
        <w:rPr>
          <w:rFonts w:hint="eastAsia" w:ascii="宋体" w:hAnsi="宋体" w:eastAsia="宋体" w:cs="宋体"/>
          <w:b/>
          <w:bCs/>
          <w:color w:val="auto"/>
          <w:sz w:val="21"/>
          <w:szCs w:val="21"/>
          <w:highlight w:val="none"/>
          <w:u w:val="single"/>
        </w:rPr>
        <w:t>自身原因造成延期退还的，</w:t>
      </w:r>
      <w:r>
        <w:rPr>
          <w:rFonts w:hint="eastAsia" w:ascii="宋体" w:hAnsi="宋体" w:eastAsia="宋体" w:cs="宋体"/>
          <w:b/>
          <w:bCs/>
          <w:color w:val="auto"/>
          <w:sz w:val="21"/>
          <w:szCs w:val="21"/>
          <w:highlight w:val="none"/>
          <w:u w:val="single"/>
          <w:lang w:eastAsia="zh-CN"/>
        </w:rPr>
        <w:t>甲方</w:t>
      </w:r>
      <w:r>
        <w:rPr>
          <w:rFonts w:hint="eastAsia" w:ascii="宋体" w:hAnsi="宋体" w:eastAsia="宋体" w:cs="宋体"/>
          <w:b/>
          <w:bCs/>
          <w:color w:val="auto"/>
          <w:sz w:val="21"/>
          <w:szCs w:val="21"/>
          <w:highlight w:val="none"/>
          <w:u w:val="single"/>
        </w:rPr>
        <w:t>不承担责任。</w:t>
      </w:r>
      <w:r>
        <w:rPr>
          <w:rFonts w:hint="eastAsia" w:ascii="宋体" w:hAnsi="宋体" w:eastAsia="宋体" w:cs="宋体"/>
          <w:bCs/>
          <w:color w:val="auto"/>
          <w:sz w:val="22"/>
          <w:szCs w:val="22"/>
          <w:highlight w:val="none"/>
        </w:rPr>
        <w:t xml:space="preserve">  </w:t>
      </w:r>
      <w:r>
        <w:rPr>
          <w:rFonts w:hint="eastAsia" w:ascii="宋体" w:hAnsi="宋体" w:eastAsia="宋体" w:cs="宋体"/>
          <w:color w:val="auto"/>
          <w:sz w:val="22"/>
          <w:szCs w:val="22"/>
          <w:highlight w:val="none"/>
        </w:rPr>
        <w:t xml:space="preserve">                            </w:t>
      </w:r>
    </w:p>
    <w:p w14:paraId="6910F08F">
      <w:pPr>
        <w:pageBreakBefore w:val="0"/>
        <w:kinsoku/>
        <w:wordWrap/>
        <w:overflowPunct/>
        <w:topLinePunct w:val="0"/>
        <w:bidi w:val="0"/>
        <w:spacing w:beforeAutospacing="0" w:afterAutospacing="0" w:line="400" w:lineRule="exact"/>
        <w:ind w:left="0" w:leftChars="0"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收取履约保证金金额：</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color w:val="auto"/>
          <w:sz w:val="21"/>
          <w:szCs w:val="21"/>
          <w:highlight w:val="none"/>
          <w:u w:val="single"/>
        </w:rPr>
        <w:t>按中标价的5%执行</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 </w:t>
      </w:r>
      <w:r>
        <w:rPr>
          <w:rFonts w:hint="eastAsia" w:ascii="宋体" w:hAnsi="宋体" w:eastAsia="宋体" w:cs="宋体"/>
          <w:color w:val="auto"/>
          <w:sz w:val="22"/>
          <w:szCs w:val="22"/>
          <w:highlight w:val="none"/>
        </w:rPr>
        <w:t xml:space="preserve">                            </w:t>
      </w:r>
    </w:p>
    <w:p w14:paraId="34CD0274">
      <w:pPr>
        <w:pageBreakBefore w:val="0"/>
        <w:kinsoku/>
        <w:wordWrap/>
        <w:overflowPunct/>
        <w:topLinePunct w:val="0"/>
        <w:bidi w:val="0"/>
        <w:spacing w:beforeAutospacing="0" w:afterAutospacing="0" w:line="400" w:lineRule="exact"/>
        <w:ind w:left="0" w:leftChars="0" w:firstLine="480"/>
        <w:textAlignment w:val="auto"/>
        <w:rPr>
          <w:rFonts w:hint="eastAsia" w:ascii="宋体" w:hAnsi="宋体" w:eastAsia="宋体" w:cs="宋体"/>
          <w:bCs/>
          <w:color w:val="auto"/>
          <w:sz w:val="22"/>
          <w:szCs w:val="22"/>
          <w:highlight w:val="none"/>
          <w:u w:val="single"/>
          <w:lang w:eastAsia="zh-CN"/>
        </w:rPr>
      </w:pPr>
      <w:r>
        <w:rPr>
          <w:rFonts w:hint="eastAsia" w:ascii="宋体" w:hAnsi="宋体" w:eastAsia="宋体" w:cs="宋体"/>
          <w:color w:val="auto"/>
          <w:sz w:val="22"/>
          <w:szCs w:val="22"/>
          <w:highlight w:val="none"/>
        </w:rPr>
        <w:t xml:space="preserve">     履约担保期限：</w:t>
      </w:r>
      <w:r>
        <w:rPr>
          <w:rFonts w:hint="eastAsia" w:ascii="宋体" w:hAnsi="宋体" w:eastAsia="宋体" w:cs="宋体"/>
          <w:color w:val="auto"/>
          <w:sz w:val="21"/>
          <w:szCs w:val="21"/>
          <w:highlight w:val="none"/>
          <w:u w:val="single"/>
        </w:rPr>
        <w:t>合同全部履行完毕并经验收合格</w:t>
      </w:r>
      <w:r>
        <w:rPr>
          <w:rFonts w:hint="eastAsia" w:ascii="宋体" w:hAnsi="宋体" w:eastAsia="宋体" w:cs="宋体"/>
          <w:bCs/>
          <w:color w:val="auto"/>
          <w:sz w:val="22"/>
          <w:szCs w:val="22"/>
          <w:highlight w:val="none"/>
          <w:u w:val="single"/>
          <w:lang w:eastAsia="zh-CN"/>
        </w:rPr>
        <w:t>。</w:t>
      </w:r>
    </w:p>
    <w:p w14:paraId="05FCBB29">
      <w:pPr>
        <w:keepNext w:val="0"/>
        <w:keepLines w:val="0"/>
        <w:pageBreakBefore w:val="0"/>
        <w:numPr>
          <w:ilvl w:val="0"/>
          <w:numId w:val="3"/>
        </w:numPr>
        <w:kinsoku/>
        <w:wordWrap/>
        <w:overflowPunct/>
        <w:topLinePunct w:val="0"/>
        <w:autoSpaceDE/>
        <w:autoSpaceDN/>
        <w:bidi w:val="0"/>
        <w:adjustRightInd/>
        <w:snapToGrid/>
        <w:spacing w:beforeAutospacing="0" w:afterAutospacing="0" w:line="380" w:lineRule="exact"/>
        <w:ind w:left="-60" w:leftChars="0" w:firstLine="480" w:firstLineChars="0"/>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确需收取履约保证金的，履约保证金的缴纳形式：</w:t>
      </w:r>
    </w:p>
    <w:p w14:paraId="5C293DEB">
      <w:pPr>
        <w:keepNext w:val="0"/>
        <w:keepLines w:val="0"/>
        <w:pageBreakBefore w:val="0"/>
        <w:kinsoku/>
        <w:wordWrap/>
        <w:overflowPunct/>
        <w:topLinePunct w:val="0"/>
        <w:autoSpaceDE/>
        <w:autoSpaceDN/>
        <w:bidi w:val="0"/>
        <w:adjustRightInd/>
        <w:snapToGrid/>
        <w:spacing w:beforeAutospacing="0" w:afterAutospacing="0" w:line="380" w:lineRule="exact"/>
        <w:ind w:left="0" w:leftChars="0" w:firstLine="440" w:firstLineChars="200"/>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6555346">
      <w:pPr>
        <w:keepNext w:val="0"/>
        <w:keepLines w:val="0"/>
        <w:pageBreakBefore w:val="0"/>
        <w:kinsoku/>
        <w:wordWrap/>
        <w:overflowPunct/>
        <w:topLinePunct w:val="0"/>
        <w:autoSpaceDE/>
        <w:autoSpaceDN/>
        <w:bidi w:val="0"/>
        <w:adjustRightInd/>
        <w:snapToGrid/>
        <w:spacing w:beforeAutospacing="0" w:afterAutospacing="0" w:line="380" w:lineRule="exact"/>
        <w:ind w:left="0" w:leftChars="0" w:firstLine="480"/>
        <w:textAlignment w:val="auto"/>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 如以履约保函（保险）形式缴纳履约保证金，供应商可通过政府采购电子履约保函（保险）平台（www.jsdzbh.com）在线申请履约保函（保险）。 </w:t>
      </w:r>
      <w:r>
        <w:rPr>
          <w:rFonts w:hint="eastAsia" w:ascii="宋体" w:hAnsi="宋体" w:eastAsia="宋体" w:cs="宋体"/>
          <w:color w:val="auto"/>
          <w:sz w:val="22"/>
          <w:szCs w:val="22"/>
          <w:highlight w:val="none"/>
        </w:rPr>
        <w:t xml:space="preserve">                                 </w:t>
      </w:r>
    </w:p>
    <w:p w14:paraId="5DFA69D8">
      <w:pPr>
        <w:keepNext w:val="0"/>
        <w:keepLines w:val="0"/>
        <w:pageBreakBefore w:val="0"/>
        <w:kinsoku/>
        <w:wordWrap/>
        <w:overflowPunct/>
        <w:topLinePunct w:val="0"/>
        <w:autoSpaceDE/>
        <w:autoSpaceDN/>
        <w:bidi w:val="0"/>
        <w:adjustRightInd/>
        <w:snapToGrid/>
        <w:spacing w:beforeAutospacing="0" w:afterAutospacing="0" w:line="380" w:lineRule="exact"/>
        <w:ind w:left="0" w:leftChars="0" w:firstLine="480"/>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rPr>
        <w:t>（5）分期履行要求：</w:t>
      </w:r>
      <w:r>
        <w:rPr>
          <w:rFonts w:hint="eastAsia" w:ascii="宋体" w:hAnsi="宋体" w:eastAsia="宋体" w:cs="宋体"/>
          <w:bCs/>
          <w:color w:val="auto"/>
          <w:sz w:val="22"/>
          <w:szCs w:val="22"/>
          <w:highlight w:val="none"/>
          <w:lang w:val="en-US" w:eastAsia="zh-CN"/>
        </w:rPr>
        <w:t>/</w:t>
      </w:r>
    </w:p>
    <w:p w14:paraId="14029085">
      <w:pPr>
        <w:keepNext w:val="0"/>
        <w:keepLines w:val="0"/>
        <w:pageBreakBefore w:val="0"/>
        <w:kinsoku/>
        <w:wordWrap/>
        <w:overflowPunct/>
        <w:topLinePunct w:val="0"/>
        <w:autoSpaceDE/>
        <w:autoSpaceDN/>
        <w:bidi w:val="0"/>
        <w:adjustRightInd/>
        <w:snapToGrid/>
        <w:spacing w:beforeAutospacing="0" w:afterAutospacing="0" w:line="380" w:lineRule="exact"/>
        <w:ind w:left="0" w:leftChars="0" w:firstLine="480"/>
        <w:textAlignment w:val="auto"/>
        <w:rPr>
          <w:rFonts w:hint="eastAsia" w:ascii="宋体" w:hAnsi="宋体" w:eastAsia="宋体" w:cs="宋体"/>
          <w:color w:val="auto"/>
          <w:sz w:val="22"/>
          <w:szCs w:val="22"/>
          <w:highlight w:val="none"/>
          <w:u w:val="single"/>
          <w:lang w:val="en-US" w:eastAsia="zh-CN"/>
        </w:rPr>
      </w:pPr>
      <w:r>
        <w:rPr>
          <w:rFonts w:hint="eastAsia" w:ascii="宋体" w:hAnsi="宋体" w:eastAsia="宋体" w:cs="宋体"/>
          <w:bCs/>
          <w:color w:val="auto"/>
          <w:sz w:val="22"/>
          <w:szCs w:val="22"/>
          <w:highlight w:val="none"/>
        </w:rPr>
        <w:t>（6）风险处置措施和替代方案：</w:t>
      </w:r>
      <w:r>
        <w:rPr>
          <w:rFonts w:hint="eastAsia" w:ascii="宋体" w:hAnsi="宋体" w:eastAsia="宋体" w:cs="宋体"/>
          <w:bCs/>
          <w:color w:val="auto"/>
          <w:sz w:val="22"/>
          <w:szCs w:val="22"/>
          <w:highlight w:val="none"/>
          <w:lang w:val="en-US" w:eastAsia="zh-CN"/>
        </w:rPr>
        <w:t>/</w:t>
      </w:r>
    </w:p>
    <w:p w14:paraId="63B4F8C3">
      <w:pPr>
        <w:keepNext w:val="0"/>
        <w:keepLines w:val="0"/>
        <w:pageBreakBefore w:val="0"/>
        <w:numPr>
          <w:ilvl w:val="0"/>
          <w:numId w:val="1"/>
        </w:numPr>
        <w:kinsoku/>
        <w:wordWrap/>
        <w:overflowPunct/>
        <w:topLinePunct w:val="0"/>
        <w:autoSpaceDE/>
        <w:autoSpaceDN/>
        <w:bidi w:val="0"/>
        <w:adjustRightInd/>
        <w:snapToGrid/>
        <w:spacing w:beforeAutospacing="0" w:afterAutospacing="0" w:line="380" w:lineRule="exact"/>
        <w:ind w:left="0" w:leftChars="0"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合同验收</w:t>
      </w:r>
    </w:p>
    <w:p w14:paraId="4D788389">
      <w:pPr>
        <w:keepNext w:val="0"/>
        <w:keepLines w:val="0"/>
        <w:pageBreakBefore w:val="0"/>
        <w:numPr>
          <w:ilvl w:val="0"/>
          <w:numId w:val="4"/>
        </w:numPr>
        <w:kinsoku/>
        <w:wordWrap/>
        <w:overflowPunct/>
        <w:topLinePunct w:val="0"/>
        <w:autoSpaceDE/>
        <w:autoSpaceDN/>
        <w:bidi w:val="0"/>
        <w:adjustRightInd/>
        <w:snapToGrid/>
        <w:spacing w:beforeAutospacing="0" w:afterAutospacing="0" w:line="380" w:lineRule="exact"/>
        <w:ind w:left="0" w:leftChars="0" w:firstLine="480"/>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验收组织方式：</w:t>
      </w:r>
      <w:r>
        <w:rPr>
          <w:rFonts w:hint="eastAsia" w:ascii="宋体" w:hAnsi="宋体" w:eastAsia="宋体" w:cs="宋体"/>
          <w:color w:val="auto"/>
          <w:sz w:val="22"/>
          <w:szCs w:val="22"/>
          <w:highlight w:val="none"/>
        </w:rPr>
        <w:sym w:font="Wingdings" w:char="00A8"/>
      </w:r>
      <w:r>
        <w:rPr>
          <w:rFonts w:hint="eastAsia" w:ascii="宋体" w:hAnsi="宋体" w:eastAsia="宋体" w:cs="宋体"/>
          <w:bCs/>
          <w:color w:val="auto"/>
          <w:sz w:val="22"/>
          <w:szCs w:val="22"/>
          <w:highlight w:val="none"/>
        </w:rPr>
        <w:t xml:space="preserve">自行组织 </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rPr>
        <w:sym w:font="Wingdings" w:char="00A8"/>
      </w:r>
      <w:r>
        <w:rPr>
          <w:rFonts w:hint="eastAsia" w:ascii="宋体" w:hAnsi="宋体" w:eastAsia="宋体" w:cs="宋体"/>
          <w:bCs/>
          <w:color w:val="auto"/>
          <w:sz w:val="22"/>
          <w:szCs w:val="22"/>
          <w:highlight w:val="none"/>
        </w:rPr>
        <w:t>委托第三方组织</w:t>
      </w:r>
    </w:p>
    <w:p w14:paraId="0E46FE48">
      <w:pPr>
        <w:keepNext w:val="0"/>
        <w:keepLines w:val="0"/>
        <w:pageBreakBefore w:val="0"/>
        <w:kinsoku/>
        <w:wordWrap/>
        <w:overflowPunct/>
        <w:topLinePunct w:val="0"/>
        <w:autoSpaceDE/>
        <w:autoSpaceDN/>
        <w:bidi w:val="0"/>
        <w:adjustRightInd/>
        <w:snapToGrid/>
        <w:spacing w:beforeAutospacing="0" w:afterAutospacing="0" w:line="380" w:lineRule="exact"/>
        <w:ind w:left="0" w:leftChars="0" w:firstLine="1100" w:firstLineChars="500"/>
        <w:textAlignment w:val="auto"/>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验收主体：</w:t>
      </w:r>
      <w:r>
        <w:rPr>
          <w:rFonts w:hint="eastAsia" w:ascii="宋体" w:hAnsi="宋体" w:eastAsia="宋体" w:cs="宋体"/>
          <w:color w:val="auto"/>
          <w:sz w:val="22"/>
          <w:szCs w:val="22"/>
          <w:highlight w:val="none"/>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p>
    <w:p w14:paraId="5CA7B7BF">
      <w:pPr>
        <w:keepNext w:val="0"/>
        <w:keepLines w:val="0"/>
        <w:pageBreakBefore w:val="0"/>
        <w:kinsoku/>
        <w:wordWrap/>
        <w:overflowPunct/>
        <w:topLinePunct w:val="0"/>
        <w:autoSpaceDE/>
        <w:autoSpaceDN/>
        <w:bidi w:val="0"/>
        <w:adjustRightInd/>
        <w:snapToGrid/>
        <w:spacing w:beforeAutospacing="0" w:afterAutospacing="0" w:line="380" w:lineRule="exact"/>
        <w:ind w:left="0" w:leftChars="0" w:firstLine="1100" w:firstLineChars="500"/>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是否邀请本项目的其他供应商参加验收：</w:t>
      </w:r>
      <w:r>
        <w:rPr>
          <w:rFonts w:hint="eastAsia" w:ascii="宋体" w:hAnsi="宋体" w:eastAsia="宋体" w:cs="宋体"/>
          <w:color w:val="auto"/>
          <w:sz w:val="22"/>
          <w:szCs w:val="22"/>
          <w:highlight w:val="none"/>
        </w:rPr>
        <w:sym w:font="Wingdings" w:char="00A8"/>
      </w:r>
      <w:r>
        <w:rPr>
          <w:rFonts w:hint="eastAsia" w:ascii="宋体" w:hAnsi="宋体" w:eastAsia="宋体" w:cs="宋体"/>
          <w:bCs/>
          <w:color w:val="auto"/>
          <w:sz w:val="22"/>
          <w:szCs w:val="22"/>
          <w:highlight w:val="none"/>
        </w:rPr>
        <w:t xml:space="preserve">是  </w:t>
      </w:r>
      <w:r>
        <w:rPr>
          <w:rFonts w:hint="eastAsia" w:ascii="宋体" w:hAnsi="宋体" w:eastAsia="宋体" w:cs="宋体"/>
          <w:color w:val="auto"/>
          <w:sz w:val="22"/>
          <w:szCs w:val="22"/>
          <w:highlight w:val="none"/>
        </w:rPr>
        <w:sym w:font="Wingdings" w:char="00A8"/>
      </w:r>
      <w:r>
        <w:rPr>
          <w:rFonts w:hint="eastAsia" w:ascii="宋体" w:hAnsi="宋体" w:eastAsia="宋体" w:cs="宋体"/>
          <w:bCs/>
          <w:color w:val="auto"/>
          <w:sz w:val="22"/>
          <w:szCs w:val="22"/>
          <w:highlight w:val="none"/>
        </w:rPr>
        <w:t>否</w:t>
      </w:r>
    </w:p>
    <w:p w14:paraId="327CA92A">
      <w:pPr>
        <w:keepNext w:val="0"/>
        <w:keepLines w:val="0"/>
        <w:pageBreakBefore w:val="0"/>
        <w:kinsoku/>
        <w:wordWrap/>
        <w:overflowPunct/>
        <w:topLinePunct w:val="0"/>
        <w:autoSpaceDE/>
        <w:autoSpaceDN/>
        <w:bidi w:val="0"/>
        <w:adjustRightInd/>
        <w:snapToGrid/>
        <w:spacing w:beforeAutospacing="0" w:afterAutospacing="0" w:line="380" w:lineRule="exact"/>
        <w:ind w:firstLine="1100" w:firstLineChars="500"/>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是否邀请专家参加验收：</w:t>
      </w:r>
      <w:r>
        <w:rPr>
          <w:rFonts w:hint="eastAsia" w:ascii="宋体" w:hAnsi="宋体" w:eastAsia="宋体" w:cs="宋体"/>
          <w:color w:val="auto"/>
          <w:sz w:val="22"/>
          <w:szCs w:val="22"/>
          <w:highlight w:val="none"/>
        </w:rPr>
        <w:sym w:font="Wingdings" w:char="00A8"/>
      </w:r>
      <w:r>
        <w:rPr>
          <w:rFonts w:hint="eastAsia" w:ascii="宋体" w:hAnsi="宋体" w:eastAsia="宋体" w:cs="宋体"/>
          <w:bCs/>
          <w:color w:val="auto"/>
          <w:sz w:val="22"/>
          <w:szCs w:val="22"/>
          <w:highlight w:val="none"/>
        </w:rPr>
        <w:t xml:space="preserve">是  </w:t>
      </w:r>
      <w:r>
        <w:rPr>
          <w:rFonts w:hint="eastAsia" w:ascii="宋体" w:hAnsi="宋体" w:eastAsia="宋体" w:cs="宋体"/>
          <w:color w:val="auto"/>
          <w:sz w:val="22"/>
          <w:szCs w:val="22"/>
          <w:highlight w:val="none"/>
        </w:rPr>
        <w:sym w:font="Wingdings" w:char="00A8"/>
      </w:r>
      <w:r>
        <w:rPr>
          <w:rFonts w:hint="eastAsia" w:ascii="宋体" w:hAnsi="宋体" w:eastAsia="宋体" w:cs="宋体"/>
          <w:bCs/>
          <w:color w:val="auto"/>
          <w:sz w:val="22"/>
          <w:szCs w:val="22"/>
          <w:highlight w:val="none"/>
        </w:rPr>
        <w:t>否</w:t>
      </w:r>
    </w:p>
    <w:p w14:paraId="56C4E415">
      <w:pPr>
        <w:keepNext w:val="0"/>
        <w:keepLines w:val="0"/>
        <w:pageBreakBefore w:val="0"/>
        <w:kinsoku/>
        <w:wordWrap/>
        <w:overflowPunct/>
        <w:topLinePunct w:val="0"/>
        <w:autoSpaceDE/>
        <w:autoSpaceDN/>
        <w:bidi w:val="0"/>
        <w:adjustRightInd/>
        <w:snapToGrid/>
        <w:spacing w:beforeAutospacing="0" w:afterAutospacing="0" w:line="380" w:lineRule="exact"/>
        <w:ind w:firstLine="1100" w:firstLineChars="500"/>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是否邀请服务对象参加验收：</w:t>
      </w:r>
      <w:r>
        <w:rPr>
          <w:rFonts w:hint="eastAsia" w:ascii="宋体" w:hAnsi="宋体" w:eastAsia="宋体" w:cs="宋体"/>
          <w:color w:val="auto"/>
          <w:sz w:val="22"/>
          <w:szCs w:val="22"/>
          <w:highlight w:val="none"/>
        </w:rPr>
        <w:sym w:font="Wingdings" w:char="00A8"/>
      </w:r>
      <w:r>
        <w:rPr>
          <w:rFonts w:hint="eastAsia" w:ascii="宋体" w:hAnsi="宋体" w:eastAsia="宋体" w:cs="宋体"/>
          <w:bCs/>
          <w:color w:val="auto"/>
          <w:sz w:val="22"/>
          <w:szCs w:val="22"/>
          <w:highlight w:val="none"/>
        </w:rPr>
        <w:t xml:space="preserve">是  </w:t>
      </w:r>
      <w:r>
        <w:rPr>
          <w:rFonts w:hint="eastAsia" w:ascii="宋体" w:hAnsi="宋体" w:eastAsia="宋体" w:cs="宋体"/>
          <w:color w:val="auto"/>
          <w:sz w:val="22"/>
          <w:szCs w:val="22"/>
          <w:highlight w:val="none"/>
        </w:rPr>
        <w:sym w:font="Wingdings" w:char="00A8"/>
      </w:r>
      <w:r>
        <w:rPr>
          <w:rFonts w:hint="eastAsia" w:ascii="宋体" w:hAnsi="宋体" w:eastAsia="宋体" w:cs="宋体"/>
          <w:bCs/>
          <w:color w:val="auto"/>
          <w:sz w:val="22"/>
          <w:szCs w:val="22"/>
          <w:highlight w:val="none"/>
        </w:rPr>
        <w:t>否</w:t>
      </w:r>
    </w:p>
    <w:p w14:paraId="29CE9AE5">
      <w:pPr>
        <w:keepNext w:val="0"/>
        <w:keepLines w:val="0"/>
        <w:pageBreakBefore w:val="0"/>
        <w:kinsoku/>
        <w:wordWrap/>
        <w:overflowPunct/>
        <w:topLinePunct w:val="0"/>
        <w:autoSpaceDE/>
        <w:autoSpaceDN/>
        <w:bidi w:val="0"/>
        <w:adjustRightInd/>
        <w:snapToGrid/>
        <w:spacing w:beforeAutospacing="0" w:afterAutospacing="0" w:line="380" w:lineRule="exact"/>
        <w:ind w:firstLine="1100" w:firstLineChars="500"/>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是否邀请第三方检测机构参加验收：</w:t>
      </w:r>
      <w:r>
        <w:rPr>
          <w:rFonts w:hint="eastAsia" w:ascii="宋体" w:hAnsi="宋体" w:eastAsia="宋体" w:cs="宋体"/>
          <w:color w:val="auto"/>
          <w:sz w:val="22"/>
          <w:szCs w:val="22"/>
          <w:highlight w:val="none"/>
        </w:rPr>
        <w:sym w:font="Wingdings" w:char="00A8"/>
      </w:r>
      <w:r>
        <w:rPr>
          <w:rFonts w:hint="eastAsia" w:ascii="宋体" w:hAnsi="宋体" w:eastAsia="宋体" w:cs="宋体"/>
          <w:bCs/>
          <w:color w:val="auto"/>
          <w:sz w:val="22"/>
          <w:szCs w:val="22"/>
          <w:highlight w:val="none"/>
        </w:rPr>
        <w:t xml:space="preserve">是  </w:t>
      </w:r>
      <w:r>
        <w:rPr>
          <w:rFonts w:hint="eastAsia" w:ascii="宋体" w:hAnsi="宋体" w:eastAsia="宋体" w:cs="宋体"/>
          <w:color w:val="auto"/>
          <w:sz w:val="22"/>
          <w:szCs w:val="22"/>
          <w:highlight w:val="none"/>
        </w:rPr>
        <w:sym w:font="Wingdings" w:char="00A8"/>
      </w:r>
      <w:r>
        <w:rPr>
          <w:rFonts w:hint="eastAsia" w:ascii="宋体" w:hAnsi="宋体" w:eastAsia="宋体" w:cs="宋体"/>
          <w:bCs/>
          <w:color w:val="auto"/>
          <w:sz w:val="22"/>
          <w:szCs w:val="22"/>
          <w:highlight w:val="none"/>
        </w:rPr>
        <w:t>否</w:t>
      </w:r>
    </w:p>
    <w:p w14:paraId="26C2F9AB">
      <w:pPr>
        <w:keepNext w:val="0"/>
        <w:keepLines w:val="0"/>
        <w:pageBreakBefore w:val="0"/>
        <w:kinsoku/>
        <w:wordWrap/>
        <w:overflowPunct/>
        <w:topLinePunct w:val="0"/>
        <w:autoSpaceDE/>
        <w:autoSpaceDN/>
        <w:bidi w:val="0"/>
        <w:adjustRightInd/>
        <w:snapToGrid/>
        <w:spacing w:beforeAutospacing="0" w:afterAutospacing="0" w:line="380" w:lineRule="exact"/>
        <w:ind w:firstLine="1100" w:firstLineChars="500"/>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是否进行抽查检测：</w:t>
      </w:r>
      <w:r>
        <w:rPr>
          <w:rFonts w:hint="eastAsia" w:ascii="宋体" w:hAnsi="宋体" w:eastAsia="宋体" w:cs="宋体"/>
          <w:color w:val="auto"/>
          <w:sz w:val="22"/>
          <w:szCs w:val="22"/>
          <w:highlight w:val="none"/>
        </w:rPr>
        <w:sym w:font="Wingdings" w:char="00A8"/>
      </w:r>
      <w:r>
        <w:rPr>
          <w:rFonts w:hint="eastAsia" w:ascii="宋体" w:hAnsi="宋体" w:eastAsia="宋体" w:cs="宋体"/>
          <w:bCs/>
          <w:color w:val="auto"/>
          <w:sz w:val="22"/>
          <w:szCs w:val="22"/>
          <w:highlight w:val="none"/>
        </w:rPr>
        <w:t>是，抽查比例：</w:t>
      </w:r>
      <w:r>
        <w:rPr>
          <w:rFonts w:hint="eastAsia" w:ascii="宋体" w:hAnsi="宋体" w:eastAsia="宋体" w:cs="宋体"/>
          <w:color w:val="auto"/>
          <w:sz w:val="22"/>
          <w:szCs w:val="22"/>
          <w:highlight w:val="none"/>
        </w:rPr>
        <w:sym w:font="Wingdings" w:char="00A8"/>
      </w:r>
      <w:r>
        <w:rPr>
          <w:rFonts w:hint="eastAsia" w:ascii="宋体" w:hAnsi="宋体" w:eastAsia="宋体" w:cs="宋体"/>
          <w:bCs/>
          <w:color w:val="auto"/>
          <w:sz w:val="22"/>
          <w:szCs w:val="22"/>
          <w:highlight w:val="none"/>
        </w:rPr>
        <w:t>否</w:t>
      </w:r>
    </w:p>
    <w:p w14:paraId="18A956D5">
      <w:pPr>
        <w:keepNext w:val="0"/>
        <w:keepLines w:val="0"/>
        <w:pageBreakBefore w:val="0"/>
        <w:kinsoku/>
        <w:wordWrap/>
        <w:overflowPunct/>
        <w:topLinePunct w:val="0"/>
        <w:autoSpaceDE/>
        <w:autoSpaceDN/>
        <w:bidi w:val="0"/>
        <w:adjustRightInd/>
        <w:snapToGrid/>
        <w:spacing w:beforeAutospacing="0" w:afterAutospacing="0" w:line="380" w:lineRule="exact"/>
        <w:ind w:firstLine="1100" w:firstLineChars="500"/>
        <w:textAlignment w:val="auto"/>
        <w:rPr>
          <w:rFonts w:hint="eastAsia" w:ascii="宋体" w:hAnsi="宋体" w:eastAsia="宋体" w:cs="宋体"/>
          <w:bCs/>
          <w:color w:val="auto"/>
          <w:sz w:val="22"/>
          <w:szCs w:val="22"/>
          <w:highlight w:val="none"/>
          <w:u w:val="single"/>
        </w:rPr>
      </w:pPr>
      <w:r>
        <w:rPr>
          <w:rFonts w:hint="eastAsia" w:ascii="宋体" w:hAnsi="宋体" w:eastAsia="宋体" w:cs="宋体"/>
          <w:bCs/>
          <w:color w:val="auto"/>
          <w:sz w:val="22"/>
          <w:szCs w:val="22"/>
          <w:highlight w:val="none"/>
        </w:rPr>
        <w:t>是否存在破坏性检测：</w:t>
      </w:r>
      <w:r>
        <w:rPr>
          <w:rFonts w:hint="eastAsia" w:ascii="宋体" w:hAnsi="宋体" w:eastAsia="宋体" w:cs="宋体"/>
          <w:color w:val="auto"/>
          <w:sz w:val="22"/>
          <w:szCs w:val="22"/>
          <w:highlight w:val="none"/>
        </w:rPr>
        <w:sym w:font="Wingdings" w:char="00A8"/>
      </w:r>
      <w:r>
        <w:rPr>
          <w:rFonts w:hint="eastAsia" w:ascii="宋体" w:hAnsi="宋体" w:eastAsia="宋体" w:cs="宋体"/>
          <w:bCs/>
          <w:color w:val="auto"/>
          <w:sz w:val="22"/>
          <w:szCs w:val="22"/>
          <w:highlight w:val="none"/>
        </w:rPr>
        <w:t>是，</w:t>
      </w:r>
      <w:r>
        <w:rPr>
          <w:rFonts w:hint="eastAsia" w:ascii="宋体" w:hAnsi="宋体" w:eastAsia="宋体" w:cs="宋体"/>
          <w:bCs/>
          <w:color w:val="auto"/>
          <w:sz w:val="22"/>
          <w:szCs w:val="22"/>
          <w:highlight w:val="none"/>
          <w:u w:val="single"/>
        </w:rPr>
        <w:t>（应明确对被破坏的检测产品的处理方式）</w:t>
      </w:r>
    </w:p>
    <w:p w14:paraId="5525B8A5">
      <w:pPr>
        <w:keepNext w:val="0"/>
        <w:keepLines w:val="0"/>
        <w:pageBreakBefore w:val="0"/>
        <w:kinsoku/>
        <w:wordWrap/>
        <w:overflowPunct/>
        <w:topLinePunct w:val="0"/>
        <w:autoSpaceDE/>
        <w:autoSpaceDN/>
        <w:bidi w:val="0"/>
        <w:adjustRightInd/>
        <w:snapToGrid/>
        <w:spacing w:beforeAutospacing="0" w:afterAutospacing="0" w:line="380" w:lineRule="exact"/>
        <w:ind w:firstLine="1100" w:firstLineChars="500"/>
        <w:textAlignment w:val="auto"/>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sym w:font="Wingdings" w:char="00A8"/>
      </w:r>
      <w:r>
        <w:rPr>
          <w:rFonts w:hint="eastAsia" w:ascii="宋体" w:hAnsi="宋体" w:eastAsia="宋体" w:cs="宋体"/>
          <w:bCs/>
          <w:color w:val="auto"/>
          <w:sz w:val="22"/>
          <w:szCs w:val="22"/>
          <w:highlight w:val="none"/>
        </w:rPr>
        <w:t>否</w:t>
      </w:r>
    </w:p>
    <w:p w14:paraId="09EC0B8E">
      <w:pPr>
        <w:keepNext w:val="0"/>
        <w:keepLines w:val="0"/>
        <w:pageBreakBefore w:val="0"/>
        <w:kinsoku/>
        <w:wordWrap/>
        <w:overflowPunct/>
        <w:topLinePunct w:val="0"/>
        <w:autoSpaceDE/>
        <w:autoSpaceDN/>
        <w:bidi w:val="0"/>
        <w:adjustRightInd/>
        <w:snapToGrid/>
        <w:spacing w:beforeAutospacing="0" w:afterAutospacing="0" w:line="380" w:lineRule="exact"/>
        <w:ind w:firstLine="1100" w:firstLineChars="500"/>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验收组织的其他事项：</w:t>
      </w:r>
    </w:p>
    <w:p w14:paraId="56AC5D0B">
      <w:pPr>
        <w:keepNext w:val="0"/>
        <w:keepLines w:val="0"/>
        <w:pageBreakBefore w:val="0"/>
        <w:kinsoku/>
        <w:wordWrap/>
        <w:overflowPunct/>
        <w:topLinePunct w:val="0"/>
        <w:autoSpaceDE/>
        <w:autoSpaceDN/>
        <w:bidi w:val="0"/>
        <w:adjustRightInd/>
        <w:snapToGrid/>
        <w:spacing w:beforeAutospacing="0" w:afterAutospacing="0" w:line="380" w:lineRule="exact"/>
        <w:ind w:left="0" w:leftChars="0" w:firstLine="480"/>
        <w:textAlignment w:val="auto"/>
        <w:rPr>
          <w:rFonts w:hint="eastAsia" w:ascii="宋体" w:hAnsi="宋体" w:eastAsia="宋体" w:cs="宋体"/>
          <w:bCs/>
          <w:color w:val="auto"/>
          <w:sz w:val="22"/>
          <w:szCs w:val="22"/>
          <w:highlight w:val="none"/>
          <w:u w:val="single"/>
          <w:lang w:eastAsia="zh-CN"/>
        </w:rPr>
      </w:pPr>
      <w:r>
        <w:rPr>
          <w:rFonts w:hint="eastAsia" w:ascii="宋体" w:hAnsi="宋体" w:eastAsia="宋体" w:cs="宋体"/>
          <w:bCs/>
          <w:color w:val="auto"/>
          <w:sz w:val="22"/>
          <w:szCs w:val="22"/>
          <w:highlight w:val="none"/>
        </w:rPr>
        <w:t>（2）履约验收时间：</w:t>
      </w:r>
      <w:r>
        <w:rPr>
          <w:rFonts w:hint="eastAsia" w:ascii="宋体" w:hAnsi="宋体" w:eastAsia="宋体" w:cs="宋体"/>
          <w:bCs/>
          <w:color w:val="auto"/>
          <w:sz w:val="22"/>
          <w:szCs w:val="22"/>
          <w:highlight w:val="none"/>
          <w:u w:val="single"/>
        </w:rPr>
        <w:t>供应商提出验收申请之日起   日内组织验收</w:t>
      </w:r>
      <w:r>
        <w:rPr>
          <w:rFonts w:hint="eastAsia" w:ascii="宋体" w:hAnsi="宋体" w:eastAsia="宋体" w:cs="宋体"/>
          <w:bCs/>
          <w:color w:val="auto"/>
          <w:sz w:val="22"/>
          <w:szCs w:val="22"/>
          <w:highlight w:val="none"/>
          <w:u w:val="single"/>
          <w:lang w:eastAsia="zh-CN"/>
        </w:rPr>
        <w:t>。</w:t>
      </w:r>
    </w:p>
    <w:p w14:paraId="744C9A48">
      <w:pPr>
        <w:keepNext w:val="0"/>
        <w:keepLines w:val="0"/>
        <w:pageBreakBefore w:val="0"/>
        <w:kinsoku/>
        <w:wordWrap/>
        <w:overflowPunct/>
        <w:topLinePunct w:val="0"/>
        <w:autoSpaceDE/>
        <w:autoSpaceDN/>
        <w:bidi w:val="0"/>
        <w:adjustRightInd/>
        <w:snapToGrid/>
        <w:spacing w:beforeAutospacing="0" w:afterAutospacing="0" w:line="380" w:lineRule="exact"/>
        <w:ind w:firstLine="440" w:firstLineChars="200"/>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（3）履约验收方式：</w:t>
      </w:r>
      <w:r>
        <w:rPr>
          <w:rFonts w:hint="eastAsia" w:ascii="宋体" w:hAnsi="宋体" w:eastAsia="宋体" w:cs="宋体"/>
          <w:color w:val="auto"/>
          <w:sz w:val="22"/>
          <w:szCs w:val="22"/>
          <w:highlight w:val="none"/>
        </w:rPr>
        <w:sym w:font="Wingdings" w:char="00A8"/>
      </w:r>
      <w:r>
        <w:rPr>
          <w:rFonts w:hint="eastAsia" w:ascii="宋体" w:hAnsi="宋体" w:eastAsia="宋体" w:cs="宋体"/>
          <w:bCs/>
          <w:color w:val="auto"/>
          <w:sz w:val="22"/>
          <w:szCs w:val="22"/>
          <w:highlight w:val="none"/>
        </w:rPr>
        <w:t xml:space="preserve">一次性验收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sym w:font="Wingdings" w:char="00A8"/>
      </w:r>
      <w:r>
        <w:rPr>
          <w:rFonts w:hint="eastAsia" w:ascii="宋体" w:hAnsi="宋体" w:eastAsia="宋体" w:cs="宋体"/>
          <w:bCs/>
          <w:color w:val="auto"/>
          <w:sz w:val="22"/>
          <w:szCs w:val="22"/>
          <w:highlight w:val="none"/>
        </w:rPr>
        <w:t>分期/分项验收：</w:t>
      </w:r>
    </w:p>
    <w:p w14:paraId="53B186F9">
      <w:pPr>
        <w:keepNext w:val="0"/>
        <w:keepLines w:val="0"/>
        <w:pageBreakBefore w:val="0"/>
        <w:numPr>
          <w:ilvl w:val="0"/>
          <w:numId w:val="0"/>
        </w:numPr>
        <w:kinsoku/>
        <w:wordWrap/>
        <w:overflowPunct/>
        <w:topLinePunct w:val="0"/>
        <w:autoSpaceDE/>
        <w:autoSpaceDN/>
        <w:bidi w:val="0"/>
        <w:adjustRightInd/>
        <w:snapToGrid/>
        <w:spacing w:beforeAutospacing="0" w:afterAutospacing="0" w:line="380" w:lineRule="exact"/>
        <w:ind w:left="480" w:leftChars="0"/>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4</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履约验收程序：</w:t>
      </w:r>
    </w:p>
    <w:p w14:paraId="567D58FF">
      <w:pPr>
        <w:keepNext w:val="0"/>
        <w:keepLines w:val="0"/>
        <w:pageBreakBefore w:val="0"/>
        <w:kinsoku/>
        <w:wordWrap/>
        <w:overflowPunct/>
        <w:topLinePunct w:val="0"/>
        <w:autoSpaceDE/>
        <w:autoSpaceDN/>
        <w:bidi w:val="0"/>
        <w:adjustRightInd/>
        <w:snapToGrid/>
        <w:spacing w:line="380" w:lineRule="exact"/>
        <w:ind w:left="0" w:leftChars="0" w:firstLine="48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①货到初步验收：货物送达约定的安装地点后,由</w:t>
      </w:r>
      <w:r>
        <w:rPr>
          <w:rFonts w:hint="eastAsia" w:ascii="宋体" w:hAnsi="宋体" w:eastAsia="宋体" w:cs="宋体"/>
          <w:color w:val="auto"/>
          <w:sz w:val="21"/>
          <w:szCs w:val="21"/>
          <w:highlight w:val="none"/>
          <w:u w:val="single"/>
          <w:lang w:eastAsia="zh-CN"/>
        </w:rPr>
        <w:t>甲方</w:t>
      </w:r>
      <w:r>
        <w:rPr>
          <w:rFonts w:hint="eastAsia" w:ascii="宋体" w:hAnsi="宋体" w:eastAsia="宋体" w:cs="宋体"/>
          <w:color w:val="auto"/>
          <w:sz w:val="21"/>
          <w:szCs w:val="21"/>
          <w:highlight w:val="none"/>
          <w:u w:val="single"/>
        </w:rPr>
        <w:t>进行基本质量、数量及参数型号的验收(但不作为最终合格的保证)。该验收应达到合同和</w:t>
      </w:r>
      <w:r>
        <w:rPr>
          <w:rFonts w:hint="eastAsia" w:ascii="宋体" w:hAnsi="宋体" w:eastAsia="宋体" w:cs="宋体"/>
          <w:color w:val="auto"/>
          <w:sz w:val="21"/>
          <w:szCs w:val="21"/>
          <w:highlight w:val="none"/>
          <w:u w:val="single"/>
          <w:lang w:eastAsia="zh-CN"/>
        </w:rPr>
        <w:t>招标文件</w:t>
      </w:r>
      <w:r>
        <w:rPr>
          <w:rFonts w:hint="eastAsia" w:ascii="宋体" w:hAnsi="宋体" w:eastAsia="宋体" w:cs="宋体"/>
          <w:color w:val="auto"/>
          <w:sz w:val="21"/>
          <w:szCs w:val="21"/>
          <w:highlight w:val="none"/>
          <w:u w:val="single"/>
        </w:rPr>
        <w:t>规定的要求。初步验收后货物仍由</w:t>
      </w:r>
      <w:r>
        <w:rPr>
          <w:rFonts w:hint="eastAsia" w:ascii="宋体" w:hAnsi="宋体" w:eastAsia="宋体" w:cs="宋体"/>
          <w:color w:val="auto"/>
          <w:sz w:val="21"/>
          <w:szCs w:val="21"/>
          <w:highlight w:val="none"/>
          <w:u w:val="single"/>
          <w:lang w:eastAsia="zh-CN"/>
        </w:rPr>
        <w:t>乙方</w:t>
      </w:r>
      <w:r>
        <w:rPr>
          <w:rFonts w:hint="eastAsia" w:ascii="宋体" w:hAnsi="宋体" w:eastAsia="宋体" w:cs="宋体"/>
          <w:color w:val="auto"/>
          <w:sz w:val="21"/>
          <w:szCs w:val="21"/>
          <w:highlight w:val="none"/>
          <w:u w:val="single"/>
        </w:rPr>
        <w:t>负责保管。</w:t>
      </w:r>
      <w:r>
        <w:rPr>
          <w:rFonts w:hint="eastAsia" w:ascii="宋体" w:hAnsi="宋体" w:eastAsia="宋体" w:cs="宋体"/>
          <w:color w:val="auto"/>
          <w:sz w:val="21"/>
          <w:szCs w:val="21"/>
          <w:highlight w:val="none"/>
          <w:u w:val="single"/>
          <w:lang w:eastAsia="zh-CN"/>
        </w:rPr>
        <w:t>乙方</w:t>
      </w:r>
      <w:r>
        <w:rPr>
          <w:rFonts w:hint="eastAsia" w:ascii="宋体" w:hAnsi="宋体" w:eastAsia="宋体" w:cs="宋体"/>
          <w:color w:val="auto"/>
          <w:sz w:val="21"/>
          <w:szCs w:val="21"/>
          <w:highlight w:val="none"/>
          <w:u w:val="single"/>
        </w:rPr>
        <w:t>对货物安装调试过程，应作详细检验记录。安装调试检验结果应符合生产厂产品标准及合同、</w:t>
      </w:r>
      <w:r>
        <w:rPr>
          <w:rFonts w:hint="eastAsia" w:ascii="宋体" w:hAnsi="宋体" w:eastAsia="宋体" w:cs="宋体"/>
          <w:color w:val="auto"/>
          <w:sz w:val="21"/>
          <w:szCs w:val="21"/>
          <w:highlight w:val="none"/>
          <w:u w:val="single"/>
          <w:lang w:eastAsia="zh-CN"/>
        </w:rPr>
        <w:t>招标文件</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eastAsia="zh-CN"/>
        </w:rPr>
        <w:t>投标文件</w:t>
      </w:r>
      <w:r>
        <w:rPr>
          <w:rFonts w:hint="eastAsia" w:ascii="宋体" w:hAnsi="宋体" w:eastAsia="宋体" w:cs="宋体"/>
          <w:color w:val="auto"/>
          <w:sz w:val="21"/>
          <w:szCs w:val="21"/>
          <w:highlight w:val="none"/>
          <w:u w:val="single"/>
        </w:rPr>
        <w:t>要求。检验记录须提供给</w:t>
      </w:r>
      <w:r>
        <w:rPr>
          <w:rFonts w:hint="eastAsia" w:ascii="宋体" w:hAnsi="宋体" w:eastAsia="宋体" w:cs="宋体"/>
          <w:color w:val="auto"/>
          <w:sz w:val="21"/>
          <w:szCs w:val="21"/>
          <w:highlight w:val="none"/>
          <w:u w:val="single"/>
          <w:lang w:eastAsia="zh-CN"/>
        </w:rPr>
        <w:t>甲方</w:t>
      </w:r>
      <w:r>
        <w:rPr>
          <w:rFonts w:hint="eastAsia" w:ascii="宋体" w:hAnsi="宋体" w:eastAsia="宋体" w:cs="宋体"/>
          <w:color w:val="auto"/>
          <w:sz w:val="21"/>
          <w:szCs w:val="21"/>
          <w:highlight w:val="none"/>
          <w:u w:val="single"/>
        </w:rPr>
        <w:t>。</w:t>
      </w:r>
    </w:p>
    <w:p w14:paraId="15F0C4E1">
      <w:pPr>
        <w:keepNext w:val="0"/>
        <w:keepLines w:val="0"/>
        <w:pageBreakBefore w:val="0"/>
        <w:kinsoku/>
        <w:wordWrap/>
        <w:overflowPunct/>
        <w:topLinePunct w:val="0"/>
        <w:autoSpaceDE/>
        <w:autoSpaceDN/>
        <w:bidi w:val="0"/>
        <w:adjustRightInd/>
        <w:snapToGrid/>
        <w:spacing w:beforeAutospacing="0" w:afterAutospacing="0" w:line="380" w:lineRule="exact"/>
        <w:ind w:left="0" w:leftChars="0" w:firstLine="420" w:firstLineChars="200"/>
        <w:textAlignment w:val="auto"/>
        <w:rPr>
          <w:rFonts w:hint="eastAsia" w:ascii="宋体" w:hAnsi="宋体" w:eastAsia="宋体" w:cs="宋体"/>
          <w:bCs/>
          <w:color w:val="auto"/>
          <w:sz w:val="22"/>
          <w:szCs w:val="22"/>
          <w:highlight w:val="none"/>
        </w:rPr>
      </w:pPr>
      <w:r>
        <w:rPr>
          <w:rFonts w:hint="eastAsia" w:ascii="宋体" w:hAnsi="宋体" w:eastAsia="宋体" w:cs="宋体"/>
          <w:color w:val="auto"/>
          <w:sz w:val="21"/>
          <w:szCs w:val="21"/>
          <w:highlight w:val="none"/>
          <w:u w:val="single"/>
        </w:rPr>
        <w:t>②最终正式验收：货物安装调试和试运行结束后，由</w:t>
      </w:r>
      <w:r>
        <w:rPr>
          <w:rFonts w:hint="eastAsia" w:ascii="宋体" w:hAnsi="宋体" w:eastAsia="宋体" w:cs="宋体"/>
          <w:color w:val="auto"/>
          <w:sz w:val="21"/>
          <w:szCs w:val="21"/>
          <w:highlight w:val="none"/>
          <w:u w:val="single"/>
          <w:lang w:eastAsia="zh-CN"/>
        </w:rPr>
        <w:t>甲方</w:t>
      </w:r>
      <w:r>
        <w:rPr>
          <w:rFonts w:hint="eastAsia" w:ascii="宋体" w:hAnsi="宋体" w:eastAsia="宋体" w:cs="宋体"/>
          <w:color w:val="auto"/>
          <w:sz w:val="21"/>
          <w:szCs w:val="21"/>
          <w:highlight w:val="none"/>
          <w:u w:val="single"/>
        </w:rPr>
        <w:t>会同</w:t>
      </w:r>
      <w:r>
        <w:rPr>
          <w:rFonts w:hint="eastAsia" w:ascii="宋体" w:hAnsi="宋体" w:eastAsia="宋体" w:cs="宋体"/>
          <w:color w:val="auto"/>
          <w:sz w:val="21"/>
          <w:szCs w:val="21"/>
          <w:highlight w:val="none"/>
          <w:u w:val="single"/>
          <w:lang w:eastAsia="zh-CN"/>
        </w:rPr>
        <w:t>乙方</w:t>
      </w:r>
      <w:r>
        <w:rPr>
          <w:rFonts w:hint="eastAsia" w:ascii="宋体" w:hAnsi="宋体" w:eastAsia="宋体" w:cs="宋体"/>
          <w:color w:val="auto"/>
          <w:sz w:val="21"/>
          <w:szCs w:val="21"/>
          <w:highlight w:val="none"/>
          <w:u w:val="single"/>
        </w:rPr>
        <w:t>按规定的标准及要求对整个项目进行联合验收，验收应符合本</w:t>
      </w:r>
      <w:r>
        <w:rPr>
          <w:rFonts w:hint="eastAsia" w:ascii="宋体" w:hAnsi="宋体" w:eastAsia="宋体" w:cs="宋体"/>
          <w:color w:val="auto"/>
          <w:sz w:val="21"/>
          <w:szCs w:val="21"/>
          <w:highlight w:val="none"/>
          <w:u w:val="single"/>
          <w:lang w:eastAsia="zh-CN"/>
        </w:rPr>
        <w:t>招标文件</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eastAsia="zh-CN"/>
        </w:rPr>
        <w:t>投标文件</w:t>
      </w:r>
      <w:r>
        <w:rPr>
          <w:rFonts w:hint="eastAsia" w:ascii="宋体" w:hAnsi="宋体" w:eastAsia="宋体" w:cs="宋体"/>
          <w:color w:val="auto"/>
          <w:sz w:val="21"/>
          <w:szCs w:val="21"/>
          <w:highlight w:val="none"/>
          <w:u w:val="single"/>
        </w:rPr>
        <w:t>及合同的要求，验收费用由</w:t>
      </w:r>
      <w:r>
        <w:rPr>
          <w:rFonts w:hint="eastAsia" w:ascii="宋体" w:hAnsi="宋体" w:eastAsia="宋体" w:cs="宋体"/>
          <w:color w:val="auto"/>
          <w:sz w:val="21"/>
          <w:szCs w:val="21"/>
          <w:highlight w:val="none"/>
          <w:u w:val="single"/>
          <w:lang w:eastAsia="zh-CN"/>
        </w:rPr>
        <w:t>乙方</w:t>
      </w:r>
      <w:r>
        <w:rPr>
          <w:rFonts w:hint="eastAsia" w:ascii="宋体" w:hAnsi="宋体" w:eastAsia="宋体" w:cs="宋体"/>
          <w:color w:val="auto"/>
          <w:sz w:val="21"/>
          <w:szCs w:val="21"/>
          <w:highlight w:val="none"/>
          <w:u w:val="single"/>
        </w:rPr>
        <w:t>承担。</w:t>
      </w:r>
    </w:p>
    <w:p w14:paraId="4180EE85">
      <w:pPr>
        <w:keepNext w:val="0"/>
        <w:keepLines w:val="0"/>
        <w:pageBreakBefore w:val="0"/>
        <w:kinsoku/>
        <w:wordWrap/>
        <w:overflowPunct/>
        <w:topLinePunct w:val="0"/>
        <w:autoSpaceDE/>
        <w:autoSpaceDN/>
        <w:bidi w:val="0"/>
        <w:adjustRightInd/>
        <w:snapToGrid/>
        <w:spacing w:beforeAutospacing="0" w:afterAutospacing="0" w:line="380" w:lineRule="exact"/>
        <w:ind w:left="0" w:leftChars="0" w:firstLine="480"/>
        <w:textAlignment w:val="auto"/>
        <w:rPr>
          <w:rFonts w:hint="eastAsia" w:ascii="宋体" w:hAnsi="宋体" w:eastAsia="宋体" w:cs="宋体"/>
          <w:bCs/>
          <w:color w:val="auto"/>
          <w:sz w:val="22"/>
          <w:szCs w:val="22"/>
          <w:highlight w:val="none"/>
          <w:u w:val="single"/>
          <w:lang w:eastAsia="zh-CN"/>
        </w:rPr>
      </w:pPr>
      <w:r>
        <w:rPr>
          <w:rFonts w:hint="eastAsia" w:ascii="宋体" w:hAnsi="宋体" w:eastAsia="宋体" w:cs="宋体"/>
          <w:bCs/>
          <w:color w:val="auto"/>
          <w:sz w:val="22"/>
          <w:szCs w:val="22"/>
          <w:highlight w:val="none"/>
        </w:rPr>
        <w:t>（5）履约验收的内容：</w:t>
      </w:r>
      <w:r>
        <w:rPr>
          <w:rFonts w:hint="eastAsia" w:ascii="宋体" w:hAnsi="宋体" w:eastAsia="宋体" w:cs="宋体"/>
          <w:bCs/>
          <w:color w:val="auto"/>
          <w:sz w:val="22"/>
          <w:szCs w:val="22"/>
          <w:highlight w:val="none"/>
          <w:u w:val="single"/>
          <w:lang w:eastAsia="zh-CN"/>
        </w:rPr>
        <w:t>招标文件约定和</w:t>
      </w:r>
      <w:r>
        <w:rPr>
          <w:rFonts w:hint="eastAsia" w:ascii="宋体" w:hAnsi="宋体" w:eastAsia="宋体" w:cs="宋体"/>
          <w:bCs/>
          <w:color w:val="auto"/>
          <w:sz w:val="22"/>
          <w:szCs w:val="22"/>
          <w:highlight w:val="none"/>
          <w:u w:val="single"/>
          <w:lang w:val="en-US" w:eastAsia="zh-CN"/>
        </w:rPr>
        <w:t>=乙方投标文件响应的</w:t>
      </w:r>
      <w:r>
        <w:rPr>
          <w:rFonts w:hint="eastAsia" w:ascii="宋体" w:hAnsi="宋体" w:eastAsia="宋体" w:cs="宋体"/>
          <w:bCs/>
          <w:color w:val="auto"/>
          <w:sz w:val="22"/>
          <w:szCs w:val="22"/>
          <w:highlight w:val="none"/>
          <w:u w:val="single"/>
        </w:rPr>
        <w:t>技术</w:t>
      </w:r>
      <w:r>
        <w:rPr>
          <w:rFonts w:hint="eastAsia" w:ascii="宋体" w:hAnsi="宋体" w:eastAsia="宋体" w:cs="宋体"/>
          <w:bCs/>
          <w:color w:val="auto"/>
          <w:sz w:val="22"/>
          <w:szCs w:val="22"/>
          <w:highlight w:val="none"/>
          <w:u w:val="single"/>
          <w:lang w:eastAsia="zh-CN"/>
        </w:rPr>
        <w:t>参数</w:t>
      </w:r>
      <w:r>
        <w:rPr>
          <w:rFonts w:hint="eastAsia" w:ascii="宋体" w:hAnsi="宋体" w:eastAsia="宋体" w:cs="宋体"/>
          <w:bCs/>
          <w:color w:val="auto"/>
          <w:sz w:val="22"/>
          <w:szCs w:val="22"/>
          <w:highlight w:val="none"/>
          <w:u w:val="single"/>
        </w:rPr>
        <w:t>和商务要求</w:t>
      </w:r>
      <w:r>
        <w:rPr>
          <w:rFonts w:hint="eastAsia" w:ascii="宋体" w:hAnsi="宋体" w:eastAsia="宋体" w:cs="宋体"/>
          <w:bCs/>
          <w:color w:val="auto"/>
          <w:sz w:val="22"/>
          <w:szCs w:val="22"/>
          <w:highlight w:val="none"/>
          <w:u w:val="single"/>
          <w:lang w:eastAsia="zh-CN"/>
        </w:rPr>
        <w:t>等。</w:t>
      </w:r>
    </w:p>
    <w:p w14:paraId="56DEFC01">
      <w:pPr>
        <w:keepNext w:val="0"/>
        <w:keepLines w:val="0"/>
        <w:pageBreakBefore w:val="0"/>
        <w:kinsoku/>
        <w:wordWrap/>
        <w:overflowPunct/>
        <w:topLinePunct w:val="0"/>
        <w:autoSpaceDE/>
        <w:autoSpaceDN/>
        <w:bidi w:val="0"/>
        <w:adjustRightInd/>
        <w:snapToGrid/>
        <w:spacing w:beforeAutospacing="0" w:afterAutospacing="0" w:line="380" w:lineRule="exact"/>
        <w:ind w:left="0" w:leftChars="0" w:firstLine="480"/>
        <w:textAlignment w:val="auto"/>
        <w:rPr>
          <w:rFonts w:hint="eastAsia" w:ascii="宋体" w:hAnsi="宋体" w:eastAsia="宋体" w:cs="宋体"/>
          <w:bCs/>
          <w:color w:val="auto"/>
          <w:sz w:val="22"/>
          <w:szCs w:val="22"/>
          <w:highlight w:val="none"/>
          <w:u w:val="single"/>
        </w:rPr>
      </w:pPr>
      <w:r>
        <w:rPr>
          <w:rFonts w:hint="eastAsia" w:ascii="宋体" w:hAnsi="宋体" w:eastAsia="宋体" w:cs="宋体"/>
          <w:bCs/>
          <w:color w:val="auto"/>
          <w:sz w:val="22"/>
          <w:szCs w:val="22"/>
          <w:highlight w:val="none"/>
        </w:rPr>
        <w:t>（6）履约验收标准：</w:t>
      </w:r>
      <w:r>
        <w:rPr>
          <w:rFonts w:hint="eastAsia" w:ascii="宋体" w:hAnsi="宋体" w:eastAsia="宋体" w:cs="宋体"/>
          <w:color w:val="auto"/>
          <w:sz w:val="21"/>
          <w:szCs w:val="21"/>
          <w:highlight w:val="none"/>
          <w:u w:val="single"/>
        </w:rPr>
        <w:t>生产厂家的产品（参数）说明书、产品合格证书、质保书、检测合格报告及技术资料等；中华人民共和国国家标准；其他国家或地方最新规范标准；当地技术监督管理部门要求的规范；</w:t>
      </w:r>
      <w:r>
        <w:rPr>
          <w:rFonts w:hint="eastAsia" w:ascii="宋体" w:hAnsi="宋体" w:eastAsia="宋体" w:cs="宋体"/>
          <w:color w:val="auto"/>
          <w:sz w:val="21"/>
          <w:szCs w:val="21"/>
          <w:highlight w:val="none"/>
          <w:u w:val="single"/>
          <w:lang w:eastAsia="zh-CN"/>
        </w:rPr>
        <w:t>招标文件</w:t>
      </w:r>
      <w:r>
        <w:rPr>
          <w:rFonts w:hint="eastAsia" w:ascii="宋体" w:hAnsi="宋体" w:eastAsia="宋体" w:cs="宋体"/>
          <w:color w:val="auto"/>
          <w:sz w:val="21"/>
          <w:szCs w:val="21"/>
          <w:highlight w:val="none"/>
          <w:u w:val="single"/>
        </w:rPr>
        <w:t>及合同的约定；</w:t>
      </w:r>
      <w:r>
        <w:rPr>
          <w:rFonts w:hint="eastAsia" w:ascii="宋体" w:hAnsi="宋体" w:eastAsia="宋体" w:cs="宋体"/>
          <w:color w:val="auto"/>
          <w:sz w:val="21"/>
          <w:szCs w:val="21"/>
          <w:highlight w:val="none"/>
          <w:u w:val="single"/>
          <w:lang w:eastAsia="zh-CN"/>
        </w:rPr>
        <w:t>投标文件</w:t>
      </w:r>
      <w:r>
        <w:rPr>
          <w:rFonts w:hint="eastAsia" w:ascii="宋体" w:hAnsi="宋体" w:eastAsia="宋体" w:cs="宋体"/>
          <w:color w:val="auto"/>
          <w:sz w:val="21"/>
          <w:szCs w:val="21"/>
          <w:highlight w:val="none"/>
          <w:u w:val="single"/>
        </w:rPr>
        <w:t>的承诺。上述规范标准如在执行时发生矛盾的，按较高标准执行。</w:t>
      </w:r>
    </w:p>
    <w:p w14:paraId="636CE8E7">
      <w:pPr>
        <w:keepNext w:val="0"/>
        <w:keepLines w:val="0"/>
        <w:pageBreakBefore w:val="0"/>
        <w:widowControl/>
        <w:kinsoku/>
        <w:wordWrap/>
        <w:overflowPunct/>
        <w:topLinePunct w:val="0"/>
        <w:autoSpaceDE/>
        <w:autoSpaceDN/>
        <w:bidi w:val="0"/>
        <w:adjustRightInd/>
        <w:snapToGrid/>
        <w:spacing w:beforeAutospacing="0" w:afterAutospacing="0" w:line="380" w:lineRule="exact"/>
        <w:ind w:left="0" w:leftChars="0" w:firstLine="480"/>
        <w:jc w:val="left"/>
        <w:textAlignment w:val="auto"/>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（7）是否以采购活动中供应商提供的样品作为参考：</w:t>
      </w:r>
      <w:r>
        <w:rPr>
          <w:rFonts w:hint="eastAsia" w:ascii="宋体" w:hAnsi="宋体" w:eastAsia="宋体" w:cs="宋体"/>
          <w:color w:val="auto"/>
          <w:sz w:val="22"/>
          <w:szCs w:val="22"/>
          <w:highlight w:val="none"/>
        </w:rPr>
        <w:sym w:font="Wingdings" w:char="00A8"/>
      </w:r>
      <w:r>
        <w:rPr>
          <w:rFonts w:hint="eastAsia" w:ascii="宋体" w:hAnsi="宋体" w:eastAsia="宋体" w:cs="宋体"/>
          <w:bCs/>
          <w:color w:val="auto"/>
          <w:sz w:val="22"/>
          <w:szCs w:val="22"/>
          <w:highlight w:val="none"/>
        </w:rPr>
        <w:t xml:space="preserve">是  </w:t>
      </w:r>
      <w:r>
        <w:rPr>
          <w:rFonts w:hint="eastAsia" w:ascii="宋体" w:hAnsi="宋体" w:eastAsia="宋体" w:cs="宋体"/>
          <w:color w:val="auto"/>
          <w:sz w:val="22"/>
          <w:szCs w:val="22"/>
          <w:highlight w:val="none"/>
        </w:rPr>
        <w:sym w:font="Wingdings" w:char="00FE"/>
      </w:r>
      <w:r>
        <w:rPr>
          <w:rFonts w:hint="eastAsia" w:ascii="宋体" w:hAnsi="宋体" w:eastAsia="宋体" w:cs="宋体"/>
          <w:bCs/>
          <w:color w:val="auto"/>
          <w:sz w:val="22"/>
          <w:szCs w:val="22"/>
          <w:highlight w:val="none"/>
        </w:rPr>
        <w:t>否</w:t>
      </w:r>
    </w:p>
    <w:p w14:paraId="5D9B0984">
      <w:pPr>
        <w:keepNext w:val="0"/>
        <w:keepLines w:val="0"/>
        <w:pageBreakBefore w:val="0"/>
        <w:kinsoku/>
        <w:wordWrap/>
        <w:overflowPunct/>
        <w:topLinePunct w:val="0"/>
        <w:autoSpaceDE/>
        <w:autoSpaceDN/>
        <w:bidi w:val="0"/>
        <w:adjustRightInd/>
        <w:snapToGrid/>
        <w:spacing w:beforeAutospacing="0" w:afterAutospacing="0" w:line="380" w:lineRule="exact"/>
        <w:ind w:left="0" w:leftChars="0" w:firstLine="480"/>
        <w:textAlignment w:val="auto"/>
        <w:rPr>
          <w:rFonts w:hint="eastAsia" w:ascii="宋体" w:hAnsi="宋体" w:eastAsia="宋体" w:cs="宋体"/>
          <w:bCs/>
          <w:color w:val="auto"/>
          <w:sz w:val="22"/>
          <w:szCs w:val="22"/>
          <w:highlight w:val="none"/>
          <w:u w:val="single"/>
          <w:lang w:eastAsia="zh-CN"/>
        </w:rPr>
      </w:pPr>
      <w:r>
        <w:rPr>
          <w:rFonts w:hint="eastAsia" w:ascii="宋体" w:hAnsi="宋体" w:eastAsia="宋体" w:cs="宋体"/>
          <w:bCs/>
          <w:color w:val="auto"/>
          <w:sz w:val="22"/>
          <w:szCs w:val="22"/>
          <w:highlight w:val="none"/>
        </w:rPr>
        <w:t>（8）履约验收其他事项：</w:t>
      </w:r>
      <w:r>
        <w:rPr>
          <w:rFonts w:hint="eastAsia" w:ascii="宋体" w:hAnsi="宋体" w:eastAsia="宋体" w:cs="宋体"/>
          <w:bCs/>
          <w:color w:val="auto"/>
          <w:sz w:val="22"/>
          <w:szCs w:val="22"/>
          <w:highlight w:val="none"/>
          <w:u w:val="single"/>
          <w:lang w:val="en-US" w:eastAsia="zh-CN"/>
        </w:rPr>
        <w:t>/</w:t>
      </w:r>
    </w:p>
    <w:p w14:paraId="3F8DB0A2">
      <w:pPr>
        <w:keepNext w:val="0"/>
        <w:keepLines w:val="0"/>
        <w:pageBreakBefore w:val="0"/>
        <w:numPr>
          <w:ilvl w:val="0"/>
          <w:numId w:val="1"/>
        </w:numPr>
        <w:kinsoku/>
        <w:wordWrap/>
        <w:overflowPunct/>
        <w:topLinePunct w:val="0"/>
        <w:autoSpaceDE/>
        <w:autoSpaceDN/>
        <w:bidi w:val="0"/>
        <w:adjustRightInd/>
        <w:snapToGrid/>
        <w:spacing w:beforeAutospacing="0" w:afterAutospacing="0" w:line="380" w:lineRule="exact"/>
        <w:ind w:left="0" w:leftChars="0"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组成合同的文件</w:t>
      </w:r>
    </w:p>
    <w:p w14:paraId="430E5C2C">
      <w:pPr>
        <w:keepNext w:val="0"/>
        <w:keepLines w:val="0"/>
        <w:pageBreakBefore w:val="0"/>
        <w:kinsoku/>
        <w:wordWrap/>
        <w:overflowPunct/>
        <w:topLinePunct w:val="0"/>
        <w:autoSpaceDE/>
        <w:autoSpaceDN/>
        <w:bidi w:val="0"/>
        <w:adjustRightInd/>
        <w:snapToGrid/>
        <w:spacing w:beforeAutospacing="0" w:afterAutospacing="0" w:line="380" w:lineRule="exact"/>
        <w:ind w:left="0" w:leftChars="0"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本协议书与下列文件一起构成合同文件，如下述文件之间有任何抵触、矛盾或歧义，应按以下顺序解释：</w:t>
      </w:r>
    </w:p>
    <w:p w14:paraId="717D14C9">
      <w:pPr>
        <w:keepNext w:val="0"/>
        <w:keepLines w:val="0"/>
        <w:pageBreakBefore w:val="0"/>
        <w:widowControl w:val="0"/>
        <w:kinsoku/>
        <w:wordWrap/>
        <w:overflowPunct/>
        <w:topLinePunct w:val="0"/>
        <w:autoSpaceDE/>
        <w:autoSpaceDN/>
        <w:bidi w:val="0"/>
        <w:spacing w:beforeAutospacing="0" w:afterAutospacing="0" w:line="360" w:lineRule="exact"/>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（1）政府采购合同协议书及其变更、补充协议</w:t>
      </w:r>
    </w:p>
    <w:p w14:paraId="1D9FD14C">
      <w:pPr>
        <w:keepNext w:val="0"/>
        <w:keepLines w:val="0"/>
        <w:pageBreakBefore w:val="0"/>
        <w:widowControl w:val="0"/>
        <w:kinsoku/>
        <w:wordWrap/>
        <w:overflowPunct/>
        <w:topLinePunct w:val="0"/>
        <w:autoSpaceDE/>
        <w:autoSpaceDN/>
        <w:bidi w:val="0"/>
        <w:spacing w:beforeAutospacing="0" w:afterAutospacing="0" w:line="360" w:lineRule="exact"/>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（2）政府采购合同专用条款</w:t>
      </w:r>
    </w:p>
    <w:p w14:paraId="230EBAD9">
      <w:pPr>
        <w:keepNext w:val="0"/>
        <w:keepLines w:val="0"/>
        <w:pageBreakBefore w:val="0"/>
        <w:widowControl w:val="0"/>
        <w:kinsoku/>
        <w:wordWrap/>
        <w:overflowPunct/>
        <w:topLinePunct w:val="0"/>
        <w:autoSpaceDE/>
        <w:autoSpaceDN/>
        <w:bidi w:val="0"/>
        <w:spacing w:beforeAutospacing="0" w:afterAutospacing="0" w:line="360" w:lineRule="exact"/>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（3）政府采购合同通用条款</w:t>
      </w:r>
    </w:p>
    <w:p w14:paraId="63EA2E4B">
      <w:pPr>
        <w:keepNext w:val="0"/>
        <w:keepLines w:val="0"/>
        <w:pageBreakBefore w:val="0"/>
        <w:widowControl w:val="0"/>
        <w:kinsoku/>
        <w:wordWrap/>
        <w:overflowPunct/>
        <w:topLinePunct w:val="0"/>
        <w:autoSpaceDE/>
        <w:autoSpaceDN/>
        <w:bidi w:val="0"/>
        <w:spacing w:beforeAutospacing="0" w:afterAutospacing="0" w:line="360" w:lineRule="exact"/>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（4）中标（成交）通知书</w:t>
      </w:r>
    </w:p>
    <w:p w14:paraId="12BD8C20">
      <w:pPr>
        <w:keepNext w:val="0"/>
        <w:keepLines w:val="0"/>
        <w:pageBreakBefore w:val="0"/>
        <w:widowControl w:val="0"/>
        <w:kinsoku/>
        <w:wordWrap/>
        <w:overflowPunct/>
        <w:topLinePunct w:val="0"/>
        <w:autoSpaceDE/>
        <w:autoSpaceDN/>
        <w:bidi w:val="0"/>
        <w:spacing w:beforeAutospacing="0" w:afterAutospacing="0" w:line="360" w:lineRule="exact"/>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（5）投标（响应）文件</w:t>
      </w:r>
    </w:p>
    <w:p w14:paraId="530DC165">
      <w:pPr>
        <w:keepNext w:val="0"/>
        <w:keepLines w:val="0"/>
        <w:pageBreakBefore w:val="0"/>
        <w:widowControl w:val="0"/>
        <w:kinsoku/>
        <w:wordWrap/>
        <w:overflowPunct/>
        <w:topLinePunct w:val="0"/>
        <w:autoSpaceDE/>
        <w:autoSpaceDN/>
        <w:bidi w:val="0"/>
        <w:spacing w:beforeAutospacing="0" w:afterAutospacing="0" w:line="360" w:lineRule="exact"/>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（6）采购文件</w:t>
      </w:r>
    </w:p>
    <w:p w14:paraId="00071750">
      <w:pPr>
        <w:keepNext w:val="0"/>
        <w:keepLines w:val="0"/>
        <w:pageBreakBefore w:val="0"/>
        <w:widowControl w:val="0"/>
        <w:kinsoku/>
        <w:wordWrap/>
        <w:overflowPunct/>
        <w:topLinePunct w:val="0"/>
        <w:autoSpaceDE/>
        <w:autoSpaceDN/>
        <w:bidi w:val="0"/>
        <w:spacing w:beforeAutospacing="0" w:afterAutospacing="0" w:line="360" w:lineRule="exact"/>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（7）有关技术文件，图纸</w:t>
      </w:r>
    </w:p>
    <w:p w14:paraId="7AA4ED53">
      <w:pPr>
        <w:keepNext w:val="0"/>
        <w:keepLines w:val="0"/>
        <w:pageBreakBefore w:val="0"/>
        <w:widowControl w:val="0"/>
        <w:kinsoku/>
        <w:wordWrap/>
        <w:overflowPunct/>
        <w:topLinePunct w:val="0"/>
        <w:autoSpaceDE/>
        <w:autoSpaceDN/>
        <w:bidi w:val="0"/>
        <w:spacing w:beforeAutospacing="0" w:afterAutospacing="0" w:line="360" w:lineRule="exact"/>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（8）国家法律、行政法规和规章制度规定或合同约定的作为合同组成部分的其他文件</w:t>
      </w:r>
    </w:p>
    <w:p w14:paraId="475CA6DC">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exact"/>
        <w:ind w:left="0" w:leftChars="0"/>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6.合同生效</w:t>
      </w:r>
    </w:p>
    <w:p w14:paraId="2B986ABA">
      <w:pPr>
        <w:keepNext w:val="0"/>
        <w:keepLines w:val="0"/>
        <w:pageBreakBefore w:val="0"/>
        <w:widowControl w:val="0"/>
        <w:kinsoku/>
        <w:wordWrap/>
        <w:overflowPunct/>
        <w:topLinePunct w:val="0"/>
        <w:autoSpaceDE/>
        <w:autoSpaceDN/>
        <w:bidi w:val="0"/>
        <w:spacing w:beforeAutospacing="0" w:afterAutospacing="0" w:line="360" w:lineRule="exact"/>
        <w:ind w:left="0" w:leftChars="0"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本合同自</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年</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月</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日生效。</w:t>
      </w:r>
    </w:p>
    <w:p w14:paraId="0193ED63">
      <w:pPr>
        <w:keepNext w:val="0"/>
        <w:keepLines w:val="0"/>
        <w:pageBreakBefore w:val="0"/>
        <w:widowControl w:val="0"/>
        <w:kinsoku/>
        <w:wordWrap/>
        <w:overflowPunct/>
        <w:topLinePunct w:val="0"/>
        <w:autoSpaceDE/>
        <w:autoSpaceDN/>
        <w:bidi w:val="0"/>
        <w:spacing w:beforeAutospacing="0" w:afterAutospacing="0" w:line="360" w:lineRule="exact"/>
        <w:ind w:left="0" w:leftChars="0"/>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7.合同份数</w:t>
      </w:r>
    </w:p>
    <w:p w14:paraId="5AB7BE25">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exact"/>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本合同一式</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eastAsia="zh-CN"/>
        </w:rPr>
        <w:t>捌</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份，甲方执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eastAsia="zh-CN"/>
        </w:rPr>
        <w:t>叁</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份，乙方执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eastAsia="zh-CN"/>
        </w:rPr>
        <w:t>叁</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份，</w:t>
      </w:r>
      <w:r>
        <w:rPr>
          <w:rFonts w:hint="eastAsia" w:ascii="宋体" w:hAnsi="宋体" w:eastAsia="宋体" w:cs="宋体"/>
          <w:color w:val="auto"/>
          <w:sz w:val="22"/>
          <w:szCs w:val="22"/>
          <w:highlight w:val="none"/>
          <w:lang w:eastAsia="zh-CN"/>
        </w:rPr>
        <w:t>阜宁县公共资源代理机构执</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eastAsia="zh-CN"/>
        </w:rPr>
        <w:t>贰</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eastAsia="zh-CN"/>
        </w:rPr>
        <w:t>份，</w:t>
      </w:r>
      <w:r>
        <w:rPr>
          <w:rFonts w:hint="eastAsia" w:ascii="宋体" w:hAnsi="宋体" w:eastAsia="宋体" w:cs="宋体"/>
          <w:color w:val="auto"/>
          <w:sz w:val="22"/>
          <w:szCs w:val="22"/>
          <w:highlight w:val="none"/>
        </w:rPr>
        <w:t>均具有同等法律效力。</w:t>
      </w:r>
    </w:p>
    <w:p w14:paraId="34DE590F">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exact"/>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合同订立时间：</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年</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月</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日</w:t>
      </w:r>
    </w:p>
    <w:p w14:paraId="00BACFDB">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exact"/>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合同订立地点：</w:t>
      </w:r>
      <w:r>
        <w:rPr>
          <w:rFonts w:hint="eastAsia" w:ascii="宋体" w:hAnsi="宋体" w:eastAsia="宋体" w:cs="宋体"/>
          <w:color w:val="auto"/>
          <w:sz w:val="22"/>
          <w:szCs w:val="22"/>
          <w:highlight w:val="none"/>
          <w:u w:val="single"/>
        </w:rPr>
        <w:t xml:space="preserve">                           </w:t>
      </w:r>
    </w:p>
    <w:p w14:paraId="5E1EF5A3">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exact"/>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附件：具体标的及其技术要求和商务要求等。</w:t>
      </w:r>
    </w:p>
    <w:tbl>
      <w:tblPr>
        <w:tblStyle w:val="13"/>
        <w:tblpPr w:leftFromText="180" w:rightFromText="180" w:vertAnchor="text" w:horzAnchor="page" w:tblpX="1833" w:tblpY="147"/>
        <w:tblOverlap w:val="neve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2066"/>
        <w:gridCol w:w="2580"/>
        <w:gridCol w:w="2161"/>
        <w:gridCol w:w="2267"/>
      </w:tblGrid>
      <w:tr w14:paraId="1B46FB2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4646" w:type="dxa"/>
            <w:gridSpan w:val="2"/>
            <w:tcBorders>
              <w:bottom w:val="single" w:color="000000" w:sz="2" w:space="0"/>
              <w:right w:val="single" w:color="000000" w:sz="2" w:space="0"/>
            </w:tcBorders>
            <w:vAlign w:val="center"/>
          </w:tcPr>
          <w:p w14:paraId="15258C93">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甲方（采购人、受采购人委托签订合同的单位或采购文件约定的合同甲方）</w:t>
            </w:r>
          </w:p>
        </w:tc>
        <w:tc>
          <w:tcPr>
            <w:tcW w:w="4428" w:type="dxa"/>
            <w:gridSpan w:val="2"/>
            <w:tcBorders>
              <w:left w:val="single" w:color="000000" w:sz="2" w:space="0"/>
              <w:bottom w:val="single" w:color="000000" w:sz="2" w:space="0"/>
            </w:tcBorders>
            <w:vAlign w:val="center"/>
          </w:tcPr>
          <w:p w14:paraId="7E316788">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乙方（供应商）</w:t>
            </w:r>
          </w:p>
        </w:tc>
      </w:tr>
      <w:tr w14:paraId="37BE38E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2066" w:type="dxa"/>
            <w:tcBorders>
              <w:top w:val="single" w:color="000000" w:sz="2" w:space="0"/>
              <w:bottom w:val="single" w:color="000000" w:sz="2" w:space="0"/>
              <w:right w:val="single" w:color="000000" w:sz="2" w:space="0"/>
            </w:tcBorders>
            <w:vAlign w:val="center"/>
          </w:tcPr>
          <w:p w14:paraId="60FA77C9">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单位名称（公章或合同章）</w:t>
            </w:r>
          </w:p>
        </w:tc>
        <w:tc>
          <w:tcPr>
            <w:tcW w:w="2580" w:type="dxa"/>
            <w:tcBorders>
              <w:top w:val="single" w:color="000000" w:sz="2" w:space="0"/>
              <w:left w:val="single" w:color="000000" w:sz="2" w:space="0"/>
              <w:bottom w:val="single" w:color="000000" w:sz="2" w:space="0"/>
              <w:right w:val="single" w:color="000000" w:sz="2" w:space="0"/>
            </w:tcBorders>
            <w:vAlign w:val="center"/>
          </w:tcPr>
          <w:p w14:paraId="57B21106">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p>
        </w:tc>
        <w:tc>
          <w:tcPr>
            <w:tcW w:w="2161" w:type="dxa"/>
            <w:tcBorders>
              <w:top w:val="single" w:color="000000" w:sz="2" w:space="0"/>
              <w:left w:val="single" w:color="000000" w:sz="2" w:space="0"/>
              <w:bottom w:val="single" w:color="000000" w:sz="2" w:space="0"/>
              <w:right w:val="single" w:color="000000" w:sz="2" w:space="0"/>
            </w:tcBorders>
            <w:vAlign w:val="center"/>
          </w:tcPr>
          <w:p w14:paraId="46878CB9">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单位名称（公章或合同章）</w:t>
            </w:r>
          </w:p>
        </w:tc>
        <w:tc>
          <w:tcPr>
            <w:tcW w:w="2267" w:type="dxa"/>
            <w:tcBorders>
              <w:top w:val="single" w:color="000000" w:sz="2" w:space="0"/>
              <w:left w:val="single" w:color="000000" w:sz="2" w:space="0"/>
              <w:bottom w:val="single" w:color="000000" w:sz="2" w:space="0"/>
            </w:tcBorders>
            <w:vAlign w:val="center"/>
          </w:tcPr>
          <w:p w14:paraId="20884D37">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pacing w:val="20"/>
                <w:sz w:val="22"/>
                <w:szCs w:val="22"/>
                <w:highlight w:val="none"/>
              </w:rPr>
            </w:pPr>
          </w:p>
        </w:tc>
      </w:tr>
      <w:tr w14:paraId="41535FE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171" w:hRule="atLeast"/>
        </w:trPr>
        <w:tc>
          <w:tcPr>
            <w:tcW w:w="2066" w:type="dxa"/>
            <w:vMerge w:val="restart"/>
            <w:tcBorders>
              <w:top w:val="single" w:color="000000" w:sz="2" w:space="0"/>
              <w:right w:val="single" w:color="000000" w:sz="2" w:space="0"/>
            </w:tcBorders>
            <w:vAlign w:val="center"/>
          </w:tcPr>
          <w:p w14:paraId="69D08BD9">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w:t>
            </w:r>
          </w:p>
          <w:p w14:paraId="41C78186">
            <w:pPr>
              <w:pageBreakBefore w:val="0"/>
              <w:kinsoku/>
              <w:wordWrap/>
              <w:overflowPunct/>
              <w:topLinePunct w:val="0"/>
              <w:bidi w:val="0"/>
              <w:spacing w:beforeAutospacing="0" w:afterAutospacing="0" w:line="400" w:lineRule="exact"/>
              <w:ind w:left="0" w:leftChars="0" w:firstLine="115"/>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或其委托代理人（签章）</w:t>
            </w:r>
          </w:p>
        </w:tc>
        <w:tc>
          <w:tcPr>
            <w:tcW w:w="2580" w:type="dxa"/>
            <w:vMerge w:val="restart"/>
            <w:tcBorders>
              <w:top w:val="single" w:color="000000" w:sz="2" w:space="0"/>
              <w:left w:val="single" w:color="000000" w:sz="2" w:space="0"/>
              <w:right w:val="single" w:color="000000" w:sz="2" w:space="0"/>
            </w:tcBorders>
            <w:vAlign w:val="center"/>
          </w:tcPr>
          <w:p w14:paraId="7628CD72">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p>
        </w:tc>
        <w:tc>
          <w:tcPr>
            <w:tcW w:w="2161" w:type="dxa"/>
            <w:tcBorders>
              <w:top w:val="single" w:color="000000" w:sz="2" w:space="0"/>
              <w:left w:val="single" w:color="000000" w:sz="2" w:space="0"/>
              <w:right w:val="single" w:color="000000" w:sz="2" w:space="0"/>
            </w:tcBorders>
            <w:vAlign w:val="center"/>
          </w:tcPr>
          <w:p w14:paraId="63B8AB0F">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w:t>
            </w:r>
          </w:p>
          <w:p w14:paraId="3759D4A9">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或其委托代理人（签章）</w:t>
            </w:r>
          </w:p>
        </w:tc>
        <w:tc>
          <w:tcPr>
            <w:tcW w:w="2267" w:type="dxa"/>
            <w:tcBorders>
              <w:top w:val="single" w:color="000000" w:sz="2" w:space="0"/>
              <w:left w:val="single" w:color="000000" w:sz="2" w:space="0"/>
              <w:bottom w:val="single" w:color="000000" w:sz="2" w:space="0"/>
            </w:tcBorders>
            <w:vAlign w:val="center"/>
          </w:tcPr>
          <w:p w14:paraId="4DC8248C">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p>
        </w:tc>
      </w:tr>
      <w:tr w14:paraId="4F3877A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483" w:hRule="atLeast"/>
        </w:trPr>
        <w:tc>
          <w:tcPr>
            <w:tcW w:w="2066" w:type="dxa"/>
            <w:vMerge w:val="continue"/>
            <w:tcBorders>
              <w:bottom w:val="single" w:color="000000" w:sz="2" w:space="0"/>
              <w:right w:val="single" w:color="000000" w:sz="2" w:space="0"/>
            </w:tcBorders>
            <w:vAlign w:val="center"/>
          </w:tcPr>
          <w:p w14:paraId="059CABFD">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p>
        </w:tc>
        <w:tc>
          <w:tcPr>
            <w:tcW w:w="2580" w:type="dxa"/>
            <w:vMerge w:val="continue"/>
            <w:tcBorders>
              <w:left w:val="single" w:color="000000" w:sz="2" w:space="0"/>
              <w:bottom w:val="single" w:color="000000" w:sz="2" w:space="0"/>
              <w:right w:val="single" w:color="000000" w:sz="2" w:space="0"/>
            </w:tcBorders>
            <w:vAlign w:val="center"/>
          </w:tcPr>
          <w:p w14:paraId="40F4AAB6">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p>
        </w:tc>
        <w:tc>
          <w:tcPr>
            <w:tcW w:w="2161" w:type="dxa"/>
            <w:tcBorders>
              <w:top w:val="single" w:color="000000" w:sz="2" w:space="0"/>
              <w:left w:val="single" w:color="000000" w:sz="2" w:space="0"/>
              <w:bottom w:val="single" w:color="000000" w:sz="2" w:space="0"/>
              <w:right w:val="single" w:color="000000" w:sz="2" w:space="0"/>
            </w:tcBorders>
            <w:vAlign w:val="center"/>
          </w:tcPr>
          <w:p w14:paraId="3AC5FDAF">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拥有者性别</w:t>
            </w:r>
          </w:p>
        </w:tc>
        <w:tc>
          <w:tcPr>
            <w:tcW w:w="2267" w:type="dxa"/>
            <w:tcBorders>
              <w:top w:val="single" w:color="000000" w:sz="2" w:space="0"/>
              <w:left w:val="single" w:color="000000" w:sz="2" w:space="0"/>
              <w:bottom w:val="single" w:color="000000" w:sz="2" w:space="0"/>
            </w:tcBorders>
            <w:vAlign w:val="center"/>
          </w:tcPr>
          <w:p w14:paraId="03B9EEDD">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pacing w:val="20"/>
                <w:sz w:val="22"/>
                <w:szCs w:val="22"/>
                <w:highlight w:val="none"/>
              </w:rPr>
            </w:pPr>
          </w:p>
        </w:tc>
      </w:tr>
      <w:tr w14:paraId="5BC8B66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066" w:type="dxa"/>
            <w:tcBorders>
              <w:top w:val="single" w:color="000000" w:sz="2" w:space="0"/>
              <w:bottom w:val="single" w:color="000000" w:sz="2" w:space="0"/>
              <w:right w:val="single" w:color="000000" w:sz="2" w:space="0"/>
            </w:tcBorders>
            <w:vAlign w:val="center"/>
          </w:tcPr>
          <w:p w14:paraId="55F3F571">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住所</w:t>
            </w:r>
          </w:p>
        </w:tc>
        <w:tc>
          <w:tcPr>
            <w:tcW w:w="2580" w:type="dxa"/>
            <w:tcBorders>
              <w:top w:val="single" w:color="000000" w:sz="2" w:space="0"/>
              <w:left w:val="single" w:color="000000" w:sz="2" w:space="0"/>
              <w:bottom w:val="single" w:color="000000" w:sz="2" w:space="0"/>
              <w:right w:val="single" w:color="000000" w:sz="2" w:space="0"/>
            </w:tcBorders>
            <w:vAlign w:val="center"/>
          </w:tcPr>
          <w:p w14:paraId="06322D05">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p>
        </w:tc>
        <w:tc>
          <w:tcPr>
            <w:tcW w:w="2161" w:type="dxa"/>
            <w:tcBorders>
              <w:top w:val="single" w:color="000000" w:sz="2" w:space="0"/>
              <w:left w:val="single" w:color="000000" w:sz="2" w:space="0"/>
              <w:bottom w:val="single" w:color="000000" w:sz="2" w:space="0"/>
              <w:right w:val="single" w:color="000000" w:sz="2" w:space="0"/>
            </w:tcBorders>
            <w:vAlign w:val="center"/>
          </w:tcPr>
          <w:p w14:paraId="0D282BAA">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住所</w:t>
            </w:r>
          </w:p>
        </w:tc>
        <w:tc>
          <w:tcPr>
            <w:tcW w:w="2267" w:type="dxa"/>
            <w:tcBorders>
              <w:top w:val="single" w:color="000000" w:sz="2" w:space="0"/>
              <w:left w:val="single" w:color="000000" w:sz="2" w:space="0"/>
              <w:bottom w:val="single" w:color="000000" w:sz="2" w:space="0"/>
            </w:tcBorders>
            <w:vAlign w:val="center"/>
          </w:tcPr>
          <w:p w14:paraId="31AF213B">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pacing w:val="20"/>
                <w:sz w:val="22"/>
                <w:szCs w:val="22"/>
                <w:highlight w:val="none"/>
              </w:rPr>
            </w:pPr>
          </w:p>
        </w:tc>
      </w:tr>
      <w:tr w14:paraId="37B549C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066" w:type="dxa"/>
            <w:tcBorders>
              <w:top w:val="single" w:color="000000" w:sz="2" w:space="0"/>
              <w:bottom w:val="single" w:color="000000" w:sz="2" w:space="0"/>
              <w:right w:val="single" w:color="000000" w:sz="2" w:space="0"/>
            </w:tcBorders>
            <w:vAlign w:val="center"/>
          </w:tcPr>
          <w:p w14:paraId="44E312FA">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 系 人</w:t>
            </w:r>
          </w:p>
        </w:tc>
        <w:tc>
          <w:tcPr>
            <w:tcW w:w="2580" w:type="dxa"/>
            <w:tcBorders>
              <w:top w:val="single" w:color="000000" w:sz="2" w:space="0"/>
              <w:left w:val="single" w:color="000000" w:sz="2" w:space="0"/>
              <w:bottom w:val="single" w:color="000000" w:sz="2" w:space="0"/>
              <w:right w:val="single" w:color="000000" w:sz="2" w:space="0"/>
            </w:tcBorders>
            <w:vAlign w:val="center"/>
          </w:tcPr>
          <w:p w14:paraId="1AC030A7">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p>
        </w:tc>
        <w:tc>
          <w:tcPr>
            <w:tcW w:w="2161" w:type="dxa"/>
            <w:tcBorders>
              <w:top w:val="single" w:color="000000" w:sz="2" w:space="0"/>
              <w:left w:val="single" w:color="000000" w:sz="2" w:space="0"/>
              <w:bottom w:val="single" w:color="000000" w:sz="2" w:space="0"/>
              <w:right w:val="single" w:color="000000" w:sz="2" w:space="0"/>
            </w:tcBorders>
            <w:vAlign w:val="center"/>
          </w:tcPr>
          <w:p w14:paraId="385895EC">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 系 人</w:t>
            </w:r>
          </w:p>
        </w:tc>
        <w:tc>
          <w:tcPr>
            <w:tcW w:w="2267" w:type="dxa"/>
            <w:tcBorders>
              <w:top w:val="single" w:color="000000" w:sz="2" w:space="0"/>
              <w:left w:val="single" w:color="000000" w:sz="2" w:space="0"/>
              <w:bottom w:val="single" w:color="000000" w:sz="2" w:space="0"/>
            </w:tcBorders>
            <w:vAlign w:val="center"/>
          </w:tcPr>
          <w:p w14:paraId="13481F50">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pacing w:val="20"/>
                <w:sz w:val="22"/>
                <w:szCs w:val="22"/>
                <w:highlight w:val="none"/>
              </w:rPr>
            </w:pPr>
          </w:p>
        </w:tc>
      </w:tr>
      <w:tr w14:paraId="2B5B760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066" w:type="dxa"/>
            <w:tcBorders>
              <w:top w:val="single" w:color="000000" w:sz="2" w:space="0"/>
              <w:bottom w:val="single" w:color="000000" w:sz="2" w:space="0"/>
              <w:right w:val="single" w:color="000000" w:sz="2" w:space="0"/>
            </w:tcBorders>
            <w:vAlign w:val="center"/>
          </w:tcPr>
          <w:p w14:paraId="35685EC1">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联系电话</w:t>
            </w:r>
          </w:p>
        </w:tc>
        <w:tc>
          <w:tcPr>
            <w:tcW w:w="2580" w:type="dxa"/>
            <w:tcBorders>
              <w:top w:val="single" w:color="000000" w:sz="2" w:space="0"/>
              <w:left w:val="single" w:color="000000" w:sz="2" w:space="0"/>
              <w:bottom w:val="single" w:color="000000" w:sz="2" w:space="0"/>
              <w:right w:val="single" w:color="000000" w:sz="2" w:space="0"/>
            </w:tcBorders>
            <w:vAlign w:val="center"/>
          </w:tcPr>
          <w:p w14:paraId="6E8355EE">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p>
        </w:tc>
        <w:tc>
          <w:tcPr>
            <w:tcW w:w="2161" w:type="dxa"/>
            <w:tcBorders>
              <w:top w:val="single" w:color="000000" w:sz="2" w:space="0"/>
              <w:left w:val="single" w:color="000000" w:sz="2" w:space="0"/>
              <w:bottom w:val="single" w:color="000000" w:sz="2" w:space="0"/>
              <w:right w:val="single" w:color="000000" w:sz="2" w:space="0"/>
            </w:tcBorders>
            <w:vAlign w:val="center"/>
          </w:tcPr>
          <w:p w14:paraId="7FC937ED">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联系电话</w:t>
            </w:r>
          </w:p>
        </w:tc>
        <w:tc>
          <w:tcPr>
            <w:tcW w:w="2267" w:type="dxa"/>
            <w:tcBorders>
              <w:top w:val="single" w:color="000000" w:sz="2" w:space="0"/>
              <w:left w:val="single" w:color="000000" w:sz="2" w:space="0"/>
              <w:bottom w:val="single" w:color="000000" w:sz="2" w:space="0"/>
            </w:tcBorders>
            <w:vAlign w:val="center"/>
          </w:tcPr>
          <w:p w14:paraId="3280CEC0">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pacing w:val="20"/>
                <w:sz w:val="22"/>
                <w:szCs w:val="22"/>
                <w:highlight w:val="none"/>
              </w:rPr>
            </w:pPr>
          </w:p>
        </w:tc>
      </w:tr>
      <w:tr w14:paraId="00E9CD7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066" w:type="dxa"/>
            <w:tcBorders>
              <w:top w:val="single" w:color="000000" w:sz="2" w:space="0"/>
              <w:bottom w:val="single" w:color="000000" w:sz="2" w:space="0"/>
              <w:right w:val="single" w:color="000000" w:sz="2" w:space="0"/>
            </w:tcBorders>
            <w:vAlign w:val="center"/>
          </w:tcPr>
          <w:p w14:paraId="03CF95A5">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通信地址</w:t>
            </w:r>
          </w:p>
        </w:tc>
        <w:tc>
          <w:tcPr>
            <w:tcW w:w="2580" w:type="dxa"/>
            <w:tcBorders>
              <w:top w:val="single" w:color="000000" w:sz="2" w:space="0"/>
              <w:left w:val="single" w:color="000000" w:sz="2" w:space="0"/>
              <w:bottom w:val="single" w:color="000000" w:sz="2" w:space="0"/>
              <w:right w:val="single" w:color="000000" w:sz="2" w:space="0"/>
            </w:tcBorders>
            <w:vAlign w:val="center"/>
          </w:tcPr>
          <w:p w14:paraId="47E6F350">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p>
        </w:tc>
        <w:tc>
          <w:tcPr>
            <w:tcW w:w="2161" w:type="dxa"/>
            <w:tcBorders>
              <w:top w:val="single" w:color="000000" w:sz="2" w:space="0"/>
              <w:left w:val="single" w:color="000000" w:sz="2" w:space="0"/>
              <w:bottom w:val="single" w:color="000000" w:sz="2" w:space="0"/>
              <w:right w:val="single" w:color="000000" w:sz="2" w:space="0"/>
            </w:tcBorders>
            <w:vAlign w:val="center"/>
          </w:tcPr>
          <w:p w14:paraId="17E12D62">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通信地址</w:t>
            </w:r>
          </w:p>
        </w:tc>
        <w:tc>
          <w:tcPr>
            <w:tcW w:w="2267" w:type="dxa"/>
            <w:tcBorders>
              <w:top w:val="single" w:color="000000" w:sz="2" w:space="0"/>
              <w:left w:val="single" w:color="000000" w:sz="2" w:space="0"/>
              <w:bottom w:val="single" w:color="000000" w:sz="2" w:space="0"/>
            </w:tcBorders>
            <w:vAlign w:val="center"/>
          </w:tcPr>
          <w:p w14:paraId="35D2AA09">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pacing w:val="20"/>
                <w:sz w:val="22"/>
                <w:szCs w:val="22"/>
                <w:highlight w:val="none"/>
              </w:rPr>
            </w:pPr>
          </w:p>
        </w:tc>
      </w:tr>
      <w:tr w14:paraId="16119A7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066" w:type="dxa"/>
            <w:tcBorders>
              <w:top w:val="single" w:color="000000" w:sz="2" w:space="0"/>
              <w:bottom w:val="single" w:color="000000" w:sz="2" w:space="0"/>
              <w:right w:val="single" w:color="000000" w:sz="2" w:space="0"/>
            </w:tcBorders>
            <w:vAlign w:val="center"/>
          </w:tcPr>
          <w:p w14:paraId="7FF8E142">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邮政编码</w:t>
            </w:r>
          </w:p>
        </w:tc>
        <w:tc>
          <w:tcPr>
            <w:tcW w:w="2580" w:type="dxa"/>
            <w:tcBorders>
              <w:top w:val="single" w:color="000000" w:sz="2" w:space="0"/>
              <w:left w:val="single" w:color="000000" w:sz="2" w:space="0"/>
              <w:bottom w:val="single" w:color="000000" w:sz="2" w:space="0"/>
              <w:right w:val="single" w:color="000000" w:sz="2" w:space="0"/>
            </w:tcBorders>
            <w:vAlign w:val="center"/>
          </w:tcPr>
          <w:p w14:paraId="7F77DC3B">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p>
        </w:tc>
        <w:tc>
          <w:tcPr>
            <w:tcW w:w="2161" w:type="dxa"/>
            <w:tcBorders>
              <w:top w:val="single" w:color="000000" w:sz="2" w:space="0"/>
              <w:left w:val="single" w:color="000000" w:sz="2" w:space="0"/>
              <w:bottom w:val="single" w:color="000000" w:sz="2" w:space="0"/>
              <w:right w:val="single" w:color="000000" w:sz="2" w:space="0"/>
            </w:tcBorders>
            <w:vAlign w:val="center"/>
          </w:tcPr>
          <w:p w14:paraId="548CCE03">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邮政编码</w:t>
            </w:r>
          </w:p>
        </w:tc>
        <w:tc>
          <w:tcPr>
            <w:tcW w:w="2267" w:type="dxa"/>
            <w:tcBorders>
              <w:top w:val="single" w:color="000000" w:sz="2" w:space="0"/>
              <w:left w:val="single" w:color="000000" w:sz="2" w:space="0"/>
              <w:bottom w:val="single" w:color="000000" w:sz="2" w:space="0"/>
            </w:tcBorders>
            <w:vAlign w:val="center"/>
          </w:tcPr>
          <w:p w14:paraId="022556DD">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pacing w:val="20"/>
                <w:sz w:val="22"/>
                <w:szCs w:val="22"/>
                <w:highlight w:val="none"/>
              </w:rPr>
            </w:pPr>
          </w:p>
        </w:tc>
      </w:tr>
      <w:tr w14:paraId="5693279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066" w:type="dxa"/>
            <w:tcBorders>
              <w:top w:val="single" w:color="000000" w:sz="2" w:space="0"/>
              <w:bottom w:val="single" w:color="000000" w:sz="2" w:space="0"/>
              <w:right w:val="single" w:color="000000" w:sz="2" w:space="0"/>
            </w:tcBorders>
            <w:vAlign w:val="center"/>
          </w:tcPr>
          <w:p w14:paraId="26709D2D">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电子邮箱</w:t>
            </w:r>
          </w:p>
        </w:tc>
        <w:tc>
          <w:tcPr>
            <w:tcW w:w="2580" w:type="dxa"/>
            <w:tcBorders>
              <w:top w:val="single" w:color="000000" w:sz="2" w:space="0"/>
              <w:left w:val="single" w:color="000000" w:sz="2" w:space="0"/>
              <w:bottom w:val="single" w:color="000000" w:sz="2" w:space="0"/>
              <w:right w:val="single" w:color="000000" w:sz="2" w:space="0"/>
            </w:tcBorders>
            <w:vAlign w:val="center"/>
          </w:tcPr>
          <w:p w14:paraId="25BDD6A2">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p>
        </w:tc>
        <w:tc>
          <w:tcPr>
            <w:tcW w:w="2161" w:type="dxa"/>
            <w:tcBorders>
              <w:top w:val="single" w:color="000000" w:sz="2" w:space="0"/>
              <w:left w:val="single" w:color="000000" w:sz="2" w:space="0"/>
              <w:bottom w:val="single" w:color="000000" w:sz="2" w:space="0"/>
              <w:right w:val="single" w:color="000000" w:sz="2" w:space="0"/>
            </w:tcBorders>
            <w:vAlign w:val="center"/>
          </w:tcPr>
          <w:p w14:paraId="5B5240D8">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电子邮箱</w:t>
            </w:r>
          </w:p>
        </w:tc>
        <w:tc>
          <w:tcPr>
            <w:tcW w:w="2267" w:type="dxa"/>
            <w:tcBorders>
              <w:top w:val="single" w:color="000000" w:sz="2" w:space="0"/>
              <w:left w:val="single" w:color="000000" w:sz="2" w:space="0"/>
              <w:bottom w:val="single" w:color="000000" w:sz="2" w:space="0"/>
            </w:tcBorders>
            <w:vAlign w:val="center"/>
          </w:tcPr>
          <w:p w14:paraId="640310D7">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pacing w:val="20"/>
                <w:sz w:val="22"/>
                <w:szCs w:val="22"/>
                <w:highlight w:val="none"/>
              </w:rPr>
            </w:pPr>
          </w:p>
        </w:tc>
      </w:tr>
      <w:tr w14:paraId="4E33D4F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066" w:type="dxa"/>
            <w:tcBorders>
              <w:top w:val="single" w:color="000000" w:sz="2" w:space="0"/>
              <w:bottom w:val="single" w:color="000000" w:sz="2" w:space="0"/>
              <w:right w:val="single" w:color="000000" w:sz="2" w:space="0"/>
            </w:tcBorders>
            <w:vAlign w:val="center"/>
          </w:tcPr>
          <w:p w14:paraId="5A697A6A">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统一社会信用代码</w:t>
            </w:r>
          </w:p>
        </w:tc>
        <w:tc>
          <w:tcPr>
            <w:tcW w:w="2580" w:type="dxa"/>
            <w:tcBorders>
              <w:top w:val="single" w:color="000000" w:sz="2" w:space="0"/>
              <w:left w:val="single" w:color="000000" w:sz="2" w:space="0"/>
              <w:bottom w:val="single" w:color="000000" w:sz="2" w:space="0"/>
              <w:right w:val="single" w:color="000000" w:sz="2" w:space="0"/>
            </w:tcBorders>
            <w:vAlign w:val="center"/>
          </w:tcPr>
          <w:p w14:paraId="0A1E3BCF">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p>
        </w:tc>
        <w:tc>
          <w:tcPr>
            <w:tcW w:w="2161" w:type="dxa"/>
            <w:tcBorders>
              <w:top w:val="single" w:color="000000" w:sz="2" w:space="0"/>
              <w:left w:val="single" w:color="000000" w:sz="2" w:space="0"/>
              <w:bottom w:val="single" w:color="000000" w:sz="2" w:space="0"/>
              <w:right w:val="single" w:color="000000" w:sz="2" w:space="0"/>
            </w:tcBorders>
            <w:vAlign w:val="center"/>
          </w:tcPr>
          <w:p w14:paraId="4EE2D629">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统一社会信用代码</w:t>
            </w:r>
          </w:p>
        </w:tc>
        <w:tc>
          <w:tcPr>
            <w:tcW w:w="2267" w:type="dxa"/>
            <w:tcBorders>
              <w:top w:val="single" w:color="000000" w:sz="2" w:space="0"/>
              <w:left w:val="single" w:color="000000" w:sz="2" w:space="0"/>
              <w:bottom w:val="single" w:color="000000" w:sz="2" w:space="0"/>
            </w:tcBorders>
            <w:vAlign w:val="center"/>
          </w:tcPr>
          <w:p w14:paraId="34624FE8">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pacing w:val="20"/>
                <w:sz w:val="22"/>
                <w:szCs w:val="22"/>
                <w:highlight w:val="none"/>
              </w:rPr>
            </w:pPr>
          </w:p>
        </w:tc>
      </w:tr>
      <w:tr w14:paraId="1CC303A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066" w:type="dxa"/>
            <w:tcBorders>
              <w:top w:val="single" w:color="000000" w:sz="2" w:space="0"/>
              <w:bottom w:val="single" w:color="000000" w:sz="2" w:space="0"/>
              <w:right w:val="single" w:color="000000" w:sz="2" w:space="0"/>
            </w:tcBorders>
            <w:vAlign w:val="center"/>
          </w:tcPr>
          <w:p w14:paraId="5BBA0956">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p>
        </w:tc>
        <w:tc>
          <w:tcPr>
            <w:tcW w:w="2580" w:type="dxa"/>
            <w:tcBorders>
              <w:top w:val="single" w:color="000000" w:sz="2" w:space="0"/>
              <w:left w:val="single" w:color="000000" w:sz="2" w:space="0"/>
              <w:bottom w:val="single" w:color="000000" w:sz="2" w:space="0"/>
              <w:right w:val="single" w:color="000000" w:sz="2" w:space="0"/>
            </w:tcBorders>
            <w:vAlign w:val="center"/>
          </w:tcPr>
          <w:p w14:paraId="5F4DC866">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p>
        </w:tc>
        <w:tc>
          <w:tcPr>
            <w:tcW w:w="2161" w:type="dxa"/>
            <w:tcBorders>
              <w:top w:val="single" w:color="000000" w:sz="2" w:space="0"/>
              <w:left w:val="single" w:color="000000" w:sz="2" w:space="0"/>
              <w:bottom w:val="single" w:color="000000" w:sz="2" w:space="0"/>
              <w:right w:val="single" w:color="000000" w:sz="2" w:space="0"/>
            </w:tcBorders>
            <w:vAlign w:val="center"/>
          </w:tcPr>
          <w:p w14:paraId="4E916BCD">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开户名称</w:t>
            </w:r>
          </w:p>
        </w:tc>
        <w:tc>
          <w:tcPr>
            <w:tcW w:w="2267" w:type="dxa"/>
            <w:tcBorders>
              <w:top w:val="single" w:color="000000" w:sz="2" w:space="0"/>
              <w:left w:val="single" w:color="000000" w:sz="2" w:space="0"/>
              <w:bottom w:val="single" w:color="000000" w:sz="2" w:space="0"/>
            </w:tcBorders>
            <w:vAlign w:val="center"/>
          </w:tcPr>
          <w:p w14:paraId="7C1A5C21">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pacing w:val="20"/>
                <w:sz w:val="22"/>
                <w:szCs w:val="22"/>
                <w:highlight w:val="none"/>
              </w:rPr>
            </w:pPr>
          </w:p>
        </w:tc>
      </w:tr>
      <w:tr w14:paraId="4ACE324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066" w:type="dxa"/>
            <w:tcBorders>
              <w:top w:val="single" w:color="000000" w:sz="2" w:space="0"/>
              <w:bottom w:val="single" w:color="000000" w:sz="2" w:space="0"/>
              <w:right w:val="single" w:color="000000" w:sz="2" w:space="0"/>
            </w:tcBorders>
            <w:vAlign w:val="center"/>
          </w:tcPr>
          <w:p w14:paraId="39F06F52">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p>
        </w:tc>
        <w:tc>
          <w:tcPr>
            <w:tcW w:w="2580" w:type="dxa"/>
            <w:tcBorders>
              <w:top w:val="single" w:color="000000" w:sz="2" w:space="0"/>
              <w:left w:val="single" w:color="000000" w:sz="2" w:space="0"/>
              <w:bottom w:val="single" w:color="000000" w:sz="2" w:space="0"/>
              <w:right w:val="single" w:color="000000" w:sz="2" w:space="0"/>
            </w:tcBorders>
            <w:vAlign w:val="center"/>
          </w:tcPr>
          <w:p w14:paraId="75C7BC93">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p>
        </w:tc>
        <w:tc>
          <w:tcPr>
            <w:tcW w:w="2161" w:type="dxa"/>
            <w:tcBorders>
              <w:top w:val="single" w:color="000000" w:sz="2" w:space="0"/>
              <w:left w:val="single" w:color="000000" w:sz="2" w:space="0"/>
              <w:bottom w:val="single" w:color="000000" w:sz="2" w:space="0"/>
              <w:right w:val="single" w:color="000000" w:sz="2" w:space="0"/>
            </w:tcBorders>
            <w:vAlign w:val="center"/>
          </w:tcPr>
          <w:p w14:paraId="685E8497">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开户银行</w:t>
            </w:r>
          </w:p>
        </w:tc>
        <w:tc>
          <w:tcPr>
            <w:tcW w:w="2267" w:type="dxa"/>
            <w:tcBorders>
              <w:top w:val="single" w:color="000000" w:sz="2" w:space="0"/>
              <w:left w:val="single" w:color="000000" w:sz="2" w:space="0"/>
              <w:bottom w:val="single" w:color="000000" w:sz="2" w:space="0"/>
            </w:tcBorders>
            <w:vAlign w:val="center"/>
          </w:tcPr>
          <w:p w14:paraId="642390B6">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pacing w:val="20"/>
                <w:sz w:val="22"/>
                <w:szCs w:val="22"/>
                <w:highlight w:val="none"/>
              </w:rPr>
            </w:pPr>
          </w:p>
        </w:tc>
      </w:tr>
      <w:tr w14:paraId="2FF78AF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066" w:type="dxa"/>
            <w:tcBorders>
              <w:top w:val="single" w:color="000000" w:sz="2" w:space="0"/>
              <w:bottom w:val="single" w:color="000000" w:sz="2" w:space="0"/>
              <w:right w:val="single" w:color="000000" w:sz="2" w:space="0"/>
            </w:tcBorders>
            <w:vAlign w:val="center"/>
          </w:tcPr>
          <w:p w14:paraId="51E4B21F">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p>
        </w:tc>
        <w:tc>
          <w:tcPr>
            <w:tcW w:w="2580" w:type="dxa"/>
            <w:tcBorders>
              <w:top w:val="single" w:color="000000" w:sz="2" w:space="0"/>
              <w:left w:val="single" w:color="000000" w:sz="2" w:space="0"/>
              <w:bottom w:val="single" w:color="000000" w:sz="2" w:space="0"/>
              <w:right w:val="single" w:color="000000" w:sz="2" w:space="0"/>
            </w:tcBorders>
            <w:vAlign w:val="center"/>
          </w:tcPr>
          <w:p w14:paraId="6E8BA27E">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p>
        </w:tc>
        <w:tc>
          <w:tcPr>
            <w:tcW w:w="2161" w:type="dxa"/>
            <w:tcBorders>
              <w:top w:val="single" w:color="000000" w:sz="2" w:space="0"/>
              <w:left w:val="single" w:color="000000" w:sz="2" w:space="0"/>
              <w:bottom w:val="single" w:color="000000" w:sz="2" w:space="0"/>
              <w:right w:val="single" w:color="000000" w:sz="2" w:space="0"/>
            </w:tcBorders>
            <w:vAlign w:val="center"/>
          </w:tcPr>
          <w:p w14:paraId="49777F17">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银行账号</w:t>
            </w:r>
          </w:p>
        </w:tc>
        <w:tc>
          <w:tcPr>
            <w:tcW w:w="2267" w:type="dxa"/>
            <w:tcBorders>
              <w:top w:val="single" w:color="000000" w:sz="2" w:space="0"/>
              <w:left w:val="single" w:color="000000" w:sz="2" w:space="0"/>
              <w:bottom w:val="single" w:color="000000" w:sz="2" w:space="0"/>
            </w:tcBorders>
            <w:vAlign w:val="center"/>
          </w:tcPr>
          <w:p w14:paraId="65BFD4D4">
            <w:pPr>
              <w:pageBreakBefore w:val="0"/>
              <w:kinsoku/>
              <w:wordWrap/>
              <w:overflowPunct/>
              <w:topLinePunct w:val="0"/>
              <w:bidi w:val="0"/>
              <w:spacing w:beforeAutospacing="0" w:afterAutospacing="0" w:line="400" w:lineRule="exact"/>
              <w:ind w:left="0" w:leftChars="0"/>
              <w:jc w:val="center"/>
              <w:textAlignment w:val="auto"/>
              <w:rPr>
                <w:rFonts w:hint="eastAsia" w:ascii="宋体" w:hAnsi="宋体" w:eastAsia="宋体" w:cs="宋体"/>
                <w:color w:val="auto"/>
                <w:spacing w:val="20"/>
                <w:sz w:val="22"/>
                <w:szCs w:val="22"/>
                <w:highlight w:val="none"/>
              </w:rPr>
            </w:pPr>
          </w:p>
        </w:tc>
      </w:tr>
      <w:tr w14:paraId="7C7E55A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9074" w:type="dxa"/>
            <w:gridSpan w:val="4"/>
            <w:tcBorders>
              <w:top w:val="single" w:color="000000" w:sz="2" w:space="0"/>
            </w:tcBorders>
            <w:vAlign w:val="center"/>
          </w:tcPr>
          <w:p w14:paraId="2EBCFDB2">
            <w:pPr>
              <w:pageBreakBefore w:val="0"/>
              <w:kinsoku/>
              <w:wordWrap/>
              <w:overflowPunct/>
              <w:topLinePunct w:val="0"/>
              <w:bidi w:val="0"/>
              <w:spacing w:beforeAutospacing="0" w:afterAutospacing="0" w:line="400" w:lineRule="exact"/>
              <w:ind w:left="0" w:leftChars="0"/>
              <w:jc w:val="left"/>
              <w:textAlignment w:val="auto"/>
              <w:rPr>
                <w:rFonts w:hint="eastAsia" w:ascii="宋体" w:hAnsi="宋体" w:eastAsia="宋体" w:cs="宋体"/>
                <w:color w:val="auto"/>
                <w:spacing w:val="20"/>
                <w:sz w:val="22"/>
                <w:szCs w:val="22"/>
                <w:highlight w:val="none"/>
              </w:rPr>
            </w:pPr>
            <w:r>
              <w:rPr>
                <w:rFonts w:hint="eastAsia" w:ascii="宋体" w:hAnsi="宋体" w:eastAsia="宋体" w:cs="宋体"/>
                <w:color w:val="auto"/>
                <w:sz w:val="22"/>
                <w:szCs w:val="22"/>
                <w:highlight w:val="none"/>
              </w:rPr>
              <w:t>注：涉及联合体或其他合同主体的信息应按上表格式加列。</w:t>
            </w:r>
          </w:p>
        </w:tc>
      </w:tr>
    </w:tbl>
    <w:p w14:paraId="7DEDDF2C">
      <w:pPr>
        <w:pStyle w:val="4"/>
        <w:pageBreakBefore w:val="0"/>
        <w:kinsoku/>
        <w:wordWrap/>
        <w:overflowPunct/>
        <w:topLinePunct w:val="0"/>
        <w:bidi w:val="0"/>
        <w:adjustRightInd w:val="0"/>
        <w:snapToGrid w:val="0"/>
        <w:spacing w:before="0" w:beforeAutospacing="0" w:after="0" w:afterAutospacing="0" w:line="400" w:lineRule="exact"/>
        <w:ind w:left="0" w:leftChars="0"/>
        <w:jc w:val="center"/>
        <w:textAlignment w:val="auto"/>
        <w:rPr>
          <w:rFonts w:hint="eastAsia" w:ascii="黑体" w:hAnsi="黑体" w:eastAsia="黑体"/>
          <w:b w:val="0"/>
          <w:bCs w:val="0"/>
          <w:color w:val="auto"/>
          <w:sz w:val="28"/>
          <w:szCs w:val="28"/>
          <w:highlight w:val="none"/>
        </w:rPr>
      </w:pPr>
      <w:bookmarkStart w:id="176" w:name="_Toc27624"/>
      <w:bookmarkStart w:id="177" w:name="_Toc20313"/>
    </w:p>
    <w:p w14:paraId="757A6225">
      <w:pPr>
        <w:pStyle w:val="4"/>
        <w:pageBreakBefore w:val="0"/>
        <w:kinsoku/>
        <w:wordWrap/>
        <w:overflowPunct/>
        <w:topLinePunct w:val="0"/>
        <w:bidi w:val="0"/>
        <w:adjustRightInd w:val="0"/>
        <w:snapToGrid w:val="0"/>
        <w:spacing w:before="0" w:beforeAutospacing="0" w:after="0" w:afterAutospacing="0" w:line="400" w:lineRule="exact"/>
        <w:ind w:left="0" w:leftChars="0"/>
        <w:jc w:val="center"/>
        <w:textAlignment w:val="auto"/>
        <w:rPr>
          <w:rFonts w:hint="eastAsia" w:ascii="黑体" w:hAnsi="黑体" w:eastAsia="黑体"/>
          <w:b w:val="0"/>
          <w:bCs w:val="0"/>
          <w:color w:val="auto"/>
          <w:sz w:val="28"/>
          <w:szCs w:val="28"/>
          <w:highlight w:val="none"/>
        </w:rPr>
      </w:pPr>
    </w:p>
    <w:p w14:paraId="3685F142">
      <w:pPr>
        <w:pStyle w:val="4"/>
        <w:pageBreakBefore w:val="0"/>
        <w:kinsoku/>
        <w:wordWrap/>
        <w:overflowPunct/>
        <w:topLinePunct w:val="0"/>
        <w:bidi w:val="0"/>
        <w:adjustRightInd w:val="0"/>
        <w:snapToGrid w:val="0"/>
        <w:spacing w:before="0" w:beforeAutospacing="0" w:after="0" w:afterAutospacing="0" w:line="400" w:lineRule="exact"/>
        <w:ind w:left="0" w:leftChars="0"/>
        <w:jc w:val="center"/>
        <w:textAlignment w:val="auto"/>
        <w:rPr>
          <w:rFonts w:hint="eastAsia" w:ascii="黑体" w:hAnsi="黑体" w:eastAsia="黑体"/>
          <w:b w:val="0"/>
          <w:bCs w:val="0"/>
          <w:color w:val="auto"/>
          <w:sz w:val="28"/>
          <w:szCs w:val="28"/>
          <w:highlight w:val="none"/>
        </w:rPr>
      </w:pPr>
    </w:p>
    <w:p w14:paraId="75D97BE7">
      <w:pPr>
        <w:pStyle w:val="4"/>
        <w:pageBreakBefore w:val="0"/>
        <w:kinsoku/>
        <w:wordWrap/>
        <w:overflowPunct/>
        <w:topLinePunct w:val="0"/>
        <w:bidi w:val="0"/>
        <w:adjustRightInd w:val="0"/>
        <w:snapToGrid w:val="0"/>
        <w:spacing w:before="0" w:beforeAutospacing="0" w:after="0" w:afterAutospacing="0" w:line="400" w:lineRule="exact"/>
        <w:ind w:left="0" w:leftChars="0"/>
        <w:jc w:val="center"/>
        <w:textAlignment w:val="auto"/>
        <w:rPr>
          <w:rFonts w:hint="eastAsia" w:ascii="黑体" w:hAnsi="黑体" w:eastAsia="黑体"/>
          <w:b w:val="0"/>
          <w:bCs w:val="0"/>
          <w:color w:val="auto"/>
          <w:sz w:val="28"/>
          <w:szCs w:val="28"/>
          <w:highlight w:val="none"/>
        </w:rPr>
      </w:pPr>
    </w:p>
    <w:p w14:paraId="62C6809D">
      <w:pPr>
        <w:pStyle w:val="4"/>
        <w:pageBreakBefore w:val="0"/>
        <w:kinsoku/>
        <w:wordWrap/>
        <w:overflowPunct/>
        <w:topLinePunct w:val="0"/>
        <w:bidi w:val="0"/>
        <w:adjustRightInd w:val="0"/>
        <w:snapToGrid w:val="0"/>
        <w:spacing w:before="0" w:beforeAutospacing="0" w:after="0" w:afterAutospacing="0" w:line="400" w:lineRule="exact"/>
        <w:ind w:left="0" w:leftChars="0"/>
        <w:jc w:val="center"/>
        <w:textAlignment w:val="auto"/>
        <w:rPr>
          <w:rFonts w:ascii="黑体" w:hAnsi="黑体" w:eastAsia="黑体"/>
          <w:color w:val="auto"/>
          <w:sz w:val="28"/>
          <w:szCs w:val="28"/>
          <w:highlight w:val="none"/>
        </w:rPr>
      </w:pPr>
      <w:r>
        <w:rPr>
          <w:rFonts w:hint="eastAsia" w:ascii="黑体" w:hAnsi="黑体" w:eastAsia="黑体"/>
          <w:b w:val="0"/>
          <w:bCs w:val="0"/>
          <w:color w:val="auto"/>
          <w:sz w:val="28"/>
          <w:szCs w:val="28"/>
          <w:highlight w:val="none"/>
        </w:rPr>
        <w:t>第二节 政府采购合同通用条款</w:t>
      </w:r>
      <w:bookmarkEnd w:id="176"/>
    </w:p>
    <w:p w14:paraId="79F5E805">
      <w:pPr>
        <w:tabs>
          <w:tab w:val="left" w:pos="8820"/>
          <w:tab w:val="left" w:pos="9345"/>
          <w:tab w:val="left" w:pos="9765"/>
        </w:tabs>
        <w:adjustRightInd w:val="0"/>
        <w:snapToGrid w:val="0"/>
        <w:spacing w:line="400" w:lineRule="exact"/>
        <w:jc w:val="left"/>
        <w:rPr>
          <w:rFonts w:hint="eastAsia"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定义</w:t>
      </w:r>
    </w:p>
    <w:p w14:paraId="280F3DF0">
      <w:pPr>
        <w:keepNext w:val="0"/>
        <w:keepLines w:val="0"/>
        <w:pageBreakBefore w:val="0"/>
        <w:widowControl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1.1合同当事人</w:t>
      </w:r>
    </w:p>
    <w:p w14:paraId="71A18D2D">
      <w:pPr>
        <w:keepNext w:val="0"/>
        <w:keepLines w:val="0"/>
        <w:pageBreakBefore w:val="0"/>
        <w:widowControl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（1）采购人（以下称甲方）是指使用财政性资金，通过政府采购方式向供应商购买货物及其相关服务的国家机关、事业单位、团体组织。</w:t>
      </w:r>
    </w:p>
    <w:p w14:paraId="1A98EA3A">
      <w:pPr>
        <w:keepNext w:val="0"/>
        <w:keepLines w:val="0"/>
        <w:pageBreakBefore w:val="0"/>
        <w:widowControl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（2）供应商（以下称乙方）是指参加政府采购活动并且中标（成交），向采购人提供合同约定的货物及其相关服务的法人、非法人组织或者自然人。</w:t>
      </w:r>
    </w:p>
    <w:p w14:paraId="2E977209">
      <w:pPr>
        <w:keepNext w:val="0"/>
        <w:keepLines w:val="0"/>
        <w:pageBreakBefore w:val="0"/>
        <w:widowControl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（3）其他合同主体是指除采购人和供应商以外，</w:t>
      </w:r>
      <w:r>
        <w:rPr>
          <w:rFonts w:hint="eastAsia" w:ascii="宋体" w:hAnsi="宋体" w:cs="宋体"/>
          <w:bCs/>
          <w:color w:val="auto"/>
          <w:szCs w:val="21"/>
          <w:highlight w:val="none"/>
        </w:rPr>
        <w:t>依法参与合同缔结或履行，享有权利、承担义务的合同当事人</w:t>
      </w:r>
      <w:r>
        <w:rPr>
          <w:rFonts w:hint="eastAsia" w:ascii="宋体" w:hAnsi="宋体"/>
          <w:color w:val="auto"/>
          <w:szCs w:val="21"/>
          <w:highlight w:val="none"/>
        </w:rPr>
        <w:t>。</w:t>
      </w:r>
    </w:p>
    <w:p w14:paraId="15314F9E">
      <w:pPr>
        <w:keepNext w:val="0"/>
        <w:keepLines w:val="0"/>
        <w:pageBreakBefore w:val="0"/>
        <w:widowControl w:val="0"/>
        <w:tabs>
          <w:tab w:val="left" w:pos="570"/>
          <w:tab w:val="left" w:pos="9240"/>
          <w:tab w:val="left" w:pos="9555"/>
        </w:tabs>
        <w:kinsoku/>
        <w:wordWrap/>
        <w:overflowPunct/>
        <w:topLinePunct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1.2本合同下列术语应解释为：</w:t>
      </w:r>
    </w:p>
    <w:p w14:paraId="3716459A">
      <w:pPr>
        <w:keepNext w:val="0"/>
        <w:keepLines w:val="0"/>
        <w:pageBreakBefore w:val="0"/>
        <w:widowControl w:val="0"/>
        <w:kinsoku/>
        <w:wordWrap/>
        <w:overflowPunct/>
        <w:topLinePunct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（1）“合同”系指</w:t>
      </w:r>
      <w:r>
        <w:rPr>
          <w:rFonts w:hint="eastAsia" w:ascii="宋体" w:hAnsi="宋体" w:cs="宋体"/>
          <w:bCs/>
          <w:color w:val="auto"/>
          <w:szCs w:val="21"/>
          <w:highlight w:val="none"/>
        </w:rPr>
        <w:t>合同当事人意思表示达成一致的任何协议，包括签署的</w:t>
      </w:r>
      <w:r>
        <w:rPr>
          <w:rFonts w:hint="eastAsia" w:ascii="宋体" w:hAnsi="宋体"/>
          <w:color w:val="auto"/>
          <w:szCs w:val="21"/>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国家法律、行政法规和规章制度规定或合同约定的作为合同组成部分的其他文件</w:t>
      </w:r>
      <w:r>
        <w:rPr>
          <w:rFonts w:hint="eastAsia" w:ascii="宋体" w:hAnsi="宋体"/>
          <w:color w:val="auto"/>
          <w:szCs w:val="21"/>
          <w:highlight w:val="none"/>
        </w:rPr>
        <w:t>。</w:t>
      </w:r>
    </w:p>
    <w:p w14:paraId="77E5651A">
      <w:pPr>
        <w:keepNext w:val="0"/>
        <w:keepLines w:val="0"/>
        <w:pageBreakBefore w:val="0"/>
        <w:widowControl w:val="0"/>
        <w:tabs>
          <w:tab w:val="left" w:pos="570"/>
          <w:tab w:val="left" w:pos="9240"/>
          <w:tab w:val="left" w:pos="9555"/>
        </w:tabs>
        <w:kinsoku/>
        <w:wordWrap/>
        <w:overflowPunct/>
        <w:topLinePunct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（2）“合同价款”系指根据本合同规定乙方在全面履行合同义务后甲方应支付给乙方的价款。</w:t>
      </w:r>
    </w:p>
    <w:p w14:paraId="421E03F6">
      <w:pPr>
        <w:keepNext w:val="0"/>
        <w:keepLines w:val="0"/>
        <w:pageBreakBefore w:val="0"/>
        <w:widowControl w:val="0"/>
        <w:tabs>
          <w:tab w:val="left" w:pos="570"/>
          <w:tab w:val="left" w:pos="9240"/>
          <w:tab w:val="left" w:pos="9555"/>
        </w:tabs>
        <w:kinsoku/>
        <w:wordWrap/>
        <w:overflowPunct/>
        <w:topLinePunct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（3）“货物”系指乙方根据本合同规定须向甲方提供的各种形态和种类的物品，包括原材料、设备、产品（包括软件）及相关的其备品备件、工具、手册及</w:t>
      </w:r>
      <w:r>
        <w:rPr>
          <w:rFonts w:hint="eastAsia" w:ascii="宋体" w:hAnsi="宋体"/>
          <w:color w:val="auto"/>
          <w:szCs w:val="21"/>
          <w:highlight w:val="none"/>
          <w:lang w:val="en"/>
        </w:rPr>
        <w:t>其他</w:t>
      </w:r>
      <w:r>
        <w:rPr>
          <w:rFonts w:hint="eastAsia" w:ascii="宋体" w:hAnsi="宋体"/>
          <w:color w:val="auto"/>
          <w:szCs w:val="21"/>
          <w:highlight w:val="none"/>
        </w:rPr>
        <w:t>技术资料和材料等。</w:t>
      </w:r>
    </w:p>
    <w:p w14:paraId="11416753">
      <w:pPr>
        <w:keepNext w:val="0"/>
        <w:keepLines w:val="0"/>
        <w:pageBreakBefore w:val="0"/>
        <w:widowControl w:val="0"/>
        <w:kinsoku/>
        <w:wordWrap/>
        <w:overflowPunct/>
        <w:topLinePunct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（4）“相关服务”系指根据合同规定，乙方应提供的与货物有关的技术、管理和</w:t>
      </w:r>
      <w:r>
        <w:rPr>
          <w:rFonts w:hint="eastAsia" w:ascii="宋体" w:hAnsi="宋体"/>
          <w:color w:val="auto"/>
          <w:szCs w:val="21"/>
          <w:highlight w:val="none"/>
          <w:lang w:val="en"/>
        </w:rPr>
        <w:t>其他</w:t>
      </w:r>
      <w:r>
        <w:rPr>
          <w:rFonts w:hint="eastAsia" w:ascii="宋体" w:hAnsi="宋体"/>
          <w:color w:val="auto"/>
          <w:szCs w:val="21"/>
          <w:highlight w:val="none"/>
        </w:rPr>
        <w:t>服务，包括但不限于：管理和质量保证、运输、保险、检验、现场准备、安装、集成、调试、培训、维修、废弃处置、技术支持等以及合同中规定乙方应承担的</w:t>
      </w:r>
      <w:r>
        <w:rPr>
          <w:rFonts w:hint="eastAsia" w:ascii="宋体" w:hAnsi="宋体"/>
          <w:color w:val="auto"/>
          <w:szCs w:val="21"/>
          <w:highlight w:val="none"/>
          <w:lang w:val="en"/>
        </w:rPr>
        <w:t>其他</w:t>
      </w:r>
      <w:r>
        <w:rPr>
          <w:rFonts w:hint="eastAsia" w:ascii="宋体" w:hAnsi="宋体"/>
          <w:color w:val="auto"/>
          <w:szCs w:val="21"/>
          <w:highlight w:val="none"/>
        </w:rPr>
        <w:t>义务。</w:t>
      </w:r>
    </w:p>
    <w:p w14:paraId="0884DA6A">
      <w:pPr>
        <w:keepNext w:val="0"/>
        <w:keepLines w:val="0"/>
        <w:pageBreakBefore w:val="0"/>
        <w:widowControl w:val="0"/>
        <w:kinsoku/>
        <w:wordWrap/>
        <w:overflowPunct/>
        <w:topLinePunct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（5）“分包”系指中标（成交）供应商按采购文件、投标（响应）文件的规定，根据分包意向协议，将中标（成交）项目中的部分履约内容，分给具有相应资质条件的供应商履行合同的行为。</w:t>
      </w:r>
    </w:p>
    <w:p w14:paraId="701BCAD7">
      <w:pPr>
        <w:keepNext w:val="0"/>
        <w:keepLines w:val="0"/>
        <w:pageBreakBefore w:val="0"/>
        <w:widowControl w:val="0"/>
        <w:tabs>
          <w:tab w:val="left" w:pos="570"/>
          <w:tab w:val="left" w:pos="9240"/>
          <w:tab w:val="left" w:pos="9555"/>
        </w:tabs>
        <w:kinsoku/>
        <w:wordWrap/>
        <w:overflowPunct/>
        <w:topLinePunct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24C1F34E">
      <w:pPr>
        <w:keepNext w:val="0"/>
        <w:keepLines w:val="0"/>
        <w:pageBreakBefore w:val="0"/>
        <w:widowControl w:val="0"/>
        <w:tabs>
          <w:tab w:val="left" w:pos="570"/>
          <w:tab w:val="left" w:pos="9240"/>
          <w:tab w:val="left" w:pos="9555"/>
        </w:tabs>
        <w:kinsoku/>
        <w:wordWrap/>
        <w:overflowPunct/>
        <w:topLinePunct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（7）其他术语解释，见【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1073D2FC">
      <w:pPr>
        <w:tabs>
          <w:tab w:val="left" w:pos="8820"/>
          <w:tab w:val="left" w:pos="9345"/>
          <w:tab w:val="left" w:pos="9765"/>
        </w:tabs>
        <w:adjustRightInd w:val="0"/>
        <w:snapToGrid w:val="0"/>
        <w:spacing w:line="400" w:lineRule="exact"/>
        <w:jc w:val="left"/>
        <w:rPr>
          <w:rFonts w:hint="eastAsia" w:ascii="宋体" w:hAnsi="宋体"/>
          <w:b/>
          <w:color w:val="auto"/>
          <w:sz w:val="24"/>
          <w:highlight w:val="none"/>
        </w:rPr>
      </w:pPr>
      <w:r>
        <w:rPr>
          <w:rFonts w:hint="eastAsia" w:ascii="宋体" w:hAnsi="宋体"/>
          <w:b/>
          <w:color w:val="auto"/>
          <w:sz w:val="24"/>
          <w:highlight w:val="none"/>
          <w:lang w:val="en-US" w:eastAsia="zh-CN"/>
        </w:rPr>
        <w:t>2.</w:t>
      </w:r>
      <w:r>
        <w:rPr>
          <w:rFonts w:hint="eastAsia" w:ascii="宋体" w:hAnsi="宋体"/>
          <w:b/>
          <w:color w:val="auto"/>
          <w:sz w:val="24"/>
          <w:highlight w:val="none"/>
        </w:rPr>
        <w:t>合同标的及金额</w:t>
      </w:r>
    </w:p>
    <w:p w14:paraId="38E8C515">
      <w:pPr>
        <w:keepNext w:val="0"/>
        <w:keepLines w:val="0"/>
        <w:pageBreakBefore w:val="0"/>
        <w:widowControl w:val="0"/>
        <w:kinsoku/>
        <w:wordWrap/>
        <w:overflowPunct/>
        <w:topLinePunct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2.1 合同标的及金额应与中标（成交）结果一致。乙方为履行本合同而发生的所有费用均应包含在合同价款中，甲方不再另行支付</w:t>
      </w:r>
      <w:r>
        <w:rPr>
          <w:rFonts w:hint="eastAsia" w:ascii="宋体" w:hAnsi="宋体"/>
          <w:color w:val="auto"/>
          <w:szCs w:val="21"/>
          <w:highlight w:val="none"/>
          <w:lang w:val="en"/>
        </w:rPr>
        <w:t>其他</w:t>
      </w:r>
      <w:r>
        <w:rPr>
          <w:rFonts w:hint="eastAsia" w:ascii="宋体" w:hAnsi="宋体"/>
          <w:color w:val="auto"/>
          <w:szCs w:val="21"/>
          <w:highlight w:val="none"/>
        </w:rPr>
        <w:t>任何费用。</w:t>
      </w:r>
    </w:p>
    <w:p w14:paraId="6BECCD47">
      <w:pPr>
        <w:tabs>
          <w:tab w:val="left" w:pos="8820"/>
          <w:tab w:val="left" w:pos="9345"/>
          <w:tab w:val="left" w:pos="9765"/>
        </w:tabs>
        <w:adjustRightInd w:val="0"/>
        <w:snapToGrid w:val="0"/>
        <w:spacing w:line="400" w:lineRule="exact"/>
        <w:jc w:val="left"/>
        <w:rPr>
          <w:rFonts w:hint="eastAsia" w:ascii="宋体" w:hAnsi="宋体"/>
          <w:b/>
          <w:color w:val="auto"/>
          <w:sz w:val="24"/>
          <w:highlight w:val="none"/>
        </w:rPr>
      </w:pPr>
      <w:r>
        <w:rPr>
          <w:rFonts w:hint="eastAsia" w:ascii="宋体" w:hAnsi="宋体"/>
          <w:b/>
          <w:color w:val="auto"/>
          <w:sz w:val="24"/>
          <w:highlight w:val="none"/>
        </w:rPr>
        <w:t>3. 履行合同的时间、地点和方式</w:t>
      </w:r>
    </w:p>
    <w:p w14:paraId="4EE0DCB1">
      <w:pPr>
        <w:keepNext w:val="0"/>
        <w:keepLines w:val="0"/>
        <w:pageBreakBefore w:val="0"/>
        <w:widowControl w:val="0"/>
        <w:kinsoku/>
        <w:wordWrap/>
        <w:overflowPunct/>
        <w:topLinePunct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3.1 乙方应当在约定的时间、地点，按照约定方式履行合同。</w:t>
      </w:r>
    </w:p>
    <w:p w14:paraId="4080B2FD">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4. 甲方的权利和义务</w:t>
      </w:r>
    </w:p>
    <w:p w14:paraId="0BF9B2CA">
      <w:pPr>
        <w:keepNext w:val="0"/>
        <w:keepLines w:val="0"/>
        <w:pageBreakBefore w:val="0"/>
        <w:widowControl w:val="0"/>
        <w:kinsoku/>
        <w:wordWrap/>
        <w:overflowPunct/>
        <w:topLinePunct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77A87D0B">
      <w:pPr>
        <w:keepNext w:val="0"/>
        <w:keepLines w:val="0"/>
        <w:pageBreakBefore w:val="0"/>
        <w:widowControl w:val="0"/>
        <w:kinsoku/>
        <w:wordWrap/>
        <w:overflowPunct/>
        <w:topLinePunct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4.2 甲方有权要求乙方按时提交各阶段有关安排计划，并有权定期核对乙方提供货物数量、规格、质量等内容。甲方有权督促乙方工作并要求乙方更换不符合要求的货物。</w:t>
      </w:r>
    </w:p>
    <w:p w14:paraId="037A7AF3">
      <w:pPr>
        <w:keepNext w:val="0"/>
        <w:keepLines w:val="0"/>
        <w:pageBreakBefore w:val="0"/>
        <w:widowControl w:val="0"/>
        <w:kinsoku/>
        <w:wordWrap/>
        <w:overflowPunct/>
        <w:topLinePunct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4.3 甲方有权要求乙方对缺陷部分予以修复，并按合同约定享有货物保修及其他合同约定的权利。</w:t>
      </w:r>
    </w:p>
    <w:p w14:paraId="31401FDB">
      <w:pPr>
        <w:keepNext w:val="0"/>
        <w:keepLines w:val="0"/>
        <w:pageBreakBefore w:val="0"/>
        <w:widowControl w:val="0"/>
        <w:kinsoku/>
        <w:wordWrap/>
        <w:overflowPunct/>
        <w:topLinePunct w:val="0"/>
        <w:bidi w:val="0"/>
        <w:snapToGrid w:val="0"/>
        <w:spacing w:line="380" w:lineRule="exact"/>
        <w:ind w:firstLine="420" w:firstLineChars="200"/>
        <w:textAlignment w:val="auto"/>
        <w:rPr>
          <w:rFonts w:hint="eastAsia" w:eastAsia="华文楷体"/>
          <w:color w:val="auto"/>
          <w:highlight w:val="none"/>
        </w:rPr>
      </w:pPr>
      <w:r>
        <w:rPr>
          <w:rFonts w:hint="eastAsia" w:ascii="宋体" w:hAnsi="宋体"/>
          <w:color w:val="auto"/>
          <w:szCs w:val="21"/>
          <w:highlight w:val="none"/>
        </w:rPr>
        <w:t>4.4 甲方应当按照合同约定及时对交付的货物进行验收，</w:t>
      </w:r>
      <w:r>
        <w:rPr>
          <w:rFonts w:hint="eastAsia" w:ascii="宋体" w:hAnsi="宋体" w:cs="宋体"/>
          <w:color w:val="auto"/>
          <w:szCs w:val="21"/>
          <w:highlight w:val="none"/>
        </w:rPr>
        <w:t>未</w:t>
      </w:r>
      <w:r>
        <w:rPr>
          <w:rFonts w:hint="eastAsia" w:ascii="宋体" w:hAnsi="宋体"/>
          <w:color w:val="auto"/>
          <w:szCs w:val="21"/>
          <w:highlight w:val="none"/>
        </w:rPr>
        <w:t>在</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约定的期限内对乙方履约提出任何异议或者向乙方作出任何说明的，</w:t>
      </w:r>
      <w:r>
        <w:rPr>
          <w:rFonts w:hint="eastAsia" w:ascii="宋体" w:hAnsi="宋体"/>
          <w:color w:val="auto"/>
          <w:szCs w:val="21"/>
          <w:highlight w:val="none"/>
        </w:rPr>
        <w:t>视为验收通过。</w:t>
      </w:r>
    </w:p>
    <w:p w14:paraId="3D0F5912">
      <w:pPr>
        <w:keepNext w:val="0"/>
        <w:keepLines w:val="0"/>
        <w:pageBreakBefore w:val="0"/>
        <w:widowControl w:val="0"/>
        <w:kinsoku/>
        <w:wordWrap/>
        <w:overflowPunct/>
        <w:topLinePunct w:val="0"/>
        <w:autoSpaceDE w:val="0"/>
        <w:autoSpaceDN w:val="0"/>
        <w:bidi w:val="0"/>
        <w:adjustRightInd w:val="0"/>
        <w:snapToGrid w:val="0"/>
        <w:spacing w:line="38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4.5 甲方应当根据合同约定及时向乙方支付合同价款，不得以内部人员变更、履行内部付款流程等为由，拒绝或迟延支付。</w:t>
      </w:r>
    </w:p>
    <w:p w14:paraId="223C074B">
      <w:pPr>
        <w:keepNext w:val="0"/>
        <w:keepLines w:val="0"/>
        <w:pageBreakBefore w:val="0"/>
        <w:widowControl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4.6 国家法律法规规定及</w:t>
      </w:r>
      <w:r>
        <w:rPr>
          <w:rFonts w:hint="eastAsia" w:ascii="宋体" w:hAnsi="宋体" w:cs="宋体"/>
          <w:b/>
          <w:bCs/>
          <w:color w:val="auto"/>
          <w:szCs w:val="21"/>
          <w:highlight w:val="none"/>
        </w:rPr>
        <w:t>【政府采购合同专用条款】</w:t>
      </w:r>
      <w:r>
        <w:rPr>
          <w:rFonts w:hint="eastAsia" w:ascii="宋体" w:hAnsi="宋体"/>
          <w:color w:val="auto"/>
          <w:szCs w:val="21"/>
          <w:highlight w:val="none"/>
        </w:rPr>
        <w:t>约定应由甲方承担的其他义务和责任。</w:t>
      </w:r>
    </w:p>
    <w:p w14:paraId="638465EB">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5. 乙方的权利和义务</w:t>
      </w:r>
    </w:p>
    <w:p w14:paraId="3EF0013A">
      <w:pPr>
        <w:keepNext w:val="0"/>
        <w:keepLines w:val="0"/>
        <w:pageBreakBefore w:val="0"/>
        <w:widowControl w:val="0"/>
        <w:kinsoku/>
        <w:wordWrap/>
        <w:overflowPunct/>
        <w:topLinePunct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5.1 签署合同后，乙方应确定项目负责人（或项目联系人），负责与本合同有关的事务。</w:t>
      </w:r>
    </w:p>
    <w:p w14:paraId="2B3E1658">
      <w:pPr>
        <w:keepNext w:val="0"/>
        <w:keepLines w:val="0"/>
        <w:pageBreakBefore w:val="0"/>
        <w:widowControl w:val="0"/>
        <w:kinsoku/>
        <w:wordWrap/>
        <w:overflowPunct/>
        <w:topLinePunct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14F929F3">
      <w:pPr>
        <w:keepNext w:val="0"/>
        <w:keepLines w:val="0"/>
        <w:pageBreakBefore w:val="0"/>
        <w:widowControl w:val="0"/>
        <w:kinsoku/>
        <w:wordWrap/>
        <w:overflowPunct/>
        <w:topLinePunct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5.3乙方有权根据合同约定向甲方收取合同价款。</w:t>
      </w:r>
    </w:p>
    <w:p w14:paraId="28E2422B">
      <w:pPr>
        <w:pStyle w:val="2"/>
        <w:keepNext w:val="0"/>
        <w:keepLines w:val="0"/>
        <w:pageBreakBefore w:val="0"/>
        <w:kinsoku/>
        <w:wordWrap/>
        <w:overflowPunct/>
        <w:topLinePunct w:val="0"/>
        <w:bidi w:val="0"/>
        <w:spacing w:after="0" w:line="380" w:lineRule="exact"/>
        <w:ind w:firstLine="369" w:firstLineChars="176"/>
        <w:textAlignment w:val="auto"/>
        <w:rPr>
          <w:rFonts w:hint="eastAsia" w:ascii="宋体" w:hAnsi="宋体" w:cs="宋体"/>
          <w:color w:val="auto"/>
          <w:szCs w:val="21"/>
          <w:highlight w:val="none"/>
        </w:rPr>
      </w:pPr>
      <w:r>
        <w:rPr>
          <w:rFonts w:hint="eastAsia" w:ascii="宋体" w:hAnsi="宋体"/>
          <w:color w:val="auto"/>
          <w:szCs w:val="21"/>
          <w:highlight w:val="none"/>
        </w:rPr>
        <w:t>5.4</w:t>
      </w:r>
      <w:r>
        <w:rPr>
          <w:rFonts w:hint="eastAsia" w:ascii="宋体" w:hAnsi="宋体" w:cs="宋体"/>
          <w:color w:val="auto"/>
          <w:szCs w:val="21"/>
          <w:highlight w:val="none"/>
        </w:rPr>
        <w:t>国家法律法规规定</w:t>
      </w:r>
      <w:r>
        <w:rPr>
          <w:rFonts w:hint="eastAsia" w:ascii="宋体" w:hAnsi="宋体"/>
          <w:color w:val="auto"/>
          <w:szCs w:val="21"/>
          <w:highlight w:val="none"/>
        </w:rPr>
        <w:t>及</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约定应由乙方承担的其他义务和责任。</w:t>
      </w:r>
    </w:p>
    <w:p w14:paraId="4D1B5208">
      <w:pPr>
        <w:numPr>
          <w:ilvl w:val="0"/>
          <w:numId w:val="5"/>
        </w:num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合同履行</w:t>
      </w:r>
    </w:p>
    <w:p w14:paraId="1FCEC818">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6.1 甲乙双方应当按照</w:t>
      </w:r>
      <w:r>
        <w:rPr>
          <w:rFonts w:hint="eastAsia" w:ascii="宋体" w:hAnsi="宋体" w:cs="宋体"/>
          <w:b/>
          <w:bCs/>
          <w:color w:val="auto"/>
          <w:szCs w:val="21"/>
          <w:highlight w:val="none"/>
        </w:rPr>
        <w:t>【政府采购合同专用条款】</w:t>
      </w:r>
      <w:r>
        <w:rPr>
          <w:rFonts w:hint="eastAsia" w:ascii="宋体" w:hAnsi="宋体"/>
          <w:color w:val="auto"/>
          <w:szCs w:val="21"/>
          <w:highlight w:val="none"/>
        </w:rPr>
        <w:t>约定顺序履行合同义务；如果没有先后顺序的，应当同时履行。</w:t>
      </w:r>
    </w:p>
    <w:p w14:paraId="435D90F9">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color w:val="auto"/>
          <w:highlight w:val="none"/>
        </w:rPr>
      </w:pPr>
      <w:r>
        <w:rPr>
          <w:rFonts w:hint="eastAsia" w:ascii="宋体" w:hAnsi="宋体"/>
          <w:color w:val="auto"/>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150290A6">
      <w:pPr>
        <w:adjustRightInd w:val="0"/>
        <w:snapToGrid w:val="0"/>
        <w:spacing w:line="400" w:lineRule="exact"/>
        <w:jc w:val="left"/>
        <w:rPr>
          <w:rFonts w:ascii="宋体" w:hAnsi="宋体"/>
          <w:b/>
          <w:bCs/>
          <w:color w:val="auto"/>
          <w:sz w:val="24"/>
          <w:highlight w:val="none"/>
        </w:rPr>
      </w:pPr>
      <w:r>
        <w:rPr>
          <w:rFonts w:hint="eastAsia" w:ascii="宋体" w:hAnsi="宋体"/>
          <w:b/>
          <w:bCs/>
          <w:color w:val="auto"/>
          <w:sz w:val="24"/>
          <w:highlight w:val="none"/>
        </w:rPr>
        <w:t>7. 货物包装、运输、保险和交付要求</w:t>
      </w:r>
    </w:p>
    <w:p w14:paraId="6580BDE6">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7.1 本合同</w:t>
      </w:r>
      <w:r>
        <w:rPr>
          <w:rFonts w:hint="eastAsia" w:ascii="宋体" w:hAnsi="宋体"/>
          <w:bCs/>
          <w:color w:val="auto"/>
          <w:szCs w:val="21"/>
          <w:highlight w:val="none"/>
        </w:rPr>
        <w:t>涉及商品包装、快递包装的，</w:t>
      </w:r>
      <w:r>
        <w:rPr>
          <w:rFonts w:hint="eastAsia" w:ascii="宋体" w:hAnsi="宋体"/>
          <w:color w:val="auto"/>
          <w:szCs w:val="21"/>
          <w:highlight w:val="none"/>
        </w:rPr>
        <w:t>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另有约定外，</w:t>
      </w:r>
      <w:r>
        <w:rPr>
          <w:rFonts w:hint="eastAsia" w:ascii="宋体" w:hAnsi="宋体"/>
          <w:color w:val="auto"/>
          <w:szCs w:val="21"/>
          <w:highlight w:val="none"/>
        </w:rPr>
        <w:t>包装应适应远距离运输、防潮、防震、防锈和防野蛮装卸等要求，确保货物安全无损地运抵</w:t>
      </w:r>
      <w:r>
        <w:rPr>
          <w:rFonts w:hint="eastAsia" w:ascii="宋体" w:hAnsi="宋体"/>
          <w:b/>
          <w:color w:val="auto"/>
          <w:szCs w:val="21"/>
          <w:highlight w:val="none"/>
        </w:rPr>
        <w:t>【政府采购合同专用条款】</w:t>
      </w:r>
      <w:r>
        <w:rPr>
          <w:rFonts w:hint="eastAsia" w:ascii="宋体" w:hAnsi="宋体"/>
          <w:bCs/>
          <w:color w:val="auto"/>
          <w:szCs w:val="21"/>
          <w:highlight w:val="none"/>
        </w:rPr>
        <w:t>约定的</w:t>
      </w:r>
      <w:r>
        <w:rPr>
          <w:rFonts w:hint="eastAsia" w:ascii="宋体" w:hAnsi="宋体"/>
          <w:color w:val="auto"/>
          <w:szCs w:val="21"/>
          <w:highlight w:val="none"/>
        </w:rPr>
        <w:t>指定现场。</w:t>
      </w:r>
    </w:p>
    <w:p w14:paraId="7D66416F">
      <w:pPr>
        <w:keepNext w:val="0"/>
        <w:keepLines w:val="0"/>
        <w:pageBreakBefore w:val="0"/>
        <w:kinsoku/>
        <w:wordWrap/>
        <w:overflowPunct/>
        <w:topLinePunct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7.2 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另有约定外，</w:t>
      </w:r>
      <w:r>
        <w:rPr>
          <w:rFonts w:hint="eastAsia" w:ascii="宋体" w:hAnsi="宋体"/>
          <w:color w:val="auto"/>
          <w:szCs w:val="21"/>
          <w:highlight w:val="none"/>
        </w:rPr>
        <w:t>乙方负责办理将货物运抵本合同规定的交货地点，并装卸、交付至甲方的一切运输事项，相关费用应包含在合同价款中。</w:t>
      </w:r>
    </w:p>
    <w:p w14:paraId="150F2558">
      <w:pPr>
        <w:keepNext w:val="0"/>
        <w:keepLines w:val="0"/>
        <w:pageBreakBefore w:val="0"/>
        <w:kinsoku/>
        <w:wordWrap/>
        <w:overflowPunct/>
        <w:topLinePunct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7.3 货物保险要求按</w:t>
      </w:r>
      <w:r>
        <w:rPr>
          <w:rFonts w:hint="eastAsia" w:ascii="宋体" w:hAnsi="宋体"/>
          <w:b/>
          <w:color w:val="auto"/>
          <w:szCs w:val="21"/>
          <w:highlight w:val="none"/>
        </w:rPr>
        <w:t>【政府采购合同专用条款】</w:t>
      </w:r>
      <w:r>
        <w:rPr>
          <w:rFonts w:hint="eastAsia" w:ascii="宋体" w:hAnsi="宋体"/>
          <w:bCs/>
          <w:color w:val="auto"/>
          <w:szCs w:val="21"/>
          <w:highlight w:val="none"/>
        </w:rPr>
        <w:t>规定执行</w:t>
      </w:r>
      <w:r>
        <w:rPr>
          <w:rFonts w:hint="eastAsia" w:ascii="宋体" w:hAnsi="宋体"/>
          <w:color w:val="auto"/>
          <w:szCs w:val="21"/>
          <w:highlight w:val="none"/>
        </w:rPr>
        <w:t>。</w:t>
      </w:r>
    </w:p>
    <w:p w14:paraId="7753A6D6">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7B4A385">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乙方在运输到达之前应提前通知甲方，并提示货物运输装卸的注意事项，甲方配合乙方做好货物的接收工作。</w:t>
      </w:r>
    </w:p>
    <w:p w14:paraId="78384170">
      <w:pPr>
        <w:pStyle w:val="28"/>
        <w:keepNext w:val="0"/>
        <w:keepLines w:val="0"/>
        <w:pageBreakBefore w:val="0"/>
        <w:kinsoku/>
        <w:wordWrap/>
        <w:overflowPunct/>
        <w:topLinePunct w:val="0"/>
        <w:bidi w:val="0"/>
        <w:spacing w:line="380" w:lineRule="exact"/>
        <w:ind w:firstLine="420"/>
        <w:textAlignment w:val="auto"/>
        <w:rPr>
          <w:rFonts w:hint="eastAsia"/>
          <w:color w:val="auto"/>
          <w:sz w:val="21"/>
          <w:highlight w:val="none"/>
        </w:rPr>
      </w:pPr>
      <w:r>
        <w:rPr>
          <w:rFonts w:hint="eastAsia" w:ascii="宋体" w:hAnsi="宋体" w:eastAsia="宋体" w:cs="Times New Roman"/>
          <w:color w:val="auto"/>
          <w:kern w:val="2"/>
          <w:sz w:val="21"/>
          <w:highlight w:val="none"/>
        </w:rPr>
        <w:t>7.6 如因包装、运输问题导致货物损毁、丢失或者品质下降，甲方有权要求降价、换货、拒收部分或整批货物，由此产生的费用和损失，均由乙方承担。</w:t>
      </w:r>
    </w:p>
    <w:p w14:paraId="7178B17B">
      <w:pPr>
        <w:adjustRightInd w:val="0"/>
        <w:snapToGrid w:val="0"/>
        <w:spacing w:line="400" w:lineRule="exact"/>
        <w:jc w:val="left"/>
        <w:rPr>
          <w:rFonts w:hint="eastAsia" w:ascii="宋体" w:hAnsi="宋体"/>
          <w:b/>
          <w:color w:val="auto"/>
          <w:sz w:val="24"/>
          <w:highlight w:val="none"/>
        </w:rPr>
      </w:pPr>
      <w:r>
        <w:rPr>
          <w:rFonts w:hint="eastAsia" w:ascii="宋体" w:hAnsi="宋体"/>
          <w:b/>
          <w:color w:val="auto"/>
          <w:sz w:val="24"/>
          <w:highlight w:val="none"/>
        </w:rPr>
        <w:t>8. 质量标准和保证</w:t>
      </w:r>
    </w:p>
    <w:p w14:paraId="4E92208A">
      <w:pPr>
        <w:pStyle w:val="7"/>
        <w:keepNext w:val="0"/>
        <w:keepLines w:val="0"/>
        <w:pageBreakBefore w:val="0"/>
        <w:widowControl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hAnsi="宋体"/>
          <w:b/>
          <w:color w:val="auto"/>
          <w:highlight w:val="none"/>
        </w:rPr>
      </w:pPr>
      <w:r>
        <w:rPr>
          <w:rFonts w:hint="eastAsia" w:hAnsi="宋体"/>
          <w:color w:val="auto"/>
          <w:highlight w:val="none"/>
        </w:rPr>
        <w:t>8.1 质量标准</w:t>
      </w:r>
    </w:p>
    <w:p w14:paraId="57857C89">
      <w:pPr>
        <w:keepNext w:val="0"/>
        <w:keepLines w:val="0"/>
        <w:pageBreakBefore w:val="0"/>
        <w:widowControl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（1）本合同下提供的货物应符合合同</w:t>
      </w:r>
      <w:r>
        <w:rPr>
          <w:rFonts w:hint="eastAsia" w:ascii="宋体" w:hAnsi="宋体" w:cs="宋体"/>
          <w:color w:val="auto"/>
          <w:szCs w:val="21"/>
          <w:highlight w:val="none"/>
        </w:rPr>
        <w:t>约定的品牌、规格型号、技术性能、配置、质量、数量等要求。</w:t>
      </w:r>
      <w:r>
        <w:rPr>
          <w:rFonts w:hint="eastAsia" w:ascii="宋体" w:hAnsi="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5F65F91">
      <w:pPr>
        <w:pStyle w:val="7"/>
        <w:keepNext w:val="0"/>
        <w:keepLines w:val="0"/>
        <w:pageBreakBefore w:val="0"/>
        <w:widowControl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hAnsi="宋体"/>
          <w:color w:val="auto"/>
          <w:highlight w:val="none"/>
        </w:rPr>
      </w:pPr>
      <w:r>
        <w:rPr>
          <w:rFonts w:hint="eastAsia" w:hAnsi="宋体"/>
          <w:color w:val="auto"/>
          <w:highlight w:val="none"/>
        </w:rPr>
        <w:t>（2）采用中华人民共和国法定计量单位。</w:t>
      </w:r>
    </w:p>
    <w:p w14:paraId="33CC5CC1">
      <w:pPr>
        <w:keepNext w:val="0"/>
        <w:keepLines w:val="0"/>
        <w:pageBreakBefore w:val="0"/>
        <w:widowControl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（3）乙方所提供的货物应符合国家有关安全、环保、卫生的规定。</w:t>
      </w:r>
    </w:p>
    <w:p w14:paraId="2C7171EA">
      <w:pPr>
        <w:keepNext w:val="0"/>
        <w:keepLines w:val="0"/>
        <w:pageBreakBefore w:val="0"/>
        <w:widowControl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（4）乙方应向甲方提交所提供货物的技术文件，包括相应的中文技术文件，如：产品目录、图纸、操作手册、使用说明、维护手册或服务指南等。上述文件应包装好随货物一同发运。</w:t>
      </w:r>
    </w:p>
    <w:p w14:paraId="7C7DCA26">
      <w:pPr>
        <w:keepNext w:val="0"/>
        <w:keepLines w:val="0"/>
        <w:pageBreakBefore w:val="0"/>
        <w:widowControl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8.2 保证</w:t>
      </w:r>
    </w:p>
    <w:p w14:paraId="1ECBACB8">
      <w:pPr>
        <w:keepNext w:val="0"/>
        <w:keepLines w:val="0"/>
        <w:pageBreakBefore w:val="0"/>
        <w:widowControl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（1）乙方应保证提供的货物完全符合合同规定的质量、规格和性能要求。乙方应保证货物在正确安装、正常使用和保养条件下，</w:t>
      </w:r>
      <w:r>
        <w:rPr>
          <w:rFonts w:hint="eastAsia" w:ascii="宋体" w:hAnsi="宋体" w:cs="宋体"/>
          <w:color w:val="auto"/>
          <w:szCs w:val="21"/>
          <w:highlight w:val="none"/>
        </w:rPr>
        <w:t>在其使用寿命期内具备合同约定的性能</w:t>
      </w:r>
      <w:r>
        <w:rPr>
          <w:rFonts w:hint="eastAsia" w:ascii="宋体" w:hAnsi="宋体"/>
          <w:color w:val="auto"/>
          <w:szCs w:val="21"/>
          <w:highlight w:val="none"/>
        </w:rPr>
        <w:t>。存在质量保证期的，货物最终交付验收合格后在</w:t>
      </w:r>
      <w:r>
        <w:rPr>
          <w:rFonts w:hint="eastAsia" w:ascii="宋体" w:hAnsi="宋体"/>
          <w:b/>
          <w:color w:val="auto"/>
          <w:szCs w:val="21"/>
          <w:highlight w:val="none"/>
        </w:rPr>
        <w:t>【政府采购合同专用条款】</w:t>
      </w:r>
      <w:r>
        <w:rPr>
          <w:rFonts w:hint="eastAsia" w:ascii="宋体" w:hAnsi="宋体"/>
          <w:color w:val="auto"/>
          <w:szCs w:val="21"/>
          <w:highlight w:val="none"/>
        </w:rPr>
        <w:t>规定或乙方书面承诺（两者以较长的为准）的质量保证期内，本保证保持有效。</w:t>
      </w:r>
    </w:p>
    <w:p w14:paraId="405DEC52">
      <w:pPr>
        <w:keepNext w:val="0"/>
        <w:keepLines w:val="0"/>
        <w:pageBreakBefore w:val="0"/>
        <w:widowControl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（2）在质量保证期内所发现的缺陷，甲方应尽快以书面形式通知乙方。</w:t>
      </w:r>
    </w:p>
    <w:p w14:paraId="210FD308">
      <w:pPr>
        <w:keepNext w:val="0"/>
        <w:keepLines w:val="0"/>
        <w:pageBreakBefore w:val="0"/>
        <w:widowControl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（3）乙方收到通知后，应在</w:t>
      </w:r>
      <w:r>
        <w:rPr>
          <w:rFonts w:hint="eastAsia" w:ascii="宋体" w:hAnsi="宋体"/>
          <w:b/>
          <w:color w:val="auto"/>
          <w:szCs w:val="21"/>
          <w:highlight w:val="none"/>
        </w:rPr>
        <w:t>【政府采购合同专用条款】</w:t>
      </w:r>
      <w:r>
        <w:rPr>
          <w:rFonts w:hint="eastAsia" w:ascii="宋体" w:hAnsi="宋体"/>
          <w:color w:val="auto"/>
          <w:szCs w:val="21"/>
          <w:highlight w:val="none"/>
        </w:rPr>
        <w:t>规定的响应时间内以合理的速度免费维修或更换有缺陷的货物或部件。</w:t>
      </w:r>
    </w:p>
    <w:p w14:paraId="34FA03DC">
      <w:pPr>
        <w:keepNext w:val="0"/>
        <w:keepLines w:val="0"/>
        <w:pageBreakBefore w:val="0"/>
        <w:widowControl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717E25D1">
      <w:pPr>
        <w:keepNext w:val="0"/>
        <w:keepLines w:val="0"/>
        <w:pageBreakBefore w:val="0"/>
        <w:widowControl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color w:val="auto"/>
          <w:highlight w:val="none"/>
        </w:rPr>
      </w:pPr>
      <w:r>
        <w:rPr>
          <w:rFonts w:hint="eastAsia" w:ascii="宋体" w:hAnsi="宋体"/>
          <w:color w:val="auto"/>
          <w:szCs w:val="21"/>
          <w:highlight w:val="none"/>
        </w:rPr>
        <w:t>（5）乙方在约定的时间内未能弥补缺陷，甲方可采取必要的补救措施，但其风险和费用将由乙方承担，甲方根据合同约定对乙方行使的其他权利不受影响。</w:t>
      </w:r>
    </w:p>
    <w:p w14:paraId="0BEAA2FD">
      <w:pPr>
        <w:adjustRightInd w:val="0"/>
        <w:snapToGrid w:val="0"/>
        <w:spacing w:line="400" w:lineRule="exact"/>
        <w:jc w:val="left"/>
        <w:rPr>
          <w:rFonts w:ascii="宋体" w:hAnsi="宋体"/>
          <w:b/>
          <w:bCs/>
          <w:color w:val="auto"/>
          <w:sz w:val="24"/>
          <w:highlight w:val="none"/>
        </w:rPr>
      </w:pPr>
      <w:r>
        <w:rPr>
          <w:rFonts w:hint="eastAsia" w:ascii="宋体" w:hAnsi="宋体"/>
          <w:b/>
          <w:bCs/>
          <w:color w:val="auto"/>
          <w:sz w:val="24"/>
          <w:highlight w:val="none"/>
        </w:rPr>
        <w:t>9. 权利瑕疵担保</w:t>
      </w:r>
    </w:p>
    <w:p w14:paraId="34C98F16">
      <w:pPr>
        <w:keepNext w:val="0"/>
        <w:keepLines w:val="0"/>
        <w:pageBreakBefore w:val="0"/>
        <w:widowControl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9.1 乙方保证对其出售的货物享有合法的权利。</w:t>
      </w:r>
    </w:p>
    <w:p w14:paraId="20032D3F">
      <w:pPr>
        <w:keepNext w:val="0"/>
        <w:keepLines w:val="0"/>
        <w:pageBreakBefore w:val="0"/>
        <w:widowControl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乙方保证在交付的货物上不存在抵押权等担保物权。</w:t>
      </w:r>
    </w:p>
    <w:p w14:paraId="03289EBE">
      <w:pPr>
        <w:keepNext w:val="0"/>
        <w:keepLines w:val="0"/>
        <w:pageBreakBefore w:val="0"/>
        <w:widowControl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9.3 如甲方使用上述货物构成对第三人侵权的，则由乙方承担全部责任。</w:t>
      </w:r>
    </w:p>
    <w:p w14:paraId="200A363A">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10. 知识产权保护</w:t>
      </w:r>
    </w:p>
    <w:p w14:paraId="283A82E0">
      <w:pPr>
        <w:keepNext w:val="0"/>
        <w:keepLines w:val="0"/>
        <w:pageBreakBefore w:val="0"/>
        <w:widowControl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10.1 乙方对其所销售的货物应当享有知识产权或经权利人合法授权，保证没有侵犯任何第三人的知识产权等权利。</w:t>
      </w:r>
      <w:bookmarkStart w:id="178" w:name="_Hlk163047038"/>
      <w:r>
        <w:rPr>
          <w:rFonts w:hint="eastAsia" w:ascii="宋体" w:hAnsi="宋体" w:cs="宋体"/>
          <w:color w:val="auto"/>
          <w:szCs w:val="15"/>
          <w:highlight w:val="none"/>
        </w:rPr>
        <w:t>因违反前述约定对第三人构成侵权的，应当由乙方向第三人承担法律责任；甲方依法向第三人赔偿后，有权向乙方追偿。甲方有其他损失的，乙方应当赔偿</w:t>
      </w:r>
      <w:bookmarkEnd w:id="178"/>
      <w:r>
        <w:rPr>
          <w:rFonts w:hint="eastAsia" w:ascii="宋体" w:hAnsi="宋体"/>
          <w:color w:val="auto"/>
          <w:szCs w:val="21"/>
          <w:highlight w:val="none"/>
        </w:rPr>
        <w:t>。</w:t>
      </w:r>
    </w:p>
    <w:p w14:paraId="44EA87BC">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11. 保密义务</w:t>
      </w:r>
    </w:p>
    <w:p w14:paraId="16BA5830">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jc w:val="left"/>
        <w:textAlignment w:val="auto"/>
        <w:rPr>
          <w:rFonts w:hint="eastAsia" w:ascii="宋体" w:hAnsi="宋体" w:cs="宋体"/>
          <w:color w:val="auto"/>
          <w:szCs w:val="15"/>
          <w:highlight w:val="none"/>
        </w:rPr>
      </w:pPr>
      <w:r>
        <w:rPr>
          <w:rFonts w:hint="eastAsia" w:ascii="宋体" w:hAnsi="宋体" w:cs="宋体"/>
          <w:color w:val="auto"/>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中约定。</w:t>
      </w:r>
    </w:p>
    <w:p w14:paraId="1195ECC1">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12. 合同价款支付</w:t>
      </w:r>
    </w:p>
    <w:p w14:paraId="73D9D779">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12.1 合同价款支付按照国库集中支付制度及财政管理相关规定执行。</w:t>
      </w:r>
    </w:p>
    <w:p w14:paraId="26027F21">
      <w:pPr>
        <w:pStyle w:val="4"/>
        <w:keepNext w:val="0"/>
        <w:keepLines w:val="0"/>
        <w:pageBreakBefore w:val="0"/>
        <w:widowControl w:val="0"/>
        <w:kinsoku/>
        <w:wordWrap/>
        <w:overflowPunct/>
        <w:topLinePunct w:val="0"/>
        <w:autoSpaceDE/>
        <w:autoSpaceDN/>
        <w:bidi w:val="0"/>
        <w:adjustRightInd/>
        <w:snapToGrid/>
        <w:spacing w:beforeAutospacing="0" w:afterAutospacing="0" w:line="380" w:lineRule="exact"/>
        <w:ind w:firstLine="420" w:firstLineChars="200"/>
        <w:textAlignment w:val="auto"/>
        <w:rPr>
          <w:rFonts w:hint="eastAsia"/>
          <w:color w:val="auto"/>
          <w:highlight w:val="none"/>
        </w:rPr>
      </w:pPr>
      <w:r>
        <w:rPr>
          <w:rFonts w:hint="eastAsia" w:ascii="宋体" w:hAnsi="宋体"/>
          <w:b w:val="0"/>
          <w:bCs w:val="0"/>
          <w:color w:val="auto"/>
          <w:sz w:val="21"/>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olor w:val="auto"/>
          <w:sz w:val="21"/>
          <w:szCs w:val="21"/>
          <w:highlight w:val="none"/>
        </w:rPr>
        <w:t>政府采购合同专用条款</w:t>
      </w:r>
      <w:r>
        <w:rPr>
          <w:rFonts w:hint="eastAsia" w:ascii="宋体" w:hAnsi="宋体"/>
          <w:b w:val="0"/>
          <w:bCs w:val="0"/>
          <w:color w:val="auto"/>
          <w:sz w:val="21"/>
          <w:szCs w:val="21"/>
          <w:highlight w:val="none"/>
        </w:rPr>
        <w:t>】中约定。</w:t>
      </w:r>
    </w:p>
    <w:p w14:paraId="3D3EF434">
      <w:pPr>
        <w:pStyle w:val="2"/>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13. 履约保证金</w:t>
      </w:r>
    </w:p>
    <w:p w14:paraId="20830B0B">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乙方应当以支票、汇票、本票或者金融机构、担保机构出具的保函等非现金形式提交。</w:t>
      </w:r>
    </w:p>
    <w:p w14:paraId="00DAA688">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13.2 如果乙方出现</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约定情形的</w:t>
      </w:r>
      <w:r>
        <w:rPr>
          <w:rFonts w:hint="eastAsia" w:ascii="宋体" w:hAnsi="宋体"/>
          <w:color w:val="auto"/>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228F1488">
      <w:pPr>
        <w:keepNext w:val="0"/>
        <w:keepLines w:val="0"/>
        <w:pageBreakBefore w:val="0"/>
        <w:widowControl w:val="0"/>
        <w:kinsoku/>
        <w:wordWrap/>
        <w:overflowPunct/>
        <w:topLinePunct w:val="0"/>
        <w:autoSpaceDE/>
        <w:autoSpaceDN/>
        <w:bidi w:val="0"/>
        <w:spacing w:line="380" w:lineRule="exact"/>
        <w:ind w:firstLine="420"/>
        <w:textAlignment w:val="auto"/>
        <w:rPr>
          <w:rFonts w:hint="eastAsia"/>
          <w:color w:val="auto"/>
          <w:highlight w:val="none"/>
        </w:rPr>
      </w:pPr>
      <w:r>
        <w:rPr>
          <w:rFonts w:hint="eastAsia" w:ascii="宋体" w:hAnsi="宋体"/>
          <w:color w:val="auto"/>
          <w:szCs w:val="21"/>
          <w:highlight w:val="none"/>
        </w:rPr>
        <w:t>13.3 甲方在项目通过验收后按照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规定的时间内将履约保证金退还乙方；逾期退还的，乙方可要求甲方支付违约金，违约金按照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规定支付。</w:t>
      </w:r>
    </w:p>
    <w:p w14:paraId="58C6D997">
      <w:pPr>
        <w:autoSpaceDE w:val="0"/>
        <w:autoSpaceDN w:val="0"/>
        <w:adjustRightInd w:val="0"/>
        <w:snapToGrid w:val="0"/>
        <w:spacing w:line="400" w:lineRule="exact"/>
        <w:jc w:val="left"/>
        <w:rPr>
          <w:rFonts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售后</w:t>
      </w:r>
      <w:r>
        <w:rPr>
          <w:rFonts w:hint="eastAsia" w:ascii="宋体" w:hAnsi="宋体"/>
          <w:b/>
          <w:color w:val="auto"/>
          <w:sz w:val="24"/>
          <w:highlight w:val="none"/>
        </w:rPr>
        <w:t>服务</w:t>
      </w:r>
    </w:p>
    <w:p w14:paraId="3530C710">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14.1 除项目不涉及或采购活动中明确约定无须承担外，乙方还应提供下列服务：</w:t>
      </w:r>
    </w:p>
    <w:p w14:paraId="5CA0A036">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（1）货物的现场移动、安装、调试、启动监督及技术支持；</w:t>
      </w:r>
    </w:p>
    <w:p w14:paraId="1BD6A914">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（2）提供货物组装和维修所需的专用工具和辅助材料；</w:t>
      </w:r>
    </w:p>
    <w:p w14:paraId="66A218BD">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（3）在</w:t>
      </w:r>
      <w:r>
        <w:rPr>
          <w:rFonts w:hint="eastAsia" w:ascii="宋体" w:hAnsi="宋体" w:cs="宋体"/>
          <w:b/>
          <w:bCs/>
          <w:color w:val="auto"/>
          <w:szCs w:val="15"/>
          <w:highlight w:val="none"/>
        </w:rPr>
        <w:t>【政府采购合同专用条款】</w:t>
      </w:r>
      <w:r>
        <w:rPr>
          <w:rFonts w:hint="eastAsia" w:ascii="宋体" w:hAnsi="宋体"/>
          <w:color w:val="auto"/>
          <w:szCs w:val="21"/>
          <w:highlight w:val="none"/>
        </w:rPr>
        <w:t>约定的期限内对所有的货物实施运行监督、维修，但前提条件是该服务并不能免除乙方在质量保证期内所承担的义务；</w:t>
      </w:r>
    </w:p>
    <w:p w14:paraId="2CEA4EEF">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（4）在制造商所在地或指定现场就货物的安装、启动、运营、维护、废弃处置等对甲方操作人员进行培训</w:t>
      </w:r>
      <w:r>
        <w:rPr>
          <w:rFonts w:hint="eastAsia" w:ascii="宋体" w:hAnsi="宋体" w:cs="宋体"/>
          <w:color w:val="auto"/>
          <w:szCs w:val="15"/>
          <w:highlight w:val="none"/>
        </w:rPr>
        <w:t>；</w:t>
      </w:r>
    </w:p>
    <w:p w14:paraId="46115514">
      <w:pPr>
        <w:pStyle w:val="28"/>
        <w:keepNext w:val="0"/>
        <w:keepLines w:val="0"/>
        <w:pageBreakBefore w:val="0"/>
        <w:kinsoku/>
        <w:wordWrap/>
        <w:overflowPunct/>
        <w:topLinePunct w:val="0"/>
        <w:bidi w:val="0"/>
        <w:spacing w:line="380" w:lineRule="exact"/>
        <w:ind w:firstLine="420"/>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（5）依照法律、行政法规的规定或者按照</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约定，货物在有效使用年限届满后应予回收的，乙方负有自行或者委托第三人对货物予以回收的义务；</w:t>
      </w:r>
    </w:p>
    <w:p w14:paraId="7D800665">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（6）</w:t>
      </w:r>
      <w:r>
        <w:rPr>
          <w:rFonts w:hint="eastAsia" w:ascii="宋体" w:hAnsi="宋体"/>
          <w:b/>
          <w:color w:val="auto"/>
          <w:szCs w:val="21"/>
          <w:highlight w:val="none"/>
        </w:rPr>
        <w:t>【政府采购合同专用条款】</w:t>
      </w:r>
      <w:r>
        <w:rPr>
          <w:rFonts w:hint="eastAsia" w:ascii="宋体" w:hAnsi="宋体"/>
          <w:color w:val="auto"/>
          <w:szCs w:val="21"/>
          <w:highlight w:val="none"/>
        </w:rPr>
        <w:t>规定由乙方提供的其他服务。</w:t>
      </w:r>
    </w:p>
    <w:p w14:paraId="6E06CB4E">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14.2 乙方提供的售后服务的费用已包含在合同价款中，甲方不再另行支付。</w:t>
      </w:r>
    </w:p>
    <w:p w14:paraId="51B574C0">
      <w:pPr>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15. 违约责任</w:t>
      </w:r>
    </w:p>
    <w:p w14:paraId="5D6FA984">
      <w:pPr>
        <w:keepNext w:val="0"/>
        <w:keepLines w:val="0"/>
        <w:pageBreakBefore w:val="0"/>
        <w:kinsoku/>
        <w:wordWrap/>
        <w:overflowPunct/>
        <w:topLinePunct w:val="0"/>
        <w:bidi w:val="0"/>
        <w:adjustRightInd w:val="0"/>
        <w:snapToGrid w:val="0"/>
        <w:spacing w:line="380" w:lineRule="exact"/>
        <w:ind w:firstLine="420" w:firstLineChars="200"/>
        <w:jc w:val="left"/>
        <w:textAlignment w:val="auto"/>
        <w:rPr>
          <w:rFonts w:hint="eastAsia" w:ascii="宋体" w:hAnsi="宋体"/>
          <w:bCs/>
          <w:color w:val="auto"/>
          <w:szCs w:val="21"/>
          <w:highlight w:val="none"/>
        </w:rPr>
      </w:pPr>
      <w:r>
        <w:rPr>
          <w:rFonts w:hint="eastAsia" w:ascii="宋体" w:hAnsi="宋体"/>
          <w:bCs/>
          <w:color w:val="auto"/>
          <w:szCs w:val="21"/>
          <w:highlight w:val="none"/>
        </w:rPr>
        <w:t>15.1质量瑕疵的违约责任</w:t>
      </w:r>
    </w:p>
    <w:p w14:paraId="75647F83">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乙方提供的产品不符合合同约定的质量标准或存在产品质量缺陷，甲方有权要求乙方根据</w:t>
      </w:r>
      <w:r>
        <w:rPr>
          <w:rFonts w:hint="eastAsia" w:ascii="宋体" w:hAnsi="宋体"/>
          <w:b/>
          <w:color w:val="auto"/>
          <w:szCs w:val="21"/>
          <w:highlight w:val="none"/>
        </w:rPr>
        <w:t>【政府采购合同专用条款】</w:t>
      </w:r>
      <w:r>
        <w:rPr>
          <w:rFonts w:hint="eastAsia" w:ascii="宋体" w:hAnsi="宋体"/>
          <w:bCs/>
          <w:color w:val="auto"/>
          <w:szCs w:val="21"/>
          <w:highlight w:val="none"/>
        </w:rPr>
        <w:t>要求</w:t>
      </w:r>
      <w:r>
        <w:rPr>
          <w:rFonts w:hint="eastAsia" w:ascii="宋体" w:hAnsi="宋体"/>
          <w:color w:val="auto"/>
          <w:szCs w:val="21"/>
          <w:highlight w:val="none"/>
        </w:rPr>
        <w:t>及时修理、重作、更换，并承担由此给甲方造成的损失。</w:t>
      </w:r>
    </w:p>
    <w:p w14:paraId="13C3BE53">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bCs/>
          <w:color w:val="auto"/>
          <w:szCs w:val="21"/>
          <w:highlight w:val="none"/>
        </w:rPr>
      </w:pPr>
      <w:r>
        <w:rPr>
          <w:rFonts w:hint="eastAsia" w:ascii="宋体" w:hAnsi="宋体"/>
          <w:bCs/>
          <w:color w:val="auto"/>
          <w:szCs w:val="21"/>
          <w:highlight w:val="none"/>
        </w:rPr>
        <w:t>15.2 迟延交货的违约责任</w:t>
      </w:r>
    </w:p>
    <w:p w14:paraId="6E8CC4A2">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F3F8156">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【政府采购合同专用条款】</w:t>
      </w:r>
      <w:r>
        <w:rPr>
          <w:rFonts w:hint="eastAsia" w:ascii="宋体" w:hAnsi="宋体"/>
          <w:color w:val="auto"/>
          <w:szCs w:val="21"/>
          <w:highlight w:val="none"/>
        </w:rPr>
        <w:t>规定执行。如果涉及公共利益，且赔偿金额无法弥补公共利益损失，甲方可要求继续履行或者采取其他补救措施。</w:t>
      </w:r>
    </w:p>
    <w:p w14:paraId="7EFA4D3A">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15.3 迟延支付的违约责任</w:t>
      </w:r>
    </w:p>
    <w:p w14:paraId="1F31C424">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甲方存在迟延支付乙方合同款项的，应当承担</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规定的逾期付款利息。</w:t>
      </w:r>
    </w:p>
    <w:p w14:paraId="5AF94F9B">
      <w:pPr>
        <w:keepNext w:val="0"/>
        <w:keepLines w:val="0"/>
        <w:pageBreakBefore w:val="0"/>
        <w:kinsoku/>
        <w:wordWrap/>
        <w:overflowPunct/>
        <w:topLinePunct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bCs/>
          <w:color w:val="auto"/>
          <w:szCs w:val="21"/>
          <w:highlight w:val="none"/>
        </w:rPr>
        <w:t>15.4其他违约责任根据项目实际需要按</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规定执行。</w:t>
      </w:r>
    </w:p>
    <w:p w14:paraId="329521E8">
      <w:pPr>
        <w:numPr>
          <w:ilvl w:val="0"/>
          <w:numId w:val="6"/>
        </w:numPr>
        <w:autoSpaceDE w:val="0"/>
        <w:autoSpaceDN w:val="0"/>
        <w:adjustRightInd w:val="0"/>
        <w:snapToGrid w:val="0"/>
        <w:spacing w:line="400" w:lineRule="exact"/>
        <w:jc w:val="left"/>
        <w:rPr>
          <w:rFonts w:hint="eastAsia" w:ascii="宋体" w:hAnsi="宋体"/>
          <w:b/>
          <w:color w:val="auto"/>
          <w:sz w:val="24"/>
          <w:highlight w:val="none"/>
        </w:rPr>
      </w:pPr>
      <w:r>
        <w:rPr>
          <w:rFonts w:hint="eastAsia" w:ascii="宋体" w:hAnsi="宋体"/>
          <w:b/>
          <w:color w:val="auto"/>
          <w:sz w:val="24"/>
          <w:highlight w:val="none"/>
        </w:rPr>
        <w:t>合同变更、中止与终止</w:t>
      </w:r>
    </w:p>
    <w:p w14:paraId="352C26AC">
      <w:pPr>
        <w:keepNext w:val="0"/>
        <w:keepLines w:val="0"/>
        <w:pageBreakBefore w:val="0"/>
        <w:kinsoku/>
        <w:wordWrap/>
        <w:overflowPunct/>
        <w:topLinePunct w:val="0"/>
        <w:autoSpaceDE w:val="0"/>
        <w:autoSpaceDN w:val="0"/>
        <w:bidi w:val="0"/>
        <w:adjustRightInd w:val="0"/>
        <w:snapToGrid w:val="0"/>
        <w:spacing w:line="380" w:lineRule="exact"/>
        <w:jc w:val="left"/>
        <w:textAlignment w:val="auto"/>
        <w:rPr>
          <w:rFonts w:hint="eastAsia" w:ascii="宋体" w:hAnsi="宋体"/>
          <w:color w:val="auto"/>
          <w:szCs w:val="21"/>
          <w:highlight w:val="none"/>
        </w:rPr>
      </w:pPr>
      <w:r>
        <w:rPr>
          <w:rFonts w:hint="eastAsia" w:ascii="宋体" w:hAnsi="宋体"/>
          <w:color w:val="auto"/>
          <w:szCs w:val="21"/>
          <w:highlight w:val="none"/>
        </w:rPr>
        <w:t xml:space="preserve">    16.1合同的变更</w:t>
      </w:r>
    </w:p>
    <w:p w14:paraId="7D3FA873">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政府采购合同履行中，在不改变合同其他条款的前提下，甲方可以在合同价款10%的范围内追加与合同标的相同的货物，并就此与乙方协商一致后签订补充协议。</w:t>
      </w:r>
    </w:p>
    <w:p w14:paraId="0503C9EC">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16.2合同的中止</w:t>
      </w:r>
    </w:p>
    <w:p w14:paraId="4D9596B8">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（1）合同履行过程中因供应商就采购文件、采购过程或结果提起投诉的，甲方认为有必要的，可以中止合同的履行。</w:t>
      </w:r>
    </w:p>
    <w:p w14:paraId="3BD05C33">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D6940D8">
      <w:pPr>
        <w:pStyle w:val="28"/>
        <w:keepNext w:val="0"/>
        <w:keepLines w:val="0"/>
        <w:pageBreakBefore w:val="0"/>
        <w:kinsoku/>
        <w:wordWrap/>
        <w:overflowPunct/>
        <w:topLinePunct w:val="0"/>
        <w:autoSpaceDE w:val="0"/>
        <w:autoSpaceDN w:val="0"/>
        <w:bidi w:val="0"/>
        <w:spacing w:line="380" w:lineRule="exact"/>
        <w:ind w:firstLine="420"/>
        <w:jc w:val="both"/>
        <w:textAlignment w:val="auto"/>
        <w:rPr>
          <w:rFonts w:hint="eastAsia"/>
          <w:color w:val="auto"/>
          <w:sz w:val="21"/>
          <w:highlight w:val="none"/>
        </w:rPr>
      </w:pPr>
      <w:r>
        <w:rPr>
          <w:rFonts w:hint="eastAsia" w:ascii="宋体" w:hAnsi="宋体" w:eastAsia="宋体" w:cs="宋体"/>
          <w:color w:val="auto"/>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702E0D55">
      <w:pPr>
        <w:keepNext w:val="0"/>
        <w:keepLines w:val="0"/>
        <w:pageBreakBefore w:val="0"/>
        <w:kinsoku/>
        <w:wordWrap/>
        <w:overflowPunct/>
        <w:topLinePunct w:val="0"/>
        <w:autoSpaceDE w:val="0"/>
        <w:autoSpaceDN w:val="0"/>
        <w:bidi w:val="0"/>
        <w:snapToGrid w:val="0"/>
        <w:spacing w:line="380" w:lineRule="exact"/>
        <w:ind w:firstLine="420" w:firstLineChars="200"/>
        <w:jc w:val="left"/>
        <w:textAlignment w:val="auto"/>
        <w:rPr>
          <w:rFonts w:hint="eastAsia"/>
          <w:color w:val="auto"/>
          <w:highlight w:val="none"/>
        </w:rPr>
      </w:pPr>
      <w:r>
        <w:rPr>
          <w:rFonts w:hint="eastAsia" w:ascii="宋体" w:hAnsi="宋体"/>
          <w:color w:val="auto"/>
          <w:szCs w:val="21"/>
          <w:highlight w:val="none"/>
        </w:rPr>
        <w:t>（4）甲方不得以行政区划调整、政府换届、机构或者职能调整以及相关责任人更替为由中止合同。</w:t>
      </w:r>
    </w:p>
    <w:p w14:paraId="11C3B6FC">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16.3合同的终止</w:t>
      </w:r>
    </w:p>
    <w:p w14:paraId="595DF44F">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（1）合同因有效期限届满而终止；</w:t>
      </w:r>
    </w:p>
    <w:p w14:paraId="4272699E">
      <w:pPr>
        <w:keepNext w:val="0"/>
        <w:keepLines w:val="0"/>
        <w:pageBreakBefore w:val="0"/>
        <w:kinsoku/>
        <w:wordWrap/>
        <w:overflowPunct/>
        <w:topLinePunct w:val="0"/>
        <w:autoSpaceDE w:val="0"/>
        <w:autoSpaceDN w:val="0"/>
        <w:bidi w:val="0"/>
        <w:snapToGrid w:val="0"/>
        <w:spacing w:line="380" w:lineRule="exact"/>
        <w:ind w:firstLine="420" w:firstLineChars="200"/>
        <w:textAlignment w:val="auto"/>
        <w:rPr>
          <w:rFonts w:hint="eastAsia" w:ascii="宋体" w:hAnsi="宋体" w:cs="宋体"/>
          <w:color w:val="auto"/>
          <w:szCs w:val="21"/>
          <w:highlight w:val="none"/>
        </w:rPr>
      </w:pPr>
      <w:r>
        <w:rPr>
          <w:rFonts w:hint="eastAsia" w:ascii="宋体" w:hAnsi="宋体"/>
          <w:color w:val="auto"/>
          <w:szCs w:val="21"/>
          <w:highlight w:val="none"/>
        </w:rPr>
        <w:t>（2）乙方未按合同约定履行，构成根本性违约的，甲方有权终止合同，</w:t>
      </w:r>
      <w:r>
        <w:rPr>
          <w:rFonts w:hint="eastAsia" w:ascii="宋体" w:hAnsi="宋体" w:cs="宋体"/>
          <w:color w:val="auto"/>
          <w:szCs w:val="21"/>
          <w:highlight w:val="none"/>
        </w:rPr>
        <w:t>并追究乙方的违约责任</w:t>
      </w:r>
      <w:r>
        <w:rPr>
          <w:rFonts w:hint="eastAsia" w:ascii="宋体" w:hAnsi="宋体"/>
          <w:color w:val="auto"/>
          <w:szCs w:val="21"/>
          <w:highlight w:val="none"/>
        </w:rPr>
        <w:t>。</w:t>
      </w:r>
    </w:p>
    <w:p w14:paraId="109ECD5A">
      <w:pPr>
        <w:pStyle w:val="28"/>
        <w:keepNext w:val="0"/>
        <w:keepLines w:val="0"/>
        <w:pageBreakBefore w:val="0"/>
        <w:kinsoku/>
        <w:wordWrap/>
        <w:overflowPunct/>
        <w:topLinePunct w:val="0"/>
        <w:autoSpaceDE w:val="0"/>
        <w:autoSpaceDN w:val="0"/>
        <w:bidi w:val="0"/>
        <w:spacing w:line="380" w:lineRule="exact"/>
        <w:textAlignment w:val="auto"/>
        <w:rPr>
          <w:rFonts w:hint="eastAsia"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kern w:val="2"/>
          <w:sz w:val="21"/>
          <w:highlight w:val="none"/>
        </w:rPr>
        <w:t>涉及国家利益、社会公共利益的情形</w:t>
      </w:r>
    </w:p>
    <w:p w14:paraId="111D38BD">
      <w:pPr>
        <w:pStyle w:val="28"/>
        <w:keepNext w:val="0"/>
        <w:keepLines w:val="0"/>
        <w:pageBreakBefore w:val="0"/>
        <w:kinsoku/>
        <w:wordWrap/>
        <w:overflowPunct/>
        <w:topLinePunct w:val="0"/>
        <w:autoSpaceDE w:val="0"/>
        <w:autoSpaceDN w:val="0"/>
        <w:bidi w:val="0"/>
        <w:spacing w:line="380" w:lineRule="exact"/>
        <w:ind w:firstLine="420"/>
        <w:jc w:val="both"/>
        <w:textAlignment w:val="auto"/>
        <w:rPr>
          <w:rFonts w:hint="eastAsia"/>
          <w:color w:val="auto"/>
          <w:sz w:val="21"/>
          <w:highlight w:val="none"/>
        </w:rPr>
      </w:pPr>
      <w:r>
        <w:rPr>
          <w:rFonts w:hint="eastAsia" w:ascii="宋体" w:hAnsi="宋体" w:eastAsia="宋体" w:cs="宋体"/>
          <w:color w:val="auto"/>
          <w:sz w:val="21"/>
          <w:highlight w:val="none"/>
        </w:rPr>
        <w:t>政府采购合同继续履行将损害国家利益和社会公共利益的，双方当事人应当变更、中止或者终止合同。有过错的一方应当承担赔偿责任，双方都有过错的，各自承担相应的责任。</w:t>
      </w:r>
    </w:p>
    <w:p w14:paraId="0024BCAE">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17. 合同分包</w:t>
      </w:r>
    </w:p>
    <w:p w14:paraId="0C302854">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17.1 乙方不得将合同转包给其他供应商。涉及合同分包的，乙方应根据采购文件和投标（响应）文件规定进行合同分包。</w:t>
      </w:r>
    </w:p>
    <w:p w14:paraId="1F718ABF">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17.2 乙方执行政府采购政策向中小企业依法分包的，乙方应当按采购文件和投标（响应）文件签订分包意向协议，分包意向协议属于本合同组成部分。</w:t>
      </w:r>
    </w:p>
    <w:p w14:paraId="5D516FAD">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18. 不可抗力</w:t>
      </w:r>
    </w:p>
    <w:p w14:paraId="2315AEF3">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18.1 不可抗力是指合同双方不能预见、不能避免且不能克服的客观情况。</w:t>
      </w:r>
    </w:p>
    <w:p w14:paraId="0C34E95C">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18.2 任何一方对由于不可抗力造成的部分或全部不能履行合同不承担违约责任。但迟延履行后发生不可抗力的，不能免除责任。</w:t>
      </w:r>
    </w:p>
    <w:p w14:paraId="05A31EAF">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5045F02">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19. 解决争议的方法</w:t>
      </w:r>
    </w:p>
    <w:p w14:paraId="52FA6422">
      <w:pPr>
        <w:pStyle w:val="28"/>
        <w:keepNext w:val="0"/>
        <w:keepLines w:val="0"/>
        <w:pageBreakBefore w:val="0"/>
        <w:kinsoku/>
        <w:wordWrap/>
        <w:overflowPunct/>
        <w:topLinePunct w:val="0"/>
        <w:bidi w:val="0"/>
        <w:spacing w:line="380" w:lineRule="exact"/>
        <w:ind w:firstLine="42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60D456FA">
      <w:pPr>
        <w:pStyle w:val="28"/>
        <w:keepNext w:val="0"/>
        <w:keepLines w:val="0"/>
        <w:pageBreakBefore w:val="0"/>
        <w:kinsoku/>
        <w:wordWrap/>
        <w:overflowPunct/>
        <w:topLinePunct w:val="0"/>
        <w:bidi w:val="0"/>
        <w:spacing w:line="380" w:lineRule="exact"/>
        <w:ind w:firstLine="42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19.2 选择仲裁的，应在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中明确仲裁机构及仲裁地；通过诉讼方式解决的，可以在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中进一步约定选择与争议有实际联系的地点的人民法院管辖，但管辖法院的约定不得违反级别管辖和专属管辖的规定。</w:t>
      </w:r>
    </w:p>
    <w:p w14:paraId="279118AB">
      <w:pPr>
        <w:pStyle w:val="28"/>
        <w:keepNext w:val="0"/>
        <w:keepLines w:val="0"/>
        <w:pageBreakBefore w:val="0"/>
        <w:kinsoku/>
        <w:wordWrap/>
        <w:overflowPunct/>
        <w:topLinePunct w:val="0"/>
        <w:bidi w:val="0"/>
        <w:spacing w:line="380" w:lineRule="exact"/>
        <w:ind w:firstLine="42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19.3 如甲乙双方有争议的事项不影响合同其他部分的履行，在争议解决期间，合同其他部分应当继续履行。</w:t>
      </w:r>
    </w:p>
    <w:p w14:paraId="594E5DEF">
      <w:pPr>
        <w:autoSpaceDE w:val="0"/>
        <w:autoSpaceDN w:val="0"/>
        <w:adjustRightInd w:val="0"/>
        <w:snapToGrid w:val="0"/>
        <w:spacing w:line="400" w:lineRule="exact"/>
        <w:jc w:val="left"/>
        <w:rPr>
          <w:rFonts w:hint="eastAsia" w:ascii="宋体" w:hAnsi="宋体"/>
          <w:color w:val="auto"/>
          <w:sz w:val="24"/>
          <w:highlight w:val="none"/>
        </w:rPr>
      </w:pPr>
      <w:r>
        <w:rPr>
          <w:rFonts w:hint="eastAsia" w:ascii="宋体" w:hAnsi="宋体"/>
          <w:b/>
          <w:color w:val="auto"/>
          <w:sz w:val="24"/>
          <w:highlight w:val="none"/>
        </w:rPr>
        <w:t>20. 政府采购政策</w:t>
      </w:r>
    </w:p>
    <w:p w14:paraId="776E3981">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本合同应当按照规定执行政府采购政策。</w:t>
      </w:r>
    </w:p>
    <w:p w14:paraId="6A6F1A0F">
      <w:pPr>
        <w:keepNext w:val="0"/>
        <w:keepLines w:val="0"/>
        <w:pageBreakBefore w:val="0"/>
        <w:kinsoku/>
        <w:wordWrap/>
        <w:overflowPunct/>
        <w:topLinePunct w:val="0"/>
        <w:autoSpaceDE w:val="0"/>
        <w:autoSpaceDN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20.2 本合同依法执行政府采购政策的方式和内容，属于合同履约验收的范围。</w:t>
      </w:r>
      <w:r>
        <w:rPr>
          <w:rFonts w:hint="eastAsia" w:ascii="宋体" w:hAnsi="宋体" w:cs="宋体"/>
          <w:color w:val="auto"/>
          <w:highlight w:val="none"/>
        </w:rPr>
        <w:t>甲乙双方</w:t>
      </w:r>
      <w:r>
        <w:rPr>
          <w:rFonts w:hint="eastAsia" w:ascii="宋体" w:hAnsi="宋体" w:cs="宋体"/>
          <w:color w:val="auto"/>
          <w:highlight w:val="none"/>
          <w:lang w:val="en-GB"/>
        </w:rPr>
        <w:t>未按规定要求执行政府采购政策造成损失的</w:t>
      </w:r>
      <w:r>
        <w:rPr>
          <w:rFonts w:hint="eastAsia" w:ascii="宋体" w:hAnsi="宋体"/>
          <w:color w:val="auto"/>
          <w:szCs w:val="21"/>
          <w:highlight w:val="none"/>
        </w:rPr>
        <w:t>，有过错的一方应当承担赔偿责任，双方都有过错的，各自承担相应的责任。</w:t>
      </w:r>
    </w:p>
    <w:p w14:paraId="56BE28DA">
      <w:pPr>
        <w:pStyle w:val="2"/>
        <w:keepNext w:val="0"/>
        <w:keepLines w:val="0"/>
        <w:pageBreakBefore w:val="0"/>
        <w:kinsoku/>
        <w:wordWrap/>
        <w:overflowPunct/>
        <w:topLinePunct w:val="0"/>
        <w:bidi w:val="0"/>
        <w:spacing w:after="0" w:line="380" w:lineRule="exact"/>
        <w:ind w:firstLine="420" w:firstLineChars="200"/>
        <w:textAlignment w:val="auto"/>
        <w:rPr>
          <w:rFonts w:hint="eastAsia"/>
          <w:color w:val="auto"/>
          <w:highlight w:val="none"/>
        </w:rPr>
      </w:pPr>
      <w:r>
        <w:rPr>
          <w:rFonts w:hint="eastAsia" w:ascii="宋体" w:hAnsi="宋体"/>
          <w:color w:val="auto"/>
          <w:szCs w:val="21"/>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A88E280">
      <w:pPr>
        <w:autoSpaceDE w:val="0"/>
        <w:autoSpaceDN w:val="0"/>
        <w:adjustRightInd w:val="0"/>
        <w:snapToGrid w:val="0"/>
        <w:spacing w:line="400" w:lineRule="exact"/>
        <w:jc w:val="left"/>
        <w:rPr>
          <w:rFonts w:ascii="宋体" w:hAnsi="宋体"/>
          <w:b/>
          <w:color w:val="auto"/>
          <w:sz w:val="24"/>
          <w:highlight w:val="none"/>
        </w:rPr>
      </w:pPr>
      <w:r>
        <w:rPr>
          <w:rFonts w:hint="eastAsia" w:ascii="宋体" w:hAnsi="宋体"/>
          <w:b/>
          <w:color w:val="auto"/>
          <w:sz w:val="24"/>
          <w:highlight w:val="none"/>
        </w:rPr>
        <w:t>21. 法律适用</w:t>
      </w:r>
    </w:p>
    <w:p w14:paraId="0F8BF5F3">
      <w:pPr>
        <w:pStyle w:val="28"/>
        <w:keepNext w:val="0"/>
        <w:keepLines w:val="0"/>
        <w:pageBreakBefore w:val="0"/>
        <w:kinsoku/>
        <w:wordWrap/>
        <w:overflowPunct/>
        <w:topLinePunct w:val="0"/>
        <w:bidi w:val="0"/>
        <w:spacing w:line="380" w:lineRule="exact"/>
        <w:ind w:firstLine="42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21.1 本合同的订立、生效、解释、履行及与本合同有关的争议解决，均适用法律、行政法规。</w:t>
      </w:r>
    </w:p>
    <w:p w14:paraId="73A35261">
      <w:pPr>
        <w:pStyle w:val="28"/>
        <w:keepNext w:val="0"/>
        <w:keepLines w:val="0"/>
        <w:pageBreakBefore w:val="0"/>
        <w:kinsoku/>
        <w:wordWrap/>
        <w:overflowPunct/>
        <w:topLinePunct w:val="0"/>
        <w:bidi w:val="0"/>
        <w:spacing w:line="380" w:lineRule="exact"/>
        <w:ind w:firstLine="42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21.2 本合同条款与法律、行政法规的强制性规定不一致的，双方当事人应按照法律、行政法规的强制性规定修改本合同的相关条款。</w:t>
      </w:r>
    </w:p>
    <w:p w14:paraId="52DA3514">
      <w:pPr>
        <w:autoSpaceDE w:val="0"/>
        <w:autoSpaceDN w:val="0"/>
        <w:adjustRightInd w:val="0"/>
        <w:snapToGrid w:val="0"/>
        <w:spacing w:line="400" w:lineRule="exact"/>
        <w:jc w:val="left"/>
        <w:rPr>
          <w:rFonts w:hint="eastAsia" w:ascii="宋体" w:hAnsi="宋体"/>
          <w:b/>
          <w:color w:val="auto"/>
          <w:sz w:val="24"/>
          <w:highlight w:val="none"/>
        </w:rPr>
      </w:pPr>
      <w:r>
        <w:rPr>
          <w:rFonts w:hint="eastAsia" w:ascii="宋体" w:hAnsi="宋体"/>
          <w:b/>
          <w:color w:val="auto"/>
          <w:sz w:val="24"/>
          <w:highlight w:val="none"/>
        </w:rPr>
        <w:t>22. 通知</w:t>
      </w:r>
    </w:p>
    <w:p w14:paraId="46F412EE">
      <w:pPr>
        <w:pStyle w:val="28"/>
        <w:keepNext w:val="0"/>
        <w:keepLines w:val="0"/>
        <w:pageBreakBefore w:val="0"/>
        <w:kinsoku/>
        <w:wordWrap/>
        <w:overflowPunct/>
        <w:topLinePunct w:val="0"/>
        <w:bidi w:val="0"/>
        <w:spacing w:line="380" w:lineRule="exact"/>
        <w:ind w:firstLine="42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22.1 本合同任何一方向对方发出的通知、信件、数据电文等，应当发送至本合同第一部分《政府采购合同协议书》所约定的通讯地址、联系人、联系电话或电子邮箱。</w:t>
      </w:r>
    </w:p>
    <w:p w14:paraId="06F7ADF7">
      <w:pPr>
        <w:pStyle w:val="28"/>
        <w:keepNext w:val="0"/>
        <w:keepLines w:val="0"/>
        <w:pageBreakBefore w:val="0"/>
        <w:kinsoku/>
        <w:wordWrap/>
        <w:overflowPunct/>
        <w:topLinePunct w:val="0"/>
        <w:bidi w:val="0"/>
        <w:spacing w:line="380" w:lineRule="exact"/>
        <w:ind w:firstLine="0" w:firstLineChars="0"/>
        <w:jc w:val="both"/>
        <w:textAlignment w:val="auto"/>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p>
    <w:p w14:paraId="257FF63E">
      <w:pPr>
        <w:keepNext w:val="0"/>
        <w:keepLines w:val="0"/>
        <w:pageBreakBefore w:val="0"/>
        <w:kinsoku/>
        <w:wordWrap/>
        <w:overflowPunct/>
        <w:topLinePunct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22.3本合同一方给另一方的通知均应采用书面形式，传真或快递送到本合同中规定的对方的地址和办理签收手续。</w:t>
      </w:r>
    </w:p>
    <w:p w14:paraId="50BC85B4">
      <w:pPr>
        <w:keepNext w:val="0"/>
        <w:keepLines w:val="0"/>
        <w:pageBreakBefore w:val="0"/>
        <w:kinsoku/>
        <w:wordWrap/>
        <w:overflowPunct/>
        <w:topLinePunct w:val="0"/>
        <w:bidi w:val="0"/>
        <w:adjustRightInd w:val="0"/>
        <w:snapToGrid w:val="0"/>
        <w:spacing w:line="38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22.4通知以送达之日或通知书中规定的生效之日起生效，两者中以较迟之日为准。</w:t>
      </w:r>
    </w:p>
    <w:p w14:paraId="5C00822F">
      <w:pPr>
        <w:numPr>
          <w:ilvl w:val="0"/>
          <w:numId w:val="7"/>
        </w:numPr>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合同未尽事项</w:t>
      </w:r>
    </w:p>
    <w:p w14:paraId="3E90065E">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jc w:val="left"/>
        <w:textAlignment w:val="auto"/>
        <w:rPr>
          <w:rFonts w:hint="eastAsia" w:ascii="宋体" w:hAnsi="宋体"/>
          <w:bCs/>
          <w:color w:val="auto"/>
          <w:szCs w:val="21"/>
          <w:highlight w:val="none"/>
        </w:rPr>
      </w:pPr>
      <w:r>
        <w:rPr>
          <w:rFonts w:hint="eastAsia" w:ascii="宋体" w:hAnsi="宋体"/>
          <w:bCs/>
          <w:color w:val="auto"/>
          <w:szCs w:val="21"/>
          <w:highlight w:val="none"/>
        </w:rPr>
        <w:t>23.1合同未尽事项见</w:t>
      </w:r>
      <w:r>
        <w:rPr>
          <w:rFonts w:hint="eastAsia" w:ascii="宋体" w:hAnsi="宋体"/>
          <w:b/>
          <w:color w:val="auto"/>
          <w:szCs w:val="21"/>
          <w:highlight w:val="none"/>
        </w:rPr>
        <w:t>【政府采购合同专用条款】</w:t>
      </w:r>
      <w:r>
        <w:rPr>
          <w:rFonts w:hint="eastAsia" w:ascii="宋体" w:hAnsi="宋体"/>
          <w:bCs/>
          <w:color w:val="auto"/>
          <w:szCs w:val="21"/>
          <w:highlight w:val="none"/>
        </w:rPr>
        <w:t>。</w:t>
      </w:r>
    </w:p>
    <w:p w14:paraId="6B4064D5">
      <w:pPr>
        <w:keepNext w:val="0"/>
        <w:keepLines w:val="0"/>
        <w:pageBreakBefore w:val="0"/>
        <w:widowControl w:val="0"/>
        <w:kinsoku/>
        <w:wordWrap/>
        <w:overflowPunct/>
        <w:topLinePunct w:val="0"/>
        <w:autoSpaceDE/>
        <w:autoSpaceDN/>
        <w:bidi w:val="0"/>
        <w:adjustRightInd w:val="0"/>
        <w:snapToGrid w:val="0"/>
        <w:spacing w:line="380" w:lineRule="exact"/>
        <w:jc w:val="left"/>
        <w:textAlignment w:val="auto"/>
        <w:rPr>
          <w:rFonts w:hint="eastAsia"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p>
    <w:p w14:paraId="0E43EDA4">
      <w:pPr>
        <w:keepNext/>
        <w:keepLines/>
        <w:spacing w:line="360" w:lineRule="auto"/>
        <w:jc w:val="center"/>
        <w:outlineLvl w:val="1"/>
        <w:rPr>
          <w:rFonts w:ascii="黑体" w:hAnsi="华文中宋" w:eastAsia="黑体"/>
          <w:color w:val="auto"/>
          <w:sz w:val="24"/>
          <w:highlight w:val="none"/>
        </w:rPr>
      </w:pPr>
      <w:r>
        <w:rPr>
          <w:rFonts w:hint="eastAsia" w:ascii="黑体" w:hAnsi="华文中宋" w:eastAsia="黑体"/>
          <w:color w:val="auto"/>
          <w:sz w:val="24"/>
          <w:highlight w:val="none"/>
        </w:rPr>
        <w:br w:type="page" w:clear="all"/>
      </w:r>
    </w:p>
    <w:p w14:paraId="05400D6C">
      <w:pPr>
        <w:keepNext/>
        <w:keepLines/>
        <w:spacing w:line="360" w:lineRule="auto"/>
        <w:jc w:val="center"/>
        <w:outlineLvl w:val="1"/>
        <w:rPr>
          <w:rFonts w:ascii="黑体" w:hAnsi="华文中宋" w:eastAsia="黑体"/>
          <w:color w:val="auto"/>
          <w:sz w:val="24"/>
          <w:highlight w:val="none"/>
        </w:rPr>
      </w:pPr>
      <w:r>
        <w:rPr>
          <w:rFonts w:hint="eastAsia" w:ascii="黑体" w:hAnsi="华文中宋" w:eastAsia="黑体"/>
          <w:color w:val="auto"/>
          <w:sz w:val="24"/>
          <w:highlight w:val="none"/>
        </w:rPr>
        <w:t>第三节 政府采购合同专用条款</w:t>
      </w:r>
      <w:bookmarkEnd w:id="177"/>
    </w:p>
    <w:tbl>
      <w:tblPr>
        <w:tblStyle w:val="13"/>
        <w:tblW w:w="9287"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415"/>
        <w:gridCol w:w="1244"/>
        <w:gridCol w:w="6628"/>
      </w:tblGrid>
      <w:tr w14:paraId="28ED08D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415" w:type="dxa"/>
            <w:vAlign w:val="center"/>
          </w:tcPr>
          <w:p w14:paraId="2E640F18">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第二节</w:t>
            </w:r>
          </w:p>
          <w:p w14:paraId="1A895E63">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第1.2（6）项</w:t>
            </w:r>
          </w:p>
        </w:tc>
        <w:tc>
          <w:tcPr>
            <w:tcW w:w="1244" w:type="dxa"/>
            <w:vAlign w:val="center"/>
          </w:tcPr>
          <w:p w14:paraId="2B6E2C78">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联合体具体要求</w:t>
            </w:r>
          </w:p>
        </w:tc>
        <w:tc>
          <w:tcPr>
            <w:tcW w:w="6628" w:type="dxa"/>
            <w:vAlign w:val="center"/>
          </w:tcPr>
          <w:p w14:paraId="7696C564">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本项目</w:t>
            </w:r>
            <w:r>
              <w:rPr>
                <w:rFonts w:hint="eastAsia" w:ascii="宋体" w:hAnsi="宋体" w:eastAsia="宋体" w:cs="宋体"/>
                <w:color w:val="auto"/>
                <w:sz w:val="22"/>
                <w:szCs w:val="22"/>
                <w:highlight w:val="none"/>
                <w:lang w:eastAsia="zh-CN"/>
              </w:rPr>
              <w:t>不</w:t>
            </w:r>
            <w:r>
              <w:rPr>
                <w:rFonts w:hint="eastAsia" w:ascii="宋体" w:hAnsi="宋体" w:eastAsia="宋体" w:cs="宋体"/>
                <w:color w:val="auto"/>
                <w:sz w:val="22"/>
                <w:szCs w:val="22"/>
                <w:highlight w:val="none"/>
              </w:rPr>
              <w:t>接受联合体参与</w:t>
            </w:r>
            <w:r>
              <w:rPr>
                <w:rFonts w:hint="eastAsia" w:ascii="宋体" w:hAnsi="宋体" w:eastAsia="宋体" w:cs="宋体"/>
                <w:color w:val="auto"/>
                <w:sz w:val="22"/>
                <w:szCs w:val="22"/>
                <w:highlight w:val="none"/>
                <w:lang w:val="en-US" w:eastAsia="zh-CN"/>
              </w:rPr>
              <w:t>招标。</w:t>
            </w:r>
          </w:p>
        </w:tc>
      </w:tr>
      <w:tr w14:paraId="7E05491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415" w:type="dxa"/>
            <w:vAlign w:val="center"/>
          </w:tcPr>
          <w:p w14:paraId="61FF99B0">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第二节</w:t>
            </w:r>
          </w:p>
          <w:p w14:paraId="73EBA57E">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第1.2（7）项</w:t>
            </w:r>
          </w:p>
        </w:tc>
        <w:tc>
          <w:tcPr>
            <w:tcW w:w="1244" w:type="dxa"/>
            <w:vAlign w:val="center"/>
          </w:tcPr>
          <w:p w14:paraId="6A065C32">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其他术语解释</w:t>
            </w:r>
          </w:p>
        </w:tc>
        <w:tc>
          <w:tcPr>
            <w:tcW w:w="6628" w:type="dxa"/>
            <w:vAlign w:val="center"/>
          </w:tcPr>
          <w:p w14:paraId="4BDDFA87">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lang w:val="en-US" w:eastAsia="zh-CN"/>
              </w:rPr>
            </w:pPr>
          </w:p>
        </w:tc>
      </w:tr>
      <w:tr w14:paraId="0D3EAFC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415" w:type="dxa"/>
            <w:vAlign w:val="center"/>
          </w:tcPr>
          <w:p w14:paraId="208799A4">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第二节</w:t>
            </w:r>
          </w:p>
          <w:p w14:paraId="73468DD7">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第4.4款</w:t>
            </w:r>
          </w:p>
        </w:tc>
        <w:tc>
          <w:tcPr>
            <w:tcW w:w="1244" w:type="dxa"/>
            <w:vAlign w:val="center"/>
          </w:tcPr>
          <w:p w14:paraId="23A7B35B">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履约验收中甲方提出异议或作出说明的期限</w:t>
            </w:r>
          </w:p>
        </w:tc>
        <w:tc>
          <w:tcPr>
            <w:tcW w:w="6628" w:type="dxa"/>
            <w:vAlign w:val="center"/>
          </w:tcPr>
          <w:p w14:paraId="5B258EE5">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十五个工作日内</w:t>
            </w:r>
          </w:p>
        </w:tc>
      </w:tr>
      <w:tr w14:paraId="0944BA9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415" w:type="dxa"/>
            <w:vAlign w:val="center"/>
          </w:tcPr>
          <w:p w14:paraId="0364773D">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第二节</w:t>
            </w:r>
          </w:p>
          <w:p w14:paraId="450B0267">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第4.6款</w:t>
            </w:r>
          </w:p>
        </w:tc>
        <w:tc>
          <w:tcPr>
            <w:tcW w:w="1244" w:type="dxa"/>
            <w:vAlign w:val="center"/>
          </w:tcPr>
          <w:p w14:paraId="720EB4F6">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约定甲方承担的其他义务和责任</w:t>
            </w:r>
          </w:p>
        </w:tc>
        <w:tc>
          <w:tcPr>
            <w:tcW w:w="6628" w:type="dxa"/>
            <w:vAlign w:val="center"/>
          </w:tcPr>
          <w:p w14:paraId="3CDA8729">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同合同通用条款</w:t>
            </w:r>
          </w:p>
        </w:tc>
      </w:tr>
      <w:tr w14:paraId="2EB779A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415" w:type="dxa"/>
            <w:vAlign w:val="center"/>
          </w:tcPr>
          <w:p w14:paraId="2CB16A01">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第二节</w:t>
            </w:r>
          </w:p>
          <w:p w14:paraId="11226B76">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第5.4款</w:t>
            </w:r>
          </w:p>
        </w:tc>
        <w:tc>
          <w:tcPr>
            <w:tcW w:w="1244" w:type="dxa"/>
            <w:vAlign w:val="center"/>
          </w:tcPr>
          <w:p w14:paraId="219A6DBB">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约定乙方承担的其他义务和责任</w:t>
            </w:r>
          </w:p>
        </w:tc>
        <w:tc>
          <w:tcPr>
            <w:tcW w:w="6628" w:type="dxa"/>
            <w:vAlign w:val="center"/>
          </w:tcPr>
          <w:p w14:paraId="2A45768C">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同合同通用条款</w:t>
            </w:r>
          </w:p>
        </w:tc>
      </w:tr>
      <w:tr w14:paraId="65CA0BB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415" w:type="dxa"/>
            <w:vAlign w:val="center"/>
          </w:tcPr>
          <w:p w14:paraId="3D2397CF">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第二节</w:t>
            </w:r>
          </w:p>
          <w:p w14:paraId="670B01A0">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第6.1款</w:t>
            </w:r>
          </w:p>
        </w:tc>
        <w:tc>
          <w:tcPr>
            <w:tcW w:w="1244" w:type="dxa"/>
            <w:vAlign w:val="center"/>
          </w:tcPr>
          <w:p w14:paraId="7DC7138D">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履行合同义务的顺序</w:t>
            </w:r>
          </w:p>
        </w:tc>
        <w:tc>
          <w:tcPr>
            <w:tcW w:w="6628" w:type="dxa"/>
            <w:vAlign w:val="center"/>
          </w:tcPr>
          <w:p w14:paraId="77C7EE96">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同协议书</w:t>
            </w:r>
          </w:p>
        </w:tc>
      </w:tr>
      <w:tr w14:paraId="2300A9C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415" w:type="dxa"/>
            <w:vMerge w:val="restart"/>
            <w:vAlign w:val="center"/>
          </w:tcPr>
          <w:p w14:paraId="4212DC74">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第二节</w:t>
            </w:r>
          </w:p>
          <w:p w14:paraId="0C7EAEBA">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第7.1款</w:t>
            </w:r>
          </w:p>
        </w:tc>
        <w:tc>
          <w:tcPr>
            <w:tcW w:w="1244" w:type="dxa"/>
            <w:vAlign w:val="center"/>
          </w:tcPr>
          <w:p w14:paraId="5F00DF50">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包装特殊要求</w:t>
            </w:r>
          </w:p>
        </w:tc>
        <w:tc>
          <w:tcPr>
            <w:tcW w:w="6628" w:type="dxa"/>
            <w:vAlign w:val="center"/>
          </w:tcPr>
          <w:p w14:paraId="07631284">
            <w:pPr>
              <w:keepNext w:val="0"/>
              <w:keepLines w:val="0"/>
              <w:pageBreakBefore w:val="0"/>
              <w:kinsoku/>
              <w:wordWrap/>
              <w:overflowPunct/>
              <w:topLinePunct w:val="0"/>
              <w:bidi w:val="0"/>
              <w:snapToGrid/>
              <w:spacing w:line="380" w:lineRule="exact"/>
              <w:ind w:left="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p>
          <w:p w14:paraId="7783C39E">
            <w:pPr>
              <w:keepNext w:val="0"/>
              <w:keepLines w:val="0"/>
              <w:pageBreakBefore w:val="0"/>
              <w:kinsoku/>
              <w:wordWrap/>
              <w:overflowPunct/>
              <w:topLinePunct w:val="0"/>
              <w:bidi w:val="0"/>
              <w:snapToGrid/>
              <w:spacing w:line="380" w:lineRule="exact"/>
              <w:ind w:left="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1.商品包装层数不得超过3 层，空隙率不大于40%；</w:t>
            </w:r>
          </w:p>
          <w:p w14:paraId="72A6E656">
            <w:pPr>
              <w:keepNext w:val="0"/>
              <w:keepLines w:val="0"/>
              <w:pageBreakBefore w:val="0"/>
              <w:kinsoku/>
              <w:wordWrap/>
              <w:overflowPunct/>
              <w:topLinePunct w:val="0"/>
              <w:bidi w:val="0"/>
              <w:snapToGrid/>
              <w:spacing w:line="380" w:lineRule="exact"/>
              <w:ind w:left="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2.商品包装尽可能使用单一材质的包装材料，如因功能需求必需使用不同材质，不同材质间应便于分离；</w:t>
            </w:r>
          </w:p>
          <w:p w14:paraId="024683F1">
            <w:pPr>
              <w:keepNext w:val="0"/>
              <w:keepLines w:val="0"/>
              <w:pageBreakBefore w:val="0"/>
              <w:kinsoku/>
              <w:wordWrap/>
              <w:overflowPunct/>
              <w:topLinePunct w:val="0"/>
              <w:bidi w:val="0"/>
              <w:snapToGrid/>
              <w:spacing w:line="380" w:lineRule="exact"/>
              <w:ind w:left="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3.商品包装中铅、汞、镉、六价铬的总含量应不大于100mg/kg；</w:t>
            </w:r>
          </w:p>
          <w:p w14:paraId="2181256A">
            <w:pPr>
              <w:keepNext w:val="0"/>
              <w:keepLines w:val="0"/>
              <w:pageBreakBefore w:val="0"/>
              <w:kinsoku/>
              <w:wordWrap/>
              <w:overflowPunct/>
              <w:topLinePunct w:val="0"/>
              <w:bidi w:val="0"/>
              <w:snapToGrid/>
              <w:spacing w:line="380" w:lineRule="exact"/>
              <w:ind w:left="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4.商品包装印刷使用的油墨中挥发性有机化合物(VOCs)含量应不大于 5%（以重量计）；</w:t>
            </w:r>
          </w:p>
          <w:p w14:paraId="380549B2">
            <w:pPr>
              <w:keepNext w:val="0"/>
              <w:keepLines w:val="0"/>
              <w:pageBreakBefore w:val="0"/>
              <w:kinsoku/>
              <w:wordWrap/>
              <w:overflowPunct/>
              <w:topLinePunct w:val="0"/>
              <w:bidi w:val="0"/>
              <w:snapToGrid/>
              <w:spacing w:line="380" w:lineRule="exact"/>
              <w:ind w:left="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5.塑料材质商品包装上呈现的印刷颜色不得超过6色；</w:t>
            </w:r>
          </w:p>
          <w:p w14:paraId="04D28BCD">
            <w:pPr>
              <w:keepNext w:val="0"/>
              <w:keepLines w:val="0"/>
              <w:pageBreakBefore w:val="0"/>
              <w:kinsoku/>
              <w:wordWrap/>
              <w:overflowPunct/>
              <w:topLinePunct w:val="0"/>
              <w:bidi w:val="0"/>
              <w:snapToGrid/>
              <w:spacing w:line="380" w:lineRule="exact"/>
              <w:ind w:left="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6.纸质商品包装应使用75%以上的可再生纤维原料生产；</w:t>
            </w:r>
          </w:p>
          <w:p w14:paraId="382B265B">
            <w:pPr>
              <w:keepNext w:val="0"/>
              <w:keepLines w:val="0"/>
              <w:pageBreakBefore w:val="0"/>
              <w:kinsoku/>
              <w:wordWrap/>
              <w:overflowPunct/>
              <w:topLinePunct w:val="0"/>
              <w:bidi w:val="0"/>
              <w:snapToGrid/>
              <w:spacing w:line="380" w:lineRule="exact"/>
              <w:ind w:left="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7.木质商品包装的原料应来源于可持续性森林。</w:t>
            </w:r>
          </w:p>
          <w:p w14:paraId="2588D0A7">
            <w:pPr>
              <w:keepNext w:val="0"/>
              <w:keepLines w:val="0"/>
              <w:pageBreakBefore w:val="0"/>
              <w:kinsoku/>
              <w:wordWrap/>
              <w:overflowPunct/>
              <w:topLinePunct w:val="0"/>
              <w:bidi w:val="0"/>
              <w:snapToGrid/>
              <w:spacing w:line="380" w:lineRule="exact"/>
              <w:ind w:left="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4905A1D8">
            <w:pPr>
              <w:keepNext w:val="0"/>
              <w:keepLines w:val="0"/>
              <w:pageBreakBefore w:val="0"/>
              <w:kinsoku/>
              <w:wordWrap/>
              <w:overflowPunct/>
              <w:topLinePunct w:val="0"/>
              <w:bidi w:val="0"/>
              <w:snapToGrid/>
              <w:spacing w:line="380" w:lineRule="exact"/>
              <w:ind w:left="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9每件包装箱内应附一份详细装箱单和质量合格凭证。</w:t>
            </w:r>
          </w:p>
        </w:tc>
      </w:tr>
      <w:tr w14:paraId="7101448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415" w:type="dxa"/>
            <w:vMerge w:val="continue"/>
            <w:vAlign w:val="center"/>
          </w:tcPr>
          <w:p w14:paraId="2CCBF7AC">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p>
        </w:tc>
        <w:tc>
          <w:tcPr>
            <w:tcW w:w="1244" w:type="dxa"/>
            <w:vAlign w:val="center"/>
          </w:tcPr>
          <w:p w14:paraId="602B44F5">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指定现场</w:t>
            </w:r>
          </w:p>
        </w:tc>
        <w:tc>
          <w:tcPr>
            <w:tcW w:w="6628" w:type="dxa"/>
            <w:vAlign w:val="center"/>
          </w:tcPr>
          <w:p w14:paraId="3CEFA9F0">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同协议书</w:t>
            </w:r>
          </w:p>
        </w:tc>
      </w:tr>
      <w:tr w14:paraId="113C1F3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415" w:type="dxa"/>
            <w:vAlign w:val="center"/>
          </w:tcPr>
          <w:p w14:paraId="002919B6">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第二节</w:t>
            </w:r>
          </w:p>
          <w:p w14:paraId="00AA53DC">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第7.2款</w:t>
            </w:r>
          </w:p>
        </w:tc>
        <w:tc>
          <w:tcPr>
            <w:tcW w:w="1244" w:type="dxa"/>
            <w:vAlign w:val="center"/>
          </w:tcPr>
          <w:p w14:paraId="214341D6">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运输特殊要求</w:t>
            </w:r>
          </w:p>
        </w:tc>
        <w:tc>
          <w:tcPr>
            <w:tcW w:w="6628" w:type="dxa"/>
            <w:vAlign w:val="center"/>
          </w:tcPr>
          <w:p w14:paraId="1967CCB1">
            <w:pPr>
              <w:keepNext w:val="0"/>
              <w:keepLines w:val="0"/>
              <w:pageBreakBefore w:val="0"/>
              <w:kinsoku/>
              <w:wordWrap/>
              <w:overflowPunct/>
              <w:topLinePunct w:val="0"/>
              <w:bidi w:val="0"/>
              <w:snapToGrid/>
              <w:spacing w:line="380" w:lineRule="exact"/>
              <w:ind w:left="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1.货物验收合格、交付使用并提供所需单据的日期视为交货日期。</w:t>
            </w:r>
          </w:p>
          <w:p w14:paraId="5C6B217E">
            <w:pPr>
              <w:pStyle w:val="28"/>
              <w:keepNext w:val="0"/>
              <w:keepLines w:val="0"/>
              <w:pageBreakBefore w:val="0"/>
              <w:kinsoku/>
              <w:wordWrap/>
              <w:overflowPunct/>
              <w:topLinePunct w:val="0"/>
              <w:bidi w:val="0"/>
              <w:snapToGrid/>
              <w:spacing w:line="380" w:lineRule="exact"/>
              <w:ind w:left="0" w:firstLine="0" w:firstLineChars="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2.乙方在货物发运手续办理完毕后24小时内或货到48小时前通知甲方，以准备接货。</w:t>
            </w:r>
          </w:p>
          <w:p w14:paraId="6DF3D5AC">
            <w:pPr>
              <w:keepNext w:val="0"/>
              <w:keepLines w:val="0"/>
              <w:pageBreakBefore w:val="0"/>
              <w:kinsoku/>
              <w:wordWrap/>
              <w:overflowPunct/>
              <w:topLinePunct w:val="0"/>
              <w:bidi w:val="0"/>
              <w:snapToGrid/>
              <w:spacing w:line="380" w:lineRule="exact"/>
              <w:ind w:left="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3.乙方装运的货物不应超过合同规定的数量或重量。乙方应对超交数量或超重而产生的一切后果负责。</w:t>
            </w:r>
          </w:p>
          <w:p w14:paraId="47D85D2C">
            <w:pPr>
              <w:pStyle w:val="28"/>
              <w:keepNext w:val="0"/>
              <w:keepLines w:val="0"/>
              <w:pageBreakBefore w:val="0"/>
              <w:kinsoku/>
              <w:wordWrap/>
              <w:overflowPunct/>
              <w:topLinePunct w:val="0"/>
              <w:bidi w:val="0"/>
              <w:snapToGrid/>
              <w:spacing w:line="380" w:lineRule="exact"/>
              <w:ind w:left="0" w:firstLine="0" w:firstLineChars="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4.货物在交付甲方前发生的风险均由乙方负责。</w:t>
            </w:r>
          </w:p>
        </w:tc>
      </w:tr>
      <w:tr w14:paraId="44F5530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415" w:type="dxa"/>
            <w:vAlign w:val="center"/>
          </w:tcPr>
          <w:p w14:paraId="2127A62D">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第二节</w:t>
            </w:r>
          </w:p>
          <w:p w14:paraId="44A7B377">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第7.3款</w:t>
            </w:r>
          </w:p>
        </w:tc>
        <w:tc>
          <w:tcPr>
            <w:tcW w:w="1244" w:type="dxa"/>
            <w:vAlign w:val="center"/>
          </w:tcPr>
          <w:p w14:paraId="159FF125">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保险要求</w:t>
            </w:r>
          </w:p>
        </w:tc>
        <w:tc>
          <w:tcPr>
            <w:tcW w:w="6628" w:type="dxa"/>
            <w:vAlign w:val="center"/>
          </w:tcPr>
          <w:p w14:paraId="26DA54B7">
            <w:pPr>
              <w:keepNext w:val="0"/>
              <w:keepLines w:val="0"/>
              <w:pageBreakBefore w:val="0"/>
              <w:kinsoku/>
              <w:wordWrap/>
              <w:overflowPunct/>
              <w:topLinePunct w:val="0"/>
              <w:bidi w:val="0"/>
              <w:snapToGrid/>
              <w:spacing w:line="380" w:lineRule="exact"/>
              <w:ind w:left="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货物交货前由乙方承担保险义务</w:t>
            </w:r>
          </w:p>
        </w:tc>
      </w:tr>
      <w:tr w14:paraId="2674076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366" w:hRule="atLeast"/>
        </w:trPr>
        <w:tc>
          <w:tcPr>
            <w:tcW w:w="1415" w:type="dxa"/>
            <w:vAlign w:val="center"/>
          </w:tcPr>
          <w:p w14:paraId="269481C7">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第二节</w:t>
            </w:r>
          </w:p>
          <w:p w14:paraId="14211533">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第8.2（1）项</w:t>
            </w:r>
          </w:p>
        </w:tc>
        <w:tc>
          <w:tcPr>
            <w:tcW w:w="1244" w:type="dxa"/>
            <w:vAlign w:val="center"/>
          </w:tcPr>
          <w:p w14:paraId="4EE358C7">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质量保证期</w:t>
            </w:r>
          </w:p>
        </w:tc>
        <w:tc>
          <w:tcPr>
            <w:tcW w:w="6628" w:type="dxa"/>
            <w:vAlign w:val="center"/>
          </w:tcPr>
          <w:p w14:paraId="14966F85">
            <w:pPr>
              <w:pStyle w:val="11"/>
              <w:keepNext w:val="0"/>
              <w:keepLines w:val="0"/>
              <w:pageBreakBefore w:val="0"/>
              <w:numPr>
                <w:ilvl w:val="0"/>
                <w:numId w:val="8"/>
              </w:numPr>
              <w:kinsoku/>
              <w:wordWrap/>
              <w:overflowPunct/>
              <w:topLinePunct w:val="0"/>
              <w:bidi w:val="0"/>
              <w:snapToGrid/>
              <w:spacing w:beforeAutospacing="0" w:afterAutospacing="0" w:line="380" w:lineRule="exact"/>
              <w:ind w:left="0" w:hanging="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货物</w:t>
            </w:r>
            <w:r>
              <w:rPr>
                <w:rFonts w:hint="eastAsia" w:ascii="宋体" w:hAnsi="宋体" w:eastAsia="宋体" w:cs="宋体"/>
                <w:color w:val="auto"/>
                <w:sz w:val="22"/>
                <w:szCs w:val="22"/>
                <w:highlight w:val="none"/>
                <w:lang w:eastAsia="zh-CN"/>
              </w:rPr>
              <w:t>硬件（含配件）</w:t>
            </w:r>
            <w:r>
              <w:rPr>
                <w:rFonts w:hint="eastAsia" w:ascii="宋体" w:hAnsi="宋体" w:eastAsia="宋体" w:cs="宋体"/>
                <w:color w:val="auto"/>
                <w:sz w:val="22"/>
                <w:szCs w:val="22"/>
                <w:highlight w:val="none"/>
              </w:rPr>
              <w:t>免费质保期</w:t>
            </w:r>
            <w:r>
              <w:rPr>
                <w:rFonts w:hint="eastAsia" w:ascii="宋体" w:hAnsi="宋体" w:eastAsia="宋体" w:cs="宋体"/>
                <w:color w:val="auto"/>
                <w:sz w:val="22"/>
                <w:szCs w:val="22"/>
                <w:highlight w:val="none"/>
                <w:lang w:eastAsia="zh-CN"/>
              </w:rPr>
              <w:t>为</w:t>
            </w:r>
            <w:r>
              <w:rPr>
                <w:rFonts w:hint="eastAsia" w:ascii="宋体" w:hAnsi="宋体" w:eastAsia="宋体" w:cs="宋体"/>
                <w:color w:val="auto"/>
                <w:sz w:val="22"/>
                <w:szCs w:val="22"/>
                <w:highlight w:val="none"/>
                <w:u w:val="none"/>
                <w:lang w:eastAsia="zh-CN"/>
              </w:rPr>
              <w:t>五</w:t>
            </w:r>
            <w:r>
              <w:rPr>
                <w:rFonts w:hint="eastAsia" w:ascii="宋体" w:hAnsi="宋体" w:eastAsia="宋体" w:cs="宋体"/>
                <w:color w:val="auto"/>
                <w:sz w:val="22"/>
                <w:szCs w:val="22"/>
                <w:highlight w:val="none"/>
                <w:u w:val="none"/>
              </w:rPr>
              <w:t>年</w:t>
            </w:r>
            <w:r>
              <w:rPr>
                <w:rFonts w:hint="eastAsia" w:ascii="宋体" w:hAnsi="宋体" w:eastAsia="宋体" w:cs="宋体"/>
                <w:color w:val="auto"/>
                <w:sz w:val="22"/>
                <w:szCs w:val="22"/>
                <w:highlight w:val="none"/>
                <w:lang w:eastAsia="zh-CN"/>
              </w:rPr>
              <w:t>、软件及其他合同内容</w:t>
            </w:r>
            <w:r>
              <w:rPr>
                <w:rFonts w:hint="eastAsia" w:ascii="宋体" w:hAnsi="宋体" w:eastAsia="宋体" w:cs="宋体"/>
                <w:color w:val="auto"/>
                <w:sz w:val="22"/>
                <w:szCs w:val="22"/>
                <w:highlight w:val="none"/>
              </w:rPr>
              <w:t>免费质保期</w:t>
            </w:r>
            <w:r>
              <w:rPr>
                <w:rFonts w:hint="eastAsia" w:ascii="宋体" w:hAnsi="宋体" w:eastAsia="宋体" w:cs="宋体"/>
                <w:color w:val="auto"/>
                <w:sz w:val="22"/>
                <w:szCs w:val="22"/>
                <w:highlight w:val="none"/>
                <w:u w:val="none"/>
                <w:lang w:eastAsia="zh-CN"/>
              </w:rPr>
              <w:t>均为三</w:t>
            </w:r>
            <w:r>
              <w:rPr>
                <w:rFonts w:hint="eastAsia" w:ascii="宋体" w:hAnsi="宋体" w:eastAsia="宋体" w:cs="宋体"/>
                <w:color w:val="auto"/>
                <w:sz w:val="22"/>
                <w:szCs w:val="22"/>
                <w:highlight w:val="none"/>
                <w:u w:val="none"/>
              </w:rPr>
              <w:t>年</w:t>
            </w:r>
            <w:r>
              <w:rPr>
                <w:rFonts w:hint="eastAsia" w:ascii="宋体" w:hAnsi="宋体" w:eastAsia="宋体" w:cs="宋体"/>
                <w:color w:val="auto"/>
                <w:sz w:val="22"/>
                <w:szCs w:val="22"/>
                <w:highlight w:val="none"/>
              </w:rPr>
              <w:t>（自交货验收合格之日起计）。因人为因素出现的故障不在免费保修范围内。超过保修期的机器设备，终生维修，维修时只收部件成本费。</w:t>
            </w:r>
          </w:p>
        </w:tc>
      </w:tr>
      <w:tr w14:paraId="531E1F1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415" w:type="dxa"/>
            <w:vAlign w:val="center"/>
          </w:tcPr>
          <w:p w14:paraId="64656845">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第二节</w:t>
            </w:r>
          </w:p>
          <w:p w14:paraId="4965A661">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第8.2（3）项</w:t>
            </w:r>
          </w:p>
        </w:tc>
        <w:tc>
          <w:tcPr>
            <w:tcW w:w="1244" w:type="dxa"/>
            <w:vAlign w:val="center"/>
          </w:tcPr>
          <w:p w14:paraId="2D080ACC">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货物质量缺陷</w:t>
            </w:r>
          </w:p>
          <w:p w14:paraId="572191F6">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响应时间</w:t>
            </w:r>
          </w:p>
        </w:tc>
        <w:tc>
          <w:tcPr>
            <w:tcW w:w="6628" w:type="dxa"/>
            <w:vAlign w:val="center"/>
          </w:tcPr>
          <w:p w14:paraId="627161FF">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如在使用过程中发生质量问题，乙方在接到甲方通知后在_</w:t>
            </w:r>
            <w:r>
              <w:rPr>
                <w:rFonts w:hint="eastAsia" w:ascii="宋体" w:hAnsi="宋体" w:eastAsia="宋体" w:cs="宋体"/>
                <w:color w:val="auto"/>
                <w:sz w:val="22"/>
                <w:szCs w:val="22"/>
                <w:highlight w:val="none"/>
                <w:u w:val="single"/>
                <w:lang w:val="en-US" w:eastAsia="zh-CN"/>
              </w:rPr>
              <w:t>24</w:t>
            </w:r>
            <w:r>
              <w:rPr>
                <w:rFonts w:hint="eastAsia" w:ascii="宋体" w:hAnsi="宋体" w:eastAsia="宋体" w:cs="宋体"/>
                <w:color w:val="auto"/>
                <w:sz w:val="22"/>
                <w:szCs w:val="22"/>
                <w:highlight w:val="none"/>
              </w:rPr>
              <w:t>_小时内到达甲方现场。</w:t>
            </w:r>
          </w:p>
        </w:tc>
      </w:tr>
      <w:tr w14:paraId="123DD07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415" w:type="dxa"/>
            <w:vAlign w:val="center"/>
          </w:tcPr>
          <w:p w14:paraId="6AB4E004">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第二节</w:t>
            </w:r>
          </w:p>
          <w:p w14:paraId="7CD37F52">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第8款补充</w:t>
            </w:r>
          </w:p>
        </w:tc>
        <w:tc>
          <w:tcPr>
            <w:tcW w:w="1244" w:type="dxa"/>
            <w:vAlign w:val="center"/>
          </w:tcPr>
          <w:p w14:paraId="7259C951">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质量保证要求</w:t>
            </w:r>
          </w:p>
        </w:tc>
        <w:tc>
          <w:tcPr>
            <w:tcW w:w="6628" w:type="dxa"/>
            <w:vAlign w:val="center"/>
          </w:tcPr>
          <w:p w14:paraId="4A10A69A">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 在质保期内，乙方应对</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出现的质量及安全问题负责处理解决并承担一切费用（因甲方不当使用的除外）。</w:t>
            </w:r>
          </w:p>
          <w:p w14:paraId="0484F964">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2.乙方应按照国家有关法律法规规章和“三包”规定以及招标文件售后服务要求及投标文件售后服务承诺提供售后服务。</w:t>
            </w:r>
          </w:p>
          <w:p w14:paraId="799B8D7B">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3.所有</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保修服务方式均为乙方上门保修，由乙方派员到</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使用现场维修，所产生的一切费用由乙方承担。</w:t>
            </w:r>
          </w:p>
          <w:p w14:paraId="3112B0B7">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4.乙方负责提供本项目范围内所使用的所有</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、材料、装置的原产地证明、质保文件和相应的等级标准证明并承诺向甲方提供有关产品制造的质保证明。乙方所提供的</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，若技术性能无特殊说明，则按国家有关部门最新颁布的产品标准为准。</w:t>
            </w:r>
          </w:p>
          <w:p w14:paraId="4216CC06">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5.甲方有权对乙方进行飞行检查，如果发现任何问题乙方必须无条件返工，甚至可以终止合同，乙方需赔偿甲方因此而造成的所有损失，飞行检查过程中发生的食宿、交通等费用由甲方自行承担。</w:t>
            </w:r>
          </w:p>
          <w:p w14:paraId="6B493265">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、材料运抵现场后，在甲方和甲方聘请的监理或质检人员在场的情况下进行开箱检验后由乙方负责保管。必要时甲方可以采取破坏性检验，将有关</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和材料送</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到达地的质检部门检验，如果检验合格，检验费由甲方负担；如果检验不合格，则检验费由乙方负担。</w:t>
            </w:r>
          </w:p>
          <w:p w14:paraId="78892123">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7.对</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的品牌、型号、数量、产地等进行检查和清点，同类型的所有</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和材料应属同一制造商的同一地产品。如检验中发现短缺、损坏或假冒伪劣商品，乙方应立即采取补救措施，不得因此影响供货，否则一切损失由乙方负责。</w:t>
            </w:r>
          </w:p>
          <w:p w14:paraId="4BA9E210">
            <w:pPr>
              <w:pStyle w:val="11"/>
              <w:keepNext w:val="0"/>
              <w:keepLines w:val="0"/>
              <w:pageBreakBefore w:val="0"/>
              <w:kinsoku/>
              <w:wordWrap/>
              <w:overflowPunct/>
              <w:topLinePunct w:val="0"/>
              <w:bidi w:val="0"/>
              <w:snapToGrid/>
              <w:spacing w:beforeAutospacing="0" w:afterAutospacing="0" w:line="380" w:lineRule="exact"/>
              <w:ind w:left="0" w:hanging="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8.</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乙方应保证</w:t>
            </w:r>
            <w:r>
              <w:rPr>
                <w:rFonts w:hint="eastAsia" w:ascii="宋体" w:hAnsi="宋体" w:eastAsia="宋体" w:cs="宋体"/>
                <w:color w:val="auto"/>
                <w:sz w:val="22"/>
                <w:szCs w:val="22"/>
                <w:highlight w:val="none"/>
                <w:lang w:eastAsia="zh-CN"/>
              </w:rPr>
              <w:t>货物</w:t>
            </w:r>
            <w:r>
              <w:rPr>
                <w:rFonts w:hint="eastAsia" w:ascii="宋体" w:hAnsi="宋体" w:eastAsia="宋体" w:cs="宋体"/>
                <w:color w:val="auto"/>
                <w:sz w:val="22"/>
                <w:szCs w:val="22"/>
                <w:highlight w:val="none"/>
              </w:rPr>
              <w:t>是全新、未使用过的，是用一流的工艺和最佳材料制造的、合法渠道进货的正宗、未使用过的原装合格正品，产品质量完全符合国家规定的产品质量标准，并完全符合合同规定的质量、规格和性能的要求。乙方应保证其</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在正确安装、正常使用和保养条件下，在其使用寿命期内应具有满意的性能。</w:t>
            </w:r>
          </w:p>
          <w:p w14:paraId="60FDA370">
            <w:pPr>
              <w:pStyle w:val="11"/>
              <w:keepNext w:val="0"/>
              <w:keepLines w:val="0"/>
              <w:pageBreakBefore w:val="0"/>
              <w:kinsoku/>
              <w:wordWrap/>
              <w:overflowPunct/>
              <w:topLinePunct w:val="0"/>
              <w:bidi w:val="0"/>
              <w:snapToGrid/>
              <w:spacing w:beforeAutospacing="0" w:afterAutospacing="0" w:line="380" w:lineRule="exact"/>
              <w:ind w:left="0" w:hanging="480"/>
              <w:textAlignment w:val="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     8.其他要求详见本项目招标文件和乙方的投标文件承诺。</w:t>
            </w:r>
          </w:p>
        </w:tc>
      </w:tr>
      <w:tr w14:paraId="423C3EA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415" w:type="dxa"/>
            <w:vAlign w:val="center"/>
          </w:tcPr>
          <w:p w14:paraId="332A5448">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第二节</w:t>
            </w:r>
          </w:p>
          <w:p w14:paraId="5BDF931F">
            <w:pPr>
              <w:keepNext w:val="0"/>
              <w:keepLines w:val="0"/>
              <w:pageBreakBefore w:val="0"/>
              <w:widowControl/>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第11.1款</w:t>
            </w:r>
          </w:p>
        </w:tc>
        <w:tc>
          <w:tcPr>
            <w:tcW w:w="1244" w:type="dxa"/>
            <w:vAlign w:val="center"/>
          </w:tcPr>
          <w:p w14:paraId="585E07E5">
            <w:pPr>
              <w:keepNext w:val="0"/>
              <w:keepLines w:val="0"/>
              <w:pageBreakBefore w:val="0"/>
              <w:kinsoku/>
              <w:wordWrap/>
              <w:overflowPunct/>
              <w:topLinePunct w:val="0"/>
              <w:bidi w:val="0"/>
              <w:snapToGrid/>
              <w:spacing w:line="380" w:lineRule="exact"/>
              <w:ind w:left="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其他应当保密的信息</w:t>
            </w:r>
          </w:p>
        </w:tc>
        <w:tc>
          <w:tcPr>
            <w:tcW w:w="6628" w:type="dxa"/>
            <w:vAlign w:val="center"/>
          </w:tcPr>
          <w:p w14:paraId="19F78F5B">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w:t>
            </w:r>
          </w:p>
        </w:tc>
      </w:tr>
      <w:tr w14:paraId="15F6A07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415" w:type="dxa"/>
            <w:vAlign w:val="center"/>
          </w:tcPr>
          <w:p w14:paraId="70877D8C">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第二节</w:t>
            </w:r>
          </w:p>
          <w:p w14:paraId="767C3B47">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第12.2款</w:t>
            </w:r>
          </w:p>
        </w:tc>
        <w:tc>
          <w:tcPr>
            <w:tcW w:w="1244" w:type="dxa"/>
            <w:vAlign w:val="center"/>
          </w:tcPr>
          <w:p w14:paraId="2A49AF0D">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合同价款支付时间及要求</w:t>
            </w:r>
          </w:p>
        </w:tc>
        <w:tc>
          <w:tcPr>
            <w:tcW w:w="6628" w:type="dxa"/>
            <w:vAlign w:val="center"/>
          </w:tcPr>
          <w:p w14:paraId="24755DE7">
            <w:pPr>
              <w:keepNext w:val="0"/>
              <w:keepLines w:val="0"/>
              <w:pageBreakBefore w:val="0"/>
              <w:numPr>
                <w:ilvl w:val="0"/>
                <w:numId w:val="9"/>
              </w:numPr>
              <w:kinsoku/>
              <w:wordWrap/>
              <w:overflowPunct/>
              <w:topLinePunct w:val="0"/>
              <w:bidi w:val="0"/>
              <w:snapToGrid/>
              <w:spacing w:line="380" w:lineRule="exact"/>
              <w:ind w:left="0"/>
              <w:jc w:val="left"/>
              <w:textAlignment w:val="auto"/>
              <w:rPr>
                <w:rFonts w:hint="eastAsia" w:ascii="宋体" w:hAnsi="宋体" w:eastAsia="宋体" w:cs="宋体"/>
                <w:b/>
                <w:bCs/>
                <w:color w:val="auto"/>
                <w:sz w:val="21"/>
                <w:szCs w:val="21"/>
                <w:highlight w:val="yellow"/>
                <w:u w:val="single"/>
                <w:lang w:eastAsia="zh-CN"/>
              </w:rPr>
            </w:pPr>
            <w:r>
              <w:rPr>
                <w:rFonts w:hint="eastAsia" w:ascii="宋体" w:hAnsi="宋体" w:eastAsia="宋体" w:cs="宋体"/>
                <w:color w:val="auto"/>
                <w:sz w:val="22"/>
                <w:szCs w:val="22"/>
                <w:highlight w:val="none"/>
              </w:rPr>
              <w:t>合同款项的支付方式及进度安排：</w:t>
            </w:r>
            <w:r>
              <w:rPr>
                <w:rFonts w:hint="eastAsia" w:ascii="宋体" w:hAnsi="宋体" w:eastAsia="宋体" w:cs="宋体"/>
                <w:b/>
                <w:bCs/>
                <w:color w:val="auto"/>
                <w:sz w:val="21"/>
                <w:szCs w:val="21"/>
                <w:highlight w:val="yellow"/>
                <w:u w:val="single"/>
                <w:lang w:eastAsia="zh-CN"/>
              </w:rPr>
              <w:t>甲乙双方合同签订完成后</w:t>
            </w:r>
            <w:r>
              <w:rPr>
                <w:rFonts w:hint="eastAsia" w:ascii="宋体" w:hAnsi="宋体" w:eastAsia="宋体" w:cs="宋体"/>
                <w:b/>
                <w:bCs/>
                <w:color w:val="auto"/>
                <w:sz w:val="21"/>
                <w:szCs w:val="21"/>
                <w:highlight w:val="yellow"/>
                <w:u w:val="single"/>
                <w:lang w:val="en-US" w:eastAsia="zh-CN"/>
              </w:rPr>
              <w:t>10个工作日内支付合同总价款的30%为预付款，</w:t>
            </w:r>
            <w:r>
              <w:rPr>
                <w:rFonts w:hint="eastAsia" w:ascii="宋体" w:hAnsi="宋体" w:eastAsia="宋体" w:cs="宋体"/>
                <w:b/>
                <w:bCs/>
                <w:color w:val="auto"/>
                <w:sz w:val="21"/>
                <w:szCs w:val="21"/>
                <w:highlight w:val="yellow"/>
                <w:u w:val="single"/>
                <w:lang w:eastAsia="zh-CN"/>
              </w:rPr>
              <w:t>乙方按照合同约定提交全部软件及货品且</w:t>
            </w:r>
            <w:r>
              <w:rPr>
                <w:rFonts w:hint="eastAsia" w:ascii="宋体" w:hAnsi="宋体" w:eastAsia="宋体" w:cs="宋体"/>
                <w:b/>
                <w:bCs/>
                <w:color w:val="auto"/>
                <w:sz w:val="21"/>
                <w:szCs w:val="21"/>
                <w:highlight w:val="yellow"/>
                <w:u w:val="single"/>
              </w:rPr>
              <w:t>安装</w:t>
            </w:r>
            <w:r>
              <w:rPr>
                <w:rFonts w:hint="eastAsia" w:ascii="宋体" w:hAnsi="宋体" w:eastAsia="宋体" w:cs="宋体"/>
                <w:b/>
                <w:bCs/>
                <w:color w:val="auto"/>
                <w:sz w:val="21"/>
                <w:szCs w:val="21"/>
                <w:highlight w:val="yellow"/>
                <w:u w:val="single"/>
                <w:lang w:eastAsia="zh-CN"/>
              </w:rPr>
              <w:t>调试</w:t>
            </w:r>
            <w:r>
              <w:rPr>
                <w:rFonts w:hint="eastAsia" w:ascii="宋体" w:hAnsi="宋体" w:eastAsia="宋体" w:cs="宋体"/>
                <w:b/>
                <w:bCs/>
                <w:color w:val="auto"/>
                <w:sz w:val="21"/>
                <w:szCs w:val="21"/>
                <w:highlight w:val="yellow"/>
                <w:u w:val="single"/>
              </w:rPr>
              <w:t>完毕并经</w:t>
            </w:r>
            <w:r>
              <w:rPr>
                <w:rFonts w:hint="eastAsia" w:ascii="宋体" w:hAnsi="宋体" w:eastAsia="宋体" w:cs="宋体"/>
                <w:b/>
                <w:bCs/>
                <w:color w:val="auto"/>
                <w:sz w:val="21"/>
                <w:szCs w:val="21"/>
                <w:highlight w:val="yellow"/>
                <w:u w:val="single"/>
                <w:lang w:eastAsia="zh-CN"/>
              </w:rPr>
              <w:t>采购人与政府相关监管机构联合</w:t>
            </w:r>
            <w:r>
              <w:rPr>
                <w:rFonts w:hint="eastAsia" w:ascii="宋体" w:hAnsi="宋体" w:eastAsia="宋体" w:cs="宋体"/>
                <w:b/>
                <w:bCs/>
                <w:color w:val="auto"/>
                <w:sz w:val="21"/>
                <w:szCs w:val="21"/>
                <w:highlight w:val="yellow"/>
                <w:u w:val="single"/>
              </w:rPr>
              <w:t>验收合格无问题后付</w:t>
            </w:r>
            <w:r>
              <w:rPr>
                <w:rFonts w:hint="eastAsia" w:ascii="宋体" w:hAnsi="宋体" w:eastAsia="宋体" w:cs="宋体"/>
                <w:b/>
                <w:bCs/>
                <w:color w:val="auto"/>
                <w:sz w:val="21"/>
                <w:szCs w:val="21"/>
                <w:highlight w:val="yellow"/>
                <w:u w:val="single"/>
                <w:lang w:eastAsia="zh-CN"/>
              </w:rPr>
              <w:t>至</w:t>
            </w:r>
            <w:r>
              <w:rPr>
                <w:rFonts w:hint="eastAsia" w:ascii="宋体" w:hAnsi="宋体" w:eastAsia="宋体" w:cs="宋体"/>
                <w:b/>
                <w:bCs/>
                <w:color w:val="auto"/>
                <w:sz w:val="21"/>
                <w:szCs w:val="21"/>
                <w:highlight w:val="yellow"/>
                <w:u w:val="single"/>
              </w:rPr>
              <w:t>合同价款的</w:t>
            </w:r>
            <w:r>
              <w:rPr>
                <w:rFonts w:hint="eastAsia" w:ascii="宋体" w:hAnsi="宋体" w:eastAsia="宋体" w:cs="宋体"/>
                <w:b/>
                <w:bCs/>
                <w:color w:val="auto"/>
                <w:sz w:val="21"/>
                <w:szCs w:val="21"/>
                <w:highlight w:val="yellow"/>
                <w:u w:val="single"/>
                <w:lang w:val="en-US" w:eastAsia="zh-CN"/>
              </w:rPr>
              <w:t>75</w:t>
            </w:r>
            <w:r>
              <w:rPr>
                <w:rFonts w:hint="eastAsia" w:ascii="宋体" w:hAnsi="宋体" w:eastAsia="宋体" w:cs="宋体"/>
                <w:b/>
                <w:bCs/>
                <w:color w:val="auto"/>
                <w:sz w:val="21"/>
                <w:szCs w:val="21"/>
                <w:highlight w:val="yellow"/>
                <w:u w:val="single"/>
              </w:rPr>
              <w:t>%；</w:t>
            </w:r>
            <w:r>
              <w:rPr>
                <w:rFonts w:hint="eastAsia" w:ascii="宋体" w:hAnsi="宋体" w:eastAsia="宋体" w:cs="宋体"/>
                <w:b/>
                <w:bCs/>
                <w:color w:val="auto"/>
                <w:sz w:val="21"/>
                <w:szCs w:val="21"/>
                <w:highlight w:val="yellow"/>
                <w:u w:val="single"/>
                <w:lang w:eastAsia="zh-CN"/>
              </w:rPr>
              <w:t>本次采购软件及货品</w:t>
            </w:r>
            <w:r>
              <w:rPr>
                <w:rFonts w:hint="eastAsia" w:ascii="宋体" w:hAnsi="宋体" w:eastAsia="宋体" w:cs="宋体"/>
                <w:b/>
                <w:bCs/>
                <w:color w:val="auto"/>
                <w:sz w:val="21"/>
                <w:szCs w:val="21"/>
                <w:highlight w:val="yellow"/>
                <w:u w:val="single"/>
              </w:rPr>
              <w:t>验收合格</w:t>
            </w:r>
            <w:r>
              <w:rPr>
                <w:rFonts w:hint="eastAsia" w:ascii="宋体" w:hAnsi="宋体" w:eastAsia="宋体" w:cs="宋体"/>
                <w:b/>
                <w:bCs/>
                <w:color w:val="auto"/>
                <w:sz w:val="21"/>
                <w:szCs w:val="21"/>
                <w:highlight w:val="yellow"/>
                <w:u w:val="single"/>
                <w:lang w:eastAsia="zh-CN"/>
              </w:rPr>
              <w:t>且正常运行</w:t>
            </w:r>
            <w:r>
              <w:rPr>
                <w:rFonts w:hint="eastAsia" w:ascii="宋体" w:hAnsi="宋体" w:eastAsia="宋体" w:cs="宋体"/>
                <w:b/>
                <w:bCs/>
                <w:color w:val="auto"/>
                <w:sz w:val="21"/>
                <w:szCs w:val="21"/>
                <w:highlight w:val="yellow"/>
                <w:u w:val="single"/>
              </w:rPr>
              <w:t>满一年无问题</w:t>
            </w:r>
            <w:r>
              <w:rPr>
                <w:rFonts w:hint="eastAsia" w:ascii="宋体" w:hAnsi="宋体" w:eastAsia="宋体" w:cs="宋体"/>
                <w:b/>
                <w:bCs/>
                <w:color w:val="auto"/>
                <w:sz w:val="21"/>
                <w:szCs w:val="21"/>
                <w:highlight w:val="yellow"/>
                <w:u w:val="single"/>
                <w:lang w:eastAsia="zh-CN"/>
              </w:rPr>
              <w:t>，并经有权审计部门审计结束且出具审计结论后</w:t>
            </w:r>
            <w:r>
              <w:rPr>
                <w:rFonts w:hint="eastAsia" w:ascii="宋体" w:hAnsi="宋体" w:eastAsia="宋体" w:cs="宋体"/>
                <w:b/>
                <w:bCs/>
                <w:color w:val="auto"/>
                <w:sz w:val="21"/>
                <w:szCs w:val="21"/>
                <w:highlight w:val="yellow"/>
                <w:u w:val="single"/>
              </w:rPr>
              <w:t>付</w:t>
            </w:r>
            <w:r>
              <w:rPr>
                <w:rFonts w:hint="eastAsia" w:ascii="宋体" w:hAnsi="宋体" w:eastAsia="宋体" w:cs="宋体"/>
                <w:b/>
                <w:bCs/>
                <w:color w:val="auto"/>
                <w:sz w:val="21"/>
                <w:szCs w:val="21"/>
                <w:highlight w:val="yellow"/>
                <w:u w:val="single"/>
                <w:lang w:eastAsia="zh-CN"/>
              </w:rPr>
              <w:t>至最终审定价</w:t>
            </w:r>
            <w:r>
              <w:rPr>
                <w:rFonts w:hint="eastAsia" w:ascii="宋体" w:hAnsi="宋体" w:eastAsia="宋体" w:cs="宋体"/>
                <w:b/>
                <w:bCs/>
                <w:color w:val="auto"/>
                <w:sz w:val="21"/>
                <w:szCs w:val="21"/>
                <w:highlight w:val="yellow"/>
                <w:u w:val="single"/>
              </w:rPr>
              <w:t>的</w:t>
            </w:r>
            <w:r>
              <w:rPr>
                <w:rFonts w:hint="eastAsia" w:ascii="宋体" w:hAnsi="宋体" w:eastAsia="宋体" w:cs="宋体"/>
                <w:b/>
                <w:bCs/>
                <w:color w:val="auto"/>
                <w:sz w:val="21"/>
                <w:szCs w:val="21"/>
                <w:highlight w:val="yellow"/>
                <w:u w:val="single"/>
                <w:lang w:val="en-US" w:eastAsia="zh-CN"/>
              </w:rPr>
              <w:t>95</w:t>
            </w:r>
            <w:r>
              <w:rPr>
                <w:rFonts w:hint="eastAsia" w:ascii="宋体" w:hAnsi="宋体" w:eastAsia="宋体" w:cs="宋体"/>
                <w:b/>
                <w:bCs/>
                <w:color w:val="auto"/>
                <w:sz w:val="21"/>
                <w:szCs w:val="21"/>
                <w:highlight w:val="yellow"/>
                <w:u w:val="single"/>
              </w:rPr>
              <w:t>%；</w:t>
            </w:r>
            <w:r>
              <w:rPr>
                <w:rFonts w:hint="eastAsia" w:ascii="宋体" w:hAnsi="宋体" w:eastAsia="宋体" w:cs="宋体"/>
                <w:b/>
                <w:bCs/>
                <w:color w:val="auto"/>
                <w:sz w:val="21"/>
                <w:szCs w:val="21"/>
                <w:highlight w:val="yellow"/>
                <w:u w:val="single"/>
                <w:lang w:eastAsia="zh-CN"/>
              </w:rPr>
              <w:t>审计结束且本合同约定的全部软件质保期满且经甲方确认无遗留问题后</w:t>
            </w:r>
            <w:r>
              <w:rPr>
                <w:rFonts w:hint="eastAsia" w:ascii="宋体" w:hAnsi="宋体" w:eastAsia="宋体" w:cs="宋体"/>
                <w:b/>
                <w:bCs/>
                <w:color w:val="auto"/>
                <w:sz w:val="21"/>
                <w:szCs w:val="21"/>
                <w:highlight w:val="yellow"/>
                <w:u w:val="single"/>
              </w:rPr>
              <w:t>付</w:t>
            </w:r>
            <w:r>
              <w:rPr>
                <w:rFonts w:hint="eastAsia" w:ascii="宋体" w:hAnsi="宋体" w:eastAsia="宋体" w:cs="宋体"/>
                <w:b/>
                <w:bCs/>
                <w:color w:val="auto"/>
                <w:sz w:val="21"/>
                <w:szCs w:val="21"/>
                <w:highlight w:val="yellow"/>
                <w:u w:val="single"/>
                <w:lang w:eastAsia="zh-CN"/>
              </w:rPr>
              <w:t>至最终审定价</w:t>
            </w:r>
            <w:r>
              <w:rPr>
                <w:rFonts w:hint="eastAsia" w:ascii="宋体" w:hAnsi="宋体" w:eastAsia="宋体" w:cs="宋体"/>
                <w:b/>
                <w:bCs/>
                <w:color w:val="auto"/>
                <w:sz w:val="21"/>
                <w:szCs w:val="21"/>
                <w:highlight w:val="yellow"/>
                <w:u w:val="single"/>
              </w:rPr>
              <w:t>的</w:t>
            </w:r>
            <w:r>
              <w:rPr>
                <w:rFonts w:hint="eastAsia" w:ascii="宋体" w:hAnsi="宋体" w:eastAsia="宋体" w:cs="宋体"/>
                <w:b/>
                <w:bCs/>
                <w:color w:val="auto"/>
                <w:sz w:val="21"/>
                <w:szCs w:val="21"/>
                <w:highlight w:val="yellow"/>
                <w:u w:val="single"/>
                <w:lang w:val="en-US" w:eastAsia="zh-CN"/>
              </w:rPr>
              <w:t>97</w:t>
            </w:r>
            <w:r>
              <w:rPr>
                <w:rFonts w:hint="eastAsia" w:ascii="宋体" w:hAnsi="宋体" w:eastAsia="宋体" w:cs="宋体"/>
                <w:b/>
                <w:bCs/>
                <w:color w:val="auto"/>
                <w:sz w:val="21"/>
                <w:szCs w:val="21"/>
                <w:highlight w:val="yellow"/>
                <w:u w:val="single"/>
              </w:rPr>
              <w:t>%；</w:t>
            </w:r>
            <w:r>
              <w:rPr>
                <w:rFonts w:hint="eastAsia" w:ascii="宋体" w:hAnsi="宋体" w:eastAsia="宋体" w:cs="宋体"/>
                <w:b/>
                <w:bCs/>
                <w:color w:val="auto"/>
                <w:sz w:val="21"/>
                <w:szCs w:val="21"/>
                <w:highlight w:val="yellow"/>
                <w:u w:val="single"/>
                <w:lang w:eastAsia="zh-CN"/>
              </w:rPr>
              <w:t>审计结束且本合同约定的全部硬件质保期满且经甲方确认无遗留问题后按最终审定价结清余款</w:t>
            </w:r>
            <w:r>
              <w:rPr>
                <w:rFonts w:hint="eastAsia" w:ascii="宋体" w:hAnsi="宋体" w:eastAsia="宋体" w:cs="宋体"/>
                <w:b/>
                <w:bCs/>
                <w:color w:val="auto"/>
                <w:sz w:val="21"/>
                <w:szCs w:val="21"/>
                <w:highlight w:val="yellow"/>
                <w:u w:val="single"/>
              </w:rPr>
              <w:t>（以上付款均无息）</w:t>
            </w:r>
            <w:r>
              <w:rPr>
                <w:rFonts w:hint="eastAsia" w:ascii="宋体" w:hAnsi="宋体" w:eastAsia="宋体" w:cs="宋体"/>
                <w:b/>
                <w:bCs/>
                <w:color w:val="auto"/>
                <w:sz w:val="21"/>
                <w:szCs w:val="21"/>
                <w:highlight w:val="yellow"/>
                <w:u w:val="single"/>
                <w:lang w:eastAsia="zh-CN"/>
              </w:rPr>
              <w:t>。</w:t>
            </w:r>
          </w:p>
          <w:p w14:paraId="17804F85">
            <w:pPr>
              <w:pageBreakBefore w:val="0"/>
              <w:kinsoku/>
              <w:wordWrap/>
              <w:overflowPunct/>
              <w:topLinePunct w:val="0"/>
              <w:bidi w:val="0"/>
              <w:snapToGrid w:val="0"/>
              <w:spacing w:beforeAutospacing="0" w:afterAutospacing="0" w:line="400" w:lineRule="exact"/>
              <w:textAlignment w:val="auto"/>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val="en-US" w:eastAsia="zh-CN"/>
              </w:rPr>
              <w:t>注：在签订合同时，乙方明确表示无需预付款或者主动要求降低预付款比例的，甲方可不适用前述预付款规定。</w:t>
            </w:r>
            <w:r>
              <w:rPr>
                <w:rFonts w:hint="eastAsia" w:ascii="宋体" w:hAnsi="宋体" w:eastAsia="宋体" w:cs="宋体"/>
                <w:color w:val="auto"/>
                <w:sz w:val="22"/>
                <w:szCs w:val="22"/>
                <w:highlight w:val="none"/>
                <w:u w:val="single"/>
              </w:rPr>
              <w:t xml:space="preserve"> </w:t>
            </w:r>
          </w:p>
          <w:p w14:paraId="198AAE2B">
            <w:pPr>
              <w:pageBreakBefore w:val="0"/>
              <w:kinsoku/>
              <w:wordWrap/>
              <w:overflowPunct/>
              <w:topLinePunct w:val="0"/>
              <w:bidi w:val="0"/>
              <w:snapToGrid w:val="0"/>
              <w:spacing w:beforeAutospacing="0" w:afterAutospacing="0" w:line="400" w:lineRule="exact"/>
              <w:textAlignment w:val="auto"/>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特别说明：</w:t>
            </w:r>
            <w:r>
              <w:rPr>
                <w:rFonts w:hint="default" w:ascii="Calibri" w:hAnsi="Calibri" w:eastAsia="宋体" w:cs="Calibri"/>
                <w:b/>
                <w:bCs/>
                <w:color w:val="auto"/>
                <w:sz w:val="21"/>
                <w:szCs w:val="21"/>
                <w:highlight w:val="none"/>
                <w:u w:val="single"/>
                <w:lang w:eastAsia="zh-CN"/>
              </w:rPr>
              <w:t>①</w:t>
            </w:r>
            <w:r>
              <w:rPr>
                <w:rFonts w:hint="eastAsia" w:ascii="宋体" w:hAnsi="宋体" w:eastAsia="宋体" w:cs="宋体"/>
                <w:b/>
                <w:bCs/>
                <w:color w:val="auto"/>
                <w:sz w:val="21"/>
                <w:szCs w:val="21"/>
                <w:highlight w:val="none"/>
                <w:u w:val="single"/>
                <w:lang w:eastAsia="zh-CN"/>
              </w:rPr>
              <w:t>付款前乙方须提供符合甲方要求的正规发票，最终审计核减率超过5%(含5%)的，审计费用由乙方承担，费用从项目审定价款中扣除。乙方开具审定价全额发票、审计公司开具费用发票，结算时乙方扣除审计费进行支付。</w:t>
            </w:r>
          </w:p>
          <w:p w14:paraId="18325FB4">
            <w:pPr>
              <w:pageBreakBefore w:val="0"/>
              <w:kinsoku/>
              <w:wordWrap/>
              <w:overflowPunct/>
              <w:topLinePunct w:val="0"/>
              <w:bidi w:val="0"/>
              <w:snapToGrid w:val="0"/>
              <w:spacing w:beforeAutospacing="0" w:afterAutospacing="0" w:line="400" w:lineRule="exact"/>
              <w:textAlignment w:val="auto"/>
              <w:rPr>
                <w:rFonts w:hint="eastAsia" w:ascii="宋体" w:hAnsi="宋体" w:eastAsia="宋体" w:cs="宋体"/>
                <w:b/>
                <w:bCs/>
                <w:color w:val="auto"/>
                <w:sz w:val="21"/>
                <w:szCs w:val="21"/>
                <w:highlight w:val="none"/>
                <w:u w:val="single"/>
                <w:lang w:eastAsia="zh-CN"/>
              </w:rPr>
            </w:pPr>
            <w:r>
              <w:rPr>
                <w:rFonts w:hint="default" w:ascii="Calibri" w:hAnsi="Calibri" w:eastAsia="宋体" w:cs="Calibri"/>
                <w:b/>
                <w:bCs/>
                <w:color w:val="auto"/>
                <w:sz w:val="21"/>
                <w:szCs w:val="21"/>
                <w:highlight w:val="none"/>
                <w:u w:val="single"/>
                <w:lang w:eastAsia="zh-CN"/>
              </w:rPr>
              <w:t>②</w:t>
            </w:r>
            <w:r>
              <w:rPr>
                <w:rFonts w:hint="eastAsia" w:ascii="宋体" w:hAnsi="宋体" w:eastAsia="宋体" w:cs="宋体"/>
                <w:b/>
                <w:bCs/>
                <w:color w:val="auto"/>
                <w:sz w:val="21"/>
                <w:szCs w:val="21"/>
                <w:highlight w:val="none"/>
                <w:u w:val="single"/>
                <w:lang w:eastAsia="zh-CN"/>
              </w:rPr>
              <w:t>当采购数量与实际使用数量不一致时，乙方应根据实际使用量供货，合同的最终结算金额按实际使用量乘以成交单价进行计算，合同的增加的采购金额不得超过原合同采购金额的10%。</w:t>
            </w:r>
          </w:p>
          <w:p w14:paraId="15F46CD5">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270CAA74">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 发票；</w:t>
            </w:r>
          </w:p>
          <w:p w14:paraId="50D105C4">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 制造厂家出具的质量检验证书等；</w:t>
            </w:r>
          </w:p>
          <w:p w14:paraId="0A483086">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 装箱单；</w:t>
            </w:r>
          </w:p>
          <w:p w14:paraId="73B0581A">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 甲方加盖公章证明交付使用合格的验收单。</w:t>
            </w:r>
          </w:p>
        </w:tc>
      </w:tr>
      <w:tr w14:paraId="10DEDD6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415" w:type="dxa"/>
            <w:vAlign w:val="center"/>
          </w:tcPr>
          <w:p w14:paraId="4B7DB7F8">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第二节</w:t>
            </w:r>
          </w:p>
          <w:p w14:paraId="4038495D">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第13.2款</w:t>
            </w:r>
          </w:p>
        </w:tc>
        <w:tc>
          <w:tcPr>
            <w:tcW w:w="1244" w:type="dxa"/>
            <w:vAlign w:val="center"/>
          </w:tcPr>
          <w:p w14:paraId="07D6D206">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履约保证金不予退还的情形</w:t>
            </w:r>
          </w:p>
        </w:tc>
        <w:tc>
          <w:tcPr>
            <w:tcW w:w="6628" w:type="dxa"/>
            <w:vAlign w:val="center"/>
          </w:tcPr>
          <w:p w14:paraId="531646AE">
            <w:pPr>
              <w:keepNext w:val="0"/>
              <w:keepLines w:val="0"/>
              <w:pageBreakBefore w:val="0"/>
              <w:kinsoku/>
              <w:wordWrap/>
              <w:overflowPunct/>
              <w:topLinePunct w:val="0"/>
              <w:bidi w:val="0"/>
              <w:snapToGrid/>
              <w:spacing w:line="380" w:lineRule="exact"/>
              <w:ind w:left="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除不可抗力情况外，投标人出现下列情形之一的，其履约保证金，招标人将视情节决定不予退还或部分不予退还。</w:t>
            </w:r>
          </w:p>
          <w:p w14:paraId="526879E3">
            <w:pPr>
              <w:keepNext w:val="0"/>
              <w:keepLines w:val="0"/>
              <w:pageBreakBefore w:val="0"/>
              <w:kinsoku/>
              <w:wordWrap/>
              <w:overflowPunct/>
              <w:topLinePunct w:val="0"/>
              <w:bidi w:val="0"/>
              <w:snapToGrid/>
              <w:spacing w:line="380" w:lineRule="exact"/>
              <w:ind w:left="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（1）中标人无正当理由拒绝签订合同的，或者在签订合同时向采购人提出附加条件或者更改合同实质性内容要求的；</w:t>
            </w:r>
          </w:p>
          <w:p w14:paraId="4FAB9432">
            <w:pPr>
              <w:keepNext w:val="0"/>
              <w:keepLines w:val="0"/>
              <w:pageBreakBefore w:val="0"/>
              <w:kinsoku/>
              <w:wordWrap/>
              <w:overflowPunct/>
              <w:topLinePunct w:val="0"/>
              <w:bidi w:val="0"/>
              <w:snapToGrid/>
              <w:spacing w:line="380" w:lineRule="exact"/>
              <w:ind w:left="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（2）中标人不履行与采购人订立的合同的；</w:t>
            </w:r>
          </w:p>
          <w:p w14:paraId="6B053A0E">
            <w:pPr>
              <w:keepNext w:val="0"/>
              <w:keepLines w:val="0"/>
              <w:pageBreakBefore w:val="0"/>
              <w:kinsoku/>
              <w:wordWrap/>
              <w:overflowPunct/>
              <w:topLinePunct w:val="0"/>
              <w:bidi w:val="0"/>
              <w:snapToGrid/>
              <w:spacing w:line="380" w:lineRule="exact"/>
              <w:ind w:left="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（3）中标人所供</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或服务不符合招标文件规定要求的；</w:t>
            </w:r>
          </w:p>
          <w:p w14:paraId="34CCA715">
            <w:pPr>
              <w:keepNext w:val="0"/>
              <w:keepLines w:val="0"/>
              <w:pageBreakBefore w:val="0"/>
              <w:kinsoku/>
              <w:wordWrap/>
              <w:overflowPunct/>
              <w:topLinePunct w:val="0"/>
              <w:bidi w:val="0"/>
              <w:snapToGrid/>
              <w:spacing w:line="380" w:lineRule="exact"/>
              <w:ind w:left="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（4）中标人采取欺骗、弄虚作假方式投标的或与其它投标人串通投标的；</w:t>
            </w:r>
          </w:p>
          <w:p w14:paraId="4F88DF7A">
            <w:pPr>
              <w:keepNext w:val="0"/>
              <w:keepLines w:val="0"/>
              <w:pageBreakBefore w:val="0"/>
              <w:kinsoku/>
              <w:wordWrap/>
              <w:overflowPunct/>
              <w:topLinePunct w:val="0"/>
              <w:bidi w:val="0"/>
              <w:snapToGrid/>
              <w:spacing w:line="380" w:lineRule="exact"/>
              <w:ind w:left="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（5）中标人将合同内容转包、违法分包的；</w:t>
            </w:r>
          </w:p>
          <w:p w14:paraId="243157EB">
            <w:pPr>
              <w:keepNext w:val="0"/>
              <w:keepLines w:val="0"/>
              <w:pageBreakBefore w:val="0"/>
              <w:kinsoku/>
              <w:wordWrap/>
              <w:overflowPunct/>
              <w:topLinePunct w:val="0"/>
              <w:bidi w:val="0"/>
              <w:snapToGrid/>
              <w:spacing w:line="380" w:lineRule="exact"/>
              <w:ind w:left="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（6）中标人故意捏造事实或伪造证明材料，进行虚假恶意投诉或反映的。</w:t>
            </w:r>
          </w:p>
        </w:tc>
      </w:tr>
      <w:tr w14:paraId="09BC827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415" w:type="dxa"/>
            <w:vAlign w:val="center"/>
          </w:tcPr>
          <w:p w14:paraId="49A15C69">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第二节</w:t>
            </w:r>
          </w:p>
          <w:p w14:paraId="6469CC80">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第13.3款</w:t>
            </w:r>
          </w:p>
        </w:tc>
        <w:tc>
          <w:tcPr>
            <w:tcW w:w="1244" w:type="dxa"/>
            <w:vAlign w:val="center"/>
          </w:tcPr>
          <w:p w14:paraId="788C4F9B">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履约保证金退还时间及逾期退还的违约金</w:t>
            </w:r>
          </w:p>
        </w:tc>
        <w:tc>
          <w:tcPr>
            <w:tcW w:w="6628" w:type="dxa"/>
            <w:vAlign w:val="center"/>
          </w:tcPr>
          <w:p w14:paraId="0E98866B">
            <w:pPr>
              <w:keepNext w:val="0"/>
              <w:keepLines w:val="0"/>
              <w:pageBreakBefore w:val="0"/>
              <w:kinsoku/>
              <w:wordWrap/>
              <w:overflowPunct/>
              <w:topLinePunct w:val="0"/>
              <w:bidi w:val="0"/>
              <w:snapToGrid/>
              <w:spacing w:line="380" w:lineRule="exact"/>
              <w:ind w:left="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1、合同履行结束后，甲方应及时退还交纳的履约保证金。</w:t>
            </w:r>
          </w:p>
          <w:p w14:paraId="74A5FD2A">
            <w:pPr>
              <w:keepNext w:val="0"/>
              <w:keepLines w:val="0"/>
              <w:pageBreakBefore w:val="0"/>
              <w:kinsoku/>
              <w:wordWrap/>
              <w:overflowPunct/>
              <w:topLinePunct w:val="0"/>
              <w:bidi w:val="0"/>
              <w:snapToGrid/>
              <w:spacing w:line="380" w:lineRule="exact"/>
              <w:ind w:left="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2、退还方式：无息退还至投标人缴纳履约保证金的账户。如为保函，在到期时自行失效。</w:t>
            </w:r>
          </w:p>
          <w:p w14:paraId="6E0BBA9D">
            <w:pPr>
              <w:keepNext w:val="0"/>
              <w:keepLines w:val="0"/>
              <w:pageBreakBefore w:val="0"/>
              <w:kinsoku/>
              <w:wordWrap/>
              <w:overflowPunct/>
              <w:topLinePunct w:val="0"/>
              <w:bidi w:val="0"/>
              <w:snapToGrid/>
              <w:spacing w:line="380" w:lineRule="exact"/>
              <w:ind w:left="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3、退还时间：验收合格且甲方收到发票后30日内。</w:t>
            </w:r>
          </w:p>
          <w:p w14:paraId="7FD5C5AA">
            <w:pPr>
              <w:keepNext w:val="0"/>
              <w:keepLines w:val="0"/>
              <w:pageBreakBefore w:val="0"/>
              <w:kinsoku/>
              <w:wordWrap/>
              <w:overflowPunct/>
              <w:topLinePunct w:val="0"/>
              <w:bidi w:val="0"/>
              <w:snapToGrid/>
              <w:spacing w:line="380" w:lineRule="exact"/>
              <w:ind w:left="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4、退还条件：按合同要求全部履约完成并经采购人验收合格，且采购人收到中标人出具的发票。</w:t>
            </w:r>
          </w:p>
          <w:p w14:paraId="7A99F292">
            <w:pPr>
              <w:keepNext w:val="0"/>
              <w:keepLines w:val="0"/>
              <w:pageBreakBefore w:val="0"/>
              <w:kinsoku/>
              <w:wordWrap/>
              <w:overflowPunct/>
              <w:topLinePunct w:val="0"/>
              <w:bidi w:val="0"/>
              <w:snapToGrid/>
              <w:spacing w:line="380" w:lineRule="exact"/>
              <w:ind w:left="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5、逾期退还的违约责任：采购人逾期无故未退还履约保证金的，按中国人民银行同期贷款基准利率上浮20%后的利率支付超期资金占用费，但因供应商自身原因导致无法及时退还的除外。</w:t>
            </w:r>
          </w:p>
        </w:tc>
      </w:tr>
      <w:tr w14:paraId="5EDE680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415" w:type="dxa"/>
            <w:vAlign w:val="center"/>
          </w:tcPr>
          <w:p w14:paraId="22051307">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第二节</w:t>
            </w:r>
          </w:p>
          <w:p w14:paraId="373A48A3">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第14.1（3）项</w:t>
            </w:r>
          </w:p>
        </w:tc>
        <w:tc>
          <w:tcPr>
            <w:tcW w:w="1244" w:type="dxa"/>
            <w:vAlign w:val="center"/>
          </w:tcPr>
          <w:p w14:paraId="424319CF">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运行监督、维修期限</w:t>
            </w:r>
          </w:p>
        </w:tc>
        <w:tc>
          <w:tcPr>
            <w:tcW w:w="6628" w:type="dxa"/>
            <w:vAlign w:val="center"/>
          </w:tcPr>
          <w:p w14:paraId="73A1662D">
            <w:pPr>
              <w:keepNext w:val="0"/>
              <w:keepLines w:val="0"/>
              <w:pageBreakBefore w:val="0"/>
              <w:kinsoku/>
              <w:wordWrap/>
              <w:overflowPunct/>
              <w:topLinePunct w:val="0"/>
              <w:bidi w:val="0"/>
              <w:snapToGrid/>
              <w:spacing w:line="380" w:lineRule="exact"/>
              <w:ind w:left="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货物</w:t>
            </w:r>
            <w:r>
              <w:rPr>
                <w:rFonts w:hint="eastAsia" w:ascii="宋体" w:hAnsi="宋体" w:eastAsia="宋体" w:cs="宋体"/>
                <w:color w:val="auto"/>
                <w:sz w:val="22"/>
                <w:szCs w:val="22"/>
                <w:highlight w:val="none"/>
                <w:lang w:eastAsia="zh-CN"/>
              </w:rPr>
              <w:t>硬件（含配件）</w:t>
            </w:r>
            <w:r>
              <w:rPr>
                <w:rFonts w:hint="eastAsia" w:ascii="宋体" w:hAnsi="宋体" w:eastAsia="宋体" w:cs="宋体"/>
                <w:color w:val="auto"/>
                <w:sz w:val="22"/>
                <w:szCs w:val="22"/>
                <w:highlight w:val="none"/>
              </w:rPr>
              <w:t>免费质保期</w:t>
            </w:r>
            <w:r>
              <w:rPr>
                <w:rFonts w:hint="eastAsia" w:ascii="宋体" w:hAnsi="宋体" w:eastAsia="宋体" w:cs="宋体"/>
                <w:color w:val="auto"/>
                <w:sz w:val="22"/>
                <w:szCs w:val="22"/>
                <w:highlight w:val="none"/>
                <w:lang w:eastAsia="zh-CN"/>
              </w:rPr>
              <w:t>为</w:t>
            </w:r>
            <w:r>
              <w:rPr>
                <w:rFonts w:hint="eastAsia" w:ascii="宋体" w:hAnsi="宋体" w:eastAsia="宋体" w:cs="宋体"/>
                <w:color w:val="auto"/>
                <w:sz w:val="22"/>
                <w:szCs w:val="22"/>
                <w:highlight w:val="none"/>
                <w:u w:val="none"/>
                <w:lang w:eastAsia="zh-CN"/>
              </w:rPr>
              <w:t>五</w:t>
            </w:r>
            <w:r>
              <w:rPr>
                <w:rFonts w:hint="eastAsia" w:ascii="宋体" w:hAnsi="宋体" w:eastAsia="宋体" w:cs="宋体"/>
                <w:color w:val="auto"/>
                <w:sz w:val="22"/>
                <w:szCs w:val="22"/>
                <w:highlight w:val="none"/>
                <w:u w:val="none"/>
              </w:rPr>
              <w:t>年</w:t>
            </w:r>
            <w:r>
              <w:rPr>
                <w:rFonts w:hint="eastAsia" w:ascii="宋体" w:hAnsi="宋体" w:eastAsia="宋体" w:cs="宋体"/>
                <w:color w:val="auto"/>
                <w:sz w:val="22"/>
                <w:szCs w:val="22"/>
                <w:highlight w:val="none"/>
                <w:lang w:eastAsia="zh-CN"/>
              </w:rPr>
              <w:t>、软件及其他合同内容</w:t>
            </w:r>
            <w:r>
              <w:rPr>
                <w:rFonts w:hint="eastAsia" w:ascii="宋体" w:hAnsi="宋体" w:eastAsia="宋体" w:cs="宋体"/>
                <w:color w:val="auto"/>
                <w:sz w:val="22"/>
                <w:szCs w:val="22"/>
                <w:highlight w:val="none"/>
              </w:rPr>
              <w:t>免费质保期</w:t>
            </w:r>
            <w:r>
              <w:rPr>
                <w:rFonts w:hint="eastAsia" w:ascii="宋体" w:hAnsi="宋体" w:eastAsia="宋体" w:cs="宋体"/>
                <w:color w:val="auto"/>
                <w:sz w:val="22"/>
                <w:szCs w:val="22"/>
                <w:highlight w:val="none"/>
                <w:u w:val="none"/>
                <w:lang w:eastAsia="zh-CN"/>
              </w:rPr>
              <w:t>均为三</w:t>
            </w:r>
            <w:r>
              <w:rPr>
                <w:rFonts w:hint="eastAsia" w:ascii="宋体" w:hAnsi="宋体" w:eastAsia="宋体" w:cs="宋体"/>
                <w:color w:val="auto"/>
                <w:sz w:val="22"/>
                <w:szCs w:val="22"/>
                <w:highlight w:val="none"/>
                <w:u w:val="none"/>
              </w:rPr>
              <w:t>年</w:t>
            </w:r>
            <w:r>
              <w:rPr>
                <w:rFonts w:hint="eastAsia" w:ascii="宋体" w:hAnsi="宋体" w:eastAsia="宋体" w:cs="宋体"/>
                <w:color w:val="auto"/>
                <w:sz w:val="22"/>
                <w:szCs w:val="22"/>
                <w:highlight w:val="none"/>
              </w:rPr>
              <w:t>（自交货验收合格之日起计）。在质保期内，乙方应对</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出现的质量及安全问题负责处理解决并承担一切费用。</w:t>
            </w:r>
          </w:p>
        </w:tc>
      </w:tr>
      <w:tr w14:paraId="6DD19EF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415" w:type="dxa"/>
            <w:vAlign w:val="center"/>
          </w:tcPr>
          <w:p w14:paraId="0249D6CD">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第二节</w:t>
            </w:r>
          </w:p>
          <w:p w14:paraId="6E8EC4D5">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第14.1（5）项</w:t>
            </w:r>
          </w:p>
        </w:tc>
        <w:tc>
          <w:tcPr>
            <w:tcW w:w="1244" w:type="dxa"/>
            <w:vAlign w:val="center"/>
          </w:tcPr>
          <w:p w14:paraId="7DC982B0">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货物回收的约定</w:t>
            </w:r>
          </w:p>
        </w:tc>
        <w:tc>
          <w:tcPr>
            <w:tcW w:w="6628" w:type="dxa"/>
            <w:vAlign w:val="center"/>
          </w:tcPr>
          <w:p w14:paraId="6D4C9173">
            <w:pPr>
              <w:keepNext w:val="0"/>
              <w:keepLines w:val="0"/>
              <w:pageBreakBefore w:val="0"/>
              <w:kinsoku/>
              <w:wordWrap/>
              <w:overflowPunct/>
              <w:topLinePunct w:val="0"/>
              <w:bidi w:val="0"/>
              <w:snapToGrid/>
              <w:spacing w:line="380" w:lineRule="exact"/>
              <w:ind w:left="0"/>
              <w:textAlignment w:val="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w:t>
            </w:r>
          </w:p>
        </w:tc>
      </w:tr>
      <w:tr w14:paraId="2E9836B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415" w:type="dxa"/>
            <w:vAlign w:val="center"/>
          </w:tcPr>
          <w:p w14:paraId="7C88A85E">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第二节</w:t>
            </w:r>
          </w:p>
          <w:p w14:paraId="12BF3EDE">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第14.1（6）项</w:t>
            </w:r>
          </w:p>
        </w:tc>
        <w:tc>
          <w:tcPr>
            <w:tcW w:w="1244" w:type="dxa"/>
            <w:vAlign w:val="center"/>
          </w:tcPr>
          <w:p w14:paraId="2EEF2EAB">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乙方提供的其他服务</w:t>
            </w:r>
          </w:p>
        </w:tc>
        <w:tc>
          <w:tcPr>
            <w:tcW w:w="6628" w:type="dxa"/>
            <w:vAlign w:val="center"/>
          </w:tcPr>
          <w:p w14:paraId="7F36749F">
            <w:pPr>
              <w:keepNext w:val="0"/>
              <w:keepLines w:val="0"/>
              <w:pageBreakBefore w:val="0"/>
              <w:kinsoku/>
              <w:wordWrap/>
              <w:overflowPunct/>
              <w:topLinePunct w:val="0"/>
              <w:bidi w:val="0"/>
              <w:snapToGrid/>
              <w:spacing w:line="380" w:lineRule="exact"/>
              <w:ind w:left="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超过保修期的</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，终生维修，维修时只收部件成本费。</w:t>
            </w:r>
          </w:p>
        </w:tc>
      </w:tr>
      <w:tr w14:paraId="6C8BC33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415" w:type="dxa"/>
            <w:vAlign w:val="center"/>
          </w:tcPr>
          <w:p w14:paraId="475D7AFB">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第二节</w:t>
            </w:r>
          </w:p>
          <w:p w14:paraId="02048124">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第15.1款</w:t>
            </w:r>
          </w:p>
        </w:tc>
        <w:tc>
          <w:tcPr>
            <w:tcW w:w="1244" w:type="dxa"/>
            <w:vAlign w:val="center"/>
          </w:tcPr>
          <w:p w14:paraId="1A9A6E07">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修理、重作、更换相关具体规定</w:t>
            </w:r>
          </w:p>
        </w:tc>
        <w:tc>
          <w:tcPr>
            <w:tcW w:w="6628" w:type="dxa"/>
            <w:vAlign w:val="center"/>
          </w:tcPr>
          <w:p w14:paraId="5069DD00">
            <w:pPr>
              <w:keepNext w:val="0"/>
              <w:keepLines w:val="0"/>
              <w:pageBreakBefore w:val="0"/>
              <w:numPr>
                <w:ilvl w:val="0"/>
                <w:numId w:val="10"/>
              </w:numPr>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详见合同通用条款8.2条款、合同专用条款第二节第8款补充条款及合同专用条款中索赔条款。</w:t>
            </w:r>
          </w:p>
          <w:p w14:paraId="6195205B">
            <w:pPr>
              <w:keepNext w:val="0"/>
              <w:keepLines w:val="0"/>
              <w:pageBreakBefore w:val="0"/>
              <w:numPr>
                <w:ilvl w:val="0"/>
                <w:numId w:val="10"/>
              </w:numPr>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乙方所交的</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品种、型号、规格、技术参数、质量不符合合同规定及招标文件规定标准的，甲方有权拒收该</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，乙方愿意更换</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但逾期交货的，按乙方逾期交货处理。乙方拒绝更换</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的，甲方可单方面解除合同。</w:t>
            </w:r>
          </w:p>
        </w:tc>
      </w:tr>
      <w:tr w14:paraId="7BC45D0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415" w:type="dxa"/>
            <w:vAlign w:val="center"/>
          </w:tcPr>
          <w:p w14:paraId="725C5AF8">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第二节</w:t>
            </w:r>
          </w:p>
          <w:p w14:paraId="7EE76434">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第15.2（2）项</w:t>
            </w:r>
          </w:p>
        </w:tc>
        <w:tc>
          <w:tcPr>
            <w:tcW w:w="1244" w:type="dxa"/>
            <w:vAlign w:val="center"/>
          </w:tcPr>
          <w:p w14:paraId="64605CF1">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迟延交货赔偿费</w:t>
            </w:r>
          </w:p>
        </w:tc>
        <w:tc>
          <w:tcPr>
            <w:tcW w:w="6628" w:type="dxa"/>
            <w:vAlign w:val="center"/>
          </w:tcPr>
          <w:p w14:paraId="44FBDBB7">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1.乙方应按照“开标（报价）一览表”中规定的交货期或承诺交货和提供服务，并交付甲方验收使用。</w:t>
            </w:r>
          </w:p>
          <w:p w14:paraId="2A7918B1">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2.如果乙方无正当理由拖延交货，将受到以下制裁：加收误期赔偿或终止合同。</w:t>
            </w:r>
          </w:p>
          <w:p w14:paraId="53515517">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 乙方逾期交付</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的，乙方应按逾期交货总额每日</w:t>
            </w:r>
            <w:r>
              <w:rPr>
                <w:rFonts w:hint="eastAsia" w:ascii="宋体" w:hAnsi="宋体" w:eastAsia="宋体" w:cs="宋体"/>
                <w:color w:val="auto"/>
                <w:sz w:val="22"/>
                <w:szCs w:val="22"/>
                <w:highlight w:val="none"/>
                <w:u w:val="single"/>
                <w:lang w:val="en-US" w:eastAsia="zh-CN"/>
              </w:rPr>
              <w:t>10‰</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向甲方支付违约金，由甲方从待付货款中扣除。逾期超过约定日期</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10</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个工作日不能交货的，甲方可解除本合同。乙方因逾期交货或因其他违约行为导致甲方解除合同的，乙方应向甲方支付合同总值</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5%</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的违约金，如造成甲方损失超过违约金的，超出部分由乙方继续承担赔偿责任。 </w:t>
            </w:r>
          </w:p>
          <w:p w14:paraId="0D8C811F">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4.如乙方不能交付</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，或者有违法转包他人情形，乙方应向甲方支付合同总价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5%</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的滞纳金。</w:t>
            </w:r>
          </w:p>
        </w:tc>
      </w:tr>
      <w:tr w14:paraId="60F52C1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415" w:type="dxa"/>
            <w:vAlign w:val="center"/>
          </w:tcPr>
          <w:p w14:paraId="34E9A35D">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第二节</w:t>
            </w:r>
          </w:p>
          <w:p w14:paraId="433AF32D">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第15.3款</w:t>
            </w:r>
          </w:p>
        </w:tc>
        <w:tc>
          <w:tcPr>
            <w:tcW w:w="1244" w:type="dxa"/>
            <w:vAlign w:val="center"/>
          </w:tcPr>
          <w:p w14:paraId="50217F32">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逾期付款利息</w:t>
            </w:r>
          </w:p>
        </w:tc>
        <w:tc>
          <w:tcPr>
            <w:tcW w:w="6628" w:type="dxa"/>
            <w:vAlign w:val="center"/>
          </w:tcPr>
          <w:p w14:paraId="0018599A">
            <w:pPr>
              <w:pStyle w:val="11"/>
              <w:keepNext w:val="0"/>
              <w:keepLines w:val="0"/>
              <w:pageBreakBefore w:val="0"/>
              <w:numPr>
                <w:ilvl w:val="0"/>
                <w:numId w:val="11"/>
              </w:numPr>
              <w:kinsoku/>
              <w:wordWrap/>
              <w:overflowPunct/>
              <w:topLinePunct w:val="0"/>
              <w:bidi w:val="0"/>
              <w:snapToGrid/>
              <w:spacing w:beforeAutospacing="0" w:afterAutospacing="0" w:line="380" w:lineRule="exact"/>
              <w:ind w:left="0" w:hanging="41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甲方无正当理由拒收</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的，甲方向乙方偿付拒收货款总值</w:t>
            </w:r>
            <w:r>
              <w:rPr>
                <w:rFonts w:hint="eastAsia" w:ascii="宋体" w:hAnsi="宋体" w:eastAsia="宋体" w:cs="宋体"/>
                <w:color w:val="auto"/>
                <w:sz w:val="22"/>
                <w:szCs w:val="22"/>
                <w:highlight w:val="none"/>
                <w:u w:val="single"/>
              </w:rPr>
              <w:t> </w:t>
            </w:r>
            <w:r>
              <w:rPr>
                <w:rFonts w:hint="eastAsia" w:ascii="宋体" w:hAnsi="宋体" w:eastAsia="宋体" w:cs="宋体"/>
                <w:color w:val="auto"/>
                <w:sz w:val="22"/>
                <w:szCs w:val="22"/>
                <w:highlight w:val="none"/>
                <w:u w:val="single"/>
                <w:lang w:val="en-US" w:eastAsia="zh-CN"/>
              </w:rPr>
              <w:t>5%</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的违约金。</w:t>
            </w:r>
          </w:p>
          <w:p w14:paraId="57894737">
            <w:pPr>
              <w:pStyle w:val="11"/>
              <w:keepNext w:val="0"/>
              <w:keepLines w:val="0"/>
              <w:pageBreakBefore w:val="0"/>
              <w:numPr>
                <w:ilvl w:val="0"/>
                <w:numId w:val="11"/>
              </w:numPr>
              <w:kinsoku/>
              <w:wordWrap/>
              <w:overflowPunct/>
              <w:topLinePunct w:val="0"/>
              <w:bidi w:val="0"/>
              <w:snapToGrid/>
              <w:spacing w:beforeAutospacing="0" w:afterAutospacing="0" w:line="380" w:lineRule="exact"/>
              <w:ind w:left="0" w:leftChars="0" w:hanging="410" w:firstLineChars="0"/>
              <w:jc w:val="both"/>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甲方无故逾期验收和办理货款支付手续的,甲方应按逾期付款总额每日</w:t>
            </w:r>
            <w:r>
              <w:rPr>
                <w:rFonts w:hint="eastAsia" w:ascii="宋体" w:hAnsi="宋体" w:eastAsia="宋体" w:cs="宋体"/>
                <w:color w:val="auto"/>
                <w:sz w:val="22"/>
                <w:szCs w:val="22"/>
                <w:highlight w:val="none"/>
                <w:u w:val="single"/>
              </w:rPr>
              <w:t> </w:t>
            </w:r>
            <w:r>
              <w:rPr>
                <w:rFonts w:hint="eastAsia" w:ascii="宋体" w:hAnsi="宋体" w:eastAsia="宋体" w:cs="宋体"/>
                <w:color w:val="auto"/>
                <w:sz w:val="22"/>
                <w:szCs w:val="22"/>
                <w:highlight w:val="none"/>
                <w:u w:val="single"/>
                <w:lang w:val="en-US" w:eastAsia="zh-CN"/>
              </w:rPr>
              <w:t>5%</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向乙方支付违约金。</w:t>
            </w:r>
          </w:p>
        </w:tc>
      </w:tr>
      <w:tr w14:paraId="72806E0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415" w:type="dxa"/>
            <w:tcBorders>
              <w:bottom w:val="single" w:color="000000" w:sz="2" w:space="0"/>
              <w:right w:val="single" w:color="000000" w:sz="2" w:space="0"/>
            </w:tcBorders>
            <w:vAlign w:val="center"/>
          </w:tcPr>
          <w:p w14:paraId="6B189FCE">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第二节</w:t>
            </w:r>
          </w:p>
          <w:p w14:paraId="7FA2B403">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第15.4款</w:t>
            </w:r>
          </w:p>
        </w:tc>
        <w:tc>
          <w:tcPr>
            <w:tcW w:w="1244" w:type="dxa"/>
            <w:tcBorders>
              <w:left w:val="single" w:color="000000" w:sz="2" w:space="0"/>
              <w:bottom w:val="single" w:color="000000" w:sz="2" w:space="0"/>
              <w:right w:val="single" w:color="000000" w:sz="2" w:space="0"/>
            </w:tcBorders>
            <w:vAlign w:val="center"/>
          </w:tcPr>
          <w:p w14:paraId="5C83D1FA">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其他违约责任</w:t>
            </w:r>
          </w:p>
        </w:tc>
        <w:tc>
          <w:tcPr>
            <w:tcW w:w="6628" w:type="dxa"/>
            <w:tcBorders>
              <w:left w:val="single" w:color="000000" w:sz="2" w:space="0"/>
              <w:bottom w:val="single" w:color="000000" w:sz="2" w:space="0"/>
            </w:tcBorders>
            <w:vAlign w:val="center"/>
          </w:tcPr>
          <w:p w14:paraId="0A61C3AD">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乙方交付合同标的的标准不符合合同规定及招标文件规定标准的，甲方有权拒绝接受合同标的，并可单方面解除合同。</w:t>
            </w:r>
          </w:p>
        </w:tc>
      </w:tr>
      <w:tr w14:paraId="0FF8AF0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415" w:type="dxa"/>
            <w:tcBorders>
              <w:top w:val="single" w:color="000000" w:sz="2" w:space="0"/>
              <w:right w:val="single" w:color="000000" w:sz="2" w:space="0"/>
            </w:tcBorders>
            <w:vAlign w:val="center"/>
          </w:tcPr>
          <w:p w14:paraId="07915DFA">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第二节</w:t>
            </w:r>
          </w:p>
          <w:p w14:paraId="6CFE7DF2">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第19.2款</w:t>
            </w:r>
          </w:p>
        </w:tc>
        <w:tc>
          <w:tcPr>
            <w:tcW w:w="1244" w:type="dxa"/>
            <w:tcBorders>
              <w:top w:val="single" w:color="000000" w:sz="2" w:space="0"/>
              <w:left w:val="single" w:color="000000" w:sz="2" w:space="0"/>
              <w:right w:val="single" w:color="000000" w:sz="2" w:space="0"/>
            </w:tcBorders>
            <w:vAlign w:val="center"/>
          </w:tcPr>
          <w:p w14:paraId="521DD99E">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解决争议的方法</w:t>
            </w:r>
          </w:p>
        </w:tc>
        <w:tc>
          <w:tcPr>
            <w:tcW w:w="6628" w:type="dxa"/>
            <w:tcBorders>
              <w:top w:val="single" w:color="000000" w:sz="2" w:space="0"/>
              <w:left w:val="single" w:color="000000" w:sz="2" w:space="0"/>
            </w:tcBorders>
            <w:vAlign w:val="center"/>
          </w:tcPr>
          <w:p w14:paraId="29669F4D">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1.因本合同及合同有关事项发生的争议，由双方协商解决，协商不成时，按下列第</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2</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种方式解决：</w:t>
            </w:r>
          </w:p>
          <w:p w14:paraId="25FFA7CF">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（1）向仲裁委员会申请仲裁，仲裁地点为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p>
          <w:p w14:paraId="66307269">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（2）向甲方所在地人民法院起诉。</w:t>
            </w:r>
          </w:p>
          <w:p w14:paraId="0EC30F63">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 纠纷解决办法</w:t>
            </w:r>
          </w:p>
          <w:p w14:paraId="5FFDEC39">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2.1因</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的质量问题发生争议的，应当邀请国家认可的质量检测机构对</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质量进行鉴定。</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符合标准的，鉴定费由甲方承担；</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不符合质量标准的，鉴定费由乙方承担，并更换问题</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w:t>
            </w:r>
          </w:p>
        </w:tc>
      </w:tr>
      <w:tr w14:paraId="5A9C9DB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415" w:type="dxa"/>
            <w:vAlign w:val="center"/>
          </w:tcPr>
          <w:p w14:paraId="705D478B">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第二节</w:t>
            </w:r>
          </w:p>
          <w:p w14:paraId="1A89F5EB">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第23.1款</w:t>
            </w:r>
          </w:p>
        </w:tc>
        <w:tc>
          <w:tcPr>
            <w:tcW w:w="1244" w:type="dxa"/>
            <w:vAlign w:val="center"/>
          </w:tcPr>
          <w:p w14:paraId="20036AFB">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其他专用条款</w:t>
            </w:r>
          </w:p>
        </w:tc>
        <w:tc>
          <w:tcPr>
            <w:tcW w:w="6628" w:type="dxa"/>
            <w:vAlign w:val="center"/>
          </w:tcPr>
          <w:p w14:paraId="1586B070">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1.在发货前，乙方应对</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的质量、规格、性能、数量和重量等进行准确而全面的检验，并出具一份证明</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符合合同规定的证书。该证书将作为提交付款单据的一部分，但有关质量、规格、性能、数量或重量的检验不应视为最终检验。乙方检验的结果和细节应附在检验证书后面。</w:t>
            </w:r>
          </w:p>
          <w:p w14:paraId="1A09479E">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2.甲方将在乙方交货现场组织验收，如果</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的质量和规格与合同规定相符，甲方应及时填写验收单。如果</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的质量和规格与合同规定不符，或在质量保证期内发现</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是有缺陷的，包括潜在缺陷或使用不符合要求的材料，甲方应报请当地质检部门进行检查，并有权凭其出具的检验报告向乙方提出索赔。</w:t>
            </w:r>
          </w:p>
          <w:p w14:paraId="57C134DB">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3.验收不合格的</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，乙方应在</w:t>
            </w:r>
            <w:r>
              <w:rPr>
                <w:rFonts w:hint="eastAsia" w:ascii="宋体" w:hAnsi="宋体" w:eastAsia="宋体" w:cs="宋体"/>
                <w:color w:val="auto"/>
                <w:sz w:val="22"/>
                <w:szCs w:val="22"/>
                <w:highlight w:val="none"/>
                <w:u w:val="single"/>
                <w:lang w:val="en-US" w:eastAsia="zh-CN"/>
              </w:rPr>
              <w:t>3</w:t>
            </w:r>
            <w:r>
              <w:rPr>
                <w:rFonts w:hint="eastAsia" w:ascii="宋体" w:hAnsi="宋体" w:eastAsia="宋体" w:cs="宋体"/>
                <w:color w:val="auto"/>
                <w:sz w:val="22"/>
                <w:szCs w:val="22"/>
                <w:highlight w:val="none"/>
              </w:rPr>
              <w:t>个工作日内予以更换，逾期按交货延误予以处罚。乙方所交付的</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品种、型号、规格不符合合同规定的，甲方有权拒收。甲方拒收的，乙方向甲方支付货款总额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5</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%的违约金。在乙方承诺的或国家规定的质量保证期内，若经乙方维修或更换，</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仍不能达到合同约定的质量标准，甲方有权退货，乙方应退回全部货款，同时，乙方还须赔偿甲方因此遭受的损失。</w:t>
            </w:r>
          </w:p>
          <w:p w14:paraId="37528434">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验收要求</w:t>
            </w:r>
          </w:p>
          <w:p w14:paraId="12F7EFE2">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（1）依照招标文件要求对全部</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、型号、规格</w:t>
            </w:r>
            <w:r>
              <w:rPr>
                <w:rFonts w:hint="eastAsia" w:ascii="宋体" w:hAnsi="宋体" w:eastAsia="宋体" w:cs="宋体"/>
                <w:color w:val="auto"/>
                <w:sz w:val="22"/>
                <w:szCs w:val="22"/>
                <w:highlight w:val="none"/>
                <w:lang w:eastAsia="zh-CN"/>
              </w:rPr>
              <w:t>（技术参数标准）</w:t>
            </w:r>
            <w:r>
              <w:rPr>
                <w:rFonts w:hint="eastAsia" w:ascii="宋体" w:hAnsi="宋体" w:eastAsia="宋体" w:cs="宋体"/>
                <w:color w:val="auto"/>
                <w:sz w:val="22"/>
                <w:szCs w:val="22"/>
                <w:highlight w:val="none"/>
              </w:rPr>
              <w:t>、数量、外型、外观、包装及资料、文件（如装箱单、保修单、随箱介质等）进行验收。</w:t>
            </w:r>
          </w:p>
          <w:p w14:paraId="132B10E1">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（2）甲方与乙方对货物到货后共同进行开箱检查，出现损坏、数量不全或产品不对等问题时，由乙方负责解决。</w:t>
            </w:r>
          </w:p>
          <w:p w14:paraId="344BEB8C">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（3）甲方有权从乙方所送</w:t>
            </w:r>
            <w:r>
              <w:rPr>
                <w:rFonts w:hint="eastAsia" w:ascii="宋体" w:hAnsi="宋体" w:eastAsia="宋体" w:cs="宋体"/>
                <w:color w:val="auto"/>
                <w:sz w:val="22"/>
                <w:szCs w:val="22"/>
                <w:highlight w:val="none"/>
                <w:lang w:eastAsia="zh-CN"/>
              </w:rPr>
              <w:t>货物</w:t>
            </w:r>
            <w:r>
              <w:rPr>
                <w:rFonts w:hint="eastAsia" w:ascii="宋体" w:hAnsi="宋体" w:eastAsia="宋体" w:cs="宋体"/>
                <w:color w:val="auto"/>
                <w:sz w:val="22"/>
                <w:szCs w:val="22"/>
                <w:highlight w:val="none"/>
              </w:rPr>
              <w:t>中任意抽出不同型号的产品送采购人所在地的质检部门检验，如果检验合格，检验费由甲方负担；如果检验不合格，则检验费由乙方负担。</w:t>
            </w:r>
          </w:p>
          <w:p w14:paraId="5CA7F87C">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（4）乙方应按照本合同规定的时间、地点和方式向乙方交付</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w:t>
            </w:r>
          </w:p>
          <w:p w14:paraId="04D842D2">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交货时间：</w:t>
            </w:r>
            <w:r>
              <w:rPr>
                <w:rFonts w:hint="eastAsia" w:ascii="宋体" w:hAnsi="宋体" w:eastAsia="宋体" w:cs="宋体"/>
                <w:color w:val="auto"/>
                <w:sz w:val="22"/>
                <w:szCs w:val="22"/>
                <w:highlight w:val="none"/>
                <w:lang w:val="en-US" w:eastAsia="zh-CN"/>
              </w:rPr>
              <w:t>合同签订60日历天内完成全部软件和硬件设备的开发、采购、包装、运输、供货、安装、调试、验收等，并交付采购人正常投入使用</w:t>
            </w:r>
            <w:r>
              <w:rPr>
                <w:rFonts w:hint="eastAsia" w:ascii="宋体" w:hAnsi="宋体" w:eastAsia="宋体" w:cs="宋体"/>
                <w:color w:val="auto"/>
                <w:sz w:val="22"/>
                <w:szCs w:val="22"/>
                <w:highlight w:val="none"/>
              </w:rPr>
              <w:t>。</w:t>
            </w:r>
          </w:p>
          <w:p w14:paraId="2881CD09">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交货地点：</w:t>
            </w:r>
            <w:r>
              <w:rPr>
                <w:rFonts w:hint="eastAsia" w:ascii="宋体" w:hAnsi="宋体" w:eastAsia="宋体" w:cs="宋体"/>
                <w:color w:val="auto"/>
                <w:sz w:val="22"/>
                <w:szCs w:val="22"/>
                <w:highlight w:val="none"/>
                <w:u w:val="single"/>
                <w:lang w:eastAsia="zh-CN"/>
              </w:rPr>
              <w:t>甲方要求的供货和安装地点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p>
          <w:p w14:paraId="1CF0FCAD">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（5）甲方应在全部</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到货安装完毕后的</w:t>
            </w:r>
            <w:r>
              <w:rPr>
                <w:rFonts w:hint="eastAsia" w:ascii="宋体" w:hAnsi="宋体" w:eastAsia="宋体" w:cs="宋体"/>
                <w:color w:val="auto"/>
                <w:sz w:val="22"/>
                <w:szCs w:val="22"/>
                <w:highlight w:val="none"/>
                <w:lang w:val="en-US" w:eastAsia="zh-CN"/>
              </w:rPr>
              <w:t>10个工作日</w:t>
            </w:r>
            <w:r>
              <w:rPr>
                <w:rFonts w:hint="eastAsia" w:ascii="宋体" w:hAnsi="宋体" w:eastAsia="宋体" w:cs="宋体"/>
                <w:color w:val="auto"/>
                <w:sz w:val="22"/>
                <w:szCs w:val="22"/>
                <w:highlight w:val="none"/>
              </w:rPr>
              <w:t>进行验收，验收包括：型号、规格、数量、外观是否完好，安装调试是否合格等。验收合格后甲方应在验收报告上签字盖章，初步验收合格且项目运行满</w:t>
            </w:r>
            <w:r>
              <w:rPr>
                <w:rFonts w:hint="eastAsia" w:ascii="宋体" w:hAnsi="宋体" w:eastAsia="宋体" w:cs="宋体"/>
                <w:color w:val="auto"/>
                <w:sz w:val="22"/>
                <w:szCs w:val="22"/>
                <w:highlight w:val="none"/>
                <w:lang w:eastAsia="zh-CN"/>
              </w:rPr>
              <w:t>一</w:t>
            </w:r>
            <w:r>
              <w:rPr>
                <w:rFonts w:hint="eastAsia" w:ascii="宋体" w:hAnsi="宋体" w:eastAsia="宋体" w:cs="宋体"/>
                <w:color w:val="auto"/>
                <w:sz w:val="22"/>
                <w:szCs w:val="22"/>
                <w:highlight w:val="none"/>
              </w:rPr>
              <w:t>个月后，甲方组织对货物</w:t>
            </w:r>
            <w:r>
              <w:rPr>
                <w:rFonts w:hint="eastAsia" w:ascii="宋体" w:hAnsi="宋体" w:eastAsia="宋体" w:cs="宋体"/>
                <w:color w:val="auto"/>
                <w:sz w:val="22"/>
                <w:szCs w:val="22"/>
                <w:highlight w:val="none"/>
                <w:lang w:eastAsia="zh-CN"/>
              </w:rPr>
              <w:t>（含软件）</w:t>
            </w:r>
            <w:r>
              <w:rPr>
                <w:rFonts w:hint="eastAsia" w:ascii="宋体" w:hAnsi="宋体" w:eastAsia="宋体" w:cs="宋体"/>
                <w:color w:val="auto"/>
                <w:sz w:val="22"/>
                <w:szCs w:val="22"/>
                <w:highlight w:val="none"/>
              </w:rPr>
              <w:t>的质量及使用状况等进行最终验收。</w:t>
            </w:r>
          </w:p>
          <w:p w14:paraId="5072DB5C">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（6）货</w:t>
            </w:r>
            <w:r>
              <w:rPr>
                <w:rFonts w:hint="eastAsia" w:ascii="宋体" w:hAnsi="宋体" w:eastAsia="宋体" w:cs="宋体"/>
                <w:color w:val="auto"/>
                <w:sz w:val="22"/>
                <w:szCs w:val="22"/>
                <w:highlight w:val="none"/>
                <w:lang w:eastAsia="zh-CN"/>
              </w:rPr>
              <w:t>（硬件及配件）</w:t>
            </w:r>
            <w:r>
              <w:rPr>
                <w:rFonts w:hint="eastAsia" w:ascii="宋体" w:hAnsi="宋体" w:eastAsia="宋体" w:cs="宋体"/>
                <w:color w:val="auto"/>
                <w:sz w:val="22"/>
                <w:szCs w:val="22"/>
                <w:highlight w:val="none"/>
              </w:rPr>
              <w:t>到现场后，甲方人员根据招标要求，对包装物进行视检和抽检，如包装物不符合招标要求，甲方有权将包装物送至市级及以上检测机构送检。因检测不合格延误了交付进度，乙方应承担相应的违约责任。</w:t>
            </w:r>
          </w:p>
          <w:p w14:paraId="683E1A1C">
            <w:pPr>
              <w:keepNext w:val="0"/>
              <w:keepLines w:val="0"/>
              <w:pageBreakBefore w:val="0"/>
              <w:kinsoku/>
              <w:wordWrap/>
              <w:overflowPunct/>
              <w:topLinePunct w:val="0"/>
              <w:bidi w:val="0"/>
              <w:snapToGrid/>
              <w:spacing w:line="380" w:lineRule="exact"/>
              <w:ind w:left="0"/>
              <w:jc w:val="left"/>
              <w:textAlignment w:val="auto"/>
              <w:rPr>
                <w:rFonts w:hint="default" w:eastAsia="宋体"/>
                <w:lang w:val="en-US" w:eastAsia="zh-CN"/>
              </w:rPr>
            </w:pPr>
            <w:r>
              <w:rPr>
                <w:rFonts w:hint="eastAsia" w:ascii="宋体" w:hAnsi="宋体" w:eastAsia="宋体" w:cs="宋体"/>
                <w:color w:val="auto"/>
                <w:sz w:val="22"/>
                <w:szCs w:val="22"/>
                <w:highlight w:val="none"/>
                <w:lang w:val="en-US" w:eastAsia="zh-CN"/>
              </w:rPr>
              <w:t>（7）本合同中所有软件和货物（含软件）验收的要求和标准等，合同中未列明的均以本项目招标文件约定和乙方中标投标文件承诺为准；如上述条款有未提及或相互矛盾的，按国家或地方最新规范标准执行，无参考标准的均以有利于甲方的标准执行。</w:t>
            </w:r>
          </w:p>
        </w:tc>
      </w:tr>
      <w:tr w14:paraId="1A765E8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415" w:type="dxa"/>
            <w:vAlign w:val="center"/>
          </w:tcPr>
          <w:p w14:paraId="6DB4D5A2">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p>
        </w:tc>
        <w:tc>
          <w:tcPr>
            <w:tcW w:w="1244" w:type="dxa"/>
            <w:vAlign w:val="center"/>
          </w:tcPr>
          <w:p w14:paraId="7FD92D12">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税费</w:t>
            </w:r>
          </w:p>
        </w:tc>
        <w:tc>
          <w:tcPr>
            <w:tcW w:w="6628" w:type="dxa"/>
            <w:vAlign w:val="center"/>
          </w:tcPr>
          <w:p w14:paraId="740445F9">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1.中国政府根据现行税法规定对甲方征收的与本合同有关的一切税费均由甲方负担（免税部分除外），招标文件另有规定的除外。</w:t>
            </w:r>
          </w:p>
          <w:p w14:paraId="5F434005">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2.中国政府根据现行税法规定对乙方征收的与本合同有关的一切税费均由乙方负担（免税部分除外）。</w:t>
            </w:r>
          </w:p>
        </w:tc>
      </w:tr>
      <w:tr w14:paraId="5A2CF6C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384" w:hRule="atLeast"/>
        </w:trPr>
        <w:tc>
          <w:tcPr>
            <w:tcW w:w="1415" w:type="dxa"/>
            <w:vAlign w:val="center"/>
          </w:tcPr>
          <w:p w14:paraId="0E13F9FF">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p>
        </w:tc>
        <w:tc>
          <w:tcPr>
            <w:tcW w:w="1244" w:type="dxa"/>
            <w:vAlign w:val="center"/>
          </w:tcPr>
          <w:p w14:paraId="3C991010">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伴随服务</w:t>
            </w:r>
          </w:p>
        </w:tc>
        <w:tc>
          <w:tcPr>
            <w:tcW w:w="6628" w:type="dxa"/>
            <w:vAlign w:val="center"/>
          </w:tcPr>
          <w:p w14:paraId="6CF628B7">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1.乙方应按照国家</w:t>
            </w:r>
            <w:r>
              <w:rPr>
                <w:rFonts w:hint="eastAsia" w:ascii="宋体" w:hAnsi="宋体" w:eastAsia="宋体" w:cs="宋体"/>
                <w:b/>
                <w:color w:val="auto"/>
                <w:sz w:val="22"/>
                <w:szCs w:val="22"/>
                <w:highlight w:val="none"/>
              </w:rPr>
              <w:t>“新三包”</w:t>
            </w:r>
            <w:r>
              <w:rPr>
                <w:rFonts w:hint="eastAsia" w:ascii="宋体" w:hAnsi="宋体" w:eastAsia="宋体" w:cs="宋体"/>
                <w:color w:val="auto"/>
                <w:sz w:val="22"/>
                <w:szCs w:val="22"/>
                <w:highlight w:val="none"/>
              </w:rPr>
              <w:t>规定和合同中所附的服务承诺提供服务。</w:t>
            </w:r>
          </w:p>
          <w:p w14:paraId="0BEBDB6C">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2.除第1条规定外，乙方还应提供下列服务：</w:t>
            </w:r>
          </w:p>
          <w:p w14:paraId="4AAC5D65">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 (1) 招标文件中的“服务要求”所规定的服务内容以及投标文件承诺提供的其他服务内容；</w:t>
            </w:r>
          </w:p>
          <w:p w14:paraId="26B48607">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(2) 负责货物的开孔，货物的现场安装；</w:t>
            </w:r>
          </w:p>
          <w:p w14:paraId="3882F7A1">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(3) 提供</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组装和维修所需的工具；</w:t>
            </w:r>
          </w:p>
          <w:p w14:paraId="5EB4BD0F">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(4) 在合同中乙方承诺的质保期限内对所提供</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正常使用实施监督、维修，但前提条件是该服务并不能免除乙方在质量保证期内应承担的义务；</w:t>
            </w:r>
          </w:p>
          <w:p w14:paraId="1C202487">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(5) 在</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交货现场就</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的</w:t>
            </w:r>
            <w:r>
              <w:rPr>
                <w:rFonts w:hint="eastAsia" w:ascii="宋体" w:hAnsi="宋体" w:eastAsia="宋体" w:cs="宋体"/>
                <w:color w:val="auto"/>
                <w:sz w:val="22"/>
                <w:szCs w:val="22"/>
                <w:highlight w:val="none"/>
                <w:lang w:eastAsia="zh-CN"/>
              </w:rPr>
              <w:t>开发、</w:t>
            </w:r>
            <w:r>
              <w:rPr>
                <w:rFonts w:hint="eastAsia" w:ascii="宋体" w:hAnsi="宋体" w:eastAsia="宋体" w:cs="宋体"/>
                <w:color w:val="auto"/>
                <w:sz w:val="22"/>
                <w:szCs w:val="22"/>
                <w:highlight w:val="none"/>
              </w:rPr>
              <w:t>安装、启用、</w:t>
            </w:r>
            <w:r>
              <w:rPr>
                <w:rFonts w:hint="eastAsia" w:ascii="宋体" w:hAnsi="宋体" w:eastAsia="宋体" w:cs="宋体"/>
                <w:color w:val="auto"/>
                <w:sz w:val="22"/>
                <w:szCs w:val="22"/>
                <w:highlight w:val="none"/>
                <w:lang w:eastAsia="zh-CN"/>
              </w:rPr>
              <w:t>调试、</w:t>
            </w:r>
            <w:r>
              <w:rPr>
                <w:rFonts w:hint="eastAsia" w:ascii="宋体" w:hAnsi="宋体" w:eastAsia="宋体" w:cs="宋体"/>
                <w:color w:val="auto"/>
                <w:sz w:val="22"/>
                <w:szCs w:val="22"/>
                <w:highlight w:val="none"/>
              </w:rPr>
              <w:t>维护等对甲方人员进行培训。</w:t>
            </w:r>
          </w:p>
          <w:p w14:paraId="02C20A2F">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3.伴随服务的费用应含在合同价中，不单独进行支付。</w:t>
            </w:r>
          </w:p>
        </w:tc>
      </w:tr>
      <w:tr w14:paraId="46BEFF9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415" w:type="dxa"/>
            <w:vAlign w:val="center"/>
          </w:tcPr>
          <w:p w14:paraId="5DBCF539">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p>
        </w:tc>
        <w:tc>
          <w:tcPr>
            <w:tcW w:w="1244" w:type="dxa"/>
            <w:vAlign w:val="center"/>
          </w:tcPr>
          <w:p w14:paraId="5F74C3F8">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索赔</w:t>
            </w:r>
          </w:p>
          <w:p w14:paraId="2EDB29B4">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p>
        </w:tc>
        <w:tc>
          <w:tcPr>
            <w:tcW w:w="6628" w:type="dxa"/>
            <w:vAlign w:val="center"/>
          </w:tcPr>
          <w:p w14:paraId="43EF028F">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1.甲方有权根据当地质检部门出具的检验报告，向乙方提出索赔。</w:t>
            </w:r>
          </w:p>
          <w:p w14:paraId="4E384B37">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2.根据合同规定的检验期和质量保证期内，如果乙方对甲方提出的索赔和差异负有责任，乙方应按照甲方同意的下列一种或多种方式解决索赔事宜：</w:t>
            </w:r>
          </w:p>
          <w:p w14:paraId="57CB4864">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14:paraId="53A8B259">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(2) 根据货物的低劣程度、损坏程度以及甲方所遭受损失的数额，乙方必须降低货物的价格。</w:t>
            </w:r>
          </w:p>
          <w:p w14:paraId="3084156C">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 用符合合同规定的规格、质量和性能要求的新零件或部件来更换有缺陷的部分，乙方应承担一切费用和风险并负担甲方所蒙受的全部直接损失费用。同时，乙方应按合同规定，对更换件相应延长质量保证期。</w:t>
            </w:r>
          </w:p>
          <w:p w14:paraId="139BD538">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14:paraId="2F2FCE8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415" w:type="dxa"/>
            <w:vAlign w:val="center"/>
          </w:tcPr>
          <w:p w14:paraId="0FE79DDA">
            <w:pPr>
              <w:keepNext w:val="0"/>
              <w:keepLines w:val="0"/>
              <w:pageBreakBefore w:val="0"/>
              <w:kinsoku/>
              <w:wordWrap/>
              <w:overflowPunct/>
              <w:topLinePunct w:val="0"/>
              <w:bidi w:val="0"/>
              <w:snapToGrid/>
              <w:spacing w:line="380" w:lineRule="exact"/>
              <w:ind w:left="0"/>
              <w:jc w:val="center"/>
              <w:textAlignment w:val="auto"/>
              <w:rPr>
                <w:rFonts w:hint="eastAsia" w:ascii="宋体" w:hAnsi="宋体" w:eastAsia="宋体" w:cs="宋体"/>
                <w:color w:val="auto"/>
                <w:sz w:val="22"/>
                <w:szCs w:val="22"/>
                <w:highlight w:val="none"/>
              </w:rPr>
            </w:pPr>
          </w:p>
        </w:tc>
        <w:tc>
          <w:tcPr>
            <w:tcW w:w="1244" w:type="dxa"/>
            <w:vAlign w:val="center"/>
          </w:tcPr>
          <w:p w14:paraId="78C4A0EB">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合同生效及其它</w:t>
            </w:r>
          </w:p>
          <w:p w14:paraId="1BDD1AE4">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bCs/>
                <w:color w:val="auto"/>
                <w:sz w:val="22"/>
                <w:szCs w:val="22"/>
                <w:highlight w:val="none"/>
              </w:rPr>
            </w:pPr>
          </w:p>
        </w:tc>
        <w:tc>
          <w:tcPr>
            <w:tcW w:w="6628" w:type="dxa"/>
            <w:vAlign w:val="center"/>
          </w:tcPr>
          <w:p w14:paraId="7B55D03F">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 合同经甲方、乙方盖章后生效。</w:t>
            </w:r>
          </w:p>
          <w:p w14:paraId="6053CB82">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w:t>
            </w:r>
            <w:r>
              <w:rPr>
                <w:rFonts w:hint="eastAsia" w:ascii="宋体" w:hAnsi="宋体" w:eastAsia="宋体" w:cs="宋体"/>
                <w:color w:val="auto"/>
                <w:sz w:val="22"/>
                <w:szCs w:val="22"/>
                <w:highlight w:val="none"/>
                <w:lang w:eastAsia="zh-CN"/>
              </w:rPr>
              <w:t>货物（含软件）</w:t>
            </w:r>
            <w:r>
              <w:rPr>
                <w:rFonts w:hint="eastAsia" w:ascii="宋体" w:hAnsi="宋体" w:eastAsia="宋体" w:cs="宋体"/>
                <w:color w:val="auto"/>
                <w:sz w:val="22"/>
                <w:szCs w:val="22"/>
                <w:highlight w:val="none"/>
              </w:rPr>
              <w:t>交付使用后所发生的合同纠纷，由甲方与乙方协商处理。</w:t>
            </w:r>
          </w:p>
          <w:p w14:paraId="3C9D1FBA">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6FFF1F6F">
            <w:pPr>
              <w:keepNext w:val="0"/>
              <w:keepLines w:val="0"/>
              <w:pageBreakBefore w:val="0"/>
              <w:kinsoku/>
              <w:wordWrap/>
              <w:overflowPunct/>
              <w:topLinePunct w:val="0"/>
              <w:bidi w:val="0"/>
              <w:snapToGrid/>
              <w:spacing w:line="380" w:lineRule="exact"/>
              <w:ind w:lef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4.本合同应按照中华人民共和国的现行法律进行解释。本合同未尽事宜，遵照《民法典》、《政府采购法》等有关条文执行。</w:t>
            </w:r>
          </w:p>
        </w:tc>
      </w:tr>
    </w:tbl>
    <w:p w14:paraId="095D4FAD">
      <w:pPr>
        <w:pStyle w:val="11"/>
        <w:spacing w:before="120" w:beforeAutospacing="0" w:after="120" w:afterAutospacing="0" w:line="0" w:lineRule="atLeast"/>
        <w:jc w:val="center"/>
        <w:rPr>
          <w:color w:val="auto"/>
          <w:highlight w:val="none"/>
        </w:rPr>
      </w:pPr>
      <w:r>
        <w:rPr>
          <w:rFonts w:hint="eastAsia" w:ascii="黑体" w:hAnsi="宋体" w:eastAsia="黑体" w:cs="黑体"/>
          <w:color w:val="auto"/>
          <w:sz w:val="44"/>
          <w:szCs w:val="44"/>
          <w:highlight w:val="none"/>
        </w:rPr>
        <w:t>第</w:t>
      </w:r>
      <w:bookmarkEnd w:id="167"/>
      <w:r>
        <w:rPr>
          <w:rFonts w:hint="eastAsia" w:ascii="黑体" w:hAnsi="宋体" w:eastAsia="黑体" w:cs="黑体"/>
          <w:color w:val="auto"/>
          <w:sz w:val="44"/>
          <w:szCs w:val="44"/>
          <w:highlight w:val="none"/>
        </w:rPr>
        <w:t>四章 采购需求</w:t>
      </w:r>
      <w:bookmarkEnd w:id="168"/>
      <w:bookmarkEnd w:id="169"/>
      <w:bookmarkEnd w:id="170"/>
      <w:bookmarkEnd w:id="171"/>
      <w:bookmarkEnd w:id="172"/>
    </w:p>
    <w:p w14:paraId="13EF5CA5">
      <w:pPr>
        <w:pStyle w:val="30"/>
        <w:keepLines w:val="0"/>
        <w:pageBreakBefore w:val="0"/>
        <w:kinsoku/>
        <w:wordWrap/>
        <w:overflowPunct/>
        <w:topLinePunct w:val="0"/>
        <w:autoSpaceDE/>
        <w:autoSpaceDN/>
        <w:bidi w:val="0"/>
        <w:adjustRightInd/>
        <w:spacing w:line="420" w:lineRule="exact"/>
        <w:textAlignment w:val="auto"/>
        <w:rPr>
          <w:rFonts w:hint="eastAsia"/>
          <w:color w:val="auto"/>
          <w:highlight w:val="none"/>
        </w:rPr>
      </w:pPr>
      <w:bookmarkStart w:id="179" w:name="_Toc120614281"/>
      <w:r>
        <w:rPr>
          <w:rFonts w:hint="eastAsia"/>
          <w:color w:val="auto"/>
          <w:highlight w:val="none"/>
        </w:rPr>
        <w:t>一、项目属性：</w:t>
      </w:r>
      <w:r>
        <w:rPr>
          <w:rFonts w:hint="eastAsia"/>
          <w:color w:val="auto"/>
          <w:highlight w:val="none"/>
          <w:lang w:eastAsia="zh-CN"/>
        </w:rPr>
        <w:t>货物</w:t>
      </w:r>
      <w:r>
        <w:rPr>
          <w:rFonts w:hint="eastAsia"/>
          <w:color w:val="auto"/>
          <w:highlight w:val="none"/>
        </w:rPr>
        <w:t>类项目。</w:t>
      </w:r>
    </w:p>
    <w:p w14:paraId="211A135B">
      <w:pPr>
        <w:pStyle w:val="30"/>
        <w:keepLines w:val="0"/>
        <w:pageBreakBefore w:val="0"/>
        <w:kinsoku/>
        <w:wordWrap/>
        <w:overflowPunct/>
        <w:topLinePunct w:val="0"/>
        <w:autoSpaceDE/>
        <w:autoSpaceDN/>
        <w:bidi w:val="0"/>
        <w:adjustRightInd/>
        <w:spacing w:line="420" w:lineRule="exact"/>
        <w:textAlignment w:val="auto"/>
        <w:rPr>
          <w:rFonts w:hint="eastAsia"/>
          <w:color w:val="auto"/>
          <w:highlight w:val="none"/>
        </w:rPr>
      </w:pPr>
      <w:r>
        <w:rPr>
          <w:rFonts w:hint="eastAsia"/>
          <w:color w:val="auto"/>
          <w:highlight w:val="none"/>
        </w:rPr>
        <w:t>本项目采购标的对应的中小企业划分标准所属行业</w:t>
      </w:r>
      <w:r>
        <w:rPr>
          <w:rFonts w:hint="eastAsia"/>
          <w:color w:val="auto"/>
          <w:highlight w:val="none"/>
          <w:lang w:eastAsia="zh-CN"/>
        </w:rPr>
        <w:t>详见“</w:t>
      </w:r>
      <w:r>
        <w:rPr>
          <w:rFonts w:hint="eastAsia" w:ascii="宋体" w:hAnsi="宋体" w:eastAsia="宋体" w:cs="宋体"/>
          <w:b/>
          <w:color w:val="auto"/>
          <w:sz w:val="24"/>
          <w:szCs w:val="24"/>
          <w:highlight w:val="none"/>
          <w:lang w:eastAsia="zh-CN"/>
        </w:rPr>
        <w:t>（一）总建设清单</w:t>
      </w:r>
      <w:r>
        <w:rPr>
          <w:rFonts w:hint="eastAsia"/>
          <w:color w:val="auto"/>
          <w:highlight w:val="none"/>
          <w:lang w:eastAsia="zh-CN"/>
        </w:rPr>
        <w:t>”表。</w:t>
      </w:r>
      <w:r>
        <w:rPr>
          <w:rFonts w:hint="eastAsia"/>
          <w:color w:val="auto"/>
          <w:highlight w:val="none"/>
        </w:rPr>
        <w:t> </w:t>
      </w:r>
    </w:p>
    <w:p w14:paraId="6676571F">
      <w:pPr>
        <w:pStyle w:val="11"/>
        <w:keepLines w:val="0"/>
        <w:pageBreakBefore w:val="0"/>
        <w:kinsoku/>
        <w:wordWrap/>
        <w:overflowPunct/>
        <w:topLinePunct w:val="0"/>
        <w:autoSpaceDE/>
        <w:autoSpaceDN/>
        <w:bidi w:val="0"/>
        <w:adjustRightInd/>
        <w:spacing w:beforeAutospacing="0" w:afterAutospacing="0" w:line="420" w:lineRule="exact"/>
        <w:ind w:firstLine="480"/>
        <w:jc w:val="both"/>
        <w:textAlignment w:val="auto"/>
        <w:rPr>
          <w:color w:val="auto"/>
          <w:highlight w:val="none"/>
        </w:rPr>
      </w:pPr>
    </w:p>
    <w:p w14:paraId="53559A9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Chars="0" w:firstLine="241" w:firstLineChars="1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二、采购需求</w:t>
      </w:r>
    </w:p>
    <w:p w14:paraId="2DD7781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（一）总建设清单</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6"/>
        <w:gridCol w:w="2464"/>
        <w:gridCol w:w="2888"/>
        <w:gridCol w:w="2888"/>
      </w:tblGrid>
      <w:tr w14:paraId="6D911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66" w:type="dxa"/>
            <w:vAlign w:val="center"/>
          </w:tcPr>
          <w:p w14:paraId="2F72A12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r>
              <w:rPr>
                <w:rFonts w:hint="eastAsia" w:ascii="宋体" w:hAnsi="宋体" w:eastAsia="宋体" w:cs="宋体"/>
                <w:b/>
                <w:bCs/>
                <w:color w:val="auto"/>
                <w:kern w:val="0"/>
                <w:sz w:val="20"/>
                <w:szCs w:val="20"/>
                <w:highlight w:val="none"/>
                <w:lang w:eastAsia="zh-CN"/>
              </w:rPr>
              <w:t>序号</w:t>
            </w:r>
          </w:p>
        </w:tc>
        <w:tc>
          <w:tcPr>
            <w:tcW w:w="2464" w:type="dxa"/>
            <w:vAlign w:val="center"/>
          </w:tcPr>
          <w:p w14:paraId="55D0A4F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r>
              <w:rPr>
                <w:rFonts w:hint="eastAsia" w:ascii="宋体" w:hAnsi="宋体" w:eastAsia="宋体" w:cs="宋体"/>
                <w:b/>
                <w:bCs/>
                <w:color w:val="auto"/>
                <w:kern w:val="0"/>
                <w:sz w:val="20"/>
                <w:szCs w:val="20"/>
                <w:highlight w:val="none"/>
                <w:lang w:eastAsia="zh-CN"/>
              </w:rPr>
              <w:t>分类</w:t>
            </w:r>
          </w:p>
        </w:tc>
        <w:tc>
          <w:tcPr>
            <w:tcW w:w="2888" w:type="dxa"/>
            <w:vAlign w:val="center"/>
          </w:tcPr>
          <w:p w14:paraId="144DCDF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r>
              <w:rPr>
                <w:rFonts w:hint="eastAsia" w:ascii="宋体" w:hAnsi="宋体" w:eastAsia="宋体" w:cs="宋体"/>
                <w:b/>
                <w:bCs/>
                <w:color w:val="auto"/>
                <w:kern w:val="0"/>
                <w:sz w:val="20"/>
                <w:szCs w:val="20"/>
                <w:highlight w:val="none"/>
                <w:lang w:eastAsia="zh-CN"/>
              </w:rPr>
              <w:t>分项名称</w:t>
            </w:r>
          </w:p>
        </w:tc>
        <w:tc>
          <w:tcPr>
            <w:tcW w:w="2888" w:type="dxa"/>
            <w:vAlign w:val="center"/>
          </w:tcPr>
          <w:p w14:paraId="0A65D2B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r>
              <w:rPr>
                <w:rFonts w:hint="eastAsia" w:ascii="宋体" w:hAnsi="宋体" w:eastAsia="宋体" w:cs="宋体"/>
                <w:b/>
                <w:bCs/>
                <w:color w:val="auto"/>
                <w:kern w:val="0"/>
                <w:sz w:val="20"/>
                <w:szCs w:val="20"/>
                <w:highlight w:val="none"/>
                <w:lang w:eastAsia="zh-CN"/>
              </w:rPr>
              <w:t>对应的中小企业划分标准所属行业</w:t>
            </w:r>
          </w:p>
        </w:tc>
      </w:tr>
      <w:tr w14:paraId="156B5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318" w:type="dxa"/>
            <w:gridSpan w:val="3"/>
            <w:vAlign w:val="center"/>
          </w:tcPr>
          <w:p w14:paraId="730309F2">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b/>
                <w:bCs/>
                <w:color w:val="auto"/>
                <w:kern w:val="0"/>
                <w:sz w:val="20"/>
                <w:szCs w:val="20"/>
                <w:highlight w:val="none"/>
                <w:lang w:eastAsia="zh-CN"/>
              </w:rPr>
            </w:pPr>
            <w:r>
              <w:rPr>
                <w:rFonts w:hint="eastAsia" w:ascii="宋体" w:hAnsi="宋体" w:eastAsia="宋体" w:cs="宋体"/>
                <w:b/>
                <w:bCs/>
                <w:color w:val="auto"/>
                <w:kern w:val="0"/>
                <w:sz w:val="20"/>
                <w:szCs w:val="20"/>
                <w:highlight w:val="none"/>
                <w:lang w:eastAsia="zh-CN"/>
              </w:rPr>
              <w:t>数字化医共体“十张网”建设清单</w:t>
            </w:r>
          </w:p>
        </w:tc>
        <w:tc>
          <w:tcPr>
            <w:tcW w:w="2888" w:type="dxa"/>
            <w:vAlign w:val="center"/>
          </w:tcPr>
          <w:p w14:paraId="57F9D19D">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b/>
                <w:bCs/>
                <w:color w:val="auto"/>
                <w:kern w:val="0"/>
                <w:sz w:val="20"/>
                <w:szCs w:val="20"/>
                <w:highlight w:val="none"/>
                <w:lang w:eastAsia="zh-CN"/>
              </w:rPr>
            </w:pPr>
          </w:p>
        </w:tc>
      </w:tr>
      <w:tr w14:paraId="5B323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vAlign w:val="center"/>
          </w:tcPr>
          <w:p w14:paraId="6B802C8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1</w:t>
            </w:r>
          </w:p>
        </w:tc>
        <w:tc>
          <w:tcPr>
            <w:tcW w:w="2464" w:type="dxa"/>
            <w:vMerge w:val="restart"/>
            <w:vAlign w:val="center"/>
          </w:tcPr>
          <w:p w14:paraId="401590F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r>
              <w:rPr>
                <w:rFonts w:hint="eastAsia" w:ascii="宋体" w:hAnsi="宋体" w:eastAsia="宋体" w:cs="宋体"/>
                <w:b/>
                <w:bCs/>
                <w:color w:val="auto"/>
                <w:kern w:val="0"/>
                <w:sz w:val="20"/>
                <w:szCs w:val="20"/>
                <w:highlight w:val="none"/>
                <w:lang w:eastAsia="zh-CN"/>
              </w:rPr>
              <w:t>软</w:t>
            </w:r>
            <w:r>
              <w:rPr>
                <w:rFonts w:hint="eastAsia" w:ascii="宋体" w:hAnsi="宋体" w:eastAsia="宋体" w:cs="宋体"/>
                <w:b/>
                <w:bCs/>
                <w:color w:val="auto"/>
                <w:kern w:val="0"/>
                <w:sz w:val="20"/>
                <w:szCs w:val="20"/>
                <w:highlight w:val="none"/>
                <w:lang w:val="en-US" w:eastAsia="zh-CN"/>
              </w:rPr>
              <w:t xml:space="preserve"> </w:t>
            </w:r>
            <w:r>
              <w:rPr>
                <w:rFonts w:hint="eastAsia" w:ascii="宋体" w:hAnsi="宋体" w:eastAsia="宋体" w:cs="宋体"/>
                <w:b/>
                <w:bCs/>
                <w:color w:val="auto"/>
                <w:kern w:val="0"/>
                <w:sz w:val="20"/>
                <w:szCs w:val="20"/>
                <w:highlight w:val="none"/>
                <w:lang w:eastAsia="zh-CN"/>
              </w:rPr>
              <w:t>件</w:t>
            </w:r>
          </w:p>
        </w:tc>
        <w:tc>
          <w:tcPr>
            <w:tcW w:w="2888" w:type="dxa"/>
            <w:vAlign w:val="center"/>
          </w:tcPr>
          <w:p w14:paraId="25634A0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eastAsia="zh-CN"/>
              </w:rPr>
            </w:pPr>
            <w:r>
              <w:rPr>
                <w:rFonts w:hint="eastAsia" w:ascii="宋体" w:hAnsi="宋体" w:eastAsia="宋体" w:cs="宋体"/>
                <w:b w:val="0"/>
                <w:bCs w:val="0"/>
                <w:color w:val="auto"/>
                <w:kern w:val="0"/>
                <w:sz w:val="20"/>
                <w:szCs w:val="20"/>
                <w:highlight w:val="none"/>
                <w:lang w:val="en-US" w:eastAsia="zh-CN"/>
              </w:rPr>
              <w:t>区域检验中心</w:t>
            </w:r>
          </w:p>
        </w:tc>
        <w:tc>
          <w:tcPr>
            <w:tcW w:w="2888" w:type="dxa"/>
            <w:vMerge w:val="restart"/>
            <w:vAlign w:val="center"/>
          </w:tcPr>
          <w:p w14:paraId="4AC5603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rPr>
              <w:t>软件和信息技术服务业</w:t>
            </w:r>
          </w:p>
        </w:tc>
      </w:tr>
      <w:tr w14:paraId="364B0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vAlign w:val="center"/>
          </w:tcPr>
          <w:p w14:paraId="45173F8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2</w:t>
            </w:r>
          </w:p>
        </w:tc>
        <w:tc>
          <w:tcPr>
            <w:tcW w:w="2464" w:type="dxa"/>
            <w:vMerge w:val="continue"/>
            <w:vAlign w:val="center"/>
          </w:tcPr>
          <w:p w14:paraId="7EA5EAF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2888" w:type="dxa"/>
            <w:vAlign w:val="center"/>
          </w:tcPr>
          <w:p w14:paraId="76F3AA7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eastAsia="zh-CN"/>
              </w:rPr>
            </w:pPr>
            <w:r>
              <w:rPr>
                <w:rFonts w:hint="eastAsia" w:ascii="宋体" w:hAnsi="宋体" w:eastAsia="宋体" w:cs="宋体"/>
                <w:b w:val="0"/>
                <w:bCs w:val="0"/>
                <w:color w:val="auto"/>
                <w:kern w:val="0"/>
                <w:sz w:val="20"/>
                <w:szCs w:val="20"/>
                <w:highlight w:val="none"/>
                <w:lang w:val="en-US" w:eastAsia="zh-CN"/>
              </w:rPr>
              <w:t>网络心电中心</w:t>
            </w:r>
          </w:p>
        </w:tc>
        <w:tc>
          <w:tcPr>
            <w:tcW w:w="2888" w:type="dxa"/>
            <w:vMerge w:val="continue"/>
            <w:vAlign w:val="center"/>
          </w:tcPr>
          <w:p w14:paraId="4E398ED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6A412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66" w:type="dxa"/>
            <w:vAlign w:val="center"/>
          </w:tcPr>
          <w:p w14:paraId="0FABA2D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3</w:t>
            </w:r>
          </w:p>
        </w:tc>
        <w:tc>
          <w:tcPr>
            <w:tcW w:w="2464" w:type="dxa"/>
            <w:vMerge w:val="continue"/>
            <w:vAlign w:val="center"/>
          </w:tcPr>
          <w:p w14:paraId="5BF1D1E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2888" w:type="dxa"/>
            <w:vAlign w:val="center"/>
          </w:tcPr>
          <w:p w14:paraId="7AAEB74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eastAsia="zh-CN"/>
              </w:rPr>
            </w:pPr>
            <w:r>
              <w:rPr>
                <w:rFonts w:hint="eastAsia" w:ascii="宋体" w:hAnsi="宋体" w:eastAsia="宋体" w:cs="宋体"/>
                <w:b w:val="0"/>
                <w:bCs w:val="0"/>
                <w:color w:val="auto"/>
                <w:kern w:val="0"/>
                <w:sz w:val="20"/>
                <w:szCs w:val="20"/>
                <w:highlight w:val="none"/>
                <w:lang w:val="en-US" w:eastAsia="zh-CN"/>
              </w:rPr>
              <w:t>影像云诊中心</w:t>
            </w:r>
          </w:p>
        </w:tc>
        <w:tc>
          <w:tcPr>
            <w:tcW w:w="2888" w:type="dxa"/>
            <w:vMerge w:val="continue"/>
            <w:vAlign w:val="center"/>
          </w:tcPr>
          <w:p w14:paraId="772A23B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148ED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vAlign w:val="center"/>
          </w:tcPr>
          <w:p w14:paraId="6ED9AA7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4</w:t>
            </w:r>
          </w:p>
        </w:tc>
        <w:tc>
          <w:tcPr>
            <w:tcW w:w="2464" w:type="dxa"/>
            <w:vMerge w:val="continue"/>
            <w:vAlign w:val="center"/>
          </w:tcPr>
          <w:p w14:paraId="745E93C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2888" w:type="dxa"/>
            <w:vAlign w:val="center"/>
          </w:tcPr>
          <w:p w14:paraId="4C87BCE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eastAsia="zh-CN"/>
              </w:rPr>
            </w:pPr>
            <w:r>
              <w:rPr>
                <w:rFonts w:hint="eastAsia" w:ascii="宋体" w:hAnsi="宋体" w:eastAsia="宋体" w:cs="宋体"/>
                <w:b w:val="0"/>
                <w:bCs w:val="0"/>
                <w:color w:val="auto"/>
                <w:kern w:val="0"/>
                <w:sz w:val="20"/>
                <w:szCs w:val="20"/>
                <w:highlight w:val="none"/>
                <w:lang w:val="en-US" w:eastAsia="zh-CN"/>
              </w:rPr>
              <w:t>智慧急救中心</w:t>
            </w:r>
          </w:p>
        </w:tc>
        <w:tc>
          <w:tcPr>
            <w:tcW w:w="2888" w:type="dxa"/>
            <w:vMerge w:val="continue"/>
            <w:vAlign w:val="center"/>
          </w:tcPr>
          <w:p w14:paraId="4536A36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1EAD1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vAlign w:val="center"/>
          </w:tcPr>
          <w:p w14:paraId="371C718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5</w:t>
            </w:r>
          </w:p>
        </w:tc>
        <w:tc>
          <w:tcPr>
            <w:tcW w:w="2464" w:type="dxa"/>
            <w:vMerge w:val="continue"/>
            <w:vAlign w:val="center"/>
          </w:tcPr>
          <w:p w14:paraId="3F75E83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2888" w:type="dxa"/>
            <w:vAlign w:val="center"/>
          </w:tcPr>
          <w:p w14:paraId="11FDB32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eastAsia="zh-CN"/>
              </w:rPr>
            </w:pPr>
            <w:r>
              <w:rPr>
                <w:rFonts w:hint="eastAsia" w:ascii="宋体" w:hAnsi="宋体" w:eastAsia="宋体" w:cs="宋体"/>
                <w:b w:val="0"/>
                <w:bCs w:val="0"/>
                <w:color w:val="auto"/>
                <w:kern w:val="0"/>
                <w:sz w:val="20"/>
                <w:szCs w:val="20"/>
                <w:highlight w:val="none"/>
                <w:lang w:val="en-US" w:eastAsia="zh-CN"/>
              </w:rPr>
              <w:t>远程会诊中心</w:t>
            </w:r>
          </w:p>
        </w:tc>
        <w:tc>
          <w:tcPr>
            <w:tcW w:w="2888" w:type="dxa"/>
            <w:vMerge w:val="continue"/>
            <w:vAlign w:val="center"/>
          </w:tcPr>
          <w:p w14:paraId="27BDACB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66A3E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vAlign w:val="center"/>
          </w:tcPr>
          <w:p w14:paraId="5713BEE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6</w:t>
            </w:r>
          </w:p>
        </w:tc>
        <w:tc>
          <w:tcPr>
            <w:tcW w:w="2464" w:type="dxa"/>
            <w:vMerge w:val="continue"/>
            <w:vAlign w:val="center"/>
          </w:tcPr>
          <w:p w14:paraId="0A08422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2888" w:type="dxa"/>
            <w:vAlign w:val="center"/>
          </w:tcPr>
          <w:p w14:paraId="36D773E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eastAsia="zh-CN"/>
              </w:rPr>
            </w:pPr>
            <w:r>
              <w:rPr>
                <w:rFonts w:hint="eastAsia" w:ascii="宋体" w:hAnsi="宋体" w:eastAsia="宋体" w:cs="宋体"/>
                <w:b w:val="0"/>
                <w:bCs w:val="0"/>
                <w:color w:val="auto"/>
                <w:kern w:val="0"/>
                <w:sz w:val="20"/>
                <w:szCs w:val="20"/>
                <w:highlight w:val="none"/>
                <w:lang w:val="en-US" w:eastAsia="zh-CN"/>
              </w:rPr>
              <w:t>集中审方中心</w:t>
            </w:r>
          </w:p>
        </w:tc>
        <w:tc>
          <w:tcPr>
            <w:tcW w:w="2888" w:type="dxa"/>
            <w:vMerge w:val="continue"/>
            <w:vAlign w:val="center"/>
          </w:tcPr>
          <w:p w14:paraId="527B518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1BE85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vAlign w:val="center"/>
          </w:tcPr>
          <w:p w14:paraId="665C959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7</w:t>
            </w:r>
          </w:p>
        </w:tc>
        <w:tc>
          <w:tcPr>
            <w:tcW w:w="2464" w:type="dxa"/>
            <w:vMerge w:val="continue"/>
            <w:vAlign w:val="center"/>
          </w:tcPr>
          <w:p w14:paraId="3D61CF2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2888" w:type="dxa"/>
            <w:vAlign w:val="center"/>
          </w:tcPr>
          <w:p w14:paraId="290225F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eastAsia="zh-CN"/>
              </w:rPr>
            </w:pPr>
            <w:r>
              <w:rPr>
                <w:rFonts w:hint="eastAsia" w:ascii="宋体" w:hAnsi="宋体" w:eastAsia="宋体" w:cs="宋体"/>
                <w:b w:val="0"/>
                <w:bCs w:val="0"/>
                <w:color w:val="auto"/>
                <w:kern w:val="0"/>
                <w:sz w:val="20"/>
                <w:szCs w:val="20"/>
                <w:highlight w:val="none"/>
                <w:lang w:val="en-US" w:eastAsia="zh-CN"/>
              </w:rPr>
              <w:t>健康随访中心</w:t>
            </w:r>
          </w:p>
        </w:tc>
        <w:tc>
          <w:tcPr>
            <w:tcW w:w="2888" w:type="dxa"/>
            <w:vMerge w:val="continue"/>
            <w:vAlign w:val="center"/>
          </w:tcPr>
          <w:p w14:paraId="295120C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25D2F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vAlign w:val="center"/>
          </w:tcPr>
          <w:p w14:paraId="50D7DB4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8</w:t>
            </w:r>
          </w:p>
        </w:tc>
        <w:tc>
          <w:tcPr>
            <w:tcW w:w="2464" w:type="dxa"/>
            <w:vMerge w:val="continue"/>
            <w:vAlign w:val="center"/>
          </w:tcPr>
          <w:p w14:paraId="0759DEF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2888" w:type="dxa"/>
            <w:vAlign w:val="center"/>
          </w:tcPr>
          <w:p w14:paraId="6174F75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eastAsia="zh-CN"/>
              </w:rPr>
            </w:pPr>
            <w:r>
              <w:rPr>
                <w:rFonts w:hint="eastAsia" w:ascii="宋体" w:hAnsi="宋体" w:eastAsia="宋体" w:cs="宋体"/>
                <w:b w:val="0"/>
                <w:bCs w:val="0"/>
                <w:color w:val="auto"/>
                <w:kern w:val="0"/>
                <w:sz w:val="20"/>
                <w:szCs w:val="20"/>
                <w:highlight w:val="none"/>
                <w:lang w:val="en-US" w:eastAsia="zh-CN"/>
              </w:rPr>
              <w:t>医护调度中心</w:t>
            </w:r>
          </w:p>
        </w:tc>
        <w:tc>
          <w:tcPr>
            <w:tcW w:w="2888" w:type="dxa"/>
            <w:vMerge w:val="continue"/>
            <w:vAlign w:val="center"/>
          </w:tcPr>
          <w:p w14:paraId="6F1CA2D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71AF9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vAlign w:val="center"/>
          </w:tcPr>
          <w:p w14:paraId="2BC1144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9</w:t>
            </w:r>
          </w:p>
        </w:tc>
        <w:tc>
          <w:tcPr>
            <w:tcW w:w="2464" w:type="dxa"/>
            <w:vMerge w:val="continue"/>
            <w:vAlign w:val="center"/>
          </w:tcPr>
          <w:p w14:paraId="4F7998E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2888" w:type="dxa"/>
            <w:vAlign w:val="center"/>
          </w:tcPr>
          <w:p w14:paraId="4E4ADEC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eastAsia="zh-CN"/>
              </w:rPr>
            </w:pPr>
            <w:r>
              <w:rPr>
                <w:rFonts w:hint="eastAsia" w:ascii="宋体" w:hAnsi="宋体" w:eastAsia="宋体" w:cs="宋体"/>
                <w:b w:val="0"/>
                <w:bCs w:val="0"/>
                <w:color w:val="auto"/>
                <w:kern w:val="0"/>
                <w:sz w:val="20"/>
                <w:szCs w:val="20"/>
                <w:highlight w:val="none"/>
                <w:lang w:val="en-US" w:eastAsia="zh-CN"/>
              </w:rPr>
              <w:t>药物配送中心</w:t>
            </w:r>
          </w:p>
        </w:tc>
        <w:tc>
          <w:tcPr>
            <w:tcW w:w="2888" w:type="dxa"/>
            <w:vMerge w:val="continue"/>
            <w:vAlign w:val="center"/>
          </w:tcPr>
          <w:p w14:paraId="70E1880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4E98B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vAlign w:val="center"/>
          </w:tcPr>
          <w:p w14:paraId="4D0AD31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10</w:t>
            </w:r>
          </w:p>
        </w:tc>
        <w:tc>
          <w:tcPr>
            <w:tcW w:w="2464" w:type="dxa"/>
            <w:vMerge w:val="continue"/>
            <w:vAlign w:val="center"/>
          </w:tcPr>
          <w:p w14:paraId="01F2341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2888" w:type="dxa"/>
            <w:vAlign w:val="center"/>
          </w:tcPr>
          <w:p w14:paraId="23D516B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eastAsia="zh-CN"/>
              </w:rPr>
            </w:pPr>
            <w:r>
              <w:rPr>
                <w:rFonts w:hint="eastAsia" w:ascii="宋体" w:hAnsi="宋体" w:eastAsia="宋体" w:cs="宋体"/>
                <w:b w:val="0"/>
                <w:bCs w:val="0"/>
                <w:color w:val="auto"/>
                <w:kern w:val="0"/>
                <w:sz w:val="20"/>
                <w:szCs w:val="20"/>
                <w:highlight w:val="none"/>
                <w:lang w:val="en-US" w:eastAsia="zh-CN"/>
              </w:rPr>
              <w:t>消毒供应中心</w:t>
            </w:r>
          </w:p>
        </w:tc>
        <w:tc>
          <w:tcPr>
            <w:tcW w:w="2888" w:type="dxa"/>
            <w:vMerge w:val="continue"/>
            <w:vAlign w:val="center"/>
          </w:tcPr>
          <w:p w14:paraId="2046DD4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708F5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vAlign w:val="center"/>
          </w:tcPr>
          <w:p w14:paraId="2F6192B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11</w:t>
            </w:r>
          </w:p>
        </w:tc>
        <w:tc>
          <w:tcPr>
            <w:tcW w:w="2464" w:type="dxa"/>
            <w:vMerge w:val="continue"/>
            <w:vAlign w:val="center"/>
          </w:tcPr>
          <w:p w14:paraId="672546D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2888" w:type="dxa"/>
            <w:vAlign w:val="center"/>
          </w:tcPr>
          <w:p w14:paraId="6C108FD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eastAsia="zh-CN"/>
              </w:rPr>
            </w:pPr>
            <w:r>
              <w:rPr>
                <w:rFonts w:hint="eastAsia" w:ascii="宋体" w:hAnsi="宋体" w:eastAsia="宋体" w:cs="宋体"/>
                <w:b w:val="0"/>
                <w:bCs w:val="0"/>
                <w:color w:val="auto"/>
                <w:kern w:val="0"/>
                <w:sz w:val="20"/>
                <w:szCs w:val="20"/>
                <w:highlight w:val="none"/>
                <w:lang w:val="en-US" w:eastAsia="zh-CN"/>
              </w:rPr>
              <w:t>医疗质控中心</w:t>
            </w:r>
          </w:p>
        </w:tc>
        <w:tc>
          <w:tcPr>
            <w:tcW w:w="2888" w:type="dxa"/>
            <w:vMerge w:val="continue"/>
            <w:vAlign w:val="center"/>
          </w:tcPr>
          <w:p w14:paraId="2C2A6C9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6B40D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vAlign w:val="center"/>
          </w:tcPr>
          <w:p w14:paraId="2CF6094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12</w:t>
            </w:r>
          </w:p>
        </w:tc>
        <w:tc>
          <w:tcPr>
            <w:tcW w:w="2464" w:type="dxa"/>
            <w:vMerge w:val="continue"/>
            <w:vAlign w:val="center"/>
          </w:tcPr>
          <w:p w14:paraId="6FE9635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2888" w:type="dxa"/>
            <w:vAlign w:val="center"/>
          </w:tcPr>
          <w:p w14:paraId="570453C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eastAsia="zh-CN"/>
              </w:rPr>
            </w:pPr>
            <w:r>
              <w:rPr>
                <w:rFonts w:hint="eastAsia" w:ascii="宋体" w:hAnsi="宋体" w:eastAsia="宋体" w:cs="宋体"/>
                <w:b w:val="0"/>
                <w:bCs w:val="0"/>
                <w:color w:val="auto"/>
                <w:kern w:val="0"/>
                <w:sz w:val="20"/>
                <w:szCs w:val="20"/>
                <w:highlight w:val="none"/>
                <w:lang w:val="en-US" w:eastAsia="zh-CN"/>
              </w:rPr>
              <w:t>运维监管中心</w:t>
            </w:r>
          </w:p>
        </w:tc>
        <w:tc>
          <w:tcPr>
            <w:tcW w:w="2888" w:type="dxa"/>
            <w:vMerge w:val="continue"/>
            <w:vAlign w:val="center"/>
          </w:tcPr>
          <w:p w14:paraId="34C6299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3AE1C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vAlign w:val="center"/>
          </w:tcPr>
          <w:p w14:paraId="51990B2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13</w:t>
            </w:r>
          </w:p>
        </w:tc>
        <w:tc>
          <w:tcPr>
            <w:tcW w:w="2464" w:type="dxa"/>
            <w:vMerge w:val="continue"/>
            <w:vAlign w:val="center"/>
          </w:tcPr>
          <w:p w14:paraId="441E438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2888" w:type="dxa"/>
            <w:vAlign w:val="center"/>
          </w:tcPr>
          <w:p w14:paraId="667B5F0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数据分析与共享</w:t>
            </w:r>
          </w:p>
        </w:tc>
        <w:tc>
          <w:tcPr>
            <w:tcW w:w="2888" w:type="dxa"/>
            <w:vMerge w:val="continue"/>
            <w:vAlign w:val="center"/>
          </w:tcPr>
          <w:p w14:paraId="2333BA6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1F48D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vAlign w:val="center"/>
          </w:tcPr>
          <w:p w14:paraId="224E35C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14</w:t>
            </w:r>
          </w:p>
        </w:tc>
        <w:tc>
          <w:tcPr>
            <w:tcW w:w="2464" w:type="dxa"/>
            <w:vMerge w:val="restart"/>
            <w:vAlign w:val="center"/>
          </w:tcPr>
          <w:p w14:paraId="7BA7A08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r>
              <w:rPr>
                <w:rFonts w:hint="eastAsia" w:ascii="宋体" w:hAnsi="宋体" w:eastAsia="宋体" w:cs="宋体"/>
                <w:b/>
                <w:bCs/>
                <w:color w:val="auto"/>
                <w:kern w:val="0"/>
                <w:sz w:val="20"/>
                <w:szCs w:val="20"/>
                <w:highlight w:val="none"/>
                <w:lang w:eastAsia="zh-CN"/>
              </w:rPr>
              <w:t>硬件</w:t>
            </w:r>
          </w:p>
        </w:tc>
        <w:tc>
          <w:tcPr>
            <w:tcW w:w="2888" w:type="dxa"/>
            <w:vAlign w:val="center"/>
          </w:tcPr>
          <w:p w14:paraId="32B95AE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智慧急救中心（硬件）</w:t>
            </w:r>
          </w:p>
        </w:tc>
        <w:tc>
          <w:tcPr>
            <w:tcW w:w="2888" w:type="dxa"/>
            <w:vMerge w:val="restart"/>
            <w:vAlign w:val="center"/>
          </w:tcPr>
          <w:p w14:paraId="29CA4C4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信息传输业</w:t>
            </w:r>
          </w:p>
        </w:tc>
      </w:tr>
      <w:tr w14:paraId="18618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vAlign w:val="center"/>
          </w:tcPr>
          <w:p w14:paraId="4194463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15</w:t>
            </w:r>
          </w:p>
        </w:tc>
        <w:tc>
          <w:tcPr>
            <w:tcW w:w="2464" w:type="dxa"/>
            <w:vMerge w:val="continue"/>
            <w:vAlign w:val="center"/>
          </w:tcPr>
          <w:p w14:paraId="5EDAEC4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2888" w:type="dxa"/>
            <w:vAlign w:val="center"/>
          </w:tcPr>
          <w:p w14:paraId="521344F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配套（硬件）</w:t>
            </w:r>
          </w:p>
        </w:tc>
        <w:tc>
          <w:tcPr>
            <w:tcW w:w="2888" w:type="dxa"/>
            <w:vMerge w:val="continue"/>
            <w:vAlign w:val="center"/>
          </w:tcPr>
          <w:p w14:paraId="4FC2494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4CCE4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vAlign w:val="center"/>
          </w:tcPr>
          <w:p w14:paraId="5115381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16</w:t>
            </w:r>
          </w:p>
        </w:tc>
        <w:tc>
          <w:tcPr>
            <w:tcW w:w="2464" w:type="dxa"/>
            <w:vAlign w:val="center"/>
          </w:tcPr>
          <w:p w14:paraId="2B66C08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r>
              <w:rPr>
                <w:rFonts w:hint="eastAsia" w:ascii="宋体" w:hAnsi="宋体" w:eastAsia="宋体" w:cs="宋体"/>
                <w:b/>
                <w:bCs/>
                <w:color w:val="auto"/>
                <w:kern w:val="0"/>
                <w:sz w:val="20"/>
                <w:szCs w:val="20"/>
                <w:highlight w:val="none"/>
                <w:lang w:eastAsia="zh-CN"/>
              </w:rPr>
              <w:t>装潢</w:t>
            </w:r>
          </w:p>
        </w:tc>
        <w:tc>
          <w:tcPr>
            <w:tcW w:w="2888" w:type="dxa"/>
            <w:vAlign w:val="center"/>
          </w:tcPr>
          <w:p w14:paraId="063E3FB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指挥中心和智慧急救中心装潢</w:t>
            </w:r>
          </w:p>
        </w:tc>
        <w:tc>
          <w:tcPr>
            <w:tcW w:w="2888" w:type="dxa"/>
            <w:vAlign w:val="center"/>
          </w:tcPr>
          <w:p w14:paraId="7C59CBF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建筑业</w:t>
            </w:r>
          </w:p>
        </w:tc>
      </w:tr>
      <w:tr w14:paraId="32F32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318" w:type="dxa"/>
            <w:gridSpan w:val="3"/>
            <w:vAlign w:val="center"/>
          </w:tcPr>
          <w:p w14:paraId="7546D998">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智慧医疗服务能力提升建设清单</w:t>
            </w:r>
          </w:p>
        </w:tc>
        <w:tc>
          <w:tcPr>
            <w:tcW w:w="2888" w:type="dxa"/>
            <w:vAlign w:val="center"/>
          </w:tcPr>
          <w:p w14:paraId="391DC869">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b/>
                <w:bCs/>
                <w:color w:val="auto"/>
                <w:kern w:val="0"/>
                <w:sz w:val="20"/>
                <w:szCs w:val="20"/>
                <w:highlight w:val="none"/>
                <w:lang w:val="en-US" w:eastAsia="zh-CN"/>
              </w:rPr>
            </w:pPr>
          </w:p>
        </w:tc>
      </w:tr>
      <w:tr w14:paraId="28EA3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vAlign w:val="center"/>
          </w:tcPr>
          <w:p w14:paraId="4A0DC76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17</w:t>
            </w:r>
          </w:p>
        </w:tc>
        <w:tc>
          <w:tcPr>
            <w:tcW w:w="2464" w:type="dxa"/>
            <w:vMerge w:val="restart"/>
            <w:vAlign w:val="center"/>
          </w:tcPr>
          <w:p w14:paraId="5B626B5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r>
              <w:rPr>
                <w:rFonts w:hint="eastAsia" w:ascii="宋体" w:hAnsi="宋体" w:eastAsia="宋体" w:cs="宋体"/>
                <w:b/>
                <w:bCs/>
                <w:color w:val="auto"/>
                <w:kern w:val="0"/>
                <w:sz w:val="20"/>
                <w:szCs w:val="20"/>
                <w:highlight w:val="none"/>
                <w:lang w:eastAsia="zh-CN"/>
              </w:rPr>
              <w:t>软</w:t>
            </w:r>
            <w:r>
              <w:rPr>
                <w:rFonts w:hint="eastAsia" w:ascii="宋体" w:hAnsi="宋体" w:eastAsia="宋体" w:cs="宋体"/>
                <w:b/>
                <w:bCs/>
                <w:color w:val="auto"/>
                <w:kern w:val="0"/>
                <w:sz w:val="20"/>
                <w:szCs w:val="20"/>
                <w:highlight w:val="none"/>
                <w:lang w:val="en-US" w:eastAsia="zh-CN"/>
              </w:rPr>
              <w:t xml:space="preserve"> </w:t>
            </w:r>
            <w:r>
              <w:rPr>
                <w:rFonts w:hint="eastAsia" w:ascii="宋体" w:hAnsi="宋体" w:eastAsia="宋体" w:cs="宋体"/>
                <w:b/>
                <w:bCs/>
                <w:color w:val="auto"/>
                <w:kern w:val="0"/>
                <w:sz w:val="20"/>
                <w:szCs w:val="20"/>
                <w:highlight w:val="none"/>
                <w:lang w:eastAsia="zh-CN"/>
              </w:rPr>
              <w:t>件</w:t>
            </w:r>
          </w:p>
        </w:tc>
        <w:tc>
          <w:tcPr>
            <w:tcW w:w="2888" w:type="dxa"/>
            <w:vAlign w:val="center"/>
          </w:tcPr>
          <w:p w14:paraId="5ACC8B5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互联网医院平台</w:t>
            </w:r>
          </w:p>
        </w:tc>
        <w:tc>
          <w:tcPr>
            <w:tcW w:w="2888" w:type="dxa"/>
            <w:vMerge w:val="restart"/>
            <w:vAlign w:val="center"/>
          </w:tcPr>
          <w:p w14:paraId="62D6687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rPr>
              <w:t>软件和信息技术服务业</w:t>
            </w:r>
          </w:p>
        </w:tc>
      </w:tr>
      <w:tr w14:paraId="61670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vAlign w:val="center"/>
          </w:tcPr>
          <w:p w14:paraId="12CA33E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18</w:t>
            </w:r>
          </w:p>
        </w:tc>
        <w:tc>
          <w:tcPr>
            <w:tcW w:w="2464" w:type="dxa"/>
            <w:vMerge w:val="continue"/>
            <w:vAlign w:val="center"/>
          </w:tcPr>
          <w:p w14:paraId="058C5A5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2888" w:type="dxa"/>
            <w:vAlign w:val="center"/>
          </w:tcPr>
          <w:p w14:paraId="52535AB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院内急诊与专病信息化平台</w:t>
            </w:r>
          </w:p>
        </w:tc>
        <w:tc>
          <w:tcPr>
            <w:tcW w:w="2888" w:type="dxa"/>
            <w:vMerge w:val="continue"/>
            <w:vAlign w:val="center"/>
          </w:tcPr>
          <w:p w14:paraId="4287651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486A1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vAlign w:val="center"/>
          </w:tcPr>
          <w:p w14:paraId="74866C7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19</w:t>
            </w:r>
          </w:p>
        </w:tc>
        <w:tc>
          <w:tcPr>
            <w:tcW w:w="2464" w:type="dxa"/>
            <w:vMerge w:val="continue"/>
            <w:vAlign w:val="center"/>
          </w:tcPr>
          <w:p w14:paraId="73B5EF3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2888" w:type="dxa"/>
            <w:vAlign w:val="center"/>
          </w:tcPr>
          <w:p w14:paraId="4632373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HIS接口改造</w:t>
            </w:r>
          </w:p>
        </w:tc>
        <w:tc>
          <w:tcPr>
            <w:tcW w:w="2888" w:type="dxa"/>
            <w:vMerge w:val="continue"/>
            <w:vAlign w:val="center"/>
          </w:tcPr>
          <w:p w14:paraId="65530CC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79FB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vAlign w:val="center"/>
          </w:tcPr>
          <w:p w14:paraId="50E4EC0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20</w:t>
            </w:r>
          </w:p>
        </w:tc>
        <w:tc>
          <w:tcPr>
            <w:tcW w:w="2464" w:type="dxa"/>
            <w:vMerge w:val="restart"/>
            <w:vAlign w:val="center"/>
          </w:tcPr>
          <w:p w14:paraId="3CC4B97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r>
              <w:rPr>
                <w:rFonts w:hint="eastAsia" w:ascii="宋体" w:hAnsi="宋体" w:eastAsia="宋体" w:cs="宋体"/>
                <w:b/>
                <w:bCs/>
                <w:color w:val="auto"/>
                <w:kern w:val="0"/>
                <w:sz w:val="20"/>
                <w:szCs w:val="20"/>
                <w:highlight w:val="none"/>
                <w:lang w:eastAsia="zh-CN"/>
              </w:rPr>
              <w:t>硬件</w:t>
            </w:r>
          </w:p>
        </w:tc>
        <w:tc>
          <w:tcPr>
            <w:tcW w:w="2888" w:type="dxa"/>
            <w:vAlign w:val="center"/>
          </w:tcPr>
          <w:p w14:paraId="11B6AFF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数据中心（硬件）</w:t>
            </w:r>
          </w:p>
        </w:tc>
        <w:tc>
          <w:tcPr>
            <w:tcW w:w="2888" w:type="dxa"/>
            <w:vMerge w:val="restart"/>
            <w:vAlign w:val="center"/>
          </w:tcPr>
          <w:p w14:paraId="07C66F6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信息传输业</w:t>
            </w:r>
          </w:p>
        </w:tc>
      </w:tr>
      <w:tr w14:paraId="4BFA9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66" w:type="dxa"/>
            <w:vAlign w:val="center"/>
          </w:tcPr>
          <w:p w14:paraId="1623CEE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21</w:t>
            </w:r>
          </w:p>
        </w:tc>
        <w:tc>
          <w:tcPr>
            <w:tcW w:w="2464" w:type="dxa"/>
            <w:vMerge w:val="continue"/>
            <w:vAlign w:val="center"/>
          </w:tcPr>
          <w:p w14:paraId="17D8AAA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2888" w:type="dxa"/>
            <w:vAlign w:val="center"/>
          </w:tcPr>
          <w:p w14:paraId="35E0B8A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院内急诊与专病信息化平台（硬件）</w:t>
            </w:r>
          </w:p>
        </w:tc>
        <w:tc>
          <w:tcPr>
            <w:tcW w:w="2888" w:type="dxa"/>
            <w:vMerge w:val="continue"/>
            <w:vAlign w:val="center"/>
          </w:tcPr>
          <w:p w14:paraId="5091B99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bl>
    <w:p w14:paraId="4215519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（二）技术参数</w:t>
      </w:r>
    </w:p>
    <w:p w14:paraId="5F449EFA">
      <w:pPr>
        <w:pStyle w:val="2"/>
        <w:keepNext w:val="0"/>
        <w:keepLines w:val="0"/>
        <w:pageBreakBefore w:val="0"/>
        <w:widowControl w:val="0"/>
        <w:numPr>
          <w:ilvl w:val="0"/>
          <w:numId w:val="0"/>
        </w:numPr>
        <w:kinsoku/>
        <w:wordWrap/>
        <w:overflowPunct/>
        <w:topLinePunct w:val="0"/>
        <w:autoSpaceDE/>
        <w:autoSpaceDN/>
        <w:bidi w:val="0"/>
        <w:adjustRightInd/>
        <w:snapToGrid/>
        <w:spacing w:after="0" w:line="400" w:lineRule="exact"/>
        <w:textAlignment w:val="auto"/>
        <w:rPr>
          <w:rFonts w:hint="eastAsia" w:ascii="宋体" w:hAnsi="宋体" w:eastAsia="宋体" w:cs="宋体"/>
          <w:highlight w:val="yellow"/>
          <w:lang w:val="en-US" w:eastAsia="zh-CN"/>
        </w:rPr>
      </w:pPr>
      <w:r>
        <w:rPr>
          <w:rFonts w:hint="eastAsia" w:ascii="宋体" w:hAnsi="宋体" w:eastAsia="宋体" w:cs="宋体"/>
          <w:highlight w:val="yellow"/>
          <w:lang w:eastAsia="zh-CN"/>
        </w:rPr>
        <w:t>（二）</w:t>
      </w:r>
      <w:r>
        <w:rPr>
          <w:rFonts w:hint="eastAsia" w:ascii="宋体" w:hAnsi="宋体" w:eastAsia="宋体" w:cs="宋体"/>
          <w:highlight w:val="yellow"/>
          <w:lang w:val="en-US" w:eastAsia="zh-CN"/>
        </w:rPr>
        <w:t>-1：</w:t>
      </w:r>
      <w:r>
        <w:rPr>
          <w:rFonts w:hint="eastAsia" w:ascii="宋体" w:hAnsi="宋体" w:eastAsia="宋体" w:cs="宋体"/>
          <w:b w:val="0"/>
          <w:bCs w:val="0"/>
          <w:color w:val="auto"/>
          <w:kern w:val="0"/>
          <w:sz w:val="20"/>
          <w:szCs w:val="20"/>
          <w:highlight w:val="yellow"/>
          <w:lang w:val="en-US" w:eastAsia="zh-CN"/>
        </w:rPr>
        <w:t>区域检验中心</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866"/>
        <w:gridCol w:w="2317"/>
        <w:gridCol w:w="4417"/>
        <w:gridCol w:w="733"/>
        <w:gridCol w:w="714"/>
      </w:tblGrid>
      <w:tr w14:paraId="71289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62AC04C">
            <w:pPr>
              <w:widowControl/>
              <w:jc w:val="center"/>
              <w:rPr>
                <w:rFonts w:hint="eastAsia" w:ascii="宋体" w:hAnsi="宋体" w:eastAsia="宋体" w:cs="宋体"/>
                <w:b/>
                <w:color w:val="auto"/>
                <w:sz w:val="24"/>
                <w:szCs w:val="24"/>
                <w:highlight w:val="none"/>
                <w:vertAlign w:val="baseline"/>
                <w:lang w:eastAsia="zh-CN"/>
              </w:rPr>
            </w:pPr>
            <w:r>
              <w:rPr>
                <w:rFonts w:hint="eastAsia" w:ascii="宋体" w:hAnsi="宋体" w:cs="宋体"/>
                <w:b/>
                <w:bCs/>
                <w:color w:val="auto"/>
                <w:kern w:val="0"/>
                <w:sz w:val="20"/>
                <w:szCs w:val="20"/>
                <w:highlight w:val="none"/>
              </w:rPr>
              <w:t>序号</w:t>
            </w:r>
          </w:p>
        </w:tc>
        <w:tc>
          <w:tcPr>
            <w:tcW w:w="3903" w:type="dxa"/>
            <w:gridSpan w:val="3"/>
            <w:vAlign w:val="center"/>
          </w:tcPr>
          <w:p w14:paraId="60E3704E">
            <w:pPr>
              <w:widowControl/>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bCs/>
                <w:color w:val="auto"/>
                <w:kern w:val="0"/>
                <w:sz w:val="20"/>
                <w:szCs w:val="20"/>
                <w:highlight w:val="none"/>
                <w:lang w:eastAsia="zh-CN"/>
              </w:rPr>
              <w:t>建设内容</w:t>
            </w:r>
          </w:p>
        </w:tc>
        <w:tc>
          <w:tcPr>
            <w:tcW w:w="4417" w:type="dxa"/>
            <w:vAlign w:val="center"/>
          </w:tcPr>
          <w:p w14:paraId="6AE02CF7">
            <w:pPr>
              <w:widowControl/>
              <w:jc w:val="center"/>
              <w:rPr>
                <w:rFonts w:hint="default" w:ascii="宋体" w:hAnsi="宋体" w:eastAsia="宋体" w:cs="宋体"/>
                <w:b/>
                <w:color w:val="auto"/>
                <w:sz w:val="24"/>
                <w:szCs w:val="24"/>
                <w:highlight w:val="none"/>
                <w:vertAlign w:val="baseli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580D1030">
            <w:pPr>
              <w:widowControl/>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bCs/>
                <w:color w:val="auto"/>
                <w:kern w:val="0"/>
                <w:sz w:val="20"/>
                <w:szCs w:val="20"/>
                <w:highlight w:val="none"/>
                <w:lang w:eastAsia="zh-CN"/>
              </w:rPr>
              <w:t>单位</w:t>
            </w:r>
          </w:p>
        </w:tc>
        <w:tc>
          <w:tcPr>
            <w:tcW w:w="714" w:type="dxa"/>
            <w:vAlign w:val="center"/>
          </w:tcPr>
          <w:p w14:paraId="6227BC4C">
            <w:pPr>
              <w:spacing w:line="240" w:lineRule="exact"/>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bCs/>
                <w:color w:val="auto"/>
                <w:kern w:val="0"/>
                <w:szCs w:val="21"/>
                <w:highlight w:val="none"/>
                <w:lang w:eastAsia="zh-CN"/>
              </w:rPr>
              <w:t>数量</w:t>
            </w:r>
          </w:p>
        </w:tc>
      </w:tr>
      <w:tr w14:paraId="21C33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577546B">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olor w:val="auto"/>
                <w:sz w:val="22"/>
                <w:szCs w:val="22"/>
                <w:highlight w:val="none"/>
                <w:lang w:val="en-US" w:eastAsia="zh-CN"/>
              </w:rPr>
              <w:t>1</w:t>
            </w:r>
          </w:p>
        </w:tc>
        <w:tc>
          <w:tcPr>
            <w:tcW w:w="720" w:type="dxa"/>
            <w:vMerge w:val="restart"/>
            <w:vAlign w:val="center"/>
          </w:tcPr>
          <w:p w14:paraId="437DC5E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医院LIS系统升级</w:t>
            </w:r>
          </w:p>
        </w:tc>
        <w:tc>
          <w:tcPr>
            <w:tcW w:w="866" w:type="dxa"/>
            <w:vMerge w:val="restart"/>
            <w:vAlign w:val="center"/>
          </w:tcPr>
          <w:p w14:paraId="33EE178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中心检验业务信息流转</w:t>
            </w:r>
          </w:p>
        </w:tc>
        <w:tc>
          <w:tcPr>
            <w:tcW w:w="2317" w:type="dxa"/>
            <w:vAlign w:val="center"/>
          </w:tcPr>
          <w:p w14:paraId="2DC273DC">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电子检验申请下载</w:t>
            </w:r>
          </w:p>
        </w:tc>
        <w:tc>
          <w:tcPr>
            <w:tcW w:w="4417" w:type="dxa"/>
            <w:vAlign w:val="center"/>
          </w:tcPr>
          <w:p w14:paraId="143EFF0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中心检验系统下载基层机构发出的电子检验申请信息</w:t>
            </w:r>
          </w:p>
        </w:tc>
        <w:tc>
          <w:tcPr>
            <w:tcW w:w="733" w:type="dxa"/>
            <w:vMerge w:val="restart"/>
            <w:vAlign w:val="center"/>
          </w:tcPr>
          <w:p w14:paraId="69A94E4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套</w:t>
            </w:r>
          </w:p>
        </w:tc>
        <w:tc>
          <w:tcPr>
            <w:tcW w:w="714" w:type="dxa"/>
            <w:vMerge w:val="restart"/>
            <w:vAlign w:val="center"/>
          </w:tcPr>
          <w:p w14:paraId="535C192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1</w:t>
            </w:r>
          </w:p>
        </w:tc>
      </w:tr>
      <w:tr w14:paraId="2992C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467ACEE">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2</w:t>
            </w:r>
          </w:p>
        </w:tc>
        <w:tc>
          <w:tcPr>
            <w:tcW w:w="720" w:type="dxa"/>
            <w:vMerge w:val="continue"/>
            <w:vAlign w:val="center"/>
          </w:tcPr>
          <w:p w14:paraId="2525321F">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61E13CAA">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45581BFA">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检验报告结果上传</w:t>
            </w:r>
          </w:p>
        </w:tc>
        <w:tc>
          <w:tcPr>
            <w:tcW w:w="4417" w:type="dxa"/>
            <w:vAlign w:val="center"/>
          </w:tcPr>
          <w:p w14:paraId="028E4ED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检验后将报告上传到检验系统，并进行审核</w:t>
            </w:r>
          </w:p>
        </w:tc>
        <w:tc>
          <w:tcPr>
            <w:tcW w:w="733" w:type="dxa"/>
            <w:vMerge w:val="continue"/>
            <w:vAlign w:val="center"/>
          </w:tcPr>
          <w:p w14:paraId="77C054A1">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3A5343AF">
            <w:pPr>
              <w:jc w:val="center"/>
              <w:rPr>
                <w:rFonts w:hint="eastAsia" w:ascii="宋体" w:hAnsi="宋体" w:eastAsia="宋体" w:cs="宋体"/>
                <w:b/>
                <w:color w:val="auto"/>
                <w:sz w:val="24"/>
                <w:szCs w:val="24"/>
                <w:highlight w:val="none"/>
                <w:vertAlign w:val="baseline"/>
                <w:lang w:eastAsia="zh-CN"/>
              </w:rPr>
            </w:pPr>
          </w:p>
        </w:tc>
      </w:tr>
      <w:tr w14:paraId="04E6A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6C9AC71">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3</w:t>
            </w:r>
          </w:p>
        </w:tc>
        <w:tc>
          <w:tcPr>
            <w:tcW w:w="720" w:type="dxa"/>
            <w:vMerge w:val="continue"/>
            <w:vAlign w:val="center"/>
          </w:tcPr>
          <w:p w14:paraId="00E285E4">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61974B87">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2E2CAD88">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检验图形数据索引上传</w:t>
            </w:r>
          </w:p>
        </w:tc>
        <w:tc>
          <w:tcPr>
            <w:tcW w:w="4417" w:type="dxa"/>
            <w:vAlign w:val="center"/>
          </w:tcPr>
          <w:p w14:paraId="57ED951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检验医院将检验图形数据索引上传</w:t>
            </w:r>
          </w:p>
        </w:tc>
        <w:tc>
          <w:tcPr>
            <w:tcW w:w="733" w:type="dxa"/>
            <w:vMerge w:val="continue"/>
            <w:vAlign w:val="center"/>
          </w:tcPr>
          <w:p w14:paraId="21370F95">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280B0F11">
            <w:pPr>
              <w:jc w:val="center"/>
              <w:rPr>
                <w:rFonts w:hint="eastAsia" w:ascii="宋体" w:hAnsi="宋体" w:eastAsia="宋体" w:cs="宋体"/>
                <w:b/>
                <w:color w:val="auto"/>
                <w:sz w:val="24"/>
                <w:szCs w:val="24"/>
                <w:highlight w:val="none"/>
                <w:vertAlign w:val="baseline"/>
                <w:lang w:eastAsia="zh-CN"/>
              </w:rPr>
            </w:pPr>
          </w:p>
        </w:tc>
      </w:tr>
      <w:tr w14:paraId="39FB0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EEB8227">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4</w:t>
            </w:r>
          </w:p>
        </w:tc>
        <w:tc>
          <w:tcPr>
            <w:tcW w:w="720" w:type="dxa"/>
            <w:vMerge w:val="continue"/>
            <w:vAlign w:val="center"/>
          </w:tcPr>
          <w:p w14:paraId="2918EA60">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183AEF4B">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08E83A12">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医院质控原始数据上传</w:t>
            </w:r>
          </w:p>
        </w:tc>
        <w:tc>
          <w:tcPr>
            <w:tcW w:w="4417" w:type="dxa"/>
            <w:vAlign w:val="center"/>
          </w:tcPr>
          <w:p w14:paraId="76B5B6B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医院上传质控原始数据，进行质控管理</w:t>
            </w:r>
          </w:p>
        </w:tc>
        <w:tc>
          <w:tcPr>
            <w:tcW w:w="733" w:type="dxa"/>
            <w:vMerge w:val="continue"/>
            <w:vAlign w:val="center"/>
          </w:tcPr>
          <w:p w14:paraId="5C4F8AE8">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4E7BD84F">
            <w:pPr>
              <w:jc w:val="center"/>
              <w:rPr>
                <w:rFonts w:hint="eastAsia" w:ascii="宋体" w:hAnsi="宋体" w:eastAsia="宋体" w:cs="宋体"/>
                <w:b/>
                <w:color w:val="auto"/>
                <w:sz w:val="24"/>
                <w:szCs w:val="24"/>
                <w:highlight w:val="none"/>
                <w:vertAlign w:val="baseline"/>
                <w:lang w:eastAsia="zh-CN"/>
              </w:rPr>
            </w:pPr>
          </w:p>
        </w:tc>
      </w:tr>
      <w:tr w14:paraId="79B6B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3B54FF4">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5</w:t>
            </w:r>
          </w:p>
        </w:tc>
        <w:tc>
          <w:tcPr>
            <w:tcW w:w="720" w:type="dxa"/>
            <w:vMerge w:val="continue"/>
            <w:vAlign w:val="center"/>
          </w:tcPr>
          <w:p w14:paraId="220A6BEB">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5CAC8AAC">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62A31F80">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医院不合格标本上传</w:t>
            </w:r>
          </w:p>
        </w:tc>
        <w:tc>
          <w:tcPr>
            <w:tcW w:w="4417" w:type="dxa"/>
            <w:vAlign w:val="center"/>
          </w:tcPr>
          <w:p w14:paraId="2CE8372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医院将不合格的标本进行上传、打回，填写不合格原因</w:t>
            </w:r>
          </w:p>
        </w:tc>
        <w:tc>
          <w:tcPr>
            <w:tcW w:w="733" w:type="dxa"/>
            <w:vMerge w:val="continue"/>
            <w:vAlign w:val="center"/>
          </w:tcPr>
          <w:p w14:paraId="1EF843FE">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63C647DA">
            <w:pPr>
              <w:jc w:val="center"/>
              <w:rPr>
                <w:rFonts w:hint="eastAsia" w:ascii="宋体" w:hAnsi="宋体" w:eastAsia="宋体" w:cs="宋体"/>
                <w:b/>
                <w:color w:val="auto"/>
                <w:sz w:val="24"/>
                <w:szCs w:val="24"/>
                <w:highlight w:val="none"/>
                <w:vertAlign w:val="baseline"/>
                <w:lang w:eastAsia="zh-CN"/>
              </w:rPr>
            </w:pPr>
          </w:p>
        </w:tc>
      </w:tr>
      <w:tr w14:paraId="27CEE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386925B">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6</w:t>
            </w:r>
          </w:p>
        </w:tc>
        <w:tc>
          <w:tcPr>
            <w:tcW w:w="720" w:type="dxa"/>
            <w:vMerge w:val="continue"/>
            <w:vAlign w:val="center"/>
          </w:tcPr>
          <w:p w14:paraId="486EAAD8">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0D6477D0">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1C6C2790">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医院危急值上传</w:t>
            </w:r>
          </w:p>
        </w:tc>
        <w:tc>
          <w:tcPr>
            <w:tcW w:w="4417" w:type="dxa"/>
            <w:vAlign w:val="center"/>
          </w:tcPr>
          <w:p w14:paraId="6B6C513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检验过程中出现危急值时，医院将危急值进行上报，对相关责任人进行预警提醒</w:t>
            </w:r>
          </w:p>
        </w:tc>
        <w:tc>
          <w:tcPr>
            <w:tcW w:w="733" w:type="dxa"/>
            <w:vMerge w:val="continue"/>
            <w:vAlign w:val="center"/>
          </w:tcPr>
          <w:p w14:paraId="6DB10F7F">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3D4BCA3A">
            <w:pPr>
              <w:jc w:val="center"/>
              <w:rPr>
                <w:rFonts w:hint="eastAsia" w:ascii="宋体" w:hAnsi="宋体" w:eastAsia="宋体" w:cs="宋体"/>
                <w:b/>
                <w:color w:val="auto"/>
                <w:sz w:val="24"/>
                <w:szCs w:val="24"/>
                <w:highlight w:val="none"/>
                <w:vertAlign w:val="baseline"/>
                <w:lang w:eastAsia="zh-CN"/>
              </w:rPr>
            </w:pPr>
          </w:p>
        </w:tc>
      </w:tr>
      <w:tr w14:paraId="0B91A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89386DE">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7</w:t>
            </w:r>
          </w:p>
        </w:tc>
        <w:tc>
          <w:tcPr>
            <w:tcW w:w="720" w:type="dxa"/>
            <w:vMerge w:val="continue"/>
            <w:vAlign w:val="center"/>
          </w:tcPr>
          <w:p w14:paraId="05C38546">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3D45BF06">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166C27BB">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医院检验申请单状态共享查询</w:t>
            </w:r>
          </w:p>
        </w:tc>
        <w:tc>
          <w:tcPr>
            <w:tcW w:w="4417" w:type="dxa"/>
            <w:vAlign w:val="center"/>
          </w:tcPr>
          <w:p w14:paraId="1587603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医院查询检验申请单共享状态，包括已上传、正在检验、确认报告等</w:t>
            </w:r>
          </w:p>
        </w:tc>
        <w:tc>
          <w:tcPr>
            <w:tcW w:w="733" w:type="dxa"/>
            <w:vMerge w:val="continue"/>
            <w:vAlign w:val="center"/>
          </w:tcPr>
          <w:p w14:paraId="15A31B6A">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1A6CF893">
            <w:pPr>
              <w:jc w:val="center"/>
              <w:rPr>
                <w:rFonts w:hint="eastAsia" w:ascii="宋体" w:hAnsi="宋体" w:eastAsia="宋体" w:cs="宋体"/>
                <w:b/>
                <w:color w:val="auto"/>
                <w:sz w:val="24"/>
                <w:szCs w:val="24"/>
                <w:highlight w:val="none"/>
                <w:vertAlign w:val="baseline"/>
                <w:lang w:eastAsia="zh-CN"/>
              </w:rPr>
            </w:pPr>
          </w:p>
        </w:tc>
      </w:tr>
      <w:tr w14:paraId="18BDE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8D28EA0">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8</w:t>
            </w:r>
          </w:p>
        </w:tc>
        <w:tc>
          <w:tcPr>
            <w:tcW w:w="720" w:type="dxa"/>
            <w:vMerge w:val="restart"/>
            <w:vAlign w:val="center"/>
          </w:tcPr>
          <w:p w14:paraId="460E84F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区域LIS系统升级</w:t>
            </w:r>
          </w:p>
        </w:tc>
        <w:tc>
          <w:tcPr>
            <w:tcW w:w="866" w:type="dxa"/>
            <w:vMerge w:val="restart"/>
            <w:vAlign w:val="center"/>
          </w:tcPr>
          <w:p w14:paraId="66549B8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区域检验业务信息流转</w:t>
            </w:r>
          </w:p>
        </w:tc>
        <w:tc>
          <w:tcPr>
            <w:tcW w:w="2317" w:type="dxa"/>
            <w:vAlign w:val="center"/>
          </w:tcPr>
          <w:p w14:paraId="629997C6">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电子检验申请上传</w:t>
            </w:r>
          </w:p>
        </w:tc>
        <w:tc>
          <w:tcPr>
            <w:tcW w:w="4417" w:type="dxa"/>
            <w:vAlign w:val="center"/>
          </w:tcPr>
          <w:p w14:paraId="5DAC53D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基层机构发起远程检验，将电子检验申请单上传到检验中心</w:t>
            </w:r>
          </w:p>
        </w:tc>
        <w:tc>
          <w:tcPr>
            <w:tcW w:w="733" w:type="dxa"/>
            <w:vMerge w:val="restart"/>
            <w:vAlign w:val="center"/>
          </w:tcPr>
          <w:p w14:paraId="2A44889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套</w:t>
            </w:r>
          </w:p>
        </w:tc>
        <w:tc>
          <w:tcPr>
            <w:tcW w:w="714" w:type="dxa"/>
            <w:vMerge w:val="restart"/>
            <w:vAlign w:val="center"/>
          </w:tcPr>
          <w:p w14:paraId="2CFDD77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1</w:t>
            </w:r>
          </w:p>
        </w:tc>
      </w:tr>
      <w:tr w14:paraId="62B4E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6B5FE4A">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9</w:t>
            </w:r>
          </w:p>
        </w:tc>
        <w:tc>
          <w:tcPr>
            <w:tcW w:w="720" w:type="dxa"/>
            <w:vMerge w:val="continue"/>
            <w:vAlign w:val="center"/>
          </w:tcPr>
          <w:p w14:paraId="4EED4915">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3CB1B7D7">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1F933191">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检验报告结果下载</w:t>
            </w:r>
          </w:p>
        </w:tc>
        <w:tc>
          <w:tcPr>
            <w:tcW w:w="4417" w:type="dxa"/>
            <w:vAlign w:val="center"/>
          </w:tcPr>
          <w:p w14:paraId="00B6593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基层机构下载上级机构已发布的检验报告结果</w:t>
            </w:r>
          </w:p>
        </w:tc>
        <w:tc>
          <w:tcPr>
            <w:tcW w:w="733" w:type="dxa"/>
            <w:vMerge w:val="continue"/>
            <w:vAlign w:val="center"/>
          </w:tcPr>
          <w:p w14:paraId="327D2ED4">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04E1FEF5">
            <w:pPr>
              <w:jc w:val="center"/>
              <w:rPr>
                <w:rFonts w:hint="eastAsia" w:ascii="宋体" w:hAnsi="宋体" w:eastAsia="宋体" w:cs="宋体"/>
                <w:b/>
                <w:color w:val="auto"/>
                <w:sz w:val="24"/>
                <w:szCs w:val="24"/>
                <w:highlight w:val="none"/>
                <w:vertAlign w:val="baseline"/>
                <w:lang w:eastAsia="zh-CN"/>
              </w:rPr>
            </w:pPr>
          </w:p>
        </w:tc>
      </w:tr>
      <w:tr w14:paraId="3DC5A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6E74C79">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10</w:t>
            </w:r>
          </w:p>
        </w:tc>
        <w:tc>
          <w:tcPr>
            <w:tcW w:w="720" w:type="dxa"/>
            <w:vMerge w:val="continue"/>
            <w:vAlign w:val="center"/>
          </w:tcPr>
          <w:p w14:paraId="2EEF19BF">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6E8CD17E">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01A32969">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检验图形数据索引下载</w:t>
            </w:r>
          </w:p>
        </w:tc>
        <w:tc>
          <w:tcPr>
            <w:tcW w:w="4417" w:type="dxa"/>
            <w:vAlign w:val="center"/>
          </w:tcPr>
          <w:p w14:paraId="1A3A6EBB">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基层机构将检验图形数据索引进行下载操作</w:t>
            </w:r>
          </w:p>
        </w:tc>
        <w:tc>
          <w:tcPr>
            <w:tcW w:w="733" w:type="dxa"/>
            <w:vMerge w:val="continue"/>
            <w:vAlign w:val="center"/>
          </w:tcPr>
          <w:p w14:paraId="0053E63C">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3BA0AF60">
            <w:pPr>
              <w:jc w:val="center"/>
              <w:rPr>
                <w:rFonts w:hint="eastAsia" w:ascii="宋体" w:hAnsi="宋体" w:eastAsia="宋体" w:cs="宋体"/>
                <w:b/>
                <w:color w:val="auto"/>
                <w:sz w:val="24"/>
                <w:szCs w:val="24"/>
                <w:highlight w:val="none"/>
                <w:vertAlign w:val="baseline"/>
                <w:lang w:eastAsia="zh-CN"/>
              </w:rPr>
            </w:pPr>
          </w:p>
        </w:tc>
      </w:tr>
      <w:tr w14:paraId="140B6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A04A689">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11</w:t>
            </w:r>
          </w:p>
        </w:tc>
        <w:tc>
          <w:tcPr>
            <w:tcW w:w="720" w:type="dxa"/>
            <w:vMerge w:val="continue"/>
            <w:vAlign w:val="center"/>
          </w:tcPr>
          <w:p w14:paraId="537D39E0">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5B3B0BFA">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1F8EDFA0">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基层质控原始数据上传</w:t>
            </w:r>
          </w:p>
        </w:tc>
        <w:tc>
          <w:tcPr>
            <w:tcW w:w="4417" w:type="dxa"/>
            <w:vAlign w:val="center"/>
          </w:tcPr>
          <w:p w14:paraId="66CF838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基层机构上传质控原始数据，进行质控管理</w:t>
            </w:r>
          </w:p>
        </w:tc>
        <w:tc>
          <w:tcPr>
            <w:tcW w:w="733" w:type="dxa"/>
            <w:vMerge w:val="continue"/>
            <w:vAlign w:val="center"/>
          </w:tcPr>
          <w:p w14:paraId="59F596C8">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1D67FB39">
            <w:pPr>
              <w:jc w:val="center"/>
              <w:rPr>
                <w:rFonts w:hint="eastAsia" w:ascii="宋体" w:hAnsi="宋体" w:eastAsia="宋体" w:cs="宋体"/>
                <w:b/>
                <w:color w:val="auto"/>
                <w:sz w:val="24"/>
                <w:szCs w:val="24"/>
                <w:highlight w:val="none"/>
                <w:vertAlign w:val="baseline"/>
                <w:lang w:eastAsia="zh-CN"/>
              </w:rPr>
            </w:pPr>
          </w:p>
        </w:tc>
      </w:tr>
      <w:tr w14:paraId="3688F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D0EBD8F">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12</w:t>
            </w:r>
          </w:p>
        </w:tc>
        <w:tc>
          <w:tcPr>
            <w:tcW w:w="720" w:type="dxa"/>
            <w:vMerge w:val="continue"/>
            <w:vAlign w:val="center"/>
          </w:tcPr>
          <w:p w14:paraId="4FB576B0">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4C07BF23">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7AAB926F">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基层不合格标本接收</w:t>
            </w:r>
          </w:p>
        </w:tc>
        <w:tc>
          <w:tcPr>
            <w:tcW w:w="4417" w:type="dxa"/>
            <w:vAlign w:val="center"/>
          </w:tcPr>
          <w:p w14:paraId="1D6FF83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基层机构接收上级医院打回的不合格标本信息，查看不合格原因并进行重新采样</w:t>
            </w:r>
          </w:p>
        </w:tc>
        <w:tc>
          <w:tcPr>
            <w:tcW w:w="733" w:type="dxa"/>
            <w:vMerge w:val="continue"/>
            <w:vAlign w:val="center"/>
          </w:tcPr>
          <w:p w14:paraId="4D8EA6BA">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0E73BF7D">
            <w:pPr>
              <w:jc w:val="center"/>
              <w:rPr>
                <w:rFonts w:hint="eastAsia" w:ascii="宋体" w:hAnsi="宋体" w:eastAsia="宋体" w:cs="宋体"/>
                <w:b/>
                <w:color w:val="auto"/>
                <w:sz w:val="24"/>
                <w:szCs w:val="24"/>
                <w:highlight w:val="none"/>
                <w:vertAlign w:val="baseline"/>
                <w:lang w:eastAsia="zh-CN"/>
              </w:rPr>
            </w:pPr>
          </w:p>
        </w:tc>
      </w:tr>
      <w:tr w14:paraId="720B7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0233A4C">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13</w:t>
            </w:r>
          </w:p>
        </w:tc>
        <w:tc>
          <w:tcPr>
            <w:tcW w:w="720" w:type="dxa"/>
            <w:vMerge w:val="continue"/>
            <w:vAlign w:val="center"/>
          </w:tcPr>
          <w:p w14:paraId="15C9C93C">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7A72563F">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3280A064">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基层危急值上传</w:t>
            </w:r>
          </w:p>
        </w:tc>
        <w:tc>
          <w:tcPr>
            <w:tcW w:w="4417" w:type="dxa"/>
            <w:vAlign w:val="center"/>
          </w:tcPr>
          <w:p w14:paraId="440B861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检验过程中出现危急值时，基层机构将危急值进行上报，对相关责任人进行预警提醒</w:t>
            </w:r>
          </w:p>
        </w:tc>
        <w:tc>
          <w:tcPr>
            <w:tcW w:w="733" w:type="dxa"/>
            <w:vMerge w:val="continue"/>
            <w:vAlign w:val="center"/>
          </w:tcPr>
          <w:p w14:paraId="0CA4F735">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2305C62E">
            <w:pPr>
              <w:jc w:val="center"/>
              <w:rPr>
                <w:rFonts w:hint="eastAsia" w:ascii="宋体" w:hAnsi="宋体" w:eastAsia="宋体" w:cs="宋体"/>
                <w:b/>
                <w:color w:val="auto"/>
                <w:sz w:val="24"/>
                <w:szCs w:val="24"/>
                <w:highlight w:val="none"/>
                <w:vertAlign w:val="baseline"/>
                <w:lang w:eastAsia="zh-CN"/>
              </w:rPr>
            </w:pPr>
          </w:p>
        </w:tc>
      </w:tr>
      <w:tr w14:paraId="71528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3789A30">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14</w:t>
            </w:r>
          </w:p>
        </w:tc>
        <w:tc>
          <w:tcPr>
            <w:tcW w:w="720" w:type="dxa"/>
            <w:vMerge w:val="continue"/>
            <w:vAlign w:val="center"/>
          </w:tcPr>
          <w:p w14:paraId="07E80B4D">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4E5271EF">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5C10DC4B">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基层检验申请单状态共享查询</w:t>
            </w:r>
          </w:p>
        </w:tc>
        <w:tc>
          <w:tcPr>
            <w:tcW w:w="4417" w:type="dxa"/>
            <w:vAlign w:val="center"/>
          </w:tcPr>
          <w:p w14:paraId="1A3ACD1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基层机构查询检验申请单共享状态，包括已上传、已下载、报告、已接收等</w:t>
            </w:r>
          </w:p>
        </w:tc>
        <w:tc>
          <w:tcPr>
            <w:tcW w:w="733" w:type="dxa"/>
            <w:vMerge w:val="continue"/>
            <w:vAlign w:val="center"/>
          </w:tcPr>
          <w:p w14:paraId="695FA9E2">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16AAAD92">
            <w:pPr>
              <w:jc w:val="center"/>
              <w:rPr>
                <w:rFonts w:hint="eastAsia" w:ascii="宋体" w:hAnsi="宋体" w:eastAsia="宋体" w:cs="宋体"/>
                <w:b/>
                <w:color w:val="auto"/>
                <w:sz w:val="24"/>
                <w:szCs w:val="24"/>
                <w:highlight w:val="none"/>
                <w:vertAlign w:val="baseline"/>
                <w:lang w:eastAsia="zh-CN"/>
              </w:rPr>
            </w:pPr>
          </w:p>
        </w:tc>
      </w:tr>
      <w:tr w14:paraId="750B8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27799BB">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15</w:t>
            </w:r>
          </w:p>
        </w:tc>
        <w:tc>
          <w:tcPr>
            <w:tcW w:w="720" w:type="dxa"/>
            <w:vMerge w:val="continue"/>
            <w:vAlign w:val="center"/>
          </w:tcPr>
          <w:p w14:paraId="72836980">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6FADD85D">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3FF566F9">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报告预览</w:t>
            </w:r>
          </w:p>
        </w:tc>
        <w:tc>
          <w:tcPr>
            <w:tcW w:w="4417" w:type="dxa"/>
            <w:vAlign w:val="center"/>
          </w:tcPr>
          <w:p w14:paraId="2774DC6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基层单位预览PDF格式的检验报告信息，能够打印、下载</w:t>
            </w:r>
          </w:p>
        </w:tc>
        <w:tc>
          <w:tcPr>
            <w:tcW w:w="733" w:type="dxa"/>
            <w:vMerge w:val="continue"/>
            <w:vAlign w:val="center"/>
          </w:tcPr>
          <w:p w14:paraId="0F853ADF">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6CC1C49C">
            <w:pPr>
              <w:jc w:val="center"/>
              <w:rPr>
                <w:rFonts w:hint="eastAsia" w:ascii="宋体" w:hAnsi="宋体" w:eastAsia="宋体" w:cs="宋体"/>
                <w:b/>
                <w:color w:val="auto"/>
                <w:sz w:val="24"/>
                <w:szCs w:val="24"/>
                <w:highlight w:val="none"/>
                <w:vertAlign w:val="baseline"/>
                <w:lang w:eastAsia="zh-CN"/>
              </w:rPr>
            </w:pPr>
          </w:p>
        </w:tc>
      </w:tr>
      <w:tr w14:paraId="1C07D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83A025E">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16</w:t>
            </w:r>
          </w:p>
        </w:tc>
        <w:tc>
          <w:tcPr>
            <w:tcW w:w="720" w:type="dxa"/>
            <w:vMerge w:val="restart"/>
            <w:vAlign w:val="center"/>
          </w:tcPr>
          <w:p w14:paraId="0E28A3C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标本外送系统</w:t>
            </w:r>
          </w:p>
        </w:tc>
        <w:tc>
          <w:tcPr>
            <w:tcW w:w="866" w:type="dxa"/>
            <w:vMerge w:val="restart"/>
            <w:vAlign w:val="center"/>
          </w:tcPr>
          <w:p w14:paraId="01DC0C7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基础信息维护</w:t>
            </w:r>
          </w:p>
        </w:tc>
        <w:tc>
          <w:tcPr>
            <w:tcW w:w="2317" w:type="dxa"/>
            <w:vAlign w:val="center"/>
          </w:tcPr>
          <w:p w14:paraId="138E6CB2">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用户管理</w:t>
            </w:r>
          </w:p>
        </w:tc>
        <w:tc>
          <w:tcPr>
            <w:tcW w:w="4417" w:type="dxa"/>
            <w:vAlign w:val="center"/>
          </w:tcPr>
          <w:p w14:paraId="3AA2C9E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维护标本外送系统的用户信息</w:t>
            </w:r>
          </w:p>
        </w:tc>
        <w:tc>
          <w:tcPr>
            <w:tcW w:w="733" w:type="dxa"/>
            <w:vMerge w:val="restart"/>
            <w:vAlign w:val="center"/>
          </w:tcPr>
          <w:p w14:paraId="20192BC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套</w:t>
            </w:r>
          </w:p>
        </w:tc>
        <w:tc>
          <w:tcPr>
            <w:tcW w:w="714" w:type="dxa"/>
            <w:vMerge w:val="restart"/>
            <w:vAlign w:val="center"/>
          </w:tcPr>
          <w:p w14:paraId="45C371D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1</w:t>
            </w:r>
          </w:p>
        </w:tc>
      </w:tr>
      <w:tr w14:paraId="239D6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0EE6FF6">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17</w:t>
            </w:r>
          </w:p>
        </w:tc>
        <w:tc>
          <w:tcPr>
            <w:tcW w:w="720" w:type="dxa"/>
            <w:vMerge w:val="continue"/>
            <w:vAlign w:val="center"/>
          </w:tcPr>
          <w:p w14:paraId="0342A25B">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63F1DAAD">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4112719A">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角色管理</w:t>
            </w:r>
          </w:p>
        </w:tc>
        <w:tc>
          <w:tcPr>
            <w:tcW w:w="4417" w:type="dxa"/>
            <w:vAlign w:val="center"/>
          </w:tcPr>
          <w:p w14:paraId="4E41A94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维护标本外送系统的角色信息</w:t>
            </w:r>
          </w:p>
        </w:tc>
        <w:tc>
          <w:tcPr>
            <w:tcW w:w="733" w:type="dxa"/>
            <w:vMerge w:val="continue"/>
            <w:vAlign w:val="center"/>
          </w:tcPr>
          <w:p w14:paraId="588347C9">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002EF39C">
            <w:pPr>
              <w:jc w:val="center"/>
              <w:rPr>
                <w:rFonts w:hint="eastAsia" w:ascii="宋体" w:hAnsi="宋体" w:eastAsia="宋体" w:cs="宋体"/>
                <w:b/>
                <w:color w:val="auto"/>
                <w:sz w:val="24"/>
                <w:szCs w:val="24"/>
                <w:highlight w:val="none"/>
                <w:vertAlign w:val="baseline"/>
                <w:lang w:eastAsia="zh-CN"/>
              </w:rPr>
            </w:pPr>
          </w:p>
        </w:tc>
      </w:tr>
      <w:tr w14:paraId="3155B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71D5500">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18</w:t>
            </w:r>
          </w:p>
        </w:tc>
        <w:tc>
          <w:tcPr>
            <w:tcW w:w="720" w:type="dxa"/>
            <w:vMerge w:val="continue"/>
            <w:vAlign w:val="center"/>
          </w:tcPr>
          <w:p w14:paraId="52295ACF">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4B59D433">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0E555A81">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权限管理</w:t>
            </w:r>
          </w:p>
        </w:tc>
        <w:tc>
          <w:tcPr>
            <w:tcW w:w="4417" w:type="dxa"/>
            <w:vAlign w:val="center"/>
          </w:tcPr>
          <w:p w14:paraId="2C4BF0F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维护标本外送系统的权限信息</w:t>
            </w:r>
          </w:p>
        </w:tc>
        <w:tc>
          <w:tcPr>
            <w:tcW w:w="733" w:type="dxa"/>
            <w:vMerge w:val="continue"/>
            <w:vAlign w:val="center"/>
          </w:tcPr>
          <w:p w14:paraId="512485C4">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2D0A2453">
            <w:pPr>
              <w:jc w:val="center"/>
              <w:rPr>
                <w:rFonts w:hint="eastAsia" w:ascii="宋体" w:hAnsi="宋体" w:eastAsia="宋体" w:cs="宋体"/>
                <w:b/>
                <w:color w:val="auto"/>
                <w:sz w:val="24"/>
                <w:szCs w:val="24"/>
                <w:highlight w:val="none"/>
                <w:vertAlign w:val="baseline"/>
                <w:lang w:eastAsia="zh-CN"/>
              </w:rPr>
            </w:pPr>
          </w:p>
        </w:tc>
      </w:tr>
      <w:tr w14:paraId="0A513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7042116">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19</w:t>
            </w:r>
          </w:p>
        </w:tc>
        <w:tc>
          <w:tcPr>
            <w:tcW w:w="720" w:type="dxa"/>
            <w:vMerge w:val="continue"/>
            <w:vAlign w:val="center"/>
          </w:tcPr>
          <w:p w14:paraId="25E8C536">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247F143C">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71CAAF58">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机构管理</w:t>
            </w:r>
          </w:p>
        </w:tc>
        <w:tc>
          <w:tcPr>
            <w:tcW w:w="4417" w:type="dxa"/>
            <w:vAlign w:val="center"/>
          </w:tcPr>
          <w:p w14:paraId="0B968BCB">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维护标本外送系统的机构信息</w:t>
            </w:r>
          </w:p>
        </w:tc>
        <w:tc>
          <w:tcPr>
            <w:tcW w:w="733" w:type="dxa"/>
            <w:vMerge w:val="continue"/>
            <w:vAlign w:val="center"/>
          </w:tcPr>
          <w:p w14:paraId="34727EA4">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4092A754">
            <w:pPr>
              <w:jc w:val="center"/>
              <w:rPr>
                <w:rFonts w:hint="eastAsia" w:ascii="宋体" w:hAnsi="宋体" w:eastAsia="宋体" w:cs="宋体"/>
                <w:b/>
                <w:color w:val="auto"/>
                <w:sz w:val="24"/>
                <w:szCs w:val="24"/>
                <w:highlight w:val="none"/>
                <w:vertAlign w:val="baseline"/>
                <w:lang w:eastAsia="zh-CN"/>
              </w:rPr>
            </w:pPr>
          </w:p>
        </w:tc>
      </w:tr>
      <w:tr w14:paraId="6DE59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7C2CAC4">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20</w:t>
            </w:r>
          </w:p>
        </w:tc>
        <w:tc>
          <w:tcPr>
            <w:tcW w:w="720" w:type="dxa"/>
            <w:vMerge w:val="continue"/>
            <w:vAlign w:val="center"/>
          </w:tcPr>
          <w:p w14:paraId="57A5E2F3">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4A0E053C">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766EDC67">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申请项目基础库管理</w:t>
            </w:r>
          </w:p>
        </w:tc>
        <w:tc>
          <w:tcPr>
            <w:tcW w:w="4417" w:type="dxa"/>
            <w:vAlign w:val="center"/>
          </w:tcPr>
          <w:p w14:paraId="3C79F61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维护申请项目基础标准库，作为全局项目使用</w:t>
            </w:r>
          </w:p>
        </w:tc>
        <w:tc>
          <w:tcPr>
            <w:tcW w:w="733" w:type="dxa"/>
            <w:vMerge w:val="continue"/>
            <w:vAlign w:val="center"/>
          </w:tcPr>
          <w:p w14:paraId="4EC35629">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17EDBDFE">
            <w:pPr>
              <w:jc w:val="center"/>
              <w:rPr>
                <w:rFonts w:hint="eastAsia" w:ascii="宋体" w:hAnsi="宋体" w:eastAsia="宋体" w:cs="宋体"/>
                <w:b/>
                <w:color w:val="auto"/>
                <w:sz w:val="24"/>
                <w:szCs w:val="24"/>
                <w:highlight w:val="none"/>
                <w:vertAlign w:val="baseline"/>
                <w:lang w:eastAsia="zh-CN"/>
              </w:rPr>
            </w:pPr>
          </w:p>
        </w:tc>
      </w:tr>
      <w:tr w14:paraId="1DBCE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CE508D0">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21</w:t>
            </w:r>
          </w:p>
        </w:tc>
        <w:tc>
          <w:tcPr>
            <w:tcW w:w="720" w:type="dxa"/>
            <w:vMerge w:val="continue"/>
            <w:vAlign w:val="center"/>
          </w:tcPr>
          <w:p w14:paraId="77F57ABB">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1C26E2A5">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343EA963">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医院申请项目维护</w:t>
            </w:r>
          </w:p>
        </w:tc>
        <w:tc>
          <w:tcPr>
            <w:tcW w:w="4417" w:type="dxa"/>
            <w:vAlign w:val="center"/>
          </w:tcPr>
          <w:p w14:paraId="16A1FD5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医院从项目基础库中选择项目，维护本机构申请项目</w:t>
            </w:r>
          </w:p>
        </w:tc>
        <w:tc>
          <w:tcPr>
            <w:tcW w:w="733" w:type="dxa"/>
            <w:vMerge w:val="continue"/>
            <w:vAlign w:val="center"/>
          </w:tcPr>
          <w:p w14:paraId="03FFC45A">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2CFF0144">
            <w:pPr>
              <w:jc w:val="center"/>
              <w:rPr>
                <w:rFonts w:hint="eastAsia" w:ascii="宋体" w:hAnsi="宋体" w:eastAsia="宋体" w:cs="宋体"/>
                <w:b/>
                <w:color w:val="auto"/>
                <w:sz w:val="24"/>
                <w:szCs w:val="24"/>
                <w:highlight w:val="none"/>
                <w:vertAlign w:val="baseline"/>
                <w:lang w:eastAsia="zh-CN"/>
              </w:rPr>
            </w:pPr>
          </w:p>
        </w:tc>
      </w:tr>
      <w:tr w14:paraId="52644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A9DB3FC">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22</w:t>
            </w:r>
          </w:p>
        </w:tc>
        <w:tc>
          <w:tcPr>
            <w:tcW w:w="720" w:type="dxa"/>
            <w:vMerge w:val="continue"/>
            <w:vAlign w:val="center"/>
          </w:tcPr>
          <w:p w14:paraId="348FDD92">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77A378B0">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0D61E766">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项目对照</w:t>
            </w:r>
          </w:p>
        </w:tc>
        <w:tc>
          <w:tcPr>
            <w:tcW w:w="4417" w:type="dxa"/>
            <w:vAlign w:val="center"/>
          </w:tcPr>
          <w:p w14:paraId="4560ABF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基准申请项目和医院申请项目对照管理</w:t>
            </w:r>
          </w:p>
        </w:tc>
        <w:tc>
          <w:tcPr>
            <w:tcW w:w="733" w:type="dxa"/>
            <w:vMerge w:val="continue"/>
            <w:vAlign w:val="center"/>
          </w:tcPr>
          <w:p w14:paraId="237E4629">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280886DC">
            <w:pPr>
              <w:jc w:val="center"/>
              <w:rPr>
                <w:rFonts w:hint="eastAsia" w:ascii="宋体" w:hAnsi="宋体" w:eastAsia="宋体" w:cs="宋体"/>
                <w:b/>
                <w:color w:val="auto"/>
                <w:sz w:val="24"/>
                <w:szCs w:val="24"/>
                <w:highlight w:val="none"/>
                <w:vertAlign w:val="baseline"/>
                <w:lang w:eastAsia="zh-CN"/>
              </w:rPr>
            </w:pPr>
          </w:p>
        </w:tc>
      </w:tr>
      <w:tr w14:paraId="716B2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8B59AE5">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23</w:t>
            </w:r>
          </w:p>
        </w:tc>
        <w:tc>
          <w:tcPr>
            <w:tcW w:w="720" w:type="dxa"/>
            <w:vMerge w:val="continue"/>
            <w:vAlign w:val="center"/>
          </w:tcPr>
          <w:p w14:paraId="22CAD6F3">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5C39BF90">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675371AA">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条码规则管理</w:t>
            </w:r>
          </w:p>
        </w:tc>
        <w:tc>
          <w:tcPr>
            <w:tcW w:w="4417" w:type="dxa"/>
            <w:vAlign w:val="center"/>
          </w:tcPr>
          <w:p w14:paraId="35A0F84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对区域内统一的条码规则字典进行管理及维护</w:t>
            </w:r>
          </w:p>
        </w:tc>
        <w:tc>
          <w:tcPr>
            <w:tcW w:w="733" w:type="dxa"/>
            <w:vMerge w:val="continue"/>
            <w:vAlign w:val="center"/>
          </w:tcPr>
          <w:p w14:paraId="77737D27">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1243FF04">
            <w:pPr>
              <w:jc w:val="center"/>
              <w:rPr>
                <w:rFonts w:hint="eastAsia" w:ascii="宋体" w:hAnsi="宋体" w:eastAsia="宋体" w:cs="宋体"/>
                <w:b/>
                <w:color w:val="auto"/>
                <w:sz w:val="24"/>
                <w:szCs w:val="24"/>
                <w:highlight w:val="none"/>
                <w:vertAlign w:val="baseline"/>
                <w:lang w:eastAsia="zh-CN"/>
              </w:rPr>
            </w:pPr>
          </w:p>
        </w:tc>
      </w:tr>
      <w:tr w14:paraId="3BDF0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E0D84E0">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24</w:t>
            </w:r>
          </w:p>
        </w:tc>
        <w:tc>
          <w:tcPr>
            <w:tcW w:w="720" w:type="dxa"/>
            <w:vMerge w:val="continue"/>
            <w:vAlign w:val="center"/>
          </w:tcPr>
          <w:p w14:paraId="7FFD987D">
            <w:pPr>
              <w:jc w:val="center"/>
              <w:rPr>
                <w:rFonts w:hint="eastAsia" w:ascii="宋体" w:hAnsi="宋体" w:eastAsia="宋体" w:cs="宋体"/>
                <w:b/>
                <w:color w:val="auto"/>
                <w:sz w:val="24"/>
                <w:szCs w:val="24"/>
                <w:highlight w:val="none"/>
                <w:vertAlign w:val="baseline"/>
                <w:lang w:eastAsia="zh-CN"/>
              </w:rPr>
            </w:pPr>
          </w:p>
        </w:tc>
        <w:tc>
          <w:tcPr>
            <w:tcW w:w="866" w:type="dxa"/>
            <w:vMerge w:val="restart"/>
            <w:vAlign w:val="center"/>
          </w:tcPr>
          <w:p w14:paraId="4AA0A090">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标本外送管理</w:t>
            </w:r>
          </w:p>
        </w:tc>
        <w:tc>
          <w:tcPr>
            <w:tcW w:w="2317" w:type="dxa"/>
            <w:vAlign w:val="center"/>
          </w:tcPr>
          <w:p w14:paraId="5D272B0E">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检验申请管理</w:t>
            </w:r>
          </w:p>
        </w:tc>
        <w:tc>
          <w:tcPr>
            <w:tcW w:w="4417" w:type="dxa"/>
            <w:vAlign w:val="center"/>
          </w:tcPr>
          <w:p w14:paraId="31F25F9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查询系统内检验申请单信息</w:t>
            </w:r>
          </w:p>
        </w:tc>
        <w:tc>
          <w:tcPr>
            <w:tcW w:w="733" w:type="dxa"/>
            <w:vMerge w:val="continue"/>
            <w:vAlign w:val="center"/>
          </w:tcPr>
          <w:p w14:paraId="1BEDE5F4">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1D4B8E55">
            <w:pPr>
              <w:jc w:val="center"/>
              <w:rPr>
                <w:rFonts w:hint="eastAsia" w:ascii="宋体" w:hAnsi="宋体" w:eastAsia="宋体" w:cs="宋体"/>
                <w:b/>
                <w:color w:val="auto"/>
                <w:sz w:val="24"/>
                <w:szCs w:val="24"/>
                <w:highlight w:val="none"/>
                <w:vertAlign w:val="baseline"/>
                <w:lang w:eastAsia="zh-CN"/>
              </w:rPr>
            </w:pPr>
          </w:p>
        </w:tc>
      </w:tr>
      <w:tr w14:paraId="4CBD5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00D2CC0">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25</w:t>
            </w:r>
          </w:p>
        </w:tc>
        <w:tc>
          <w:tcPr>
            <w:tcW w:w="720" w:type="dxa"/>
            <w:vMerge w:val="continue"/>
            <w:vAlign w:val="center"/>
          </w:tcPr>
          <w:p w14:paraId="7BF5FEEA">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44087901">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2317" w:type="dxa"/>
            <w:vAlign w:val="center"/>
          </w:tcPr>
          <w:p w14:paraId="7A49693B">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标本剔回查询</w:t>
            </w:r>
          </w:p>
        </w:tc>
        <w:tc>
          <w:tcPr>
            <w:tcW w:w="4417" w:type="dxa"/>
            <w:vAlign w:val="center"/>
          </w:tcPr>
          <w:p w14:paraId="10A1542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查询系统内标本剔回信息，并查看剔回原因</w:t>
            </w:r>
          </w:p>
        </w:tc>
        <w:tc>
          <w:tcPr>
            <w:tcW w:w="733" w:type="dxa"/>
            <w:vMerge w:val="continue"/>
            <w:vAlign w:val="center"/>
          </w:tcPr>
          <w:p w14:paraId="34CB45D6">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7F0904D5">
            <w:pPr>
              <w:jc w:val="center"/>
              <w:rPr>
                <w:rFonts w:hint="eastAsia" w:ascii="宋体" w:hAnsi="宋体" w:eastAsia="宋体" w:cs="宋体"/>
                <w:b/>
                <w:color w:val="auto"/>
                <w:sz w:val="24"/>
                <w:szCs w:val="24"/>
                <w:highlight w:val="none"/>
                <w:vertAlign w:val="baseline"/>
                <w:lang w:eastAsia="zh-CN"/>
              </w:rPr>
            </w:pPr>
          </w:p>
        </w:tc>
      </w:tr>
      <w:tr w14:paraId="60A60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2C76DCD">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26</w:t>
            </w:r>
          </w:p>
        </w:tc>
        <w:tc>
          <w:tcPr>
            <w:tcW w:w="720" w:type="dxa"/>
            <w:vMerge w:val="continue"/>
            <w:vAlign w:val="center"/>
          </w:tcPr>
          <w:p w14:paraId="1A783E00">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234A87E8">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2317" w:type="dxa"/>
            <w:vAlign w:val="center"/>
          </w:tcPr>
          <w:p w14:paraId="2EDC6AF6">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检验申请录入</w:t>
            </w:r>
          </w:p>
        </w:tc>
        <w:tc>
          <w:tcPr>
            <w:tcW w:w="4417" w:type="dxa"/>
            <w:vAlign w:val="center"/>
          </w:tcPr>
          <w:p w14:paraId="328901D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支持手工录检验申请信息</w:t>
            </w:r>
          </w:p>
        </w:tc>
        <w:tc>
          <w:tcPr>
            <w:tcW w:w="733" w:type="dxa"/>
            <w:vMerge w:val="continue"/>
            <w:vAlign w:val="center"/>
          </w:tcPr>
          <w:p w14:paraId="36C31E04">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1C48F7C4">
            <w:pPr>
              <w:jc w:val="center"/>
              <w:rPr>
                <w:rFonts w:hint="eastAsia" w:ascii="宋体" w:hAnsi="宋体" w:eastAsia="宋体" w:cs="宋体"/>
                <w:b/>
                <w:color w:val="auto"/>
                <w:sz w:val="24"/>
                <w:szCs w:val="24"/>
                <w:highlight w:val="none"/>
                <w:vertAlign w:val="baseline"/>
                <w:lang w:eastAsia="zh-CN"/>
              </w:rPr>
            </w:pPr>
          </w:p>
        </w:tc>
      </w:tr>
      <w:tr w14:paraId="31875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D1AFB0F">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27</w:t>
            </w:r>
          </w:p>
        </w:tc>
        <w:tc>
          <w:tcPr>
            <w:tcW w:w="720" w:type="dxa"/>
            <w:vMerge w:val="continue"/>
            <w:vAlign w:val="center"/>
          </w:tcPr>
          <w:p w14:paraId="53ADFA26">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32AF3845">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2317" w:type="dxa"/>
            <w:vAlign w:val="center"/>
          </w:tcPr>
          <w:p w14:paraId="013A814A">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申请单修改</w:t>
            </w:r>
          </w:p>
        </w:tc>
        <w:tc>
          <w:tcPr>
            <w:tcW w:w="4417" w:type="dxa"/>
            <w:vAlign w:val="center"/>
          </w:tcPr>
          <w:p w14:paraId="7EC18F5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支持对申请单信息进行修改、保存</w:t>
            </w:r>
          </w:p>
        </w:tc>
        <w:tc>
          <w:tcPr>
            <w:tcW w:w="733" w:type="dxa"/>
            <w:vMerge w:val="continue"/>
            <w:vAlign w:val="center"/>
          </w:tcPr>
          <w:p w14:paraId="614C6679">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3E757824">
            <w:pPr>
              <w:jc w:val="center"/>
              <w:rPr>
                <w:rFonts w:hint="eastAsia" w:ascii="宋体" w:hAnsi="宋体" w:eastAsia="宋体" w:cs="宋体"/>
                <w:b/>
                <w:color w:val="auto"/>
                <w:sz w:val="24"/>
                <w:szCs w:val="24"/>
                <w:highlight w:val="none"/>
                <w:vertAlign w:val="baseline"/>
                <w:lang w:eastAsia="zh-CN"/>
              </w:rPr>
            </w:pPr>
          </w:p>
        </w:tc>
      </w:tr>
      <w:tr w14:paraId="795A8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00DE4BA">
            <w:pPr>
              <w:spacing w:line="300" w:lineRule="exact"/>
              <w:jc w:val="center"/>
              <w:rPr>
                <w:rFonts w:hint="default" w:ascii="宋体" w:hAnsi="宋体" w:eastAsia="宋体" w:cs="宋体"/>
                <w:b/>
                <w:color w:val="auto"/>
                <w:sz w:val="24"/>
                <w:szCs w:val="24"/>
                <w:highlight w:val="none"/>
                <w:vertAlign w:val="baseline"/>
                <w:lang w:val="en-US" w:eastAsia="zh-CN"/>
              </w:rPr>
            </w:pPr>
            <w:r>
              <w:rPr>
                <w:rFonts w:hint="eastAsia" w:ascii="仿宋" w:hAnsi="仿宋" w:eastAsia="仿宋" w:cs="宋体"/>
                <w:color w:val="auto"/>
                <w:sz w:val="22"/>
                <w:szCs w:val="22"/>
                <w:highlight w:val="none"/>
                <w:lang w:val="en-US" w:eastAsia="zh-CN"/>
              </w:rPr>
              <w:t>28</w:t>
            </w:r>
          </w:p>
        </w:tc>
        <w:tc>
          <w:tcPr>
            <w:tcW w:w="720" w:type="dxa"/>
            <w:vMerge w:val="continue"/>
            <w:vAlign w:val="center"/>
          </w:tcPr>
          <w:p w14:paraId="0A7844EC">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02FF4F35">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2317" w:type="dxa"/>
            <w:vAlign w:val="center"/>
          </w:tcPr>
          <w:p w14:paraId="603E550A">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申请单修改日志</w:t>
            </w:r>
          </w:p>
        </w:tc>
        <w:tc>
          <w:tcPr>
            <w:tcW w:w="4417" w:type="dxa"/>
            <w:vAlign w:val="center"/>
          </w:tcPr>
          <w:p w14:paraId="3C37925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支持查看申请单历史修改记录，形成修改履历，进行数据变更追踪</w:t>
            </w:r>
          </w:p>
        </w:tc>
        <w:tc>
          <w:tcPr>
            <w:tcW w:w="733" w:type="dxa"/>
            <w:vMerge w:val="continue"/>
            <w:vAlign w:val="center"/>
          </w:tcPr>
          <w:p w14:paraId="4EFDAA1B">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024193EA">
            <w:pPr>
              <w:jc w:val="center"/>
              <w:rPr>
                <w:rFonts w:hint="eastAsia" w:ascii="宋体" w:hAnsi="宋体" w:eastAsia="宋体" w:cs="宋体"/>
                <w:b/>
                <w:color w:val="auto"/>
                <w:sz w:val="24"/>
                <w:szCs w:val="24"/>
                <w:highlight w:val="none"/>
                <w:vertAlign w:val="baseline"/>
                <w:lang w:eastAsia="zh-CN"/>
              </w:rPr>
            </w:pPr>
          </w:p>
        </w:tc>
      </w:tr>
      <w:tr w14:paraId="09345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57852E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29</w:t>
            </w:r>
          </w:p>
        </w:tc>
        <w:tc>
          <w:tcPr>
            <w:tcW w:w="720" w:type="dxa"/>
            <w:vMerge w:val="continue"/>
            <w:vAlign w:val="center"/>
          </w:tcPr>
          <w:p w14:paraId="04C65BFD">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1E5BBC8F">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2317" w:type="dxa"/>
            <w:vAlign w:val="center"/>
          </w:tcPr>
          <w:p w14:paraId="7465AF05">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检验申请审核</w:t>
            </w:r>
          </w:p>
        </w:tc>
        <w:tc>
          <w:tcPr>
            <w:tcW w:w="4417" w:type="dxa"/>
            <w:vAlign w:val="center"/>
          </w:tcPr>
          <w:p w14:paraId="0B5ED51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支持管理员对检验申请进行审核</w:t>
            </w:r>
          </w:p>
        </w:tc>
        <w:tc>
          <w:tcPr>
            <w:tcW w:w="733" w:type="dxa"/>
            <w:vMerge w:val="continue"/>
            <w:vAlign w:val="center"/>
          </w:tcPr>
          <w:p w14:paraId="678A990A">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02EF4EE1">
            <w:pPr>
              <w:jc w:val="center"/>
              <w:rPr>
                <w:rFonts w:hint="eastAsia" w:ascii="宋体" w:hAnsi="宋体" w:eastAsia="宋体" w:cs="宋体"/>
                <w:b/>
                <w:color w:val="auto"/>
                <w:sz w:val="24"/>
                <w:szCs w:val="24"/>
                <w:highlight w:val="none"/>
                <w:vertAlign w:val="baseline"/>
                <w:lang w:eastAsia="zh-CN"/>
              </w:rPr>
            </w:pPr>
          </w:p>
        </w:tc>
      </w:tr>
      <w:tr w14:paraId="4F969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2E88202">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30</w:t>
            </w:r>
          </w:p>
        </w:tc>
        <w:tc>
          <w:tcPr>
            <w:tcW w:w="720" w:type="dxa"/>
            <w:vMerge w:val="continue"/>
            <w:vAlign w:val="center"/>
          </w:tcPr>
          <w:p w14:paraId="722D5869">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210C02B1">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2317" w:type="dxa"/>
            <w:vAlign w:val="center"/>
          </w:tcPr>
          <w:p w14:paraId="348916E8">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申请录入组套维护</w:t>
            </w:r>
          </w:p>
        </w:tc>
        <w:tc>
          <w:tcPr>
            <w:tcW w:w="4417" w:type="dxa"/>
            <w:vAlign w:val="center"/>
          </w:tcPr>
          <w:p w14:paraId="3A3454D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支持录入检验组套，快捷开立检验项目</w:t>
            </w:r>
          </w:p>
        </w:tc>
        <w:tc>
          <w:tcPr>
            <w:tcW w:w="733" w:type="dxa"/>
            <w:vMerge w:val="continue"/>
            <w:vAlign w:val="center"/>
          </w:tcPr>
          <w:p w14:paraId="4B816005">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448641DF">
            <w:pPr>
              <w:jc w:val="center"/>
              <w:rPr>
                <w:rFonts w:hint="eastAsia" w:ascii="宋体" w:hAnsi="宋体" w:eastAsia="宋体" w:cs="宋体"/>
                <w:b/>
                <w:color w:val="auto"/>
                <w:sz w:val="24"/>
                <w:szCs w:val="24"/>
                <w:highlight w:val="none"/>
                <w:vertAlign w:val="baseline"/>
                <w:lang w:eastAsia="zh-CN"/>
              </w:rPr>
            </w:pPr>
          </w:p>
        </w:tc>
      </w:tr>
      <w:tr w14:paraId="1E532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7825F79">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31</w:t>
            </w:r>
          </w:p>
        </w:tc>
        <w:tc>
          <w:tcPr>
            <w:tcW w:w="720" w:type="dxa"/>
            <w:vMerge w:val="continue"/>
            <w:vAlign w:val="center"/>
          </w:tcPr>
          <w:p w14:paraId="6ED3A22E">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3F8A2518">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2317" w:type="dxa"/>
            <w:vAlign w:val="center"/>
          </w:tcPr>
          <w:p w14:paraId="18F513F8">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检验申请Excel导入</w:t>
            </w:r>
          </w:p>
        </w:tc>
        <w:tc>
          <w:tcPr>
            <w:tcW w:w="4417" w:type="dxa"/>
            <w:vAlign w:val="center"/>
          </w:tcPr>
          <w:p w14:paraId="0B2A6BB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支持按excel批量导入检验申请信息</w:t>
            </w:r>
          </w:p>
        </w:tc>
        <w:tc>
          <w:tcPr>
            <w:tcW w:w="733" w:type="dxa"/>
            <w:vMerge w:val="continue"/>
            <w:vAlign w:val="center"/>
          </w:tcPr>
          <w:p w14:paraId="4ACA5517">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2EF5347A">
            <w:pPr>
              <w:jc w:val="center"/>
              <w:rPr>
                <w:rFonts w:hint="eastAsia" w:ascii="宋体" w:hAnsi="宋体" w:eastAsia="宋体" w:cs="宋体"/>
                <w:b/>
                <w:color w:val="auto"/>
                <w:sz w:val="24"/>
                <w:szCs w:val="24"/>
                <w:highlight w:val="none"/>
                <w:vertAlign w:val="baseline"/>
                <w:lang w:eastAsia="zh-CN"/>
              </w:rPr>
            </w:pPr>
          </w:p>
        </w:tc>
      </w:tr>
      <w:tr w14:paraId="7CF53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68CB23F">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32</w:t>
            </w:r>
          </w:p>
        </w:tc>
        <w:tc>
          <w:tcPr>
            <w:tcW w:w="720" w:type="dxa"/>
            <w:vMerge w:val="continue"/>
            <w:vAlign w:val="center"/>
          </w:tcPr>
          <w:p w14:paraId="6D9C0C6A">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44B3A710">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2317" w:type="dxa"/>
            <w:vAlign w:val="center"/>
          </w:tcPr>
          <w:p w14:paraId="29C5D382">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按分类拆分条码导入</w:t>
            </w:r>
          </w:p>
        </w:tc>
        <w:tc>
          <w:tcPr>
            <w:tcW w:w="4417" w:type="dxa"/>
            <w:vAlign w:val="center"/>
          </w:tcPr>
          <w:p w14:paraId="3B7B6F3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支持按项目分类导入申请单信息</w:t>
            </w:r>
          </w:p>
        </w:tc>
        <w:tc>
          <w:tcPr>
            <w:tcW w:w="733" w:type="dxa"/>
            <w:vMerge w:val="continue"/>
            <w:vAlign w:val="center"/>
          </w:tcPr>
          <w:p w14:paraId="0CA56512">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2A93A1C5">
            <w:pPr>
              <w:jc w:val="center"/>
              <w:rPr>
                <w:rFonts w:hint="eastAsia" w:ascii="宋体" w:hAnsi="宋体" w:eastAsia="宋体" w:cs="宋体"/>
                <w:b/>
                <w:color w:val="auto"/>
                <w:sz w:val="24"/>
                <w:szCs w:val="24"/>
                <w:highlight w:val="none"/>
                <w:vertAlign w:val="baseline"/>
                <w:lang w:eastAsia="zh-CN"/>
              </w:rPr>
            </w:pPr>
          </w:p>
        </w:tc>
      </w:tr>
      <w:tr w14:paraId="6261D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6BB3CCB">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33</w:t>
            </w:r>
          </w:p>
        </w:tc>
        <w:tc>
          <w:tcPr>
            <w:tcW w:w="720" w:type="dxa"/>
            <w:vMerge w:val="continue"/>
            <w:vAlign w:val="center"/>
          </w:tcPr>
          <w:p w14:paraId="79FF1B75">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2EE124CC">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2317" w:type="dxa"/>
            <w:vAlign w:val="center"/>
          </w:tcPr>
          <w:p w14:paraId="7EA88FC9">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混样申请导入</w:t>
            </w:r>
          </w:p>
        </w:tc>
        <w:tc>
          <w:tcPr>
            <w:tcW w:w="4417" w:type="dxa"/>
            <w:vAlign w:val="center"/>
          </w:tcPr>
          <w:p w14:paraId="7A87A8E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支持混检申请单信息导入</w:t>
            </w:r>
          </w:p>
        </w:tc>
        <w:tc>
          <w:tcPr>
            <w:tcW w:w="733" w:type="dxa"/>
            <w:vMerge w:val="continue"/>
            <w:vAlign w:val="center"/>
          </w:tcPr>
          <w:p w14:paraId="10DBEEF6">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7461BC1C">
            <w:pPr>
              <w:jc w:val="center"/>
              <w:rPr>
                <w:rFonts w:hint="eastAsia" w:ascii="宋体" w:hAnsi="宋体" w:eastAsia="宋体" w:cs="宋体"/>
                <w:b/>
                <w:color w:val="auto"/>
                <w:sz w:val="24"/>
                <w:szCs w:val="24"/>
                <w:highlight w:val="none"/>
                <w:vertAlign w:val="baseline"/>
                <w:lang w:eastAsia="zh-CN"/>
              </w:rPr>
            </w:pPr>
          </w:p>
        </w:tc>
      </w:tr>
      <w:tr w14:paraId="71821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A71FAFD">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34</w:t>
            </w:r>
          </w:p>
        </w:tc>
        <w:tc>
          <w:tcPr>
            <w:tcW w:w="720" w:type="dxa"/>
            <w:vMerge w:val="continue"/>
            <w:vAlign w:val="center"/>
          </w:tcPr>
          <w:p w14:paraId="3E2A8D4D">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580637EC">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2317" w:type="dxa"/>
            <w:vAlign w:val="center"/>
          </w:tcPr>
          <w:p w14:paraId="297E6FD0">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条码绑定</w:t>
            </w:r>
          </w:p>
        </w:tc>
        <w:tc>
          <w:tcPr>
            <w:tcW w:w="4417" w:type="dxa"/>
            <w:vAlign w:val="center"/>
          </w:tcPr>
          <w:p w14:paraId="431C7E2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支持送检医院条码重新绑定</w:t>
            </w:r>
          </w:p>
        </w:tc>
        <w:tc>
          <w:tcPr>
            <w:tcW w:w="733" w:type="dxa"/>
            <w:vMerge w:val="continue"/>
            <w:vAlign w:val="center"/>
          </w:tcPr>
          <w:p w14:paraId="09241125">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4C6C5FB1">
            <w:pPr>
              <w:jc w:val="center"/>
              <w:rPr>
                <w:rFonts w:hint="eastAsia" w:ascii="宋体" w:hAnsi="宋体" w:eastAsia="宋体" w:cs="宋体"/>
                <w:b/>
                <w:color w:val="auto"/>
                <w:sz w:val="24"/>
                <w:szCs w:val="24"/>
                <w:highlight w:val="none"/>
                <w:vertAlign w:val="baseline"/>
                <w:lang w:eastAsia="zh-CN"/>
              </w:rPr>
            </w:pPr>
          </w:p>
        </w:tc>
      </w:tr>
      <w:tr w14:paraId="029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E6562A7">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35</w:t>
            </w:r>
          </w:p>
        </w:tc>
        <w:tc>
          <w:tcPr>
            <w:tcW w:w="720" w:type="dxa"/>
            <w:vMerge w:val="continue"/>
            <w:vAlign w:val="center"/>
          </w:tcPr>
          <w:p w14:paraId="5B00B1CE">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4E4F6FA2">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2317" w:type="dxa"/>
            <w:vAlign w:val="center"/>
          </w:tcPr>
          <w:p w14:paraId="3D6A289A">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红冲项目录入</w:t>
            </w:r>
          </w:p>
        </w:tc>
        <w:tc>
          <w:tcPr>
            <w:tcW w:w="4417" w:type="dxa"/>
            <w:vAlign w:val="center"/>
          </w:tcPr>
          <w:p w14:paraId="40AA4FB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支持财务红冲金额录入</w:t>
            </w:r>
          </w:p>
        </w:tc>
        <w:tc>
          <w:tcPr>
            <w:tcW w:w="733" w:type="dxa"/>
            <w:vMerge w:val="continue"/>
            <w:vAlign w:val="center"/>
          </w:tcPr>
          <w:p w14:paraId="6C7BFC39">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5201874C">
            <w:pPr>
              <w:jc w:val="center"/>
              <w:rPr>
                <w:rFonts w:hint="eastAsia" w:ascii="宋体" w:hAnsi="宋体" w:eastAsia="宋体" w:cs="宋体"/>
                <w:b/>
                <w:color w:val="auto"/>
                <w:sz w:val="24"/>
                <w:szCs w:val="24"/>
                <w:highlight w:val="none"/>
                <w:vertAlign w:val="baseline"/>
                <w:lang w:eastAsia="zh-CN"/>
              </w:rPr>
            </w:pPr>
          </w:p>
        </w:tc>
      </w:tr>
      <w:tr w14:paraId="5DCFA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F05D75E">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36</w:t>
            </w:r>
          </w:p>
        </w:tc>
        <w:tc>
          <w:tcPr>
            <w:tcW w:w="720" w:type="dxa"/>
            <w:vMerge w:val="continue"/>
            <w:vAlign w:val="center"/>
          </w:tcPr>
          <w:p w14:paraId="0D9C1871">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4423E5BD">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2317" w:type="dxa"/>
            <w:vAlign w:val="center"/>
          </w:tcPr>
          <w:p w14:paraId="0315D424">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标本外送登记</w:t>
            </w:r>
          </w:p>
        </w:tc>
        <w:tc>
          <w:tcPr>
            <w:tcW w:w="4417" w:type="dxa"/>
            <w:vAlign w:val="center"/>
          </w:tcPr>
          <w:p w14:paraId="20401AC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支持标本外送登记，进入流转信息中</w:t>
            </w:r>
          </w:p>
        </w:tc>
        <w:tc>
          <w:tcPr>
            <w:tcW w:w="733" w:type="dxa"/>
            <w:vMerge w:val="continue"/>
            <w:vAlign w:val="center"/>
          </w:tcPr>
          <w:p w14:paraId="52026535">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69C6D949">
            <w:pPr>
              <w:jc w:val="center"/>
              <w:rPr>
                <w:rFonts w:hint="eastAsia" w:ascii="宋体" w:hAnsi="宋体" w:eastAsia="宋体" w:cs="宋体"/>
                <w:b/>
                <w:color w:val="auto"/>
                <w:sz w:val="24"/>
                <w:szCs w:val="24"/>
                <w:highlight w:val="none"/>
                <w:vertAlign w:val="baseline"/>
                <w:lang w:eastAsia="zh-CN"/>
              </w:rPr>
            </w:pPr>
          </w:p>
        </w:tc>
      </w:tr>
      <w:tr w14:paraId="6C3D3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B051BD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37</w:t>
            </w:r>
          </w:p>
        </w:tc>
        <w:tc>
          <w:tcPr>
            <w:tcW w:w="720" w:type="dxa"/>
            <w:vMerge w:val="continue"/>
            <w:vAlign w:val="center"/>
          </w:tcPr>
          <w:p w14:paraId="68BB26BF">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72956B2A">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2317" w:type="dxa"/>
            <w:vAlign w:val="center"/>
          </w:tcPr>
          <w:p w14:paraId="3F1A8E24">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申请单删除审核</w:t>
            </w:r>
          </w:p>
        </w:tc>
        <w:tc>
          <w:tcPr>
            <w:tcW w:w="4417" w:type="dxa"/>
            <w:vAlign w:val="center"/>
          </w:tcPr>
          <w:p w14:paraId="32299BA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支持对删除申请单操作进行审核，填写审核原因</w:t>
            </w:r>
          </w:p>
        </w:tc>
        <w:tc>
          <w:tcPr>
            <w:tcW w:w="733" w:type="dxa"/>
            <w:vMerge w:val="continue"/>
            <w:vAlign w:val="center"/>
          </w:tcPr>
          <w:p w14:paraId="682A9082">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16DE1AC9">
            <w:pPr>
              <w:jc w:val="center"/>
              <w:rPr>
                <w:rFonts w:hint="eastAsia" w:ascii="宋体" w:hAnsi="宋体" w:eastAsia="宋体" w:cs="宋体"/>
                <w:b/>
                <w:color w:val="auto"/>
                <w:sz w:val="24"/>
                <w:szCs w:val="24"/>
                <w:highlight w:val="none"/>
                <w:vertAlign w:val="baseline"/>
                <w:lang w:eastAsia="zh-CN"/>
              </w:rPr>
            </w:pPr>
          </w:p>
        </w:tc>
      </w:tr>
      <w:tr w14:paraId="67FEB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06E698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38</w:t>
            </w:r>
          </w:p>
        </w:tc>
        <w:tc>
          <w:tcPr>
            <w:tcW w:w="720" w:type="dxa"/>
            <w:vMerge w:val="restart"/>
            <w:vAlign w:val="center"/>
          </w:tcPr>
          <w:p w14:paraId="0E513466">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实施</w:t>
            </w:r>
          </w:p>
          <w:p w14:paraId="52627830">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对接</w:t>
            </w:r>
          </w:p>
        </w:tc>
        <w:tc>
          <w:tcPr>
            <w:tcW w:w="3183" w:type="dxa"/>
            <w:gridSpan w:val="2"/>
            <w:vAlign w:val="center"/>
          </w:tcPr>
          <w:p w14:paraId="588036CE">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检验字典标准化</w:t>
            </w:r>
          </w:p>
        </w:tc>
        <w:tc>
          <w:tcPr>
            <w:tcW w:w="4417" w:type="dxa"/>
            <w:vAlign w:val="center"/>
          </w:tcPr>
          <w:p w14:paraId="196252B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统一医共体内的检验字典信息，医院和区域LIS系统完成与检验字典的对照，保证数据一致性，实现数据区域内的流转</w:t>
            </w:r>
          </w:p>
        </w:tc>
        <w:tc>
          <w:tcPr>
            <w:tcW w:w="733" w:type="dxa"/>
            <w:vAlign w:val="center"/>
          </w:tcPr>
          <w:p w14:paraId="4826049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7EAB378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3</w:t>
            </w:r>
          </w:p>
        </w:tc>
      </w:tr>
      <w:tr w14:paraId="76161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ED57245">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39</w:t>
            </w:r>
          </w:p>
        </w:tc>
        <w:tc>
          <w:tcPr>
            <w:tcW w:w="720" w:type="dxa"/>
            <w:vMerge w:val="continue"/>
            <w:vAlign w:val="center"/>
          </w:tcPr>
          <w:p w14:paraId="092E6AD6">
            <w:pPr>
              <w:widowControl/>
              <w:jc w:val="left"/>
              <w:rPr>
                <w:rFonts w:hint="eastAsia" w:ascii="宋体" w:hAnsi="宋体" w:eastAsia="宋体" w:cs="宋体"/>
                <w:b/>
                <w:color w:val="auto"/>
                <w:sz w:val="24"/>
                <w:szCs w:val="24"/>
                <w:highlight w:val="none"/>
                <w:vertAlign w:val="baseline"/>
                <w:lang w:eastAsia="zh-CN"/>
              </w:rPr>
            </w:pPr>
          </w:p>
        </w:tc>
        <w:tc>
          <w:tcPr>
            <w:tcW w:w="866" w:type="dxa"/>
            <w:vMerge w:val="restart"/>
            <w:vAlign w:val="center"/>
          </w:tcPr>
          <w:p w14:paraId="4EFCE788">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医院LIS对接区域平台调试</w:t>
            </w:r>
          </w:p>
        </w:tc>
        <w:tc>
          <w:tcPr>
            <w:tcW w:w="2317" w:type="dxa"/>
            <w:vAlign w:val="center"/>
          </w:tcPr>
          <w:p w14:paraId="0882FD06">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发送检验申请接口</w:t>
            </w:r>
          </w:p>
        </w:tc>
        <w:tc>
          <w:tcPr>
            <w:tcW w:w="4417" w:type="dxa"/>
            <w:vAlign w:val="center"/>
          </w:tcPr>
          <w:p w14:paraId="186940C5">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对接区域平台，实现发送检验申请接口开发工作</w:t>
            </w:r>
          </w:p>
        </w:tc>
        <w:tc>
          <w:tcPr>
            <w:tcW w:w="733" w:type="dxa"/>
            <w:vMerge w:val="restart"/>
            <w:vAlign w:val="center"/>
          </w:tcPr>
          <w:p w14:paraId="68F172C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24C8D88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2</w:t>
            </w:r>
          </w:p>
        </w:tc>
      </w:tr>
      <w:tr w14:paraId="5040D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B7EC318">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40</w:t>
            </w:r>
          </w:p>
        </w:tc>
        <w:tc>
          <w:tcPr>
            <w:tcW w:w="720" w:type="dxa"/>
            <w:vMerge w:val="continue"/>
            <w:vAlign w:val="center"/>
          </w:tcPr>
          <w:p w14:paraId="5A91C487">
            <w:pPr>
              <w:widowControl/>
              <w:jc w:val="left"/>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0131A176">
            <w:pPr>
              <w:jc w:val="center"/>
              <w:rPr>
                <w:rFonts w:hint="eastAsia" w:ascii="宋体" w:hAnsi="宋体" w:eastAsia="宋体" w:cs="宋体"/>
                <w:b w:val="0"/>
                <w:bCs w:val="0"/>
                <w:color w:val="auto"/>
                <w:kern w:val="0"/>
                <w:sz w:val="20"/>
                <w:szCs w:val="20"/>
                <w:highlight w:val="none"/>
                <w:lang w:val="en-US" w:eastAsia="zh-CN" w:bidi="ar-SA"/>
              </w:rPr>
            </w:pPr>
          </w:p>
        </w:tc>
        <w:tc>
          <w:tcPr>
            <w:tcW w:w="2317" w:type="dxa"/>
            <w:vAlign w:val="center"/>
          </w:tcPr>
          <w:p w14:paraId="0713495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取消检验申请接口</w:t>
            </w:r>
          </w:p>
        </w:tc>
        <w:tc>
          <w:tcPr>
            <w:tcW w:w="4417" w:type="dxa"/>
            <w:vAlign w:val="center"/>
          </w:tcPr>
          <w:p w14:paraId="53025C1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对接区域平台，实现取消检验申请接口开发工作</w:t>
            </w:r>
          </w:p>
        </w:tc>
        <w:tc>
          <w:tcPr>
            <w:tcW w:w="733" w:type="dxa"/>
            <w:vMerge w:val="continue"/>
            <w:vAlign w:val="center"/>
          </w:tcPr>
          <w:p w14:paraId="6A4E5E4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A62A258">
            <w:pPr>
              <w:jc w:val="center"/>
              <w:rPr>
                <w:rFonts w:hint="eastAsia" w:ascii="宋体" w:hAnsi="宋体" w:eastAsia="宋体" w:cs="宋体"/>
                <w:b w:val="0"/>
                <w:bCs w:val="0"/>
                <w:color w:val="auto"/>
                <w:kern w:val="0"/>
                <w:sz w:val="20"/>
                <w:szCs w:val="20"/>
                <w:highlight w:val="none"/>
                <w:lang w:val="en-US" w:eastAsia="zh-CN" w:bidi="ar-SA"/>
              </w:rPr>
            </w:pPr>
          </w:p>
        </w:tc>
      </w:tr>
      <w:tr w14:paraId="3AF85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D771939">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41</w:t>
            </w:r>
          </w:p>
        </w:tc>
        <w:tc>
          <w:tcPr>
            <w:tcW w:w="720" w:type="dxa"/>
            <w:vMerge w:val="continue"/>
            <w:vAlign w:val="center"/>
          </w:tcPr>
          <w:p w14:paraId="312A6056">
            <w:pPr>
              <w:widowControl/>
              <w:jc w:val="left"/>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6F5E2E25">
            <w:pPr>
              <w:jc w:val="center"/>
              <w:rPr>
                <w:rFonts w:hint="eastAsia" w:ascii="宋体" w:hAnsi="宋体" w:eastAsia="宋体" w:cs="宋体"/>
                <w:b w:val="0"/>
                <w:bCs w:val="0"/>
                <w:color w:val="auto"/>
                <w:kern w:val="0"/>
                <w:sz w:val="20"/>
                <w:szCs w:val="20"/>
                <w:highlight w:val="none"/>
                <w:lang w:val="en-US" w:eastAsia="zh-CN" w:bidi="ar-SA"/>
              </w:rPr>
            </w:pPr>
          </w:p>
        </w:tc>
        <w:tc>
          <w:tcPr>
            <w:tcW w:w="2317" w:type="dxa"/>
            <w:vAlign w:val="center"/>
          </w:tcPr>
          <w:p w14:paraId="08D7160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查询检验申请接口</w:t>
            </w:r>
          </w:p>
        </w:tc>
        <w:tc>
          <w:tcPr>
            <w:tcW w:w="4417" w:type="dxa"/>
            <w:vAlign w:val="center"/>
          </w:tcPr>
          <w:p w14:paraId="2FA1A94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对接区域平台，实现查询检验申请接口开发工作</w:t>
            </w:r>
          </w:p>
        </w:tc>
        <w:tc>
          <w:tcPr>
            <w:tcW w:w="733" w:type="dxa"/>
            <w:vMerge w:val="continue"/>
            <w:vAlign w:val="center"/>
          </w:tcPr>
          <w:p w14:paraId="7E17C32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8023143">
            <w:pPr>
              <w:jc w:val="center"/>
              <w:rPr>
                <w:rFonts w:hint="eastAsia" w:ascii="宋体" w:hAnsi="宋体" w:eastAsia="宋体" w:cs="宋体"/>
                <w:b w:val="0"/>
                <w:bCs w:val="0"/>
                <w:color w:val="auto"/>
                <w:kern w:val="0"/>
                <w:sz w:val="20"/>
                <w:szCs w:val="20"/>
                <w:highlight w:val="none"/>
                <w:lang w:val="en-US" w:eastAsia="zh-CN" w:bidi="ar-SA"/>
              </w:rPr>
            </w:pPr>
          </w:p>
        </w:tc>
      </w:tr>
      <w:tr w14:paraId="546A6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828A794">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42</w:t>
            </w:r>
          </w:p>
        </w:tc>
        <w:tc>
          <w:tcPr>
            <w:tcW w:w="720" w:type="dxa"/>
            <w:vMerge w:val="continue"/>
            <w:vAlign w:val="center"/>
          </w:tcPr>
          <w:p w14:paraId="458F9FCD">
            <w:pPr>
              <w:widowControl/>
              <w:jc w:val="left"/>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775C9EB1">
            <w:pPr>
              <w:jc w:val="center"/>
              <w:rPr>
                <w:rFonts w:hint="eastAsia" w:ascii="宋体" w:hAnsi="宋体" w:eastAsia="宋体" w:cs="宋体"/>
                <w:b w:val="0"/>
                <w:bCs w:val="0"/>
                <w:color w:val="auto"/>
                <w:kern w:val="0"/>
                <w:sz w:val="20"/>
                <w:szCs w:val="20"/>
                <w:highlight w:val="none"/>
                <w:lang w:val="en-US" w:eastAsia="zh-CN" w:bidi="ar-SA"/>
              </w:rPr>
            </w:pPr>
          </w:p>
        </w:tc>
        <w:tc>
          <w:tcPr>
            <w:tcW w:w="2317" w:type="dxa"/>
            <w:vAlign w:val="center"/>
          </w:tcPr>
          <w:p w14:paraId="7DCBA3A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发送检验报告接口</w:t>
            </w:r>
          </w:p>
        </w:tc>
        <w:tc>
          <w:tcPr>
            <w:tcW w:w="4417" w:type="dxa"/>
            <w:vAlign w:val="center"/>
          </w:tcPr>
          <w:p w14:paraId="28FCA42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对接区域平台，实现发送检验报告接口开发工作</w:t>
            </w:r>
          </w:p>
        </w:tc>
        <w:tc>
          <w:tcPr>
            <w:tcW w:w="733" w:type="dxa"/>
            <w:vMerge w:val="continue"/>
            <w:vAlign w:val="center"/>
          </w:tcPr>
          <w:p w14:paraId="5A76192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75592DD">
            <w:pPr>
              <w:jc w:val="center"/>
              <w:rPr>
                <w:rFonts w:hint="eastAsia" w:ascii="宋体" w:hAnsi="宋体" w:eastAsia="宋体" w:cs="宋体"/>
                <w:b w:val="0"/>
                <w:bCs w:val="0"/>
                <w:color w:val="auto"/>
                <w:kern w:val="0"/>
                <w:sz w:val="20"/>
                <w:szCs w:val="20"/>
                <w:highlight w:val="none"/>
                <w:lang w:val="en-US" w:eastAsia="zh-CN" w:bidi="ar-SA"/>
              </w:rPr>
            </w:pPr>
          </w:p>
        </w:tc>
      </w:tr>
      <w:tr w14:paraId="0E6E7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235C1B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43</w:t>
            </w:r>
          </w:p>
        </w:tc>
        <w:tc>
          <w:tcPr>
            <w:tcW w:w="720" w:type="dxa"/>
            <w:vMerge w:val="continue"/>
            <w:vAlign w:val="center"/>
          </w:tcPr>
          <w:p w14:paraId="3986A56C">
            <w:pPr>
              <w:widowControl/>
              <w:jc w:val="left"/>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617D37BC">
            <w:pPr>
              <w:jc w:val="center"/>
              <w:rPr>
                <w:rFonts w:hint="eastAsia" w:ascii="宋体" w:hAnsi="宋体" w:eastAsia="宋体" w:cs="宋体"/>
                <w:b w:val="0"/>
                <w:bCs w:val="0"/>
                <w:color w:val="auto"/>
                <w:kern w:val="0"/>
                <w:sz w:val="20"/>
                <w:szCs w:val="20"/>
                <w:highlight w:val="none"/>
                <w:lang w:val="en-US" w:eastAsia="zh-CN" w:bidi="ar-SA"/>
              </w:rPr>
            </w:pPr>
          </w:p>
        </w:tc>
        <w:tc>
          <w:tcPr>
            <w:tcW w:w="2317" w:type="dxa"/>
            <w:vAlign w:val="center"/>
          </w:tcPr>
          <w:p w14:paraId="2D4D186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撤回检验报告接口</w:t>
            </w:r>
          </w:p>
        </w:tc>
        <w:tc>
          <w:tcPr>
            <w:tcW w:w="4417" w:type="dxa"/>
            <w:vAlign w:val="center"/>
          </w:tcPr>
          <w:p w14:paraId="56A19B2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对接区域平台，实现撤回检验报告接口开发工作</w:t>
            </w:r>
          </w:p>
        </w:tc>
        <w:tc>
          <w:tcPr>
            <w:tcW w:w="733" w:type="dxa"/>
            <w:vMerge w:val="continue"/>
            <w:vAlign w:val="center"/>
          </w:tcPr>
          <w:p w14:paraId="0589E11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0487D1F">
            <w:pPr>
              <w:jc w:val="center"/>
              <w:rPr>
                <w:rFonts w:hint="eastAsia" w:ascii="宋体" w:hAnsi="宋体" w:eastAsia="宋体" w:cs="宋体"/>
                <w:b w:val="0"/>
                <w:bCs w:val="0"/>
                <w:color w:val="auto"/>
                <w:kern w:val="0"/>
                <w:sz w:val="20"/>
                <w:szCs w:val="20"/>
                <w:highlight w:val="none"/>
                <w:lang w:val="en-US" w:eastAsia="zh-CN" w:bidi="ar-SA"/>
              </w:rPr>
            </w:pPr>
          </w:p>
        </w:tc>
      </w:tr>
      <w:tr w14:paraId="4C970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2437284">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44</w:t>
            </w:r>
          </w:p>
        </w:tc>
        <w:tc>
          <w:tcPr>
            <w:tcW w:w="720" w:type="dxa"/>
            <w:vMerge w:val="continue"/>
            <w:vAlign w:val="center"/>
          </w:tcPr>
          <w:p w14:paraId="5016A093">
            <w:pPr>
              <w:widowControl/>
              <w:jc w:val="left"/>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33505535">
            <w:pPr>
              <w:jc w:val="center"/>
              <w:rPr>
                <w:rFonts w:hint="eastAsia" w:ascii="宋体" w:hAnsi="宋体" w:eastAsia="宋体" w:cs="宋体"/>
                <w:b w:val="0"/>
                <w:bCs w:val="0"/>
                <w:color w:val="auto"/>
                <w:kern w:val="0"/>
                <w:sz w:val="20"/>
                <w:szCs w:val="20"/>
                <w:highlight w:val="none"/>
                <w:lang w:val="en-US" w:eastAsia="zh-CN" w:bidi="ar-SA"/>
              </w:rPr>
            </w:pPr>
          </w:p>
        </w:tc>
        <w:tc>
          <w:tcPr>
            <w:tcW w:w="2317" w:type="dxa"/>
            <w:vAlign w:val="center"/>
          </w:tcPr>
          <w:p w14:paraId="423FF24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查询检验报告接口</w:t>
            </w:r>
          </w:p>
        </w:tc>
        <w:tc>
          <w:tcPr>
            <w:tcW w:w="4417" w:type="dxa"/>
            <w:vAlign w:val="center"/>
          </w:tcPr>
          <w:p w14:paraId="0C325C9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对接区域平台，实现查询检验报告接口开发工作</w:t>
            </w:r>
          </w:p>
        </w:tc>
        <w:tc>
          <w:tcPr>
            <w:tcW w:w="733" w:type="dxa"/>
            <w:vMerge w:val="continue"/>
            <w:vAlign w:val="center"/>
          </w:tcPr>
          <w:p w14:paraId="3FA2EB8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1517A63">
            <w:pPr>
              <w:jc w:val="center"/>
              <w:rPr>
                <w:rFonts w:hint="eastAsia" w:ascii="宋体" w:hAnsi="宋体" w:eastAsia="宋体" w:cs="宋体"/>
                <w:b w:val="0"/>
                <w:bCs w:val="0"/>
                <w:color w:val="auto"/>
                <w:kern w:val="0"/>
                <w:sz w:val="20"/>
                <w:szCs w:val="20"/>
                <w:highlight w:val="none"/>
                <w:lang w:val="en-US" w:eastAsia="zh-CN" w:bidi="ar-SA"/>
              </w:rPr>
            </w:pPr>
          </w:p>
        </w:tc>
      </w:tr>
      <w:tr w14:paraId="2465F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2862A33">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45</w:t>
            </w:r>
          </w:p>
        </w:tc>
        <w:tc>
          <w:tcPr>
            <w:tcW w:w="720" w:type="dxa"/>
            <w:vMerge w:val="continue"/>
            <w:vAlign w:val="center"/>
          </w:tcPr>
          <w:p w14:paraId="7D914E3E">
            <w:pPr>
              <w:widowControl/>
              <w:jc w:val="left"/>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7FD65DAD">
            <w:pPr>
              <w:jc w:val="center"/>
              <w:rPr>
                <w:rFonts w:hint="eastAsia" w:ascii="宋体" w:hAnsi="宋体" w:eastAsia="宋体" w:cs="宋体"/>
                <w:b w:val="0"/>
                <w:bCs w:val="0"/>
                <w:color w:val="auto"/>
                <w:kern w:val="0"/>
                <w:sz w:val="20"/>
                <w:szCs w:val="20"/>
                <w:highlight w:val="none"/>
                <w:lang w:val="en-US" w:eastAsia="zh-CN" w:bidi="ar-SA"/>
              </w:rPr>
            </w:pPr>
          </w:p>
        </w:tc>
        <w:tc>
          <w:tcPr>
            <w:tcW w:w="2317" w:type="dxa"/>
            <w:vAlign w:val="center"/>
          </w:tcPr>
          <w:p w14:paraId="6459C77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更新检验状态接口</w:t>
            </w:r>
          </w:p>
        </w:tc>
        <w:tc>
          <w:tcPr>
            <w:tcW w:w="4417" w:type="dxa"/>
            <w:vAlign w:val="center"/>
          </w:tcPr>
          <w:p w14:paraId="05BA32A5">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对接区域平台，实现更新检验状态接口开发工作</w:t>
            </w:r>
          </w:p>
        </w:tc>
        <w:tc>
          <w:tcPr>
            <w:tcW w:w="733" w:type="dxa"/>
            <w:vMerge w:val="continue"/>
            <w:vAlign w:val="center"/>
          </w:tcPr>
          <w:p w14:paraId="6D7C70F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15094C2">
            <w:pPr>
              <w:jc w:val="center"/>
              <w:rPr>
                <w:rFonts w:hint="eastAsia" w:ascii="宋体" w:hAnsi="宋体" w:eastAsia="宋体" w:cs="宋体"/>
                <w:b w:val="0"/>
                <w:bCs w:val="0"/>
                <w:color w:val="auto"/>
                <w:kern w:val="0"/>
                <w:sz w:val="20"/>
                <w:szCs w:val="20"/>
                <w:highlight w:val="none"/>
                <w:lang w:val="en-US" w:eastAsia="zh-CN" w:bidi="ar-SA"/>
              </w:rPr>
            </w:pPr>
          </w:p>
        </w:tc>
      </w:tr>
      <w:tr w14:paraId="4DC44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2BC47DF">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46</w:t>
            </w:r>
          </w:p>
        </w:tc>
        <w:tc>
          <w:tcPr>
            <w:tcW w:w="720" w:type="dxa"/>
            <w:vMerge w:val="continue"/>
            <w:vAlign w:val="center"/>
          </w:tcPr>
          <w:p w14:paraId="6D7D89D4">
            <w:pPr>
              <w:widowControl/>
              <w:jc w:val="left"/>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3E936F22">
            <w:pPr>
              <w:jc w:val="center"/>
              <w:rPr>
                <w:rFonts w:hint="eastAsia" w:ascii="宋体" w:hAnsi="宋体" w:eastAsia="宋体" w:cs="宋体"/>
                <w:b w:val="0"/>
                <w:bCs w:val="0"/>
                <w:color w:val="auto"/>
                <w:kern w:val="0"/>
                <w:sz w:val="20"/>
                <w:szCs w:val="20"/>
                <w:highlight w:val="none"/>
                <w:lang w:val="en-US" w:eastAsia="zh-CN" w:bidi="ar-SA"/>
              </w:rPr>
            </w:pPr>
          </w:p>
        </w:tc>
        <w:tc>
          <w:tcPr>
            <w:tcW w:w="2317" w:type="dxa"/>
            <w:vAlign w:val="center"/>
          </w:tcPr>
          <w:p w14:paraId="0211CFC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查询检验状态接口</w:t>
            </w:r>
          </w:p>
        </w:tc>
        <w:tc>
          <w:tcPr>
            <w:tcW w:w="4417" w:type="dxa"/>
            <w:vAlign w:val="center"/>
          </w:tcPr>
          <w:p w14:paraId="2AF5CB8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对接区域平台，实现查询检验状态接口开发工作</w:t>
            </w:r>
          </w:p>
        </w:tc>
        <w:tc>
          <w:tcPr>
            <w:tcW w:w="733" w:type="dxa"/>
            <w:vMerge w:val="continue"/>
            <w:vAlign w:val="center"/>
          </w:tcPr>
          <w:p w14:paraId="226970F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F397172">
            <w:pPr>
              <w:jc w:val="center"/>
              <w:rPr>
                <w:rFonts w:hint="eastAsia" w:ascii="宋体" w:hAnsi="宋体" w:eastAsia="宋体" w:cs="宋体"/>
                <w:b w:val="0"/>
                <w:bCs w:val="0"/>
                <w:color w:val="auto"/>
                <w:kern w:val="0"/>
                <w:sz w:val="20"/>
                <w:szCs w:val="20"/>
                <w:highlight w:val="none"/>
                <w:lang w:val="en-US" w:eastAsia="zh-CN" w:bidi="ar-SA"/>
              </w:rPr>
            </w:pPr>
          </w:p>
        </w:tc>
      </w:tr>
      <w:tr w14:paraId="214F4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57F136D">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47</w:t>
            </w:r>
          </w:p>
        </w:tc>
        <w:tc>
          <w:tcPr>
            <w:tcW w:w="720" w:type="dxa"/>
            <w:vMerge w:val="continue"/>
            <w:vAlign w:val="center"/>
          </w:tcPr>
          <w:p w14:paraId="1D25191E">
            <w:pPr>
              <w:widowControl/>
              <w:jc w:val="left"/>
              <w:rPr>
                <w:rFonts w:hint="eastAsia" w:ascii="宋体" w:hAnsi="宋体" w:eastAsia="宋体" w:cs="宋体"/>
                <w:b/>
                <w:color w:val="auto"/>
                <w:sz w:val="24"/>
                <w:szCs w:val="24"/>
                <w:highlight w:val="none"/>
                <w:vertAlign w:val="baseline"/>
                <w:lang w:eastAsia="zh-CN"/>
              </w:rPr>
            </w:pPr>
          </w:p>
        </w:tc>
        <w:tc>
          <w:tcPr>
            <w:tcW w:w="3183" w:type="dxa"/>
            <w:gridSpan w:val="2"/>
            <w:vAlign w:val="center"/>
          </w:tcPr>
          <w:p w14:paraId="0122E370">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区域平台对接调试</w:t>
            </w:r>
          </w:p>
        </w:tc>
        <w:tc>
          <w:tcPr>
            <w:tcW w:w="4417" w:type="dxa"/>
            <w:vAlign w:val="center"/>
          </w:tcPr>
          <w:p w14:paraId="41B3ADD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区域平台配置服务路由，实现区域LIS、医院LIS检验申请、报告等信息流转，数据对接调试</w:t>
            </w:r>
          </w:p>
        </w:tc>
        <w:tc>
          <w:tcPr>
            <w:tcW w:w="733" w:type="dxa"/>
            <w:vAlign w:val="center"/>
          </w:tcPr>
          <w:p w14:paraId="4983B60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573DD89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46FF9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45FCD9F">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48</w:t>
            </w:r>
          </w:p>
        </w:tc>
        <w:tc>
          <w:tcPr>
            <w:tcW w:w="720" w:type="dxa"/>
            <w:vMerge w:val="continue"/>
            <w:vAlign w:val="center"/>
          </w:tcPr>
          <w:p w14:paraId="3EABBAB0">
            <w:pPr>
              <w:widowControl/>
              <w:jc w:val="left"/>
              <w:rPr>
                <w:rFonts w:hint="eastAsia" w:ascii="宋体" w:hAnsi="宋体" w:eastAsia="宋体" w:cs="宋体"/>
                <w:b/>
                <w:color w:val="auto"/>
                <w:sz w:val="24"/>
                <w:szCs w:val="24"/>
                <w:highlight w:val="none"/>
                <w:vertAlign w:val="baseline"/>
                <w:lang w:eastAsia="zh-CN"/>
              </w:rPr>
            </w:pPr>
          </w:p>
        </w:tc>
        <w:tc>
          <w:tcPr>
            <w:tcW w:w="3183" w:type="dxa"/>
            <w:gridSpan w:val="2"/>
            <w:vAlign w:val="center"/>
          </w:tcPr>
          <w:p w14:paraId="415A7121">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物流平台冷链运输监管和GPS定位接口预留</w:t>
            </w:r>
          </w:p>
        </w:tc>
        <w:tc>
          <w:tcPr>
            <w:tcW w:w="4417" w:type="dxa"/>
            <w:vAlign w:val="center"/>
          </w:tcPr>
          <w:p w14:paraId="4CA733B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预留与物流平台对接接口，包括冷链运输监管和GPS定位接口对接工作</w:t>
            </w:r>
          </w:p>
        </w:tc>
        <w:tc>
          <w:tcPr>
            <w:tcW w:w="733" w:type="dxa"/>
            <w:vAlign w:val="center"/>
          </w:tcPr>
          <w:p w14:paraId="3EC84EC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0229372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65DB0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D343854">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49</w:t>
            </w:r>
          </w:p>
        </w:tc>
        <w:tc>
          <w:tcPr>
            <w:tcW w:w="720" w:type="dxa"/>
            <w:vMerge w:val="restart"/>
            <w:vAlign w:val="center"/>
          </w:tcPr>
          <w:p w14:paraId="287E0007">
            <w:pPr>
              <w:widowControl/>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数据大屏</w:t>
            </w:r>
          </w:p>
        </w:tc>
        <w:tc>
          <w:tcPr>
            <w:tcW w:w="3183" w:type="dxa"/>
            <w:gridSpan w:val="2"/>
            <w:vMerge w:val="restart"/>
            <w:vAlign w:val="center"/>
          </w:tcPr>
          <w:p w14:paraId="78DE9AF3">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区域检验中心</w:t>
            </w:r>
          </w:p>
        </w:tc>
        <w:tc>
          <w:tcPr>
            <w:tcW w:w="4417" w:type="dxa"/>
            <w:vAlign w:val="center"/>
          </w:tcPr>
          <w:p w14:paraId="1D23F70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展示区域内检验申请和执行的总人次，可按年度进行筛选</w:t>
            </w:r>
          </w:p>
        </w:tc>
        <w:tc>
          <w:tcPr>
            <w:tcW w:w="733" w:type="dxa"/>
            <w:vMerge w:val="restart"/>
            <w:vAlign w:val="center"/>
          </w:tcPr>
          <w:p w14:paraId="7A59388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0CA46AC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w:t>
            </w:r>
          </w:p>
        </w:tc>
      </w:tr>
      <w:tr w14:paraId="74B5D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57285F5">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50</w:t>
            </w:r>
          </w:p>
        </w:tc>
        <w:tc>
          <w:tcPr>
            <w:tcW w:w="720" w:type="dxa"/>
            <w:vMerge w:val="continue"/>
            <w:vAlign w:val="center"/>
          </w:tcPr>
          <w:p w14:paraId="17E9CF8D">
            <w:pPr>
              <w:widowControl/>
              <w:jc w:val="left"/>
              <w:rPr>
                <w:rFonts w:hint="eastAsia" w:ascii="宋体" w:hAnsi="宋体" w:eastAsia="宋体" w:cs="宋体"/>
                <w:b/>
                <w:color w:val="auto"/>
                <w:sz w:val="24"/>
                <w:szCs w:val="24"/>
                <w:highlight w:val="none"/>
                <w:vertAlign w:val="baseline"/>
                <w:lang w:eastAsia="zh-CN"/>
              </w:rPr>
            </w:pPr>
          </w:p>
        </w:tc>
        <w:tc>
          <w:tcPr>
            <w:tcW w:w="3183" w:type="dxa"/>
            <w:gridSpan w:val="2"/>
            <w:vMerge w:val="continue"/>
            <w:vAlign w:val="center"/>
          </w:tcPr>
          <w:p w14:paraId="41F9B341">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p>
        </w:tc>
        <w:tc>
          <w:tcPr>
            <w:tcW w:w="4417" w:type="dxa"/>
            <w:vAlign w:val="center"/>
          </w:tcPr>
          <w:p w14:paraId="4C9F717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展示中心检验机构、接入基层机构、检验医师、检验设备总数</w:t>
            </w:r>
          </w:p>
        </w:tc>
        <w:tc>
          <w:tcPr>
            <w:tcW w:w="733" w:type="dxa"/>
            <w:vMerge w:val="continue"/>
            <w:vAlign w:val="center"/>
          </w:tcPr>
          <w:p w14:paraId="17566D5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70D86F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bidi="ar-SA"/>
              </w:rPr>
            </w:pPr>
          </w:p>
        </w:tc>
      </w:tr>
      <w:tr w14:paraId="23116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8692524">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51</w:t>
            </w:r>
          </w:p>
        </w:tc>
        <w:tc>
          <w:tcPr>
            <w:tcW w:w="720" w:type="dxa"/>
            <w:vMerge w:val="continue"/>
            <w:vAlign w:val="center"/>
          </w:tcPr>
          <w:p w14:paraId="1FD62931">
            <w:pPr>
              <w:widowControl/>
              <w:jc w:val="left"/>
              <w:rPr>
                <w:rFonts w:hint="eastAsia" w:ascii="宋体" w:hAnsi="宋体" w:eastAsia="宋体" w:cs="宋体"/>
                <w:b/>
                <w:color w:val="auto"/>
                <w:sz w:val="24"/>
                <w:szCs w:val="24"/>
                <w:highlight w:val="none"/>
                <w:vertAlign w:val="baseline"/>
                <w:lang w:eastAsia="zh-CN"/>
              </w:rPr>
            </w:pPr>
          </w:p>
        </w:tc>
        <w:tc>
          <w:tcPr>
            <w:tcW w:w="3183" w:type="dxa"/>
            <w:gridSpan w:val="2"/>
            <w:vMerge w:val="continue"/>
            <w:vAlign w:val="center"/>
          </w:tcPr>
          <w:p w14:paraId="2A337850">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p>
        </w:tc>
        <w:tc>
          <w:tcPr>
            <w:tcW w:w="4417" w:type="dxa"/>
            <w:vAlign w:val="center"/>
          </w:tcPr>
          <w:p w14:paraId="1E8EB7E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检验医师按职称、检验设备按类型对比分析；分析申请、执行人次的月度趋势</w:t>
            </w:r>
          </w:p>
        </w:tc>
        <w:tc>
          <w:tcPr>
            <w:tcW w:w="733" w:type="dxa"/>
            <w:vMerge w:val="continue"/>
            <w:vAlign w:val="center"/>
          </w:tcPr>
          <w:p w14:paraId="5EFB774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F463D5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bidi="ar-SA"/>
              </w:rPr>
            </w:pPr>
          </w:p>
        </w:tc>
      </w:tr>
      <w:tr w14:paraId="13219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82483A9">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52</w:t>
            </w:r>
          </w:p>
        </w:tc>
        <w:tc>
          <w:tcPr>
            <w:tcW w:w="720" w:type="dxa"/>
            <w:vMerge w:val="continue"/>
            <w:vAlign w:val="center"/>
          </w:tcPr>
          <w:p w14:paraId="7D44EEF3">
            <w:pPr>
              <w:widowControl/>
              <w:jc w:val="left"/>
              <w:rPr>
                <w:rFonts w:hint="eastAsia" w:ascii="宋体" w:hAnsi="宋体" w:eastAsia="宋体" w:cs="宋体"/>
                <w:b/>
                <w:color w:val="auto"/>
                <w:sz w:val="24"/>
                <w:szCs w:val="24"/>
                <w:highlight w:val="none"/>
                <w:vertAlign w:val="baseline"/>
                <w:lang w:eastAsia="zh-CN"/>
              </w:rPr>
            </w:pPr>
          </w:p>
        </w:tc>
        <w:tc>
          <w:tcPr>
            <w:tcW w:w="3183" w:type="dxa"/>
            <w:gridSpan w:val="2"/>
            <w:vMerge w:val="continue"/>
            <w:vAlign w:val="center"/>
          </w:tcPr>
          <w:p w14:paraId="76CA4F3A">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p>
        </w:tc>
        <w:tc>
          <w:tcPr>
            <w:tcW w:w="4417" w:type="dxa"/>
            <w:vAlign w:val="center"/>
          </w:tcPr>
          <w:p w14:paraId="14CE6B2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对检验闭环效率进行质控</w:t>
            </w:r>
          </w:p>
        </w:tc>
        <w:tc>
          <w:tcPr>
            <w:tcW w:w="733" w:type="dxa"/>
            <w:vMerge w:val="continue"/>
            <w:vAlign w:val="center"/>
          </w:tcPr>
          <w:p w14:paraId="41DD09F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8ECDDD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bidi="ar-SA"/>
              </w:rPr>
            </w:pPr>
          </w:p>
        </w:tc>
      </w:tr>
      <w:tr w14:paraId="77492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53A0B08">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53</w:t>
            </w:r>
          </w:p>
        </w:tc>
        <w:tc>
          <w:tcPr>
            <w:tcW w:w="720" w:type="dxa"/>
            <w:vMerge w:val="continue"/>
            <w:vAlign w:val="center"/>
          </w:tcPr>
          <w:p w14:paraId="580118D4">
            <w:pPr>
              <w:widowControl/>
              <w:jc w:val="left"/>
              <w:rPr>
                <w:rFonts w:hint="eastAsia" w:ascii="宋体" w:hAnsi="宋体" w:eastAsia="宋体" w:cs="宋体"/>
                <w:b/>
                <w:color w:val="auto"/>
                <w:sz w:val="24"/>
                <w:szCs w:val="24"/>
                <w:highlight w:val="none"/>
                <w:vertAlign w:val="baseline"/>
                <w:lang w:eastAsia="zh-CN"/>
              </w:rPr>
            </w:pPr>
          </w:p>
        </w:tc>
        <w:tc>
          <w:tcPr>
            <w:tcW w:w="3183" w:type="dxa"/>
            <w:gridSpan w:val="2"/>
            <w:vMerge w:val="continue"/>
            <w:vAlign w:val="center"/>
          </w:tcPr>
          <w:p w14:paraId="3AB827A1">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p>
        </w:tc>
        <w:tc>
          <w:tcPr>
            <w:tcW w:w="4417" w:type="dxa"/>
            <w:vAlign w:val="center"/>
          </w:tcPr>
          <w:p w14:paraId="372AEBB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分析送检项目top10，对样本合格率和检出阳性率进行统计，实时展示危急值提醒信息</w:t>
            </w:r>
          </w:p>
        </w:tc>
        <w:tc>
          <w:tcPr>
            <w:tcW w:w="733" w:type="dxa"/>
            <w:vMerge w:val="continue"/>
            <w:vAlign w:val="center"/>
          </w:tcPr>
          <w:p w14:paraId="5976B63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F90F09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bidi="ar-SA"/>
              </w:rPr>
            </w:pPr>
          </w:p>
        </w:tc>
      </w:tr>
    </w:tbl>
    <w:p w14:paraId="148B7B1F">
      <w:pPr>
        <w:pStyle w:val="2"/>
        <w:keepNext w:val="0"/>
        <w:keepLines w:val="0"/>
        <w:pageBreakBefore w:val="0"/>
        <w:widowControl w:val="0"/>
        <w:numPr>
          <w:ilvl w:val="0"/>
          <w:numId w:val="0"/>
        </w:numPr>
        <w:kinsoku/>
        <w:wordWrap/>
        <w:overflowPunct/>
        <w:topLinePunct w:val="0"/>
        <w:autoSpaceDE/>
        <w:autoSpaceDN/>
        <w:bidi w:val="0"/>
        <w:adjustRightInd/>
        <w:snapToGrid/>
        <w:spacing w:after="0" w:line="400" w:lineRule="exact"/>
        <w:textAlignment w:val="auto"/>
        <w:rPr>
          <w:rFonts w:hint="eastAsia" w:ascii="宋体" w:hAnsi="宋体" w:eastAsia="宋体" w:cs="宋体"/>
          <w:highlight w:val="yellow"/>
          <w:lang w:val="en-US" w:eastAsia="zh-CN"/>
        </w:rPr>
      </w:pPr>
      <w:r>
        <w:rPr>
          <w:rFonts w:hint="eastAsia" w:ascii="宋体" w:hAnsi="宋体" w:eastAsia="宋体" w:cs="宋体"/>
          <w:highlight w:val="yellow"/>
          <w:lang w:eastAsia="zh-CN"/>
        </w:rPr>
        <w:t>（二）</w:t>
      </w:r>
      <w:r>
        <w:rPr>
          <w:rFonts w:hint="eastAsia" w:ascii="宋体" w:hAnsi="宋体" w:eastAsia="宋体" w:cs="宋体"/>
          <w:highlight w:val="yellow"/>
          <w:lang w:val="en-US" w:eastAsia="zh-CN"/>
        </w:rPr>
        <w:t>-2：</w:t>
      </w:r>
      <w:r>
        <w:rPr>
          <w:rFonts w:hint="eastAsia" w:ascii="宋体" w:hAnsi="宋体" w:eastAsia="宋体" w:cs="宋体"/>
          <w:b w:val="0"/>
          <w:bCs w:val="0"/>
          <w:color w:val="auto"/>
          <w:kern w:val="0"/>
          <w:sz w:val="20"/>
          <w:szCs w:val="20"/>
          <w:highlight w:val="yellow"/>
          <w:lang w:val="en-US" w:eastAsia="zh-CN"/>
        </w:rPr>
        <w:t>网络心电中心</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875"/>
        <w:gridCol w:w="2060"/>
        <w:gridCol w:w="4665"/>
        <w:gridCol w:w="733"/>
        <w:gridCol w:w="714"/>
      </w:tblGrid>
      <w:tr w14:paraId="1883B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0A867B5">
            <w:pPr>
              <w:widowControl/>
              <w:jc w:val="center"/>
              <w:rPr>
                <w:rFonts w:hint="eastAsia" w:ascii="宋体" w:hAnsi="宋体" w:eastAsia="宋体" w:cs="宋体"/>
                <w:b/>
                <w:color w:val="auto"/>
                <w:sz w:val="24"/>
                <w:szCs w:val="24"/>
                <w:highlight w:val="none"/>
                <w:vertAlign w:val="baseline"/>
                <w:lang w:eastAsia="zh-CN"/>
              </w:rPr>
            </w:pPr>
            <w:r>
              <w:rPr>
                <w:rFonts w:hint="eastAsia" w:ascii="宋体" w:hAnsi="宋体" w:cs="宋体"/>
                <w:b/>
                <w:bCs/>
                <w:color w:val="auto"/>
                <w:kern w:val="0"/>
                <w:sz w:val="20"/>
                <w:szCs w:val="20"/>
                <w:highlight w:val="none"/>
              </w:rPr>
              <w:t>序号</w:t>
            </w:r>
          </w:p>
        </w:tc>
        <w:tc>
          <w:tcPr>
            <w:tcW w:w="3655" w:type="dxa"/>
            <w:gridSpan w:val="3"/>
            <w:vAlign w:val="center"/>
          </w:tcPr>
          <w:p w14:paraId="212FB479">
            <w:pPr>
              <w:widowControl/>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bCs/>
                <w:color w:val="auto"/>
                <w:kern w:val="0"/>
                <w:sz w:val="20"/>
                <w:szCs w:val="20"/>
                <w:highlight w:val="none"/>
                <w:lang w:eastAsia="zh-CN"/>
              </w:rPr>
              <w:t>建设内容</w:t>
            </w:r>
          </w:p>
        </w:tc>
        <w:tc>
          <w:tcPr>
            <w:tcW w:w="4665" w:type="dxa"/>
            <w:vAlign w:val="center"/>
          </w:tcPr>
          <w:p w14:paraId="6C349C48">
            <w:pPr>
              <w:widowControl/>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6838E11C">
            <w:pPr>
              <w:widowControl/>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bCs/>
                <w:color w:val="auto"/>
                <w:kern w:val="0"/>
                <w:sz w:val="20"/>
                <w:szCs w:val="20"/>
                <w:highlight w:val="none"/>
                <w:lang w:eastAsia="zh-CN"/>
              </w:rPr>
              <w:t>单位</w:t>
            </w:r>
          </w:p>
        </w:tc>
        <w:tc>
          <w:tcPr>
            <w:tcW w:w="714" w:type="dxa"/>
            <w:vAlign w:val="center"/>
          </w:tcPr>
          <w:p w14:paraId="41DC36B4">
            <w:pPr>
              <w:spacing w:line="240" w:lineRule="exact"/>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bCs/>
                <w:color w:val="auto"/>
                <w:kern w:val="0"/>
                <w:szCs w:val="21"/>
                <w:highlight w:val="none"/>
                <w:lang w:eastAsia="zh-CN"/>
              </w:rPr>
              <w:t>数量</w:t>
            </w:r>
          </w:p>
        </w:tc>
      </w:tr>
      <w:tr w14:paraId="756A4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6A741E3">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54</w:t>
            </w:r>
          </w:p>
        </w:tc>
        <w:tc>
          <w:tcPr>
            <w:tcW w:w="720" w:type="dxa"/>
            <w:vMerge w:val="restart"/>
            <w:vAlign w:val="center"/>
          </w:tcPr>
          <w:p w14:paraId="00C7BF6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医院心电系统</w:t>
            </w:r>
          </w:p>
        </w:tc>
        <w:tc>
          <w:tcPr>
            <w:tcW w:w="875" w:type="dxa"/>
            <w:vMerge w:val="restart"/>
            <w:vAlign w:val="center"/>
          </w:tcPr>
          <w:p w14:paraId="037C2C5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医生工作站-动态心电分析</w:t>
            </w:r>
          </w:p>
        </w:tc>
        <w:tc>
          <w:tcPr>
            <w:tcW w:w="2060" w:type="dxa"/>
            <w:vAlign w:val="center"/>
          </w:tcPr>
          <w:p w14:paraId="0598A90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动态分析工具</w:t>
            </w:r>
          </w:p>
        </w:tc>
        <w:tc>
          <w:tcPr>
            <w:tcW w:w="4665" w:type="dxa"/>
            <w:vAlign w:val="center"/>
          </w:tcPr>
          <w:p w14:paraId="7C4F149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支持K线图、直方图、散点图、栅栏图、诊断图、波形全览图等功能</w:t>
            </w:r>
          </w:p>
        </w:tc>
        <w:tc>
          <w:tcPr>
            <w:tcW w:w="733" w:type="dxa"/>
            <w:vMerge w:val="restart"/>
            <w:vAlign w:val="center"/>
          </w:tcPr>
          <w:p w14:paraId="34214D6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套</w:t>
            </w:r>
          </w:p>
        </w:tc>
        <w:tc>
          <w:tcPr>
            <w:tcW w:w="714" w:type="dxa"/>
            <w:vMerge w:val="restart"/>
            <w:vAlign w:val="center"/>
          </w:tcPr>
          <w:p w14:paraId="221E16D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1</w:t>
            </w:r>
          </w:p>
        </w:tc>
      </w:tr>
      <w:tr w14:paraId="61004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59D3A5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55</w:t>
            </w:r>
          </w:p>
        </w:tc>
        <w:tc>
          <w:tcPr>
            <w:tcW w:w="720" w:type="dxa"/>
            <w:vMerge w:val="continue"/>
            <w:vAlign w:val="center"/>
          </w:tcPr>
          <w:p w14:paraId="356F5FF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E059AE4">
            <w:pPr>
              <w:jc w:val="both"/>
              <w:rPr>
                <w:rFonts w:hint="eastAsia" w:ascii="宋体" w:hAnsi="宋体" w:eastAsia="宋体" w:cs="宋体"/>
                <w:b/>
                <w:color w:val="auto"/>
                <w:sz w:val="24"/>
                <w:szCs w:val="24"/>
                <w:highlight w:val="none"/>
                <w:vertAlign w:val="baseline"/>
                <w:lang w:eastAsia="zh-CN"/>
              </w:rPr>
            </w:pPr>
          </w:p>
        </w:tc>
        <w:tc>
          <w:tcPr>
            <w:tcW w:w="2060" w:type="dxa"/>
            <w:vAlign w:val="center"/>
          </w:tcPr>
          <w:p w14:paraId="641B783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自动分析</w:t>
            </w:r>
          </w:p>
        </w:tc>
        <w:tc>
          <w:tcPr>
            <w:tcW w:w="4665" w:type="dxa"/>
            <w:vAlign w:val="center"/>
          </w:tcPr>
          <w:p w14:paraId="52C8FAD5">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default"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yellow"/>
                <w:lang w:val="en-US" w:eastAsia="zh-CN"/>
              </w:rPr>
              <w:t>▲报告测值：可查看室率、房率、P电轴、QRS 电轴、T电轴、P波时限、PR 间期、QRS 时限、QT 间期、T 波时限等测值信息，用于查看心电自动分析结果（提供检测报告原件彩色扫描件或复印件加盖投标单位公章）。</w:t>
            </w:r>
          </w:p>
        </w:tc>
        <w:tc>
          <w:tcPr>
            <w:tcW w:w="733" w:type="dxa"/>
            <w:vMerge w:val="continue"/>
            <w:vAlign w:val="center"/>
          </w:tcPr>
          <w:p w14:paraId="08DF9C9C">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527667B8">
            <w:pPr>
              <w:jc w:val="center"/>
              <w:rPr>
                <w:rFonts w:hint="eastAsia" w:ascii="宋体" w:hAnsi="宋体" w:eastAsia="宋体" w:cs="宋体"/>
                <w:b/>
                <w:color w:val="auto"/>
                <w:sz w:val="24"/>
                <w:szCs w:val="24"/>
                <w:highlight w:val="none"/>
                <w:vertAlign w:val="baseline"/>
                <w:lang w:eastAsia="zh-CN"/>
              </w:rPr>
            </w:pPr>
          </w:p>
        </w:tc>
      </w:tr>
      <w:tr w14:paraId="46F45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CC45E98">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56</w:t>
            </w:r>
          </w:p>
        </w:tc>
        <w:tc>
          <w:tcPr>
            <w:tcW w:w="720" w:type="dxa"/>
            <w:vMerge w:val="continue"/>
            <w:vAlign w:val="center"/>
          </w:tcPr>
          <w:p w14:paraId="471A403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9247362">
            <w:pPr>
              <w:jc w:val="both"/>
              <w:rPr>
                <w:rFonts w:hint="eastAsia" w:ascii="宋体" w:hAnsi="宋体" w:eastAsia="宋体" w:cs="宋体"/>
                <w:b/>
                <w:color w:val="auto"/>
                <w:sz w:val="24"/>
                <w:szCs w:val="24"/>
                <w:highlight w:val="none"/>
                <w:vertAlign w:val="baseline"/>
                <w:lang w:eastAsia="zh-CN"/>
              </w:rPr>
            </w:pPr>
          </w:p>
        </w:tc>
        <w:tc>
          <w:tcPr>
            <w:tcW w:w="2060" w:type="dxa"/>
            <w:vAlign w:val="center"/>
          </w:tcPr>
          <w:p w14:paraId="1F11407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差异心搏分析</w:t>
            </w:r>
          </w:p>
        </w:tc>
        <w:tc>
          <w:tcPr>
            <w:tcW w:w="4665" w:type="dxa"/>
            <w:vAlign w:val="center"/>
          </w:tcPr>
          <w:p w14:paraId="70FA325B">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实现P波反混淆快速区分P波形态差异心搏分析</w:t>
            </w:r>
          </w:p>
        </w:tc>
        <w:tc>
          <w:tcPr>
            <w:tcW w:w="733" w:type="dxa"/>
            <w:vMerge w:val="continue"/>
            <w:vAlign w:val="center"/>
          </w:tcPr>
          <w:p w14:paraId="24682FFF">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4B5FDED4">
            <w:pPr>
              <w:jc w:val="center"/>
              <w:rPr>
                <w:rFonts w:hint="eastAsia" w:ascii="宋体" w:hAnsi="宋体" w:eastAsia="宋体" w:cs="宋体"/>
                <w:b/>
                <w:color w:val="auto"/>
                <w:sz w:val="24"/>
                <w:szCs w:val="24"/>
                <w:highlight w:val="none"/>
                <w:vertAlign w:val="baseline"/>
                <w:lang w:eastAsia="zh-CN"/>
              </w:rPr>
            </w:pPr>
          </w:p>
        </w:tc>
      </w:tr>
      <w:tr w14:paraId="3288F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F84B790">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57</w:t>
            </w:r>
          </w:p>
        </w:tc>
        <w:tc>
          <w:tcPr>
            <w:tcW w:w="720" w:type="dxa"/>
            <w:vMerge w:val="continue"/>
            <w:vAlign w:val="center"/>
          </w:tcPr>
          <w:p w14:paraId="668A834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FF2C559">
            <w:pPr>
              <w:jc w:val="both"/>
              <w:rPr>
                <w:rFonts w:hint="eastAsia" w:ascii="宋体" w:hAnsi="宋体" w:eastAsia="宋体" w:cs="宋体"/>
                <w:b/>
                <w:color w:val="auto"/>
                <w:sz w:val="24"/>
                <w:szCs w:val="24"/>
                <w:highlight w:val="none"/>
                <w:vertAlign w:val="baseline"/>
                <w:lang w:eastAsia="zh-CN"/>
              </w:rPr>
            </w:pPr>
          </w:p>
        </w:tc>
        <w:tc>
          <w:tcPr>
            <w:tcW w:w="2060" w:type="dxa"/>
            <w:vAlign w:val="center"/>
          </w:tcPr>
          <w:p w14:paraId="303A51D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动态心电模板分析</w:t>
            </w:r>
          </w:p>
        </w:tc>
        <w:tc>
          <w:tcPr>
            <w:tcW w:w="4665" w:type="dxa"/>
            <w:vAlign w:val="center"/>
          </w:tcPr>
          <w:p w14:paraId="6402C22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动态心电可以看模板分析，并可按照提前量、代偿间隙、QRS面积、宽度等方式排序</w:t>
            </w:r>
          </w:p>
        </w:tc>
        <w:tc>
          <w:tcPr>
            <w:tcW w:w="733" w:type="dxa"/>
            <w:vMerge w:val="continue"/>
            <w:vAlign w:val="center"/>
          </w:tcPr>
          <w:p w14:paraId="0EFEE0EB">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75AA4993">
            <w:pPr>
              <w:jc w:val="center"/>
              <w:rPr>
                <w:rFonts w:hint="eastAsia" w:ascii="宋体" w:hAnsi="宋体" w:eastAsia="宋体" w:cs="宋体"/>
                <w:b/>
                <w:color w:val="auto"/>
                <w:sz w:val="24"/>
                <w:szCs w:val="24"/>
                <w:highlight w:val="none"/>
                <w:vertAlign w:val="baseline"/>
                <w:lang w:eastAsia="zh-CN"/>
              </w:rPr>
            </w:pPr>
          </w:p>
        </w:tc>
      </w:tr>
      <w:tr w14:paraId="5B5EB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656048D">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58</w:t>
            </w:r>
          </w:p>
        </w:tc>
        <w:tc>
          <w:tcPr>
            <w:tcW w:w="720" w:type="dxa"/>
            <w:vMerge w:val="continue"/>
            <w:vAlign w:val="center"/>
          </w:tcPr>
          <w:p w14:paraId="7452C1B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76BC5FF">
            <w:pPr>
              <w:jc w:val="both"/>
              <w:rPr>
                <w:rFonts w:hint="eastAsia" w:ascii="宋体" w:hAnsi="宋体" w:eastAsia="宋体" w:cs="宋体"/>
                <w:b/>
                <w:color w:val="auto"/>
                <w:sz w:val="24"/>
                <w:szCs w:val="24"/>
                <w:highlight w:val="none"/>
                <w:vertAlign w:val="baseline"/>
                <w:lang w:eastAsia="zh-CN"/>
              </w:rPr>
            </w:pPr>
          </w:p>
        </w:tc>
        <w:tc>
          <w:tcPr>
            <w:tcW w:w="2060" w:type="dxa"/>
            <w:vAlign w:val="center"/>
          </w:tcPr>
          <w:p w14:paraId="5557F0A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组合散点图</w:t>
            </w:r>
          </w:p>
        </w:tc>
        <w:tc>
          <w:tcPr>
            <w:tcW w:w="4665" w:type="dxa"/>
            <w:vAlign w:val="center"/>
          </w:tcPr>
          <w:p w14:paraId="286A7C4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通过每个心搏的特征选择相应的心搏参数（心搏可选提前量、R波和S波幅度、间期、代偿间期、QRS面积、宽度等方式作为X、Y轴坐标），形成不同的吸引子，快速区分形态不一样的心搏</w:t>
            </w:r>
          </w:p>
        </w:tc>
        <w:tc>
          <w:tcPr>
            <w:tcW w:w="733" w:type="dxa"/>
            <w:vMerge w:val="continue"/>
            <w:vAlign w:val="center"/>
          </w:tcPr>
          <w:p w14:paraId="65D6CC61">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1F7A3F83">
            <w:pPr>
              <w:jc w:val="center"/>
              <w:rPr>
                <w:rFonts w:hint="eastAsia" w:ascii="宋体" w:hAnsi="宋体" w:eastAsia="宋体" w:cs="宋体"/>
                <w:b/>
                <w:color w:val="auto"/>
                <w:sz w:val="24"/>
                <w:szCs w:val="24"/>
                <w:highlight w:val="none"/>
                <w:vertAlign w:val="baseline"/>
                <w:lang w:eastAsia="zh-CN"/>
              </w:rPr>
            </w:pPr>
          </w:p>
        </w:tc>
      </w:tr>
      <w:tr w14:paraId="608B4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584E1D2">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59</w:t>
            </w:r>
          </w:p>
        </w:tc>
        <w:tc>
          <w:tcPr>
            <w:tcW w:w="720" w:type="dxa"/>
            <w:vMerge w:val="continue"/>
            <w:vAlign w:val="center"/>
          </w:tcPr>
          <w:p w14:paraId="67C6245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93F223B">
            <w:pPr>
              <w:jc w:val="both"/>
              <w:rPr>
                <w:rFonts w:hint="eastAsia" w:ascii="宋体" w:hAnsi="宋体" w:eastAsia="宋体" w:cs="宋体"/>
                <w:b/>
                <w:color w:val="auto"/>
                <w:sz w:val="24"/>
                <w:szCs w:val="24"/>
                <w:highlight w:val="none"/>
                <w:vertAlign w:val="baseline"/>
                <w:lang w:eastAsia="zh-CN"/>
              </w:rPr>
            </w:pPr>
          </w:p>
        </w:tc>
        <w:tc>
          <w:tcPr>
            <w:tcW w:w="2060" w:type="dxa"/>
            <w:vAlign w:val="center"/>
          </w:tcPr>
          <w:p w14:paraId="0CC48EF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房颤</w:t>
            </w:r>
          </w:p>
        </w:tc>
        <w:tc>
          <w:tcPr>
            <w:tcW w:w="4665" w:type="dxa"/>
            <w:vAlign w:val="center"/>
          </w:tcPr>
          <w:p w14:paraId="0FB7BC8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yellow"/>
                <w:lang w:val="en-US" w:eastAsia="zh-CN"/>
              </w:rPr>
              <w:t>▲具有自动分析</w:t>
            </w:r>
            <w:r>
              <w:rPr>
                <w:rFonts w:hint="eastAsia" w:ascii="宋体" w:hAnsi="宋体" w:eastAsia="宋体" w:cs="宋体"/>
                <w:b w:val="0"/>
                <w:bCs w:val="0"/>
                <w:color w:val="auto"/>
                <w:kern w:val="0"/>
                <w:sz w:val="20"/>
                <w:szCs w:val="20"/>
                <w:highlight w:val="yellow"/>
                <w:lang w:val="en-US" w:eastAsia="zh-CN" w:bidi="ar-SA"/>
              </w:rPr>
              <w:t>房颤</w:t>
            </w:r>
            <w:r>
              <w:rPr>
                <w:rFonts w:hint="eastAsia" w:ascii="宋体" w:hAnsi="宋体" w:eastAsia="宋体" w:cs="宋体"/>
                <w:b w:val="0"/>
                <w:bCs w:val="0"/>
                <w:color w:val="auto"/>
                <w:kern w:val="0"/>
                <w:sz w:val="20"/>
                <w:szCs w:val="20"/>
                <w:highlight w:val="yellow"/>
                <w:lang w:val="en-US" w:eastAsia="zh-CN"/>
              </w:rPr>
              <w:t>模块,可通过独立</w:t>
            </w:r>
            <w:r>
              <w:rPr>
                <w:rFonts w:hint="eastAsia" w:ascii="宋体" w:hAnsi="宋体" w:eastAsia="宋体" w:cs="宋体"/>
                <w:b w:val="0"/>
                <w:bCs w:val="0"/>
                <w:color w:val="auto"/>
                <w:kern w:val="0"/>
                <w:sz w:val="20"/>
                <w:szCs w:val="20"/>
                <w:highlight w:val="yellow"/>
                <w:lang w:val="en-US" w:eastAsia="zh-CN" w:bidi="ar-SA"/>
              </w:rPr>
              <w:t>房颤</w:t>
            </w:r>
            <w:r>
              <w:rPr>
                <w:rFonts w:hint="eastAsia" w:ascii="宋体" w:hAnsi="宋体" w:eastAsia="宋体" w:cs="宋体"/>
                <w:b w:val="0"/>
                <w:bCs w:val="0"/>
                <w:color w:val="auto"/>
                <w:kern w:val="0"/>
                <w:sz w:val="20"/>
                <w:szCs w:val="20"/>
                <w:highlight w:val="yellow"/>
                <w:lang w:val="en-US" w:eastAsia="zh-CN"/>
              </w:rPr>
              <w:t>模块快速批量编辑阵发性房颤。（提供检测报告原件彩色扫描件或复印件加盖投标单位公章）</w:t>
            </w:r>
          </w:p>
        </w:tc>
        <w:tc>
          <w:tcPr>
            <w:tcW w:w="733" w:type="dxa"/>
            <w:vMerge w:val="continue"/>
            <w:vAlign w:val="center"/>
          </w:tcPr>
          <w:p w14:paraId="7AEA72F6">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2451887C">
            <w:pPr>
              <w:jc w:val="center"/>
              <w:rPr>
                <w:rFonts w:hint="eastAsia" w:ascii="宋体" w:hAnsi="宋体" w:eastAsia="宋体" w:cs="宋体"/>
                <w:b/>
                <w:color w:val="auto"/>
                <w:sz w:val="24"/>
                <w:szCs w:val="24"/>
                <w:highlight w:val="none"/>
                <w:vertAlign w:val="baseline"/>
                <w:lang w:eastAsia="zh-CN"/>
              </w:rPr>
            </w:pPr>
          </w:p>
        </w:tc>
      </w:tr>
      <w:tr w14:paraId="3D00B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3345E5B">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60</w:t>
            </w:r>
          </w:p>
        </w:tc>
        <w:tc>
          <w:tcPr>
            <w:tcW w:w="720" w:type="dxa"/>
            <w:vMerge w:val="continue"/>
            <w:vAlign w:val="center"/>
          </w:tcPr>
          <w:p w14:paraId="0431C86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6DFAB5A">
            <w:pPr>
              <w:jc w:val="both"/>
              <w:rPr>
                <w:rFonts w:hint="eastAsia" w:ascii="宋体" w:hAnsi="宋体" w:eastAsia="宋体" w:cs="宋体"/>
                <w:b/>
                <w:color w:val="auto"/>
                <w:sz w:val="24"/>
                <w:szCs w:val="24"/>
                <w:highlight w:val="none"/>
                <w:vertAlign w:val="baseline"/>
                <w:lang w:eastAsia="zh-CN"/>
              </w:rPr>
            </w:pPr>
          </w:p>
        </w:tc>
        <w:tc>
          <w:tcPr>
            <w:tcW w:w="2060" w:type="dxa"/>
            <w:vAlign w:val="center"/>
          </w:tcPr>
          <w:p w14:paraId="33E016F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测量工具</w:t>
            </w:r>
          </w:p>
        </w:tc>
        <w:tc>
          <w:tcPr>
            <w:tcW w:w="4665" w:type="dxa"/>
            <w:vAlign w:val="center"/>
          </w:tcPr>
          <w:p w14:paraId="479CECD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提供并行分规测量和放大镜工具</w:t>
            </w:r>
          </w:p>
        </w:tc>
        <w:tc>
          <w:tcPr>
            <w:tcW w:w="733" w:type="dxa"/>
            <w:vMerge w:val="continue"/>
            <w:vAlign w:val="center"/>
          </w:tcPr>
          <w:p w14:paraId="788F775D">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4BA0F187">
            <w:pPr>
              <w:jc w:val="center"/>
              <w:rPr>
                <w:rFonts w:hint="eastAsia" w:ascii="宋体" w:hAnsi="宋体" w:eastAsia="宋体" w:cs="宋体"/>
                <w:b/>
                <w:color w:val="auto"/>
                <w:sz w:val="24"/>
                <w:szCs w:val="24"/>
                <w:highlight w:val="none"/>
                <w:vertAlign w:val="baseline"/>
                <w:lang w:eastAsia="zh-CN"/>
              </w:rPr>
            </w:pPr>
          </w:p>
        </w:tc>
      </w:tr>
      <w:tr w14:paraId="6133E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BECD97B">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61</w:t>
            </w:r>
          </w:p>
        </w:tc>
        <w:tc>
          <w:tcPr>
            <w:tcW w:w="720" w:type="dxa"/>
            <w:vMerge w:val="continue"/>
            <w:vAlign w:val="center"/>
          </w:tcPr>
          <w:p w14:paraId="6778C5F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875" w:type="dxa"/>
            <w:vMerge w:val="continue"/>
            <w:vAlign w:val="center"/>
          </w:tcPr>
          <w:p w14:paraId="2207CE94">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val="0"/>
                <w:color w:val="auto"/>
                <w:kern w:val="0"/>
                <w:sz w:val="20"/>
                <w:szCs w:val="20"/>
                <w:highlight w:val="none"/>
                <w:lang w:val="en-US" w:eastAsia="zh-CN"/>
              </w:rPr>
            </w:pPr>
          </w:p>
        </w:tc>
        <w:tc>
          <w:tcPr>
            <w:tcW w:w="2060" w:type="dxa"/>
            <w:vAlign w:val="center"/>
          </w:tcPr>
          <w:p w14:paraId="6773893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PR间期趋势图</w:t>
            </w:r>
          </w:p>
        </w:tc>
        <w:tc>
          <w:tcPr>
            <w:tcW w:w="4665" w:type="dxa"/>
            <w:vAlign w:val="center"/>
          </w:tcPr>
          <w:p w14:paraId="7910E85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提供PR间期趋势图功能，辅助医生进行诊断分析</w:t>
            </w:r>
          </w:p>
        </w:tc>
        <w:tc>
          <w:tcPr>
            <w:tcW w:w="733" w:type="dxa"/>
            <w:vMerge w:val="continue"/>
            <w:vAlign w:val="center"/>
          </w:tcPr>
          <w:p w14:paraId="7241BE5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4E684A5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5AB60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69FB4B3">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62</w:t>
            </w:r>
          </w:p>
        </w:tc>
        <w:tc>
          <w:tcPr>
            <w:tcW w:w="720" w:type="dxa"/>
            <w:vMerge w:val="continue"/>
            <w:vAlign w:val="center"/>
          </w:tcPr>
          <w:p w14:paraId="36CA773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0006D78">
            <w:pPr>
              <w:jc w:val="both"/>
              <w:rPr>
                <w:rFonts w:hint="eastAsia" w:ascii="宋体" w:hAnsi="宋体" w:eastAsia="宋体" w:cs="宋体"/>
                <w:b/>
                <w:color w:val="auto"/>
                <w:sz w:val="24"/>
                <w:szCs w:val="24"/>
                <w:highlight w:val="none"/>
                <w:vertAlign w:val="baseline"/>
                <w:lang w:eastAsia="zh-CN"/>
              </w:rPr>
            </w:pPr>
          </w:p>
        </w:tc>
        <w:tc>
          <w:tcPr>
            <w:tcW w:w="2060" w:type="dxa"/>
            <w:vAlign w:val="center"/>
          </w:tcPr>
          <w:p w14:paraId="75B1566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异常心搏分析</w:t>
            </w:r>
          </w:p>
        </w:tc>
        <w:tc>
          <w:tcPr>
            <w:tcW w:w="4665" w:type="dxa"/>
            <w:vAlign w:val="center"/>
          </w:tcPr>
          <w:p w14:paraId="2B89965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对不同心搏分类模板整体叠加反混淆，快速定位异常心博</w:t>
            </w:r>
          </w:p>
        </w:tc>
        <w:tc>
          <w:tcPr>
            <w:tcW w:w="733" w:type="dxa"/>
            <w:vMerge w:val="continue"/>
            <w:vAlign w:val="center"/>
          </w:tcPr>
          <w:p w14:paraId="456AB04D">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1064A452">
            <w:pPr>
              <w:jc w:val="center"/>
              <w:rPr>
                <w:rFonts w:hint="eastAsia" w:ascii="宋体" w:hAnsi="宋体" w:eastAsia="宋体" w:cs="宋体"/>
                <w:b/>
                <w:color w:val="auto"/>
                <w:sz w:val="24"/>
                <w:szCs w:val="24"/>
                <w:highlight w:val="none"/>
                <w:vertAlign w:val="baseline"/>
                <w:lang w:eastAsia="zh-CN"/>
              </w:rPr>
            </w:pPr>
          </w:p>
        </w:tc>
      </w:tr>
      <w:tr w14:paraId="10051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CFCA0DA">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63</w:t>
            </w:r>
          </w:p>
        </w:tc>
        <w:tc>
          <w:tcPr>
            <w:tcW w:w="720" w:type="dxa"/>
            <w:vMerge w:val="continue"/>
            <w:vAlign w:val="center"/>
          </w:tcPr>
          <w:p w14:paraId="1BDFE9B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021722A">
            <w:pPr>
              <w:jc w:val="both"/>
              <w:rPr>
                <w:rFonts w:hint="eastAsia" w:ascii="宋体" w:hAnsi="宋体" w:eastAsia="宋体" w:cs="宋体"/>
                <w:b/>
                <w:color w:val="auto"/>
                <w:sz w:val="24"/>
                <w:szCs w:val="24"/>
                <w:highlight w:val="none"/>
                <w:vertAlign w:val="baseline"/>
                <w:lang w:eastAsia="zh-CN"/>
              </w:rPr>
            </w:pPr>
          </w:p>
        </w:tc>
        <w:tc>
          <w:tcPr>
            <w:tcW w:w="2060" w:type="dxa"/>
            <w:vAlign w:val="center"/>
          </w:tcPr>
          <w:p w14:paraId="20B42CD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参数编辑</w:t>
            </w:r>
          </w:p>
        </w:tc>
        <w:tc>
          <w:tcPr>
            <w:tcW w:w="4665" w:type="dxa"/>
            <w:vAlign w:val="center"/>
          </w:tcPr>
          <w:p w14:paraId="2C131C5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对ST段扫描，并进行参数编辑，可调整任意导联抬高压低参数</w:t>
            </w:r>
          </w:p>
        </w:tc>
        <w:tc>
          <w:tcPr>
            <w:tcW w:w="733" w:type="dxa"/>
            <w:vMerge w:val="continue"/>
            <w:vAlign w:val="center"/>
          </w:tcPr>
          <w:p w14:paraId="32A07DE6">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557FC762">
            <w:pPr>
              <w:jc w:val="center"/>
              <w:rPr>
                <w:rFonts w:hint="eastAsia" w:ascii="宋体" w:hAnsi="宋体" w:eastAsia="宋体" w:cs="宋体"/>
                <w:b/>
                <w:color w:val="auto"/>
                <w:sz w:val="24"/>
                <w:szCs w:val="24"/>
                <w:highlight w:val="none"/>
                <w:vertAlign w:val="baseline"/>
                <w:lang w:eastAsia="zh-CN"/>
              </w:rPr>
            </w:pPr>
          </w:p>
        </w:tc>
      </w:tr>
      <w:tr w14:paraId="6F484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3552470">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64</w:t>
            </w:r>
          </w:p>
        </w:tc>
        <w:tc>
          <w:tcPr>
            <w:tcW w:w="720" w:type="dxa"/>
            <w:vMerge w:val="continue"/>
            <w:vAlign w:val="center"/>
          </w:tcPr>
          <w:p w14:paraId="0D4E0DE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0DD2A1D">
            <w:pPr>
              <w:jc w:val="both"/>
              <w:rPr>
                <w:rFonts w:hint="eastAsia" w:ascii="宋体" w:hAnsi="宋体" w:eastAsia="宋体" w:cs="宋体"/>
                <w:b/>
                <w:color w:val="auto"/>
                <w:sz w:val="24"/>
                <w:szCs w:val="24"/>
                <w:highlight w:val="none"/>
                <w:vertAlign w:val="baseline"/>
                <w:lang w:eastAsia="zh-CN"/>
              </w:rPr>
            </w:pPr>
          </w:p>
        </w:tc>
        <w:tc>
          <w:tcPr>
            <w:tcW w:w="2060" w:type="dxa"/>
            <w:vAlign w:val="center"/>
          </w:tcPr>
          <w:p w14:paraId="353775A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高级功能</w:t>
            </w:r>
          </w:p>
        </w:tc>
        <w:tc>
          <w:tcPr>
            <w:tcW w:w="4665" w:type="dxa"/>
            <w:vAlign w:val="center"/>
          </w:tcPr>
          <w:p w14:paraId="35E5957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提供心率变异性、心室晚电位、心率减速力、心率震荡、T波电交替、心向量等高级功能</w:t>
            </w:r>
          </w:p>
        </w:tc>
        <w:tc>
          <w:tcPr>
            <w:tcW w:w="733" w:type="dxa"/>
            <w:vMerge w:val="continue"/>
            <w:vAlign w:val="center"/>
          </w:tcPr>
          <w:p w14:paraId="30F7FB75">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2F365EBB">
            <w:pPr>
              <w:jc w:val="center"/>
              <w:rPr>
                <w:rFonts w:hint="eastAsia" w:ascii="宋体" w:hAnsi="宋体" w:eastAsia="宋体" w:cs="宋体"/>
                <w:b/>
                <w:color w:val="auto"/>
                <w:sz w:val="24"/>
                <w:szCs w:val="24"/>
                <w:highlight w:val="none"/>
                <w:vertAlign w:val="baseline"/>
                <w:lang w:eastAsia="zh-CN"/>
              </w:rPr>
            </w:pPr>
          </w:p>
        </w:tc>
      </w:tr>
      <w:tr w14:paraId="36B34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4AAC22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65</w:t>
            </w:r>
          </w:p>
        </w:tc>
        <w:tc>
          <w:tcPr>
            <w:tcW w:w="720" w:type="dxa"/>
            <w:vMerge w:val="continue"/>
            <w:vAlign w:val="center"/>
          </w:tcPr>
          <w:p w14:paraId="43B8152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FACF61C">
            <w:pPr>
              <w:jc w:val="both"/>
              <w:rPr>
                <w:rFonts w:hint="eastAsia" w:ascii="宋体" w:hAnsi="宋体" w:eastAsia="宋体" w:cs="宋体"/>
                <w:b/>
                <w:color w:val="auto"/>
                <w:sz w:val="24"/>
                <w:szCs w:val="24"/>
                <w:highlight w:val="none"/>
                <w:vertAlign w:val="baseline"/>
                <w:lang w:eastAsia="zh-CN"/>
              </w:rPr>
            </w:pPr>
          </w:p>
        </w:tc>
        <w:tc>
          <w:tcPr>
            <w:tcW w:w="2060" w:type="dxa"/>
            <w:vAlign w:val="center"/>
          </w:tcPr>
          <w:p w14:paraId="19F3EDE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起搏器分析</w:t>
            </w:r>
          </w:p>
        </w:tc>
        <w:tc>
          <w:tcPr>
            <w:tcW w:w="4665" w:type="dxa"/>
            <w:vAlign w:val="center"/>
          </w:tcPr>
          <w:p w14:paraId="426A358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通过硬件检测起搏脉冲信号，无需勾选起搏器型号，具备全导联起搏检测</w:t>
            </w:r>
          </w:p>
        </w:tc>
        <w:tc>
          <w:tcPr>
            <w:tcW w:w="733" w:type="dxa"/>
            <w:vMerge w:val="continue"/>
            <w:vAlign w:val="center"/>
          </w:tcPr>
          <w:p w14:paraId="27D0D9E4">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01C01D6D">
            <w:pPr>
              <w:jc w:val="center"/>
              <w:rPr>
                <w:rFonts w:hint="eastAsia" w:ascii="宋体" w:hAnsi="宋体" w:eastAsia="宋体" w:cs="宋体"/>
                <w:b/>
                <w:color w:val="auto"/>
                <w:sz w:val="24"/>
                <w:szCs w:val="24"/>
                <w:highlight w:val="none"/>
                <w:vertAlign w:val="baseline"/>
                <w:lang w:eastAsia="zh-CN"/>
              </w:rPr>
            </w:pPr>
          </w:p>
        </w:tc>
      </w:tr>
      <w:tr w14:paraId="73B03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3B53CFC">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66</w:t>
            </w:r>
          </w:p>
        </w:tc>
        <w:tc>
          <w:tcPr>
            <w:tcW w:w="720" w:type="dxa"/>
            <w:vMerge w:val="continue"/>
            <w:vAlign w:val="center"/>
          </w:tcPr>
          <w:p w14:paraId="7FDECE6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875" w:type="dxa"/>
            <w:vMerge w:val="restart"/>
            <w:vAlign w:val="center"/>
          </w:tcPr>
          <w:p w14:paraId="04C9911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医生工作站-动态血压分析</w:t>
            </w:r>
          </w:p>
        </w:tc>
        <w:tc>
          <w:tcPr>
            <w:tcW w:w="2060" w:type="dxa"/>
            <w:vAlign w:val="center"/>
          </w:tcPr>
          <w:p w14:paraId="71ED463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血压脉搏波形图</w:t>
            </w:r>
          </w:p>
        </w:tc>
        <w:tc>
          <w:tcPr>
            <w:tcW w:w="4665" w:type="dxa"/>
            <w:vAlign w:val="center"/>
          </w:tcPr>
          <w:p w14:paraId="0AFB8A9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提供血压脉搏波形图显示，辅助医生进行二次诊断</w:t>
            </w:r>
          </w:p>
        </w:tc>
        <w:tc>
          <w:tcPr>
            <w:tcW w:w="733" w:type="dxa"/>
            <w:vMerge w:val="continue"/>
            <w:vAlign w:val="center"/>
          </w:tcPr>
          <w:p w14:paraId="050BB5A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75ACBF4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407BE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3BD1A8E">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67</w:t>
            </w:r>
          </w:p>
        </w:tc>
        <w:tc>
          <w:tcPr>
            <w:tcW w:w="720" w:type="dxa"/>
            <w:vMerge w:val="continue"/>
            <w:vAlign w:val="center"/>
          </w:tcPr>
          <w:p w14:paraId="6895453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180F27F">
            <w:pPr>
              <w:jc w:val="center"/>
              <w:rPr>
                <w:rFonts w:hint="eastAsia" w:ascii="宋体" w:hAnsi="宋体" w:eastAsia="宋体" w:cs="宋体"/>
                <w:b/>
                <w:color w:val="auto"/>
                <w:sz w:val="24"/>
                <w:szCs w:val="24"/>
                <w:highlight w:val="none"/>
                <w:vertAlign w:val="baseline"/>
                <w:lang w:eastAsia="zh-CN"/>
              </w:rPr>
            </w:pPr>
          </w:p>
        </w:tc>
        <w:tc>
          <w:tcPr>
            <w:tcW w:w="2060" w:type="dxa"/>
            <w:vAlign w:val="center"/>
          </w:tcPr>
          <w:p w14:paraId="4069318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图标辅助分析工具</w:t>
            </w:r>
          </w:p>
        </w:tc>
        <w:tc>
          <w:tcPr>
            <w:tcW w:w="4665" w:type="dxa"/>
            <w:vAlign w:val="center"/>
          </w:tcPr>
          <w:p w14:paraId="41662DF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提供多种图标辅助分析工具，包括趋势图、关联图、直方图、饼图、K线图等</w:t>
            </w:r>
          </w:p>
        </w:tc>
        <w:tc>
          <w:tcPr>
            <w:tcW w:w="733" w:type="dxa"/>
            <w:vMerge w:val="continue"/>
            <w:vAlign w:val="center"/>
          </w:tcPr>
          <w:p w14:paraId="0CB73487">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03166C45">
            <w:pPr>
              <w:jc w:val="center"/>
              <w:rPr>
                <w:rFonts w:hint="eastAsia" w:ascii="宋体" w:hAnsi="宋体" w:eastAsia="宋体" w:cs="宋体"/>
                <w:b/>
                <w:color w:val="auto"/>
                <w:sz w:val="24"/>
                <w:szCs w:val="24"/>
                <w:highlight w:val="none"/>
                <w:vertAlign w:val="baseline"/>
                <w:lang w:eastAsia="zh-CN"/>
              </w:rPr>
            </w:pPr>
          </w:p>
        </w:tc>
      </w:tr>
      <w:tr w14:paraId="4722D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459B8F5">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68</w:t>
            </w:r>
          </w:p>
        </w:tc>
        <w:tc>
          <w:tcPr>
            <w:tcW w:w="720" w:type="dxa"/>
            <w:vMerge w:val="continue"/>
            <w:vAlign w:val="center"/>
          </w:tcPr>
          <w:p w14:paraId="0D6272C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21F8009">
            <w:pPr>
              <w:jc w:val="center"/>
              <w:rPr>
                <w:rFonts w:hint="eastAsia" w:ascii="宋体" w:hAnsi="宋体" w:eastAsia="宋体" w:cs="宋体"/>
                <w:b/>
                <w:color w:val="auto"/>
                <w:sz w:val="24"/>
                <w:szCs w:val="24"/>
                <w:highlight w:val="none"/>
                <w:vertAlign w:val="baseline"/>
                <w:lang w:eastAsia="zh-CN"/>
              </w:rPr>
            </w:pPr>
          </w:p>
        </w:tc>
        <w:tc>
          <w:tcPr>
            <w:tcW w:w="2060" w:type="dxa"/>
            <w:vAlign w:val="center"/>
          </w:tcPr>
          <w:p w14:paraId="538FED5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指标分析</w:t>
            </w:r>
          </w:p>
        </w:tc>
        <w:tc>
          <w:tcPr>
            <w:tcW w:w="4665" w:type="dxa"/>
            <w:vAlign w:val="center"/>
          </w:tcPr>
          <w:p w14:paraId="11B08A4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血压变异系数、夜间血压下降比、血压负荷、晨峰血压等分析指标</w:t>
            </w:r>
          </w:p>
        </w:tc>
        <w:tc>
          <w:tcPr>
            <w:tcW w:w="733" w:type="dxa"/>
            <w:vMerge w:val="continue"/>
            <w:vAlign w:val="center"/>
          </w:tcPr>
          <w:p w14:paraId="01D538F0">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032C8C95">
            <w:pPr>
              <w:jc w:val="center"/>
              <w:rPr>
                <w:rFonts w:hint="eastAsia" w:ascii="宋体" w:hAnsi="宋体" w:eastAsia="宋体" w:cs="宋体"/>
                <w:b/>
                <w:color w:val="auto"/>
                <w:sz w:val="24"/>
                <w:szCs w:val="24"/>
                <w:highlight w:val="none"/>
                <w:vertAlign w:val="baseline"/>
                <w:lang w:eastAsia="zh-CN"/>
              </w:rPr>
            </w:pPr>
          </w:p>
        </w:tc>
      </w:tr>
      <w:tr w14:paraId="5873D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6E59B02">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69</w:t>
            </w:r>
          </w:p>
        </w:tc>
        <w:tc>
          <w:tcPr>
            <w:tcW w:w="720" w:type="dxa"/>
            <w:vMerge w:val="continue"/>
            <w:vAlign w:val="center"/>
          </w:tcPr>
          <w:p w14:paraId="1123BB8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FEBDE0B">
            <w:pPr>
              <w:jc w:val="center"/>
              <w:rPr>
                <w:rFonts w:hint="eastAsia" w:ascii="宋体" w:hAnsi="宋体" w:eastAsia="宋体" w:cs="宋体"/>
                <w:b/>
                <w:color w:val="auto"/>
                <w:sz w:val="24"/>
                <w:szCs w:val="24"/>
                <w:highlight w:val="none"/>
                <w:vertAlign w:val="baseline"/>
                <w:lang w:eastAsia="zh-CN"/>
              </w:rPr>
            </w:pPr>
          </w:p>
        </w:tc>
        <w:tc>
          <w:tcPr>
            <w:tcW w:w="2060" w:type="dxa"/>
            <w:vAlign w:val="center"/>
          </w:tcPr>
          <w:p w14:paraId="0A9838A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数据管理</w:t>
            </w:r>
          </w:p>
        </w:tc>
        <w:tc>
          <w:tcPr>
            <w:tcW w:w="4665" w:type="dxa"/>
            <w:vAlign w:val="center"/>
          </w:tcPr>
          <w:p w14:paraId="20C3140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可进行动态血压数据的查询、诊断、备份、还原、删除功能</w:t>
            </w:r>
          </w:p>
        </w:tc>
        <w:tc>
          <w:tcPr>
            <w:tcW w:w="733" w:type="dxa"/>
            <w:vMerge w:val="continue"/>
            <w:vAlign w:val="center"/>
          </w:tcPr>
          <w:p w14:paraId="161C16C1">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75A221DE">
            <w:pPr>
              <w:jc w:val="center"/>
              <w:rPr>
                <w:rFonts w:hint="eastAsia" w:ascii="宋体" w:hAnsi="宋体" w:eastAsia="宋体" w:cs="宋体"/>
                <w:b/>
                <w:color w:val="auto"/>
                <w:sz w:val="24"/>
                <w:szCs w:val="24"/>
                <w:highlight w:val="none"/>
                <w:vertAlign w:val="baseline"/>
                <w:lang w:eastAsia="zh-CN"/>
              </w:rPr>
            </w:pPr>
          </w:p>
        </w:tc>
      </w:tr>
      <w:tr w14:paraId="7DEAF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EBBF462">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70</w:t>
            </w:r>
          </w:p>
        </w:tc>
        <w:tc>
          <w:tcPr>
            <w:tcW w:w="720" w:type="dxa"/>
            <w:vMerge w:val="continue"/>
            <w:vAlign w:val="center"/>
          </w:tcPr>
          <w:p w14:paraId="78ADE4E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6E2FEFB">
            <w:pPr>
              <w:jc w:val="center"/>
              <w:rPr>
                <w:rFonts w:hint="eastAsia" w:ascii="宋体" w:hAnsi="宋体" w:eastAsia="宋体" w:cs="宋体"/>
                <w:b/>
                <w:color w:val="auto"/>
                <w:sz w:val="24"/>
                <w:szCs w:val="24"/>
                <w:highlight w:val="none"/>
                <w:vertAlign w:val="baseline"/>
                <w:lang w:eastAsia="zh-CN"/>
              </w:rPr>
            </w:pPr>
          </w:p>
        </w:tc>
        <w:tc>
          <w:tcPr>
            <w:tcW w:w="2060" w:type="dxa"/>
            <w:vAlign w:val="center"/>
          </w:tcPr>
          <w:p w14:paraId="1D00B9E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报告打印</w:t>
            </w:r>
          </w:p>
        </w:tc>
        <w:tc>
          <w:tcPr>
            <w:tcW w:w="4665" w:type="dxa"/>
            <w:vAlign w:val="center"/>
          </w:tcPr>
          <w:p w14:paraId="47E6491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提供PDF报告打印，自定义报告模板，彩色打印等功能</w:t>
            </w:r>
          </w:p>
        </w:tc>
        <w:tc>
          <w:tcPr>
            <w:tcW w:w="733" w:type="dxa"/>
            <w:vMerge w:val="continue"/>
            <w:vAlign w:val="center"/>
          </w:tcPr>
          <w:p w14:paraId="67991A92">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3165D368">
            <w:pPr>
              <w:jc w:val="center"/>
              <w:rPr>
                <w:rFonts w:hint="eastAsia" w:ascii="宋体" w:hAnsi="宋体" w:eastAsia="宋体" w:cs="宋体"/>
                <w:b/>
                <w:color w:val="auto"/>
                <w:sz w:val="24"/>
                <w:szCs w:val="24"/>
                <w:highlight w:val="none"/>
                <w:vertAlign w:val="baseline"/>
                <w:lang w:eastAsia="zh-CN"/>
              </w:rPr>
            </w:pPr>
          </w:p>
        </w:tc>
      </w:tr>
      <w:tr w14:paraId="344C9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9C5A4C5">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71</w:t>
            </w:r>
          </w:p>
        </w:tc>
        <w:tc>
          <w:tcPr>
            <w:tcW w:w="720" w:type="dxa"/>
            <w:vMerge w:val="continue"/>
            <w:vAlign w:val="center"/>
          </w:tcPr>
          <w:p w14:paraId="2012936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83680A3">
            <w:pPr>
              <w:jc w:val="center"/>
              <w:rPr>
                <w:rFonts w:hint="eastAsia" w:ascii="宋体" w:hAnsi="宋体" w:eastAsia="宋体" w:cs="宋体"/>
                <w:b/>
                <w:color w:val="auto"/>
                <w:sz w:val="24"/>
                <w:szCs w:val="24"/>
                <w:highlight w:val="none"/>
                <w:vertAlign w:val="baseline"/>
                <w:lang w:eastAsia="zh-CN"/>
              </w:rPr>
            </w:pPr>
          </w:p>
        </w:tc>
        <w:tc>
          <w:tcPr>
            <w:tcW w:w="2060" w:type="dxa"/>
            <w:vAlign w:val="center"/>
          </w:tcPr>
          <w:p w14:paraId="67806B4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结论分析</w:t>
            </w:r>
          </w:p>
        </w:tc>
        <w:tc>
          <w:tcPr>
            <w:tcW w:w="4665" w:type="dxa"/>
            <w:vAlign w:val="center"/>
          </w:tcPr>
          <w:p w14:paraId="35E673E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提供血压负荷、昼夜节律、动态动脉硬化指数等自动分析结论</w:t>
            </w:r>
          </w:p>
        </w:tc>
        <w:tc>
          <w:tcPr>
            <w:tcW w:w="733" w:type="dxa"/>
            <w:vMerge w:val="continue"/>
            <w:vAlign w:val="center"/>
          </w:tcPr>
          <w:p w14:paraId="0583CDE3">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023E1713">
            <w:pPr>
              <w:jc w:val="center"/>
              <w:rPr>
                <w:rFonts w:hint="eastAsia" w:ascii="宋体" w:hAnsi="宋体" w:eastAsia="宋体" w:cs="宋体"/>
                <w:b/>
                <w:color w:val="auto"/>
                <w:sz w:val="24"/>
                <w:szCs w:val="24"/>
                <w:highlight w:val="none"/>
                <w:vertAlign w:val="baseline"/>
                <w:lang w:eastAsia="zh-CN"/>
              </w:rPr>
            </w:pPr>
          </w:p>
        </w:tc>
      </w:tr>
      <w:tr w14:paraId="27CE4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66A8E17">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72</w:t>
            </w:r>
          </w:p>
        </w:tc>
        <w:tc>
          <w:tcPr>
            <w:tcW w:w="720" w:type="dxa"/>
            <w:vMerge w:val="continue"/>
            <w:vAlign w:val="center"/>
          </w:tcPr>
          <w:p w14:paraId="0F88EA02">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5B69B5E9">
            <w:pPr>
              <w:keepNext w:val="0"/>
              <w:keepLines w:val="0"/>
              <w:pageBreakBefore w:val="0"/>
              <w:widowControl/>
              <w:tabs>
                <w:tab w:val="left" w:pos="475"/>
              </w:tabs>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业务协同</w:t>
            </w:r>
          </w:p>
        </w:tc>
        <w:tc>
          <w:tcPr>
            <w:tcW w:w="2060" w:type="dxa"/>
            <w:vAlign w:val="center"/>
          </w:tcPr>
          <w:p w14:paraId="1142B2D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心电远程诊断</w:t>
            </w:r>
          </w:p>
        </w:tc>
        <w:tc>
          <w:tcPr>
            <w:tcW w:w="4665" w:type="dxa"/>
            <w:vAlign w:val="center"/>
          </w:tcPr>
          <w:p w14:paraId="6CDEB10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实现上下级医疗机构心电图像上传，远程阅片、诊断，出具报告</w:t>
            </w:r>
          </w:p>
        </w:tc>
        <w:tc>
          <w:tcPr>
            <w:tcW w:w="733" w:type="dxa"/>
            <w:vMerge w:val="continue"/>
            <w:vAlign w:val="center"/>
          </w:tcPr>
          <w:p w14:paraId="707B67ED">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7FBE2960">
            <w:pPr>
              <w:jc w:val="center"/>
              <w:rPr>
                <w:rFonts w:hint="eastAsia" w:ascii="宋体" w:hAnsi="宋体" w:eastAsia="宋体" w:cs="宋体"/>
                <w:b/>
                <w:color w:val="auto"/>
                <w:sz w:val="24"/>
                <w:szCs w:val="24"/>
                <w:highlight w:val="none"/>
                <w:vertAlign w:val="baseline"/>
                <w:lang w:eastAsia="zh-CN"/>
              </w:rPr>
            </w:pPr>
          </w:p>
        </w:tc>
      </w:tr>
      <w:tr w14:paraId="2849A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166C967">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73</w:t>
            </w:r>
          </w:p>
        </w:tc>
        <w:tc>
          <w:tcPr>
            <w:tcW w:w="720" w:type="dxa"/>
            <w:vMerge w:val="continue"/>
            <w:vAlign w:val="center"/>
          </w:tcPr>
          <w:p w14:paraId="00836E2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F320CC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2060" w:type="dxa"/>
            <w:vAlign w:val="center"/>
          </w:tcPr>
          <w:p w14:paraId="6960947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远程会诊业务</w:t>
            </w:r>
          </w:p>
        </w:tc>
        <w:tc>
          <w:tcPr>
            <w:tcW w:w="4665" w:type="dxa"/>
            <w:vAlign w:val="center"/>
          </w:tcPr>
          <w:p w14:paraId="1AF11CC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实现心电远程会诊业务，下级申请后，通过远程手段进行在线诊断</w:t>
            </w:r>
          </w:p>
        </w:tc>
        <w:tc>
          <w:tcPr>
            <w:tcW w:w="733" w:type="dxa"/>
            <w:vMerge w:val="continue"/>
            <w:vAlign w:val="center"/>
          </w:tcPr>
          <w:p w14:paraId="171C83B5">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52DEEF12">
            <w:pPr>
              <w:jc w:val="center"/>
              <w:rPr>
                <w:rFonts w:hint="eastAsia" w:ascii="宋体" w:hAnsi="宋体" w:eastAsia="宋体" w:cs="宋体"/>
                <w:b/>
                <w:color w:val="auto"/>
                <w:sz w:val="24"/>
                <w:szCs w:val="24"/>
                <w:highlight w:val="none"/>
                <w:vertAlign w:val="baseline"/>
                <w:lang w:eastAsia="zh-CN"/>
              </w:rPr>
            </w:pPr>
          </w:p>
        </w:tc>
      </w:tr>
      <w:tr w14:paraId="09606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6E84C52">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74</w:t>
            </w:r>
          </w:p>
        </w:tc>
        <w:tc>
          <w:tcPr>
            <w:tcW w:w="720" w:type="dxa"/>
            <w:vMerge w:val="restart"/>
            <w:vAlign w:val="center"/>
          </w:tcPr>
          <w:p w14:paraId="1757A10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区域心电系统</w:t>
            </w:r>
          </w:p>
        </w:tc>
        <w:tc>
          <w:tcPr>
            <w:tcW w:w="875" w:type="dxa"/>
            <w:vMerge w:val="restart"/>
            <w:vAlign w:val="center"/>
          </w:tcPr>
          <w:p w14:paraId="64E0C1F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医生工作站</w:t>
            </w:r>
          </w:p>
        </w:tc>
        <w:tc>
          <w:tcPr>
            <w:tcW w:w="2060" w:type="dxa"/>
            <w:vAlign w:val="center"/>
          </w:tcPr>
          <w:p w14:paraId="64412B4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综合分析</w:t>
            </w:r>
          </w:p>
        </w:tc>
        <w:tc>
          <w:tcPr>
            <w:tcW w:w="4665" w:type="dxa"/>
            <w:vAlign w:val="center"/>
          </w:tcPr>
          <w:p w14:paraId="5A54BAA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000000" w:themeColor="text1"/>
                <w:kern w:val="0"/>
                <w:sz w:val="20"/>
                <w:szCs w:val="20"/>
                <w:highlight w:val="none"/>
                <w:lang w:val="en-US" w:eastAsia="zh-CN"/>
                <w14:textFill>
                  <w14:solidFill>
                    <w14:schemeClr w14:val="tx1"/>
                  </w14:solidFill>
                </w14:textFill>
              </w:rPr>
              <w:t>为满足医院业务发展需要，医生工作站须提供静息心电、动态心电、动态血压综合分析功能：一套软件即可以进行静息心电、动态心电、动态血压三种检查的分析会诊工作，支持具有对应检查特点的专业分析工具。</w:t>
            </w:r>
          </w:p>
        </w:tc>
        <w:tc>
          <w:tcPr>
            <w:tcW w:w="733" w:type="dxa"/>
            <w:vMerge w:val="restart"/>
            <w:vAlign w:val="center"/>
          </w:tcPr>
          <w:p w14:paraId="2FF9C32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套</w:t>
            </w:r>
          </w:p>
        </w:tc>
        <w:tc>
          <w:tcPr>
            <w:tcW w:w="714" w:type="dxa"/>
            <w:vMerge w:val="restart"/>
            <w:vAlign w:val="center"/>
          </w:tcPr>
          <w:p w14:paraId="69DB75C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1</w:t>
            </w:r>
          </w:p>
        </w:tc>
      </w:tr>
      <w:tr w14:paraId="6FDD3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53CCEE2">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75</w:t>
            </w:r>
          </w:p>
        </w:tc>
        <w:tc>
          <w:tcPr>
            <w:tcW w:w="720" w:type="dxa"/>
            <w:vMerge w:val="continue"/>
            <w:vAlign w:val="center"/>
          </w:tcPr>
          <w:p w14:paraId="000A2DD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C9649B2">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7473DE6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远程诊断预分析</w:t>
            </w:r>
          </w:p>
        </w:tc>
        <w:tc>
          <w:tcPr>
            <w:tcW w:w="4665" w:type="dxa"/>
            <w:vAlign w:val="center"/>
          </w:tcPr>
          <w:p w14:paraId="3135849E">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接收到远程诊断申请后，提供后台预分析，对于已经判断出存在危险情况的病人标明危急，在客户端、web端、移动端以弹窗、消息等多种方式向诊断医生预警</w:t>
            </w:r>
          </w:p>
        </w:tc>
        <w:tc>
          <w:tcPr>
            <w:tcW w:w="733" w:type="dxa"/>
            <w:vMerge w:val="continue"/>
            <w:vAlign w:val="center"/>
          </w:tcPr>
          <w:p w14:paraId="3C5E97A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1E1ECA0">
            <w:pPr>
              <w:jc w:val="center"/>
              <w:rPr>
                <w:rFonts w:hint="eastAsia" w:ascii="宋体" w:hAnsi="宋体" w:eastAsia="宋体" w:cs="宋体"/>
                <w:b w:val="0"/>
                <w:bCs w:val="0"/>
                <w:color w:val="auto"/>
                <w:kern w:val="0"/>
                <w:sz w:val="20"/>
                <w:szCs w:val="20"/>
                <w:highlight w:val="none"/>
                <w:lang w:val="en-US" w:eastAsia="zh-CN" w:bidi="ar-SA"/>
              </w:rPr>
            </w:pPr>
          </w:p>
        </w:tc>
      </w:tr>
      <w:tr w14:paraId="6C702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B54F47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76</w:t>
            </w:r>
          </w:p>
        </w:tc>
        <w:tc>
          <w:tcPr>
            <w:tcW w:w="720" w:type="dxa"/>
            <w:vMerge w:val="continue"/>
            <w:vAlign w:val="center"/>
          </w:tcPr>
          <w:p w14:paraId="55839E4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3219FE4">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7ADEC4B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图谱退回</w:t>
            </w:r>
          </w:p>
        </w:tc>
        <w:tc>
          <w:tcPr>
            <w:tcW w:w="4665" w:type="dxa"/>
            <w:vAlign w:val="center"/>
          </w:tcPr>
          <w:p w14:paraId="5F969FBB">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支持诊断医生对不符合要求的图谱进行退回、加采、重采等操作，并对退回加采/重采报告加注原因</w:t>
            </w:r>
          </w:p>
        </w:tc>
        <w:tc>
          <w:tcPr>
            <w:tcW w:w="733" w:type="dxa"/>
            <w:vMerge w:val="continue"/>
            <w:vAlign w:val="center"/>
          </w:tcPr>
          <w:p w14:paraId="41BCF43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48EEABE">
            <w:pPr>
              <w:jc w:val="center"/>
              <w:rPr>
                <w:rFonts w:hint="eastAsia" w:ascii="宋体" w:hAnsi="宋体" w:eastAsia="宋体" w:cs="宋体"/>
                <w:b w:val="0"/>
                <w:bCs w:val="0"/>
                <w:color w:val="auto"/>
                <w:kern w:val="0"/>
                <w:sz w:val="20"/>
                <w:szCs w:val="20"/>
                <w:highlight w:val="none"/>
                <w:lang w:val="en-US" w:eastAsia="zh-CN" w:bidi="ar-SA"/>
              </w:rPr>
            </w:pPr>
          </w:p>
        </w:tc>
      </w:tr>
      <w:tr w14:paraId="60CC2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2C2F9EE">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77</w:t>
            </w:r>
          </w:p>
        </w:tc>
        <w:tc>
          <w:tcPr>
            <w:tcW w:w="720" w:type="dxa"/>
            <w:vMerge w:val="continue"/>
            <w:vAlign w:val="center"/>
          </w:tcPr>
          <w:p w14:paraId="0A12C3D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934A697">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2EFBEA1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报告强制审核</w:t>
            </w:r>
          </w:p>
        </w:tc>
        <w:tc>
          <w:tcPr>
            <w:tcW w:w="4665" w:type="dxa"/>
            <w:vAlign w:val="center"/>
          </w:tcPr>
          <w:p w14:paraId="0985E4B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支持设置强制审核模式，设置为强制审核模式的报告必须进行双签之后才能发布，以满足医院多业务形态的需要</w:t>
            </w:r>
          </w:p>
        </w:tc>
        <w:tc>
          <w:tcPr>
            <w:tcW w:w="733" w:type="dxa"/>
            <w:vMerge w:val="continue"/>
            <w:vAlign w:val="center"/>
          </w:tcPr>
          <w:p w14:paraId="01EDCE0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FDD5C44">
            <w:pPr>
              <w:jc w:val="center"/>
              <w:rPr>
                <w:rFonts w:hint="eastAsia" w:ascii="宋体" w:hAnsi="宋体" w:eastAsia="宋体" w:cs="宋体"/>
                <w:b w:val="0"/>
                <w:bCs w:val="0"/>
                <w:color w:val="auto"/>
                <w:kern w:val="0"/>
                <w:sz w:val="20"/>
                <w:szCs w:val="20"/>
                <w:highlight w:val="none"/>
                <w:lang w:val="en-US" w:eastAsia="zh-CN" w:bidi="ar-SA"/>
              </w:rPr>
            </w:pPr>
          </w:p>
        </w:tc>
      </w:tr>
      <w:tr w14:paraId="17666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040D637">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78</w:t>
            </w:r>
          </w:p>
        </w:tc>
        <w:tc>
          <w:tcPr>
            <w:tcW w:w="720" w:type="dxa"/>
            <w:vMerge w:val="continue"/>
            <w:vAlign w:val="center"/>
          </w:tcPr>
          <w:p w14:paraId="0689362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80195EF">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3517709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同屏显示</w:t>
            </w:r>
          </w:p>
        </w:tc>
        <w:tc>
          <w:tcPr>
            <w:tcW w:w="4665" w:type="dxa"/>
            <w:vAlign w:val="center"/>
          </w:tcPr>
          <w:p w14:paraId="3F03EC6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为提高医生工作效率，系统支持同屏显示报告列表和看图界面。可直接在看图页中查看列表数据，无需在列表页和详情页中来回切换</w:t>
            </w:r>
          </w:p>
        </w:tc>
        <w:tc>
          <w:tcPr>
            <w:tcW w:w="733" w:type="dxa"/>
            <w:vMerge w:val="continue"/>
            <w:vAlign w:val="center"/>
          </w:tcPr>
          <w:p w14:paraId="1B3ECDC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4533ED6">
            <w:pPr>
              <w:jc w:val="center"/>
              <w:rPr>
                <w:rFonts w:hint="eastAsia" w:ascii="宋体" w:hAnsi="宋体" w:eastAsia="宋体" w:cs="宋体"/>
                <w:b w:val="0"/>
                <w:bCs w:val="0"/>
                <w:color w:val="auto"/>
                <w:kern w:val="0"/>
                <w:sz w:val="20"/>
                <w:szCs w:val="20"/>
                <w:highlight w:val="none"/>
                <w:lang w:val="en-US" w:eastAsia="zh-CN" w:bidi="ar-SA"/>
              </w:rPr>
            </w:pPr>
          </w:p>
        </w:tc>
      </w:tr>
      <w:tr w14:paraId="18CE4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A343F91">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79</w:t>
            </w:r>
          </w:p>
        </w:tc>
        <w:tc>
          <w:tcPr>
            <w:tcW w:w="720" w:type="dxa"/>
            <w:vMerge w:val="continue"/>
            <w:vAlign w:val="center"/>
          </w:tcPr>
          <w:p w14:paraId="192783B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AA6B708">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35C2E0F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病例收藏</w:t>
            </w:r>
          </w:p>
        </w:tc>
        <w:tc>
          <w:tcPr>
            <w:tcW w:w="4665" w:type="dxa"/>
            <w:vAlign w:val="center"/>
          </w:tcPr>
          <w:p w14:paraId="679A2F8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000000" w:themeColor="text1"/>
                <w:kern w:val="0"/>
                <w:sz w:val="20"/>
                <w:szCs w:val="20"/>
                <w:highlight w:val="none"/>
                <w:lang w:val="en-US" w:eastAsia="zh-CN"/>
                <w14:textFill>
                  <w14:solidFill>
                    <w14:schemeClr w14:val="tx1"/>
                  </w14:solidFill>
                </w14:textFill>
              </w:rPr>
              <w:t>提供典型病例收藏功能，支持医生自定义收藏分类，为医生后期培训和进行科研提供素材。</w:t>
            </w:r>
          </w:p>
        </w:tc>
        <w:tc>
          <w:tcPr>
            <w:tcW w:w="733" w:type="dxa"/>
            <w:vMerge w:val="continue"/>
            <w:vAlign w:val="center"/>
          </w:tcPr>
          <w:p w14:paraId="0FE5759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287CBE8">
            <w:pPr>
              <w:jc w:val="center"/>
              <w:rPr>
                <w:rFonts w:hint="eastAsia" w:ascii="宋体" w:hAnsi="宋体" w:eastAsia="宋体" w:cs="宋体"/>
                <w:b w:val="0"/>
                <w:bCs w:val="0"/>
                <w:color w:val="auto"/>
                <w:kern w:val="0"/>
                <w:sz w:val="20"/>
                <w:szCs w:val="20"/>
                <w:highlight w:val="none"/>
                <w:lang w:val="en-US" w:eastAsia="zh-CN" w:bidi="ar-SA"/>
              </w:rPr>
            </w:pPr>
          </w:p>
        </w:tc>
      </w:tr>
      <w:tr w14:paraId="543A1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2BBC0A5">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80</w:t>
            </w:r>
          </w:p>
        </w:tc>
        <w:tc>
          <w:tcPr>
            <w:tcW w:w="720" w:type="dxa"/>
            <w:vMerge w:val="continue"/>
            <w:vAlign w:val="center"/>
          </w:tcPr>
          <w:p w14:paraId="39E7B6C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13F6ABD">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714025B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导联纠错</w:t>
            </w:r>
          </w:p>
        </w:tc>
        <w:tc>
          <w:tcPr>
            <w:tcW w:w="4665" w:type="dxa"/>
            <w:vAlign w:val="center"/>
          </w:tcPr>
          <w:p w14:paraId="366CE4E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支持导联纠错功能，在肢体导联接反或胸导联接错的情况下，可以通过软件直接修正，无需重新采集</w:t>
            </w:r>
          </w:p>
        </w:tc>
        <w:tc>
          <w:tcPr>
            <w:tcW w:w="733" w:type="dxa"/>
            <w:vMerge w:val="continue"/>
            <w:vAlign w:val="center"/>
          </w:tcPr>
          <w:p w14:paraId="785535D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6FF1115">
            <w:pPr>
              <w:jc w:val="center"/>
              <w:rPr>
                <w:rFonts w:hint="eastAsia" w:ascii="宋体" w:hAnsi="宋体" w:eastAsia="宋体" w:cs="宋体"/>
                <w:b w:val="0"/>
                <w:bCs w:val="0"/>
                <w:color w:val="auto"/>
                <w:kern w:val="0"/>
                <w:sz w:val="20"/>
                <w:szCs w:val="20"/>
                <w:highlight w:val="none"/>
                <w:lang w:val="en-US" w:eastAsia="zh-CN" w:bidi="ar-SA"/>
              </w:rPr>
            </w:pPr>
          </w:p>
        </w:tc>
      </w:tr>
      <w:tr w14:paraId="2E58E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5365F49">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81</w:t>
            </w:r>
          </w:p>
        </w:tc>
        <w:tc>
          <w:tcPr>
            <w:tcW w:w="720" w:type="dxa"/>
            <w:vMerge w:val="continue"/>
            <w:vAlign w:val="center"/>
          </w:tcPr>
          <w:p w14:paraId="2D5B792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6910DAC">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670500D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漏诊提示</w:t>
            </w:r>
          </w:p>
        </w:tc>
        <w:tc>
          <w:tcPr>
            <w:tcW w:w="4665" w:type="dxa"/>
            <w:vAlign w:val="center"/>
          </w:tcPr>
          <w:p w14:paraId="324E3EB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对心电图因显示分辨率问题导致的可能被疏忽的细节异常进行提示，防止造成漏诊</w:t>
            </w:r>
          </w:p>
        </w:tc>
        <w:tc>
          <w:tcPr>
            <w:tcW w:w="733" w:type="dxa"/>
            <w:vMerge w:val="continue"/>
            <w:vAlign w:val="center"/>
          </w:tcPr>
          <w:p w14:paraId="12A8635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16BD29A">
            <w:pPr>
              <w:jc w:val="center"/>
              <w:rPr>
                <w:rFonts w:hint="eastAsia" w:ascii="宋体" w:hAnsi="宋体" w:eastAsia="宋体" w:cs="宋体"/>
                <w:b w:val="0"/>
                <w:bCs w:val="0"/>
                <w:color w:val="auto"/>
                <w:kern w:val="0"/>
                <w:sz w:val="20"/>
                <w:szCs w:val="20"/>
                <w:highlight w:val="none"/>
                <w:lang w:val="en-US" w:eastAsia="zh-CN" w:bidi="ar-SA"/>
              </w:rPr>
            </w:pPr>
          </w:p>
        </w:tc>
      </w:tr>
      <w:tr w14:paraId="73AD6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DC64881">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82</w:t>
            </w:r>
          </w:p>
        </w:tc>
        <w:tc>
          <w:tcPr>
            <w:tcW w:w="720" w:type="dxa"/>
            <w:vMerge w:val="continue"/>
            <w:vAlign w:val="center"/>
          </w:tcPr>
          <w:p w14:paraId="209F2E1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6EB09B7">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76E8867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图谱对比</w:t>
            </w:r>
          </w:p>
        </w:tc>
        <w:tc>
          <w:tcPr>
            <w:tcW w:w="4665" w:type="dxa"/>
            <w:vAlign w:val="center"/>
          </w:tcPr>
          <w:p w14:paraId="02A061C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将5份及以上历史报告加入对比，可引用对比报告的诊断结论</w:t>
            </w:r>
          </w:p>
        </w:tc>
        <w:tc>
          <w:tcPr>
            <w:tcW w:w="733" w:type="dxa"/>
            <w:vMerge w:val="continue"/>
            <w:vAlign w:val="center"/>
          </w:tcPr>
          <w:p w14:paraId="51FA1E0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32738A9">
            <w:pPr>
              <w:jc w:val="center"/>
              <w:rPr>
                <w:rFonts w:hint="eastAsia" w:ascii="宋体" w:hAnsi="宋体" w:eastAsia="宋体" w:cs="宋体"/>
                <w:b w:val="0"/>
                <w:bCs w:val="0"/>
                <w:color w:val="auto"/>
                <w:kern w:val="0"/>
                <w:sz w:val="20"/>
                <w:szCs w:val="20"/>
                <w:highlight w:val="none"/>
                <w:lang w:val="en-US" w:eastAsia="zh-CN" w:bidi="ar-SA"/>
              </w:rPr>
            </w:pPr>
          </w:p>
        </w:tc>
      </w:tr>
      <w:tr w14:paraId="54EED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BD355E0">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83</w:t>
            </w:r>
          </w:p>
        </w:tc>
        <w:tc>
          <w:tcPr>
            <w:tcW w:w="720" w:type="dxa"/>
            <w:vMerge w:val="continue"/>
            <w:vAlign w:val="center"/>
          </w:tcPr>
          <w:p w14:paraId="35E7389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CA8E6FC">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179DBDD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胸痛加急</w:t>
            </w:r>
          </w:p>
        </w:tc>
        <w:tc>
          <w:tcPr>
            <w:tcW w:w="4665" w:type="dxa"/>
            <w:vAlign w:val="center"/>
          </w:tcPr>
          <w:p w14:paraId="1174E0DE">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支持胸痛加急功能，诊断界面有胸痛加急按钮，点击之后有胸痛加急的提示弹窗并可将检查完成消息推送到手机微信端</w:t>
            </w:r>
          </w:p>
        </w:tc>
        <w:tc>
          <w:tcPr>
            <w:tcW w:w="733" w:type="dxa"/>
            <w:vMerge w:val="continue"/>
            <w:vAlign w:val="center"/>
          </w:tcPr>
          <w:p w14:paraId="466A150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585B5A7">
            <w:pPr>
              <w:jc w:val="center"/>
              <w:rPr>
                <w:rFonts w:hint="eastAsia" w:ascii="宋体" w:hAnsi="宋体" w:eastAsia="宋体" w:cs="宋体"/>
                <w:b w:val="0"/>
                <w:bCs w:val="0"/>
                <w:color w:val="auto"/>
                <w:kern w:val="0"/>
                <w:sz w:val="20"/>
                <w:szCs w:val="20"/>
                <w:highlight w:val="none"/>
                <w:lang w:val="en-US" w:eastAsia="zh-CN" w:bidi="ar-SA"/>
              </w:rPr>
            </w:pPr>
          </w:p>
        </w:tc>
      </w:tr>
      <w:tr w14:paraId="50ADE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55E91AD">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84</w:t>
            </w:r>
          </w:p>
        </w:tc>
        <w:tc>
          <w:tcPr>
            <w:tcW w:w="720" w:type="dxa"/>
            <w:vMerge w:val="continue"/>
            <w:vAlign w:val="center"/>
          </w:tcPr>
          <w:p w14:paraId="1E02EBF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F25A6CA">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3862F3D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词条辅助</w:t>
            </w:r>
          </w:p>
        </w:tc>
        <w:tc>
          <w:tcPr>
            <w:tcW w:w="4665" w:type="dxa"/>
            <w:vAlign w:val="center"/>
          </w:tcPr>
          <w:p w14:paraId="0A5A6E2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000000" w:themeColor="text1"/>
                <w:kern w:val="0"/>
                <w:sz w:val="20"/>
                <w:szCs w:val="20"/>
                <w:highlight w:val="none"/>
                <w:lang w:val="en-US" w:eastAsia="zh-CN"/>
                <w14:textFill>
                  <w14:solidFill>
                    <w14:schemeClr w14:val="tx1"/>
                  </w14:solidFill>
                </w14:textFill>
              </w:rPr>
              <w:t>提供标准的心电图诊断词条，辅助医生快速进行报告编辑，在编辑过程中支持词条模糊查询及词条与测值的联动。</w:t>
            </w:r>
          </w:p>
        </w:tc>
        <w:tc>
          <w:tcPr>
            <w:tcW w:w="733" w:type="dxa"/>
            <w:vMerge w:val="continue"/>
            <w:vAlign w:val="center"/>
          </w:tcPr>
          <w:p w14:paraId="754EF8E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39ABC8E">
            <w:pPr>
              <w:jc w:val="center"/>
              <w:rPr>
                <w:rFonts w:hint="eastAsia" w:ascii="宋体" w:hAnsi="宋体" w:eastAsia="宋体" w:cs="宋体"/>
                <w:b w:val="0"/>
                <w:bCs w:val="0"/>
                <w:color w:val="auto"/>
                <w:kern w:val="0"/>
                <w:sz w:val="20"/>
                <w:szCs w:val="20"/>
                <w:highlight w:val="none"/>
                <w:lang w:val="en-US" w:eastAsia="zh-CN" w:bidi="ar-SA"/>
              </w:rPr>
            </w:pPr>
          </w:p>
        </w:tc>
      </w:tr>
      <w:tr w14:paraId="24732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710317A">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85</w:t>
            </w:r>
          </w:p>
        </w:tc>
        <w:tc>
          <w:tcPr>
            <w:tcW w:w="720" w:type="dxa"/>
            <w:vMerge w:val="continue"/>
            <w:vAlign w:val="center"/>
          </w:tcPr>
          <w:p w14:paraId="3D7CB9C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C4C4E99">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03DF1E3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自动诊断功能</w:t>
            </w:r>
          </w:p>
        </w:tc>
        <w:tc>
          <w:tcPr>
            <w:tcW w:w="4665" w:type="dxa"/>
            <w:vAlign w:val="center"/>
          </w:tcPr>
          <w:p w14:paraId="3C81B1F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支持心电自动诊断技术，对心电报告进行自动化分析和诊断，辅助诊断医生进行报告诊断，提高诊断效率和质量</w:t>
            </w:r>
          </w:p>
        </w:tc>
        <w:tc>
          <w:tcPr>
            <w:tcW w:w="733" w:type="dxa"/>
            <w:vMerge w:val="continue"/>
            <w:vAlign w:val="center"/>
          </w:tcPr>
          <w:p w14:paraId="6D613EE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2D46BB5">
            <w:pPr>
              <w:jc w:val="center"/>
              <w:rPr>
                <w:rFonts w:hint="eastAsia" w:ascii="宋体" w:hAnsi="宋体" w:eastAsia="宋体" w:cs="宋体"/>
                <w:b w:val="0"/>
                <w:bCs w:val="0"/>
                <w:color w:val="auto"/>
                <w:kern w:val="0"/>
                <w:sz w:val="20"/>
                <w:szCs w:val="20"/>
                <w:highlight w:val="none"/>
                <w:lang w:val="en-US" w:eastAsia="zh-CN" w:bidi="ar-SA"/>
              </w:rPr>
            </w:pPr>
          </w:p>
        </w:tc>
      </w:tr>
      <w:tr w14:paraId="37BAD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C338C6C">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86</w:t>
            </w:r>
          </w:p>
        </w:tc>
        <w:tc>
          <w:tcPr>
            <w:tcW w:w="720" w:type="dxa"/>
            <w:vMerge w:val="continue"/>
            <w:vAlign w:val="center"/>
          </w:tcPr>
          <w:p w14:paraId="2423BF0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DB35B22">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377CD88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危急值预警</w:t>
            </w:r>
          </w:p>
        </w:tc>
        <w:tc>
          <w:tcPr>
            <w:tcW w:w="4665" w:type="dxa"/>
            <w:vAlign w:val="center"/>
          </w:tcPr>
          <w:p w14:paraId="4A33418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可依据自动诊断结果提供危急值预警功能，通过微信等方式自动推送到相关人员手机上，提醒医护人员及时关注危急心电图</w:t>
            </w:r>
          </w:p>
        </w:tc>
        <w:tc>
          <w:tcPr>
            <w:tcW w:w="733" w:type="dxa"/>
            <w:vMerge w:val="continue"/>
            <w:vAlign w:val="center"/>
          </w:tcPr>
          <w:p w14:paraId="5540BB7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7AF21BC">
            <w:pPr>
              <w:jc w:val="center"/>
              <w:rPr>
                <w:rFonts w:hint="eastAsia" w:ascii="宋体" w:hAnsi="宋体" w:eastAsia="宋体" w:cs="宋体"/>
                <w:b w:val="0"/>
                <w:bCs w:val="0"/>
                <w:color w:val="auto"/>
                <w:kern w:val="0"/>
                <w:sz w:val="20"/>
                <w:szCs w:val="20"/>
                <w:highlight w:val="none"/>
                <w:lang w:val="en-US" w:eastAsia="zh-CN" w:bidi="ar-SA"/>
              </w:rPr>
            </w:pPr>
          </w:p>
        </w:tc>
      </w:tr>
      <w:tr w14:paraId="34CD0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583" w:type="dxa"/>
            <w:vAlign w:val="center"/>
          </w:tcPr>
          <w:p w14:paraId="76DD4EB5">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87</w:t>
            </w:r>
          </w:p>
        </w:tc>
        <w:tc>
          <w:tcPr>
            <w:tcW w:w="720" w:type="dxa"/>
            <w:vMerge w:val="continue"/>
            <w:vAlign w:val="center"/>
          </w:tcPr>
          <w:p w14:paraId="5E9AACA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445ED98">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56A1344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数据脱敏</w:t>
            </w:r>
          </w:p>
        </w:tc>
        <w:tc>
          <w:tcPr>
            <w:tcW w:w="4665" w:type="dxa"/>
            <w:vAlign w:val="center"/>
          </w:tcPr>
          <w:p w14:paraId="74FAEB7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为保护受检者信息安全，报告分享支持脱敏显示</w:t>
            </w:r>
          </w:p>
        </w:tc>
        <w:tc>
          <w:tcPr>
            <w:tcW w:w="733" w:type="dxa"/>
            <w:vMerge w:val="continue"/>
            <w:vAlign w:val="center"/>
          </w:tcPr>
          <w:p w14:paraId="1FF77ED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246C63E">
            <w:pPr>
              <w:jc w:val="center"/>
              <w:rPr>
                <w:rFonts w:hint="eastAsia" w:ascii="宋体" w:hAnsi="宋体" w:eastAsia="宋体" w:cs="宋体"/>
                <w:b w:val="0"/>
                <w:bCs w:val="0"/>
                <w:color w:val="auto"/>
                <w:kern w:val="0"/>
                <w:sz w:val="20"/>
                <w:szCs w:val="20"/>
                <w:highlight w:val="none"/>
                <w:lang w:val="en-US" w:eastAsia="zh-CN" w:bidi="ar-SA"/>
              </w:rPr>
            </w:pPr>
          </w:p>
        </w:tc>
      </w:tr>
      <w:tr w14:paraId="10BC7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2FD9980">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88</w:t>
            </w:r>
          </w:p>
        </w:tc>
        <w:tc>
          <w:tcPr>
            <w:tcW w:w="720" w:type="dxa"/>
            <w:vMerge w:val="continue"/>
            <w:vAlign w:val="center"/>
          </w:tcPr>
          <w:p w14:paraId="3266D6E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84F3952">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4EAD9F2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扫码查看报告</w:t>
            </w:r>
          </w:p>
        </w:tc>
        <w:tc>
          <w:tcPr>
            <w:tcW w:w="4665" w:type="dxa"/>
            <w:vAlign w:val="center"/>
          </w:tcPr>
          <w:p w14:paraId="08C1A2F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支持在诊断界面将心电图原始数据生成二维码，并通过手机端微信小程序进行扫码查看、诊断和分享，通过手机扫码方式实现内网到外网的数据传输，物理隔离保障网络安全。</w:t>
            </w:r>
          </w:p>
        </w:tc>
        <w:tc>
          <w:tcPr>
            <w:tcW w:w="733" w:type="dxa"/>
            <w:vMerge w:val="continue"/>
            <w:vAlign w:val="center"/>
          </w:tcPr>
          <w:p w14:paraId="7F09BEE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C39072A">
            <w:pPr>
              <w:jc w:val="center"/>
              <w:rPr>
                <w:rFonts w:hint="eastAsia" w:ascii="宋体" w:hAnsi="宋体" w:eastAsia="宋体" w:cs="宋体"/>
                <w:b w:val="0"/>
                <w:bCs w:val="0"/>
                <w:color w:val="auto"/>
                <w:kern w:val="0"/>
                <w:sz w:val="20"/>
                <w:szCs w:val="20"/>
                <w:highlight w:val="none"/>
                <w:lang w:val="en-US" w:eastAsia="zh-CN" w:bidi="ar-SA"/>
              </w:rPr>
            </w:pPr>
          </w:p>
        </w:tc>
      </w:tr>
      <w:tr w14:paraId="20F3B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5110402">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89</w:t>
            </w:r>
          </w:p>
        </w:tc>
        <w:tc>
          <w:tcPr>
            <w:tcW w:w="720" w:type="dxa"/>
            <w:vMerge w:val="continue"/>
            <w:vAlign w:val="center"/>
          </w:tcPr>
          <w:p w14:paraId="19EE2CB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6AA8482">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03490C4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诊断分析结论</w:t>
            </w:r>
          </w:p>
        </w:tc>
        <w:tc>
          <w:tcPr>
            <w:tcW w:w="4665" w:type="dxa"/>
            <w:vAlign w:val="center"/>
          </w:tcPr>
          <w:p w14:paraId="18DF681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客户端、Web端、移动端支持自动诊断分析结论，可手动选择是否引用自动诊断结论</w:t>
            </w:r>
          </w:p>
        </w:tc>
        <w:tc>
          <w:tcPr>
            <w:tcW w:w="733" w:type="dxa"/>
            <w:vMerge w:val="continue"/>
            <w:vAlign w:val="center"/>
          </w:tcPr>
          <w:p w14:paraId="5B0BB4B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7DD6A2E">
            <w:pPr>
              <w:jc w:val="center"/>
              <w:rPr>
                <w:rFonts w:hint="eastAsia" w:ascii="宋体" w:hAnsi="宋体" w:eastAsia="宋体" w:cs="宋体"/>
                <w:b w:val="0"/>
                <w:bCs w:val="0"/>
                <w:color w:val="auto"/>
                <w:kern w:val="0"/>
                <w:sz w:val="20"/>
                <w:szCs w:val="20"/>
                <w:highlight w:val="none"/>
                <w:lang w:val="en-US" w:eastAsia="zh-CN" w:bidi="ar-SA"/>
              </w:rPr>
            </w:pPr>
          </w:p>
        </w:tc>
      </w:tr>
      <w:tr w14:paraId="6CDFB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04E95DB">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90</w:t>
            </w:r>
          </w:p>
        </w:tc>
        <w:tc>
          <w:tcPr>
            <w:tcW w:w="720" w:type="dxa"/>
            <w:vMerge w:val="restart"/>
            <w:vAlign w:val="center"/>
          </w:tcPr>
          <w:p w14:paraId="391A5E2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心电质控平台</w:t>
            </w:r>
          </w:p>
        </w:tc>
        <w:tc>
          <w:tcPr>
            <w:tcW w:w="2935" w:type="dxa"/>
            <w:gridSpan w:val="2"/>
            <w:vAlign w:val="center"/>
          </w:tcPr>
          <w:p w14:paraId="48EC024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质控病例</w:t>
            </w:r>
          </w:p>
        </w:tc>
        <w:tc>
          <w:tcPr>
            <w:tcW w:w="4665" w:type="dxa"/>
            <w:vAlign w:val="center"/>
          </w:tcPr>
          <w:p w14:paraId="3292B305">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医生可设置质控查询条件，对诊断组和平台中的所有数据进行质控分析</w:t>
            </w:r>
          </w:p>
        </w:tc>
        <w:tc>
          <w:tcPr>
            <w:tcW w:w="733" w:type="dxa"/>
            <w:vMerge w:val="restart"/>
            <w:vAlign w:val="center"/>
          </w:tcPr>
          <w:p w14:paraId="1DDDC06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1B09879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50B6F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7F10EDA">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91</w:t>
            </w:r>
          </w:p>
        </w:tc>
        <w:tc>
          <w:tcPr>
            <w:tcW w:w="720" w:type="dxa"/>
            <w:vMerge w:val="continue"/>
            <w:vAlign w:val="center"/>
          </w:tcPr>
          <w:p w14:paraId="4F041436">
            <w:pPr>
              <w:jc w:val="center"/>
              <w:rPr>
                <w:rFonts w:hint="eastAsia" w:ascii="宋体" w:hAnsi="宋体" w:eastAsia="宋体" w:cs="宋体"/>
                <w:b w:val="0"/>
                <w:bCs w:val="0"/>
                <w:color w:val="auto"/>
                <w:kern w:val="0"/>
                <w:sz w:val="20"/>
                <w:szCs w:val="20"/>
                <w:highlight w:val="none"/>
                <w:lang w:val="en-US" w:eastAsia="zh-CN" w:bidi="ar-SA"/>
              </w:rPr>
            </w:pPr>
          </w:p>
        </w:tc>
        <w:tc>
          <w:tcPr>
            <w:tcW w:w="2935" w:type="dxa"/>
            <w:gridSpan w:val="2"/>
            <w:vAlign w:val="center"/>
          </w:tcPr>
          <w:p w14:paraId="35C44D9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心电检查结果的统计分析</w:t>
            </w:r>
          </w:p>
        </w:tc>
        <w:tc>
          <w:tcPr>
            <w:tcW w:w="4665" w:type="dxa"/>
            <w:vAlign w:val="center"/>
          </w:tcPr>
          <w:p w14:paraId="7FB4075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提供管理部门对设备、病人、医生、检查报告的分析</w:t>
            </w:r>
          </w:p>
        </w:tc>
        <w:tc>
          <w:tcPr>
            <w:tcW w:w="733" w:type="dxa"/>
            <w:vMerge w:val="continue"/>
            <w:vAlign w:val="center"/>
          </w:tcPr>
          <w:p w14:paraId="1AAD886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CDE51FE">
            <w:pPr>
              <w:jc w:val="center"/>
              <w:rPr>
                <w:rFonts w:hint="eastAsia" w:ascii="宋体" w:hAnsi="宋体" w:eastAsia="宋体" w:cs="宋体"/>
                <w:b w:val="0"/>
                <w:bCs w:val="0"/>
                <w:color w:val="auto"/>
                <w:kern w:val="0"/>
                <w:sz w:val="20"/>
                <w:szCs w:val="20"/>
                <w:highlight w:val="none"/>
                <w:lang w:val="en-US" w:eastAsia="zh-CN" w:bidi="ar-SA"/>
              </w:rPr>
            </w:pPr>
          </w:p>
        </w:tc>
      </w:tr>
      <w:tr w14:paraId="03F06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FF1D1BE">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92</w:t>
            </w:r>
          </w:p>
        </w:tc>
        <w:tc>
          <w:tcPr>
            <w:tcW w:w="720" w:type="dxa"/>
            <w:vMerge w:val="continue"/>
            <w:vAlign w:val="center"/>
          </w:tcPr>
          <w:p w14:paraId="02E0F381">
            <w:pPr>
              <w:jc w:val="center"/>
              <w:rPr>
                <w:rFonts w:hint="eastAsia" w:ascii="宋体" w:hAnsi="宋体" w:eastAsia="宋体" w:cs="宋体"/>
                <w:b w:val="0"/>
                <w:bCs w:val="0"/>
                <w:color w:val="auto"/>
                <w:kern w:val="0"/>
                <w:sz w:val="20"/>
                <w:szCs w:val="20"/>
                <w:highlight w:val="none"/>
                <w:lang w:val="en-US" w:eastAsia="zh-CN" w:bidi="ar-SA"/>
              </w:rPr>
            </w:pPr>
          </w:p>
        </w:tc>
        <w:tc>
          <w:tcPr>
            <w:tcW w:w="2935" w:type="dxa"/>
            <w:gridSpan w:val="2"/>
            <w:vAlign w:val="center"/>
          </w:tcPr>
          <w:p w14:paraId="5E2DE32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接入趋势分析功能</w:t>
            </w:r>
          </w:p>
        </w:tc>
        <w:tc>
          <w:tcPr>
            <w:tcW w:w="4665" w:type="dxa"/>
            <w:vAlign w:val="center"/>
          </w:tcPr>
          <w:p w14:paraId="2FCF217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提供检查量分析趋势功能，统计分析当前机构下检查时间在所选择日期范围内的检查量分布情况及占比情况，具有按月统计数据并显示数量，并按检查总量进行倒序排序</w:t>
            </w:r>
          </w:p>
        </w:tc>
        <w:tc>
          <w:tcPr>
            <w:tcW w:w="733" w:type="dxa"/>
            <w:vMerge w:val="continue"/>
            <w:vAlign w:val="center"/>
          </w:tcPr>
          <w:p w14:paraId="50F623A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3C05A34">
            <w:pPr>
              <w:jc w:val="center"/>
              <w:rPr>
                <w:rFonts w:hint="eastAsia" w:ascii="宋体" w:hAnsi="宋体" w:eastAsia="宋体" w:cs="宋体"/>
                <w:b w:val="0"/>
                <w:bCs w:val="0"/>
                <w:color w:val="auto"/>
                <w:kern w:val="0"/>
                <w:sz w:val="20"/>
                <w:szCs w:val="20"/>
                <w:highlight w:val="none"/>
                <w:lang w:val="en-US" w:eastAsia="zh-CN" w:bidi="ar-SA"/>
              </w:rPr>
            </w:pPr>
          </w:p>
        </w:tc>
      </w:tr>
      <w:tr w14:paraId="0395C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576E55B">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93</w:t>
            </w:r>
          </w:p>
        </w:tc>
        <w:tc>
          <w:tcPr>
            <w:tcW w:w="720" w:type="dxa"/>
            <w:vMerge w:val="continue"/>
            <w:vAlign w:val="center"/>
          </w:tcPr>
          <w:p w14:paraId="659FC501">
            <w:pPr>
              <w:jc w:val="center"/>
              <w:rPr>
                <w:rFonts w:hint="eastAsia" w:ascii="宋体" w:hAnsi="宋体" w:eastAsia="宋体" w:cs="宋体"/>
                <w:b w:val="0"/>
                <w:bCs w:val="0"/>
                <w:color w:val="auto"/>
                <w:kern w:val="0"/>
                <w:sz w:val="20"/>
                <w:szCs w:val="20"/>
                <w:highlight w:val="none"/>
                <w:lang w:val="en-US" w:eastAsia="zh-CN" w:bidi="ar-SA"/>
              </w:rPr>
            </w:pPr>
          </w:p>
        </w:tc>
        <w:tc>
          <w:tcPr>
            <w:tcW w:w="2935" w:type="dxa"/>
            <w:gridSpan w:val="2"/>
            <w:vAlign w:val="center"/>
          </w:tcPr>
          <w:p w14:paraId="40F9A04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诊断分级和诊断分布</w:t>
            </w:r>
          </w:p>
        </w:tc>
        <w:tc>
          <w:tcPr>
            <w:tcW w:w="4665" w:type="dxa"/>
            <w:vAlign w:val="center"/>
          </w:tcPr>
          <w:p w14:paraId="19CD12A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诊断分级和诊断分布，诊断分级通过饼图展示，统计时间内正常、危急、阳性、采集不良的数据分布情况，同时显示危急和阳性心电图在总体中的占比；诊断分布通过柱状图展示，统计时间内房颤、房性早搏、室性早搏、急性心肌梗死等病种的自动诊断和医生诊断的占比情况</w:t>
            </w:r>
          </w:p>
        </w:tc>
        <w:tc>
          <w:tcPr>
            <w:tcW w:w="733" w:type="dxa"/>
            <w:vMerge w:val="continue"/>
            <w:vAlign w:val="center"/>
          </w:tcPr>
          <w:p w14:paraId="13971F2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ED0FE0A">
            <w:pPr>
              <w:jc w:val="center"/>
              <w:rPr>
                <w:rFonts w:hint="eastAsia" w:ascii="宋体" w:hAnsi="宋体" w:eastAsia="宋体" w:cs="宋体"/>
                <w:b w:val="0"/>
                <w:bCs w:val="0"/>
                <w:color w:val="auto"/>
                <w:kern w:val="0"/>
                <w:sz w:val="20"/>
                <w:szCs w:val="20"/>
                <w:highlight w:val="none"/>
                <w:lang w:val="en-US" w:eastAsia="zh-CN" w:bidi="ar-SA"/>
              </w:rPr>
            </w:pPr>
          </w:p>
        </w:tc>
      </w:tr>
      <w:tr w14:paraId="0859E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BDBB72B">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94</w:t>
            </w:r>
          </w:p>
        </w:tc>
        <w:tc>
          <w:tcPr>
            <w:tcW w:w="720" w:type="dxa"/>
            <w:vMerge w:val="continue"/>
            <w:vAlign w:val="center"/>
          </w:tcPr>
          <w:p w14:paraId="1DE1C3F4">
            <w:pPr>
              <w:jc w:val="center"/>
              <w:rPr>
                <w:rFonts w:hint="eastAsia" w:ascii="宋体" w:hAnsi="宋体" w:eastAsia="宋体" w:cs="宋体"/>
                <w:b/>
                <w:color w:val="auto"/>
                <w:sz w:val="24"/>
                <w:szCs w:val="24"/>
                <w:highlight w:val="none"/>
                <w:vertAlign w:val="baseline"/>
                <w:lang w:eastAsia="zh-CN"/>
              </w:rPr>
            </w:pPr>
          </w:p>
        </w:tc>
        <w:tc>
          <w:tcPr>
            <w:tcW w:w="2935" w:type="dxa"/>
            <w:gridSpan w:val="2"/>
            <w:vAlign w:val="center"/>
          </w:tcPr>
          <w:p w14:paraId="4B027E4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检查量分析趋势功能</w:t>
            </w:r>
          </w:p>
        </w:tc>
        <w:tc>
          <w:tcPr>
            <w:tcW w:w="4665" w:type="dxa"/>
            <w:vAlign w:val="center"/>
          </w:tcPr>
          <w:p w14:paraId="499A267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统计分析当前机构下检查时间在所选择日期范围内的检查量分布情况及占比情况，具有按月统计数据并显示数量，并按检查总量进行倒序排序</w:t>
            </w:r>
          </w:p>
        </w:tc>
        <w:tc>
          <w:tcPr>
            <w:tcW w:w="733" w:type="dxa"/>
            <w:vMerge w:val="continue"/>
            <w:vAlign w:val="center"/>
          </w:tcPr>
          <w:p w14:paraId="56BC09C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E1BEA4E">
            <w:pPr>
              <w:jc w:val="center"/>
              <w:rPr>
                <w:rFonts w:hint="eastAsia" w:ascii="宋体" w:hAnsi="宋体" w:eastAsia="宋体" w:cs="宋体"/>
                <w:b w:val="0"/>
                <w:bCs w:val="0"/>
                <w:color w:val="auto"/>
                <w:kern w:val="0"/>
                <w:sz w:val="20"/>
                <w:szCs w:val="20"/>
                <w:highlight w:val="none"/>
                <w:lang w:val="en-US" w:eastAsia="zh-CN" w:bidi="ar-SA"/>
              </w:rPr>
            </w:pPr>
          </w:p>
        </w:tc>
      </w:tr>
      <w:tr w14:paraId="7583E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2FE253C">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95</w:t>
            </w:r>
          </w:p>
        </w:tc>
        <w:tc>
          <w:tcPr>
            <w:tcW w:w="720" w:type="dxa"/>
            <w:vMerge w:val="restart"/>
            <w:vAlign w:val="center"/>
          </w:tcPr>
          <w:p w14:paraId="5504BC3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实施</w:t>
            </w:r>
          </w:p>
          <w:p w14:paraId="6A0F9FD0">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对接</w:t>
            </w:r>
          </w:p>
        </w:tc>
        <w:tc>
          <w:tcPr>
            <w:tcW w:w="875" w:type="dxa"/>
            <w:vMerge w:val="restart"/>
            <w:vAlign w:val="center"/>
          </w:tcPr>
          <w:p w14:paraId="62D7C1C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医院心电系统对接平台开发</w:t>
            </w:r>
          </w:p>
        </w:tc>
        <w:tc>
          <w:tcPr>
            <w:tcW w:w="2060" w:type="dxa"/>
            <w:vAlign w:val="center"/>
          </w:tcPr>
          <w:p w14:paraId="5F3E8D2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发送心电申请接口</w:t>
            </w:r>
          </w:p>
        </w:tc>
        <w:tc>
          <w:tcPr>
            <w:tcW w:w="4665" w:type="dxa"/>
            <w:vAlign w:val="center"/>
          </w:tcPr>
          <w:p w14:paraId="4E806E6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对接区域平台，实现发送心电申请接口开发工作</w:t>
            </w:r>
          </w:p>
        </w:tc>
        <w:tc>
          <w:tcPr>
            <w:tcW w:w="733" w:type="dxa"/>
            <w:vMerge w:val="restart"/>
            <w:vAlign w:val="center"/>
          </w:tcPr>
          <w:p w14:paraId="510068C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7280ADC6">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41EB7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54FE761">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96</w:t>
            </w:r>
          </w:p>
        </w:tc>
        <w:tc>
          <w:tcPr>
            <w:tcW w:w="720" w:type="dxa"/>
            <w:vMerge w:val="continue"/>
            <w:vAlign w:val="center"/>
          </w:tcPr>
          <w:p w14:paraId="1D77451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ACCBC76">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3413684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取消心电申请接口</w:t>
            </w:r>
          </w:p>
        </w:tc>
        <w:tc>
          <w:tcPr>
            <w:tcW w:w="4665" w:type="dxa"/>
            <w:vAlign w:val="center"/>
          </w:tcPr>
          <w:p w14:paraId="121F4C9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对接区域平台，实现取消心电申请接口开发工作</w:t>
            </w:r>
          </w:p>
        </w:tc>
        <w:tc>
          <w:tcPr>
            <w:tcW w:w="733" w:type="dxa"/>
            <w:vMerge w:val="continue"/>
            <w:vAlign w:val="center"/>
          </w:tcPr>
          <w:p w14:paraId="599B7CB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B3266E5">
            <w:pPr>
              <w:jc w:val="center"/>
              <w:rPr>
                <w:rFonts w:hint="eastAsia" w:ascii="宋体" w:hAnsi="宋体" w:eastAsia="宋体" w:cs="宋体"/>
                <w:b w:val="0"/>
                <w:bCs w:val="0"/>
                <w:color w:val="auto"/>
                <w:kern w:val="0"/>
                <w:sz w:val="20"/>
                <w:szCs w:val="20"/>
                <w:highlight w:val="none"/>
                <w:lang w:val="en-US" w:eastAsia="zh-CN" w:bidi="ar-SA"/>
              </w:rPr>
            </w:pPr>
          </w:p>
        </w:tc>
      </w:tr>
      <w:tr w14:paraId="53E49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A22C165">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97</w:t>
            </w:r>
          </w:p>
        </w:tc>
        <w:tc>
          <w:tcPr>
            <w:tcW w:w="720" w:type="dxa"/>
            <w:vMerge w:val="continue"/>
            <w:vAlign w:val="center"/>
          </w:tcPr>
          <w:p w14:paraId="198EB8E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63FBFDC">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1703F27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查询心电申请接口</w:t>
            </w:r>
          </w:p>
        </w:tc>
        <w:tc>
          <w:tcPr>
            <w:tcW w:w="4665" w:type="dxa"/>
            <w:vAlign w:val="center"/>
          </w:tcPr>
          <w:p w14:paraId="69957D1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对接区域平台，实现查询心电申请接口开发工作</w:t>
            </w:r>
          </w:p>
        </w:tc>
        <w:tc>
          <w:tcPr>
            <w:tcW w:w="733" w:type="dxa"/>
            <w:vMerge w:val="continue"/>
            <w:vAlign w:val="center"/>
          </w:tcPr>
          <w:p w14:paraId="4988591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901B540">
            <w:pPr>
              <w:jc w:val="center"/>
              <w:rPr>
                <w:rFonts w:hint="eastAsia" w:ascii="宋体" w:hAnsi="宋体" w:eastAsia="宋体" w:cs="宋体"/>
                <w:b w:val="0"/>
                <w:bCs w:val="0"/>
                <w:color w:val="auto"/>
                <w:kern w:val="0"/>
                <w:sz w:val="20"/>
                <w:szCs w:val="20"/>
                <w:highlight w:val="none"/>
                <w:lang w:val="en-US" w:eastAsia="zh-CN" w:bidi="ar-SA"/>
              </w:rPr>
            </w:pPr>
          </w:p>
        </w:tc>
      </w:tr>
      <w:tr w14:paraId="62B74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FB1F179">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98</w:t>
            </w:r>
          </w:p>
        </w:tc>
        <w:tc>
          <w:tcPr>
            <w:tcW w:w="720" w:type="dxa"/>
            <w:vMerge w:val="continue"/>
            <w:vAlign w:val="center"/>
          </w:tcPr>
          <w:p w14:paraId="79044EA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90499BD">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3A8ED66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发送心电报告接口</w:t>
            </w:r>
          </w:p>
        </w:tc>
        <w:tc>
          <w:tcPr>
            <w:tcW w:w="4665" w:type="dxa"/>
            <w:vAlign w:val="center"/>
          </w:tcPr>
          <w:p w14:paraId="43E084C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对接区域平台，实现发送心电报告接口开发工作</w:t>
            </w:r>
          </w:p>
        </w:tc>
        <w:tc>
          <w:tcPr>
            <w:tcW w:w="733" w:type="dxa"/>
            <w:vMerge w:val="continue"/>
            <w:vAlign w:val="center"/>
          </w:tcPr>
          <w:p w14:paraId="20EF14A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31FBFB8">
            <w:pPr>
              <w:jc w:val="center"/>
              <w:rPr>
                <w:rFonts w:hint="eastAsia" w:ascii="宋体" w:hAnsi="宋体" w:eastAsia="宋体" w:cs="宋体"/>
                <w:b w:val="0"/>
                <w:bCs w:val="0"/>
                <w:color w:val="auto"/>
                <w:kern w:val="0"/>
                <w:sz w:val="20"/>
                <w:szCs w:val="20"/>
                <w:highlight w:val="none"/>
                <w:lang w:val="en-US" w:eastAsia="zh-CN" w:bidi="ar-SA"/>
              </w:rPr>
            </w:pPr>
          </w:p>
        </w:tc>
      </w:tr>
      <w:tr w14:paraId="0A57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973C90A">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99</w:t>
            </w:r>
          </w:p>
        </w:tc>
        <w:tc>
          <w:tcPr>
            <w:tcW w:w="720" w:type="dxa"/>
            <w:vMerge w:val="continue"/>
            <w:vAlign w:val="center"/>
          </w:tcPr>
          <w:p w14:paraId="00EDB66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C03740E">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5C4AF59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撤回心电报告接口</w:t>
            </w:r>
          </w:p>
        </w:tc>
        <w:tc>
          <w:tcPr>
            <w:tcW w:w="4665" w:type="dxa"/>
            <w:vAlign w:val="center"/>
          </w:tcPr>
          <w:p w14:paraId="2F9D6BE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对接区域平台，实现撤回心电报告接口开发工作</w:t>
            </w:r>
          </w:p>
        </w:tc>
        <w:tc>
          <w:tcPr>
            <w:tcW w:w="733" w:type="dxa"/>
            <w:vMerge w:val="continue"/>
            <w:vAlign w:val="center"/>
          </w:tcPr>
          <w:p w14:paraId="44742E6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CF176FD">
            <w:pPr>
              <w:jc w:val="center"/>
              <w:rPr>
                <w:rFonts w:hint="eastAsia" w:ascii="宋体" w:hAnsi="宋体" w:eastAsia="宋体" w:cs="宋体"/>
                <w:b w:val="0"/>
                <w:bCs w:val="0"/>
                <w:color w:val="auto"/>
                <w:kern w:val="0"/>
                <w:sz w:val="20"/>
                <w:szCs w:val="20"/>
                <w:highlight w:val="none"/>
                <w:lang w:val="en-US" w:eastAsia="zh-CN" w:bidi="ar-SA"/>
              </w:rPr>
            </w:pPr>
          </w:p>
        </w:tc>
      </w:tr>
      <w:tr w14:paraId="4098A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7D14AC0">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100</w:t>
            </w:r>
          </w:p>
        </w:tc>
        <w:tc>
          <w:tcPr>
            <w:tcW w:w="720" w:type="dxa"/>
            <w:vMerge w:val="continue"/>
            <w:vAlign w:val="center"/>
          </w:tcPr>
          <w:p w14:paraId="52CE3ED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C8DE268">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32A60E2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查询心电报告接口</w:t>
            </w:r>
          </w:p>
        </w:tc>
        <w:tc>
          <w:tcPr>
            <w:tcW w:w="4665" w:type="dxa"/>
            <w:vAlign w:val="center"/>
          </w:tcPr>
          <w:p w14:paraId="0599834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对接区域平台，实现查询心电报告接口开发工作</w:t>
            </w:r>
          </w:p>
        </w:tc>
        <w:tc>
          <w:tcPr>
            <w:tcW w:w="733" w:type="dxa"/>
            <w:vMerge w:val="continue"/>
            <w:vAlign w:val="center"/>
          </w:tcPr>
          <w:p w14:paraId="19A7133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E51D7B6">
            <w:pPr>
              <w:jc w:val="center"/>
              <w:rPr>
                <w:rFonts w:hint="eastAsia" w:ascii="宋体" w:hAnsi="宋体" w:eastAsia="宋体" w:cs="宋体"/>
                <w:b w:val="0"/>
                <w:bCs w:val="0"/>
                <w:color w:val="auto"/>
                <w:kern w:val="0"/>
                <w:sz w:val="20"/>
                <w:szCs w:val="20"/>
                <w:highlight w:val="none"/>
                <w:lang w:val="en-US" w:eastAsia="zh-CN" w:bidi="ar-SA"/>
              </w:rPr>
            </w:pPr>
          </w:p>
        </w:tc>
      </w:tr>
      <w:tr w14:paraId="37B6D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7062D98">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101</w:t>
            </w:r>
          </w:p>
        </w:tc>
        <w:tc>
          <w:tcPr>
            <w:tcW w:w="720" w:type="dxa"/>
            <w:vMerge w:val="continue"/>
            <w:vAlign w:val="center"/>
          </w:tcPr>
          <w:p w14:paraId="103D79B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FAEC345">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5F057BC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更新心电状态接口</w:t>
            </w:r>
          </w:p>
        </w:tc>
        <w:tc>
          <w:tcPr>
            <w:tcW w:w="4665" w:type="dxa"/>
            <w:vAlign w:val="center"/>
          </w:tcPr>
          <w:p w14:paraId="3DF4C86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对接区域平台，实现更新心电状态接口开发工作</w:t>
            </w:r>
          </w:p>
        </w:tc>
        <w:tc>
          <w:tcPr>
            <w:tcW w:w="733" w:type="dxa"/>
            <w:vMerge w:val="continue"/>
            <w:vAlign w:val="center"/>
          </w:tcPr>
          <w:p w14:paraId="46F32C1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7F6A636">
            <w:pPr>
              <w:jc w:val="center"/>
              <w:rPr>
                <w:rFonts w:hint="eastAsia" w:ascii="宋体" w:hAnsi="宋体" w:eastAsia="宋体" w:cs="宋体"/>
                <w:b w:val="0"/>
                <w:bCs w:val="0"/>
                <w:color w:val="auto"/>
                <w:kern w:val="0"/>
                <w:sz w:val="20"/>
                <w:szCs w:val="20"/>
                <w:highlight w:val="none"/>
                <w:lang w:val="en-US" w:eastAsia="zh-CN" w:bidi="ar-SA"/>
              </w:rPr>
            </w:pPr>
          </w:p>
        </w:tc>
      </w:tr>
      <w:tr w14:paraId="7F8DA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ECC0F1A">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102</w:t>
            </w:r>
          </w:p>
        </w:tc>
        <w:tc>
          <w:tcPr>
            <w:tcW w:w="720" w:type="dxa"/>
            <w:vMerge w:val="continue"/>
            <w:vAlign w:val="center"/>
          </w:tcPr>
          <w:p w14:paraId="51671C1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83A8F62">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120CA2E1">
            <w:pPr>
              <w:keepNext w:val="0"/>
              <w:keepLines w:val="0"/>
              <w:widowControl/>
              <w:suppressLineNumbers w:val="0"/>
              <w:ind w:firstLine="200" w:firstLineChars="10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查询心电状态接口</w:t>
            </w:r>
          </w:p>
        </w:tc>
        <w:tc>
          <w:tcPr>
            <w:tcW w:w="4665" w:type="dxa"/>
            <w:vAlign w:val="center"/>
          </w:tcPr>
          <w:p w14:paraId="3B25AD2E">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对接区域平台，实现查询心电状态接口开发工作</w:t>
            </w:r>
          </w:p>
        </w:tc>
        <w:tc>
          <w:tcPr>
            <w:tcW w:w="733" w:type="dxa"/>
            <w:vMerge w:val="continue"/>
            <w:vAlign w:val="center"/>
          </w:tcPr>
          <w:p w14:paraId="6F40D07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81BD68C">
            <w:pPr>
              <w:jc w:val="center"/>
              <w:rPr>
                <w:rFonts w:hint="eastAsia" w:ascii="宋体" w:hAnsi="宋体" w:eastAsia="宋体" w:cs="宋体"/>
                <w:b w:val="0"/>
                <w:bCs w:val="0"/>
                <w:color w:val="auto"/>
                <w:kern w:val="0"/>
                <w:sz w:val="20"/>
                <w:szCs w:val="20"/>
                <w:highlight w:val="none"/>
                <w:lang w:val="en-US" w:eastAsia="zh-CN" w:bidi="ar-SA"/>
              </w:rPr>
            </w:pPr>
          </w:p>
        </w:tc>
      </w:tr>
      <w:tr w14:paraId="1EDD5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A511018">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103</w:t>
            </w:r>
          </w:p>
        </w:tc>
        <w:tc>
          <w:tcPr>
            <w:tcW w:w="720" w:type="dxa"/>
            <w:vMerge w:val="continue"/>
            <w:vAlign w:val="center"/>
          </w:tcPr>
          <w:p w14:paraId="50D0396B">
            <w:pPr>
              <w:jc w:val="center"/>
              <w:rPr>
                <w:rFonts w:hint="eastAsia" w:ascii="宋体" w:hAnsi="宋体" w:eastAsia="宋体" w:cs="宋体"/>
                <w:b/>
                <w:color w:val="auto"/>
                <w:sz w:val="24"/>
                <w:szCs w:val="24"/>
                <w:highlight w:val="none"/>
                <w:vertAlign w:val="baseline"/>
                <w:lang w:eastAsia="zh-CN"/>
              </w:rPr>
            </w:pPr>
          </w:p>
        </w:tc>
        <w:tc>
          <w:tcPr>
            <w:tcW w:w="2935" w:type="dxa"/>
            <w:gridSpan w:val="2"/>
            <w:vAlign w:val="center"/>
          </w:tcPr>
          <w:p w14:paraId="461ED34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区域平台对接开发</w:t>
            </w:r>
          </w:p>
        </w:tc>
        <w:tc>
          <w:tcPr>
            <w:tcW w:w="4665" w:type="dxa"/>
            <w:shd w:val="clear" w:color="auto" w:fill="auto"/>
            <w:vAlign w:val="center"/>
          </w:tcPr>
          <w:p w14:paraId="78ED3DC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区域平台配置服务路由，实现区域心电、医院心电系统心电申请、报告等信息流转，数据对接开发</w:t>
            </w:r>
          </w:p>
        </w:tc>
        <w:tc>
          <w:tcPr>
            <w:tcW w:w="733" w:type="dxa"/>
            <w:vAlign w:val="center"/>
          </w:tcPr>
          <w:p w14:paraId="04E7062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4013697D">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213E8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07F9FF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104</w:t>
            </w:r>
          </w:p>
        </w:tc>
        <w:tc>
          <w:tcPr>
            <w:tcW w:w="720" w:type="dxa"/>
            <w:vMerge w:val="restart"/>
            <w:vAlign w:val="center"/>
          </w:tcPr>
          <w:p w14:paraId="0CC29489">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数据大屏</w:t>
            </w:r>
          </w:p>
        </w:tc>
        <w:tc>
          <w:tcPr>
            <w:tcW w:w="2935" w:type="dxa"/>
            <w:gridSpan w:val="2"/>
            <w:vMerge w:val="restart"/>
            <w:vAlign w:val="center"/>
          </w:tcPr>
          <w:p w14:paraId="39882831">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网络心电中心</w:t>
            </w:r>
          </w:p>
        </w:tc>
        <w:tc>
          <w:tcPr>
            <w:tcW w:w="4665" w:type="dxa"/>
            <w:shd w:val="clear" w:color="auto" w:fill="auto"/>
            <w:vAlign w:val="center"/>
          </w:tcPr>
          <w:p w14:paraId="6AC83C4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展示区域内总检查量，以及诊断机构、医师和接入基层机构数量</w:t>
            </w:r>
          </w:p>
        </w:tc>
        <w:tc>
          <w:tcPr>
            <w:tcW w:w="733" w:type="dxa"/>
            <w:vMerge w:val="restart"/>
            <w:vAlign w:val="center"/>
          </w:tcPr>
          <w:p w14:paraId="4CAA03A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680A1BB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3.5</w:t>
            </w:r>
          </w:p>
        </w:tc>
      </w:tr>
      <w:tr w14:paraId="436EC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AFF9B1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105</w:t>
            </w:r>
          </w:p>
        </w:tc>
        <w:tc>
          <w:tcPr>
            <w:tcW w:w="720" w:type="dxa"/>
            <w:vMerge w:val="continue"/>
            <w:vAlign w:val="center"/>
          </w:tcPr>
          <w:p w14:paraId="023EC95F">
            <w:pPr>
              <w:jc w:val="center"/>
              <w:rPr>
                <w:rFonts w:hint="eastAsia" w:ascii="宋体" w:hAnsi="宋体" w:eastAsia="宋体" w:cs="宋体"/>
                <w:b/>
                <w:color w:val="auto"/>
                <w:sz w:val="24"/>
                <w:szCs w:val="24"/>
                <w:highlight w:val="none"/>
                <w:vertAlign w:val="baseline"/>
                <w:lang w:eastAsia="zh-CN"/>
              </w:rPr>
            </w:pPr>
          </w:p>
        </w:tc>
        <w:tc>
          <w:tcPr>
            <w:tcW w:w="2935" w:type="dxa"/>
            <w:gridSpan w:val="2"/>
            <w:vMerge w:val="continue"/>
            <w:vAlign w:val="center"/>
          </w:tcPr>
          <w:p w14:paraId="0CAE466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5" w:type="dxa"/>
            <w:shd w:val="clear" w:color="auto" w:fill="auto"/>
            <w:vAlign w:val="center"/>
          </w:tcPr>
          <w:p w14:paraId="5BC4443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通过地图展现各机构的申请量信息，可按年度进行筛选</w:t>
            </w:r>
          </w:p>
        </w:tc>
        <w:tc>
          <w:tcPr>
            <w:tcW w:w="733" w:type="dxa"/>
            <w:vMerge w:val="continue"/>
            <w:vAlign w:val="center"/>
          </w:tcPr>
          <w:p w14:paraId="720E99B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2FFE499">
            <w:pPr>
              <w:jc w:val="center"/>
              <w:rPr>
                <w:rFonts w:hint="eastAsia" w:ascii="宋体" w:hAnsi="宋体" w:eastAsia="宋体" w:cs="宋体"/>
                <w:b w:val="0"/>
                <w:bCs w:val="0"/>
                <w:color w:val="auto"/>
                <w:kern w:val="0"/>
                <w:sz w:val="20"/>
                <w:szCs w:val="20"/>
                <w:highlight w:val="none"/>
                <w:lang w:val="en-US" w:eastAsia="zh-CN" w:bidi="ar-SA"/>
              </w:rPr>
            </w:pPr>
          </w:p>
        </w:tc>
      </w:tr>
      <w:tr w14:paraId="25D17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3F35FB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106</w:t>
            </w:r>
          </w:p>
        </w:tc>
        <w:tc>
          <w:tcPr>
            <w:tcW w:w="720" w:type="dxa"/>
            <w:vMerge w:val="continue"/>
            <w:vAlign w:val="center"/>
          </w:tcPr>
          <w:p w14:paraId="5413C1D8">
            <w:pPr>
              <w:jc w:val="center"/>
              <w:rPr>
                <w:rFonts w:hint="eastAsia" w:ascii="宋体" w:hAnsi="宋体" w:eastAsia="宋体" w:cs="宋体"/>
                <w:b/>
                <w:color w:val="auto"/>
                <w:sz w:val="24"/>
                <w:szCs w:val="24"/>
                <w:highlight w:val="none"/>
                <w:vertAlign w:val="baseline"/>
                <w:lang w:eastAsia="zh-CN"/>
              </w:rPr>
            </w:pPr>
          </w:p>
        </w:tc>
        <w:tc>
          <w:tcPr>
            <w:tcW w:w="2935" w:type="dxa"/>
            <w:gridSpan w:val="2"/>
            <w:vMerge w:val="continue"/>
            <w:vAlign w:val="center"/>
          </w:tcPr>
          <w:p w14:paraId="0AE1A8D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5" w:type="dxa"/>
            <w:shd w:val="clear" w:color="auto" w:fill="auto"/>
            <w:vAlign w:val="center"/>
          </w:tcPr>
          <w:p w14:paraId="4721799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对检查量年度分布进行趋势分析</w:t>
            </w:r>
          </w:p>
        </w:tc>
        <w:tc>
          <w:tcPr>
            <w:tcW w:w="733" w:type="dxa"/>
            <w:vMerge w:val="continue"/>
            <w:vAlign w:val="center"/>
          </w:tcPr>
          <w:p w14:paraId="10C9DD0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758E307">
            <w:pPr>
              <w:jc w:val="center"/>
              <w:rPr>
                <w:rFonts w:hint="eastAsia" w:ascii="宋体" w:hAnsi="宋体" w:eastAsia="宋体" w:cs="宋体"/>
                <w:b w:val="0"/>
                <w:bCs w:val="0"/>
                <w:color w:val="auto"/>
                <w:kern w:val="0"/>
                <w:sz w:val="20"/>
                <w:szCs w:val="20"/>
                <w:highlight w:val="none"/>
                <w:lang w:val="en-US" w:eastAsia="zh-CN" w:bidi="ar-SA"/>
              </w:rPr>
            </w:pPr>
          </w:p>
        </w:tc>
      </w:tr>
      <w:tr w14:paraId="45E5E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64B28F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107</w:t>
            </w:r>
          </w:p>
        </w:tc>
        <w:tc>
          <w:tcPr>
            <w:tcW w:w="720" w:type="dxa"/>
            <w:vMerge w:val="continue"/>
            <w:vAlign w:val="center"/>
          </w:tcPr>
          <w:p w14:paraId="18A601AE">
            <w:pPr>
              <w:jc w:val="center"/>
              <w:rPr>
                <w:rFonts w:hint="eastAsia" w:ascii="宋体" w:hAnsi="宋体" w:eastAsia="宋体" w:cs="宋体"/>
                <w:b/>
                <w:color w:val="auto"/>
                <w:sz w:val="24"/>
                <w:szCs w:val="24"/>
                <w:highlight w:val="none"/>
                <w:vertAlign w:val="baseline"/>
                <w:lang w:eastAsia="zh-CN"/>
              </w:rPr>
            </w:pPr>
          </w:p>
        </w:tc>
        <w:tc>
          <w:tcPr>
            <w:tcW w:w="2935" w:type="dxa"/>
            <w:gridSpan w:val="2"/>
            <w:vMerge w:val="continue"/>
            <w:vAlign w:val="center"/>
          </w:tcPr>
          <w:p w14:paraId="1AF534A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5" w:type="dxa"/>
            <w:shd w:val="clear" w:color="auto" w:fill="auto"/>
            <w:vAlign w:val="center"/>
          </w:tcPr>
          <w:p w14:paraId="4ACEECF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统计诊断医师的工作量，以及检查人次的月度趋势</w:t>
            </w:r>
          </w:p>
        </w:tc>
        <w:tc>
          <w:tcPr>
            <w:tcW w:w="733" w:type="dxa"/>
            <w:vMerge w:val="continue"/>
            <w:vAlign w:val="center"/>
          </w:tcPr>
          <w:p w14:paraId="61A63FC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452474D">
            <w:pPr>
              <w:jc w:val="center"/>
              <w:rPr>
                <w:rFonts w:hint="eastAsia" w:ascii="宋体" w:hAnsi="宋体" w:eastAsia="宋体" w:cs="宋体"/>
                <w:b w:val="0"/>
                <w:bCs w:val="0"/>
                <w:color w:val="auto"/>
                <w:kern w:val="0"/>
                <w:sz w:val="20"/>
                <w:szCs w:val="20"/>
                <w:highlight w:val="none"/>
                <w:lang w:val="en-US" w:eastAsia="zh-CN" w:bidi="ar-SA"/>
              </w:rPr>
            </w:pPr>
          </w:p>
        </w:tc>
      </w:tr>
      <w:tr w14:paraId="0635C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0A6F63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108</w:t>
            </w:r>
          </w:p>
        </w:tc>
        <w:tc>
          <w:tcPr>
            <w:tcW w:w="720" w:type="dxa"/>
            <w:vMerge w:val="continue"/>
            <w:vAlign w:val="center"/>
          </w:tcPr>
          <w:p w14:paraId="609C3E87">
            <w:pPr>
              <w:jc w:val="center"/>
              <w:rPr>
                <w:rFonts w:hint="eastAsia" w:ascii="宋体" w:hAnsi="宋体" w:eastAsia="宋体" w:cs="宋体"/>
                <w:b/>
                <w:color w:val="auto"/>
                <w:sz w:val="24"/>
                <w:szCs w:val="24"/>
                <w:highlight w:val="none"/>
                <w:vertAlign w:val="baseline"/>
                <w:lang w:eastAsia="zh-CN"/>
              </w:rPr>
            </w:pPr>
          </w:p>
        </w:tc>
        <w:tc>
          <w:tcPr>
            <w:tcW w:w="2935" w:type="dxa"/>
            <w:gridSpan w:val="2"/>
            <w:vMerge w:val="continue"/>
            <w:vAlign w:val="center"/>
          </w:tcPr>
          <w:p w14:paraId="7227868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5" w:type="dxa"/>
            <w:shd w:val="clear" w:color="auto" w:fill="auto"/>
            <w:vAlign w:val="center"/>
          </w:tcPr>
          <w:p w14:paraId="704BFFA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实时展示今日报告记录和危急值预警信息；对网络心电闭环效率进行质控，统计危急值上报数量和类别，并质控诊断报告，包括报告合格率和质量对比信息</w:t>
            </w:r>
          </w:p>
        </w:tc>
        <w:tc>
          <w:tcPr>
            <w:tcW w:w="733" w:type="dxa"/>
            <w:vMerge w:val="continue"/>
            <w:vAlign w:val="center"/>
          </w:tcPr>
          <w:p w14:paraId="017F711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20BC2F7">
            <w:pPr>
              <w:jc w:val="center"/>
              <w:rPr>
                <w:rFonts w:hint="eastAsia" w:ascii="宋体" w:hAnsi="宋体" w:eastAsia="宋体" w:cs="宋体"/>
                <w:b w:val="0"/>
                <w:bCs w:val="0"/>
                <w:color w:val="auto"/>
                <w:kern w:val="0"/>
                <w:sz w:val="20"/>
                <w:szCs w:val="20"/>
                <w:highlight w:val="none"/>
                <w:lang w:val="en-US" w:eastAsia="zh-CN" w:bidi="ar-SA"/>
              </w:rPr>
            </w:pPr>
          </w:p>
        </w:tc>
      </w:tr>
      <w:tr w14:paraId="379F9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721577D">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109</w:t>
            </w:r>
          </w:p>
        </w:tc>
        <w:tc>
          <w:tcPr>
            <w:tcW w:w="720" w:type="dxa"/>
            <w:vMerge w:val="continue"/>
            <w:vAlign w:val="center"/>
          </w:tcPr>
          <w:p w14:paraId="1536AD98">
            <w:pPr>
              <w:jc w:val="center"/>
              <w:rPr>
                <w:rFonts w:hint="eastAsia" w:ascii="宋体" w:hAnsi="宋体" w:eastAsia="宋体" w:cs="宋体"/>
                <w:b/>
                <w:color w:val="auto"/>
                <w:sz w:val="24"/>
                <w:szCs w:val="24"/>
                <w:highlight w:val="none"/>
                <w:vertAlign w:val="baseline"/>
                <w:lang w:eastAsia="zh-CN"/>
              </w:rPr>
            </w:pPr>
          </w:p>
        </w:tc>
        <w:tc>
          <w:tcPr>
            <w:tcW w:w="2935" w:type="dxa"/>
            <w:gridSpan w:val="2"/>
            <w:vMerge w:val="continue"/>
            <w:vAlign w:val="center"/>
          </w:tcPr>
          <w:p w14:paraId="4141B0D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5" w:type="dxa"/>
            <w:shd w:val="clear" w:color="auto" w:fill="auto"/>
            <w:vAlign w:val="center"/>
          </w:tcPr>
          <w:p w14:paraId="488778A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点击地图上的机构，联动检查人次、检查时效、报告单质量信息</w:t>
            </w:r>
          </w:p>
        </w:tc>
        <w:tc>
          <w:tcPr>
            <w:tcW w:w="733" w:type="dxa"/>
            <w:vMerge w:val="continue"/>
            <w:vAlign w:val="center"/>
          </w:tcPr>
          <w:p w14:paraId="533C1B0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B4C6261">
            <w:pPr>
              <w:jc w:val="center"/>
              <w:rPr>
                <w:rFonts w:hint="eastAsia" w:ascii="宋体" w:hAnsi="宋体" w:eastAsia="宋体" w:cs="宋体"/>
                <w:b w:val="0"/>
                <w:bCs w:val="0"/>
                <w:color w:val="auto"/>
                <w:kern w:val="0"/>
                <w:sz w:val="20"/>
                <w:szCs w:val="20"/>
                <w:highlight w:val="none"/>
                <w:lang w:val="en-US" w:eastAsia="zh-CN" w:bidi="ar-SA"/>
              </w:rPr>
            </w:pPr>
          </w:p>
        </w:tc>
      </w:tr>
    </w:tbl>
    <w:p w14:paraId="15B5A799">
      <w:pPr>
        <w:keepNext w:val="0"/>
        <w:keepLines w:val="0"/>
        <w:pageBreakBefore w:val="0"/>
        <w:widowControl w:val="0"/>
        <w:numPr>
          <w:ilvl w:val="0"/>
          <w:numId w:val="0"/>
        </w:numPr>
        <w:kinsoku/>
        <w:wordWrap/>
        <w:overflowPunct/>
        <w:topLinePunct w:val="0"/>
        <w:autoSpaceDE/>
        <w:autoSpaceDN/>
        <w:bidi w:val="0"/>
        <w:adjustRightInd/>
        <w:snapToGrid/>
        <w:spacing w:line="420" w:lineRule="exact"/>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highlight w:val="yellow"/>
          <w:lang w:eastAsia="zh-CN"/>
        </w:rPr>
        <w:t>（二）</w:t>
      </w:r>
      <w:r>
        <w:rPr>
          <w:rFonts w:hint="eastAsia" w:ascii="宋体" w:hAnsi="宋体" w:eastAsia="宋体" w:cs="宋体"/>
          <w:highlight w:val="yellow"/>
          <w:lang w:val="en-US" w:eastAsia="zh-CN"/>
        </w:rPr>
        <w:t>-3：</w:t>
      </w:r>
      <w:r>
        <w:rPr>
          <w:rFonts w:hint="eastAsia" w:ascii="宋体" w:hAnsi="宋体" w:eastAsia="宋体" w:cs="宋体"/>
          <w:b w:val="0"/>
          <w:bCs w:val="0"/>
          <w:color w:val="auto"/>
          <w:kern w:val="0"/>
          <w:sz w:val="20"/>
          <w:szCs w:val="20"/>
          <w:highlight w:val="yellow"/>
          <w:lang w:val="en-US" w:eastAsia="zh-CN"/>
        </w:rPr>
        <w:t>影像云诊中心</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875"/>
        <w:gridCol w:w="2308"/>
        <w:gridCol w:w="4417"/>
        <w:gridCol w:w="733"/>
        <w:gridCol w:w="714"/>
      </w:tblGrid>
      <w:tr w14:paraId="37279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2B54562">
            <w:pPr>
              <w:widowControl/>
              <w:jc w:val="center"/>
              <w:rPr>
                <w:rFonts w:hint="eastAsia" w:ascii="仿宋" w:hAnsi="仿宋" w:eastAsia="仿宋" w:cs="宋体"/>
                <w:color w:val="auto"/>
                <w:sz w:val="22"/>
                <w:szCs w:val="22"/>
                <w:highlight w:val="none"/>
                <w:lang w:val="en-US" w:eastAsia="zh-CN"/>
              </w:rPr>
            </w:pPr>
            <w:r>
              <w:rPr>
                <w:rFonts w:hint="eastAsia" w:ascii="宋体" w:hAnsi="宋体" w:cs="宋体"/>
                <w:b/>
                <w:bCs/>
                <w:color w:val="auto"/>
                <w:kern w:val="0"/>
                <w:sz w:val="20"/>
                <w:szCs w:val="20"/>
                <w:highlight w:val="none"/>
              </w:rPr>
              <w:t>序号</w:t>
            </w:r>
          </w:p>
        </w:tc>
        <w:tc>
          <w:tcPr>
            <w:tcW w:w="3903" w:type="dxa"/>
            <w:gridSpan w:val="3"/>
            <w:vAlign w:val="center"/>
          </w:tcPr>
          <w:p w14:paraId="6A904040">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建设内容</w:t>
            </w:r>
          </w:p>
        </w:tc>
        <w:tc>
          <w:tcPr>
            <w:tcW w:w="4417" w:type="dxa"/>
            <w:vAlign w:val="center"/>
          </w:tcPr>
          <w:p w14:paraId="68968625">
            <w:pPr>
              <w:widowControl/>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54D36839">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单位</w:t>
            </w:r>
          </w:p>
        </w:tc>
        <w:tc>
          <w:tcPr>
            <w:tcW w:w="714" w:type="dxa"/>
            <w:vAlign w:val="center"/>
          </w:tcPr>
          <w:p w14:paraId="0AE577C5">
            <w:pPr>
              <w:spacing w:line="240" w:lineRule="exact"/>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Cs w:val="21"/>
                <w:highlight w:val="none"/>
                <w:lang w:eastAsia="zh-CN"/>
              </w:rPr>
              <w:t>数量</w:t>
            </w:r>
          </w:p>
        </w:tc>
      </w:tr>
      <w:tr w14:paraId="11100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D0CE8A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110</w:t>
            </w:r>
          </w:p>
        </w:tc>
        <w:tc>
          <w:tcPr>
            <w:tcW w:w="720" w:type="dxa"/>
            <w:vMerge w:val="restart"/>
            <w:vAlign w:val="center"/>
          </w:tcPr>
          <w:p w14:paraId="23FDCD7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PACS影像服务器管理系统</w:t>
            </w:r>
          </w:p>
        </w:tc>
        <w:tc>
          <w:tcPr>
            <w:tcW w:w="875" w:type="dxa"/>
            <w:vMerge w:val="restart"/>
            <w:vAlign w:val="center"/>
          </w:tcPr>
          <w:p w14:paraId="5752DBA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影像管理</w:t>
            </w:r>
          </w:p>
        </w:tc>
        <w:tc>
          <w:tcPr>
            <w:tcW w:w="2308" w:type="dxa"/>
            <w:vAlign w:val="center"/>
          </w:tcPr>
          <w:p w14:paraId="0EC95B1D">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扩展医疗信息标准</w:t>
            </w:r>
          </w:p>
        </w:tc>
        <w:tc>
          <w:tcPr>
            <w:tcW w:w="4417" w:type="dxa"/>
            <w:vAlign w:val="center"/>
          </w:tcPr>
          <w:p w14:paraId="2CA9873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支持扩展医疗信息标准，包括HL7 v2.x、HL7 v3、X12、XML、DICOM、EDI、NCPDP、Delimited Text等</w:t>
            </w:r>
          </w:p>
        </w:tc>
        <w:tc>
          <w:tcPr>
            <w:tcW w:w="733" w:type="dxa"/>
            <w:vMerge w:val="restart"/>
            <w:vAlign w:val="center"/>
          </w:tcPr>
          <w:p w14:paraId="6ACFF8E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4DD2E399">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A67F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66FCCE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111</w:t>
            </w:r>
          </w:p>
        </w:tc>
        <w:tc>
          <w:tcPr>
            <w:tcW w:w="720" w:type="dxa"/>
            <w:vMerge w:val="continue"/>
            <w:vAlign w:val="center"/>
          </w:tcPr>
          <w:p w14:paraId="5443F13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CC828B6">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1DB6AFD6">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图像接收</w:t>
            </w:r>
          </w:p>
        </w:tc>
        <w:tc>
          <w:tcPr>
            <w:tcW w:w="4417" w:type="dxa"/>
            <w:vAlign w:val="center"/>
          </w:tcPr>
          <w:p w14:paraId="4C3F884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支持任意DICOM设备的图像接收，支持超声、内镜、放射等科室图像的接收和管理</w:t>
            </w:r>
          </w:p>
        </w:tc>
        <w:tc>
          <w:tcPr>
            <w:tcW w:w="733" w:type="dxa"/>
            <w:vMerge w:val="continue"/>
            <w:vAlign w:val="center"/>
          </w:tcPr>
          <w:p w14:paraId="0F0A2A4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CB451B3">
            <w:pPr>
              <w:jc w:val="center"/>
              <w:rPr>
                <w:rFonts w:hint="eastAsia" w:ascii="宋体" w:hAnsi="宋体" w:eastAsia="宋体" w:cs="宋体"/>
                <w:b w:val="0"/>
                <w:bCs w:val="0"/>
                <w:color w:val="auto"/>
                <w:kern w:val="0"/>
                <w:sz w:val="20"/>
                <w:szCs w:val="20"/>
                <w:highlight w:val="none"/>
                <w:lang w:val="en-US" w:eastAsia="zh-CN" w:bidi="ar-SA"/>
              </w:rPr>
            </w:pPr>
          </w:p>
        </w:tc>
      </w:tr>
      <w:tr w14:paraId="5C04B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25CD26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112</w:t>
            </w:r>
          </w:p>
        </w:tc>
        <w:tc>
          <w:tcPr>
            <w:tcW w:w="720" w:type="dxa"/>
            <w:vMerge w:val="continue"/>
            <w:vAlign w:val="center"/>
          </w:tcPr>
          <w:p w14:paraId="3CE88A0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6CE3436">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62DB4BF7">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影像状态日志记录</w:t>
            </w:r>
          </w:p>
        </w:tc>
        <w:tc>
          <w:tcPr>
            <w:tcW w:w="4417" w:type="dxa"/>
            <w:vAlign w:val="center"/>
          </w:tcPr>
          <w:p w14:paraId="08D42DB5">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有完整的影像状态日志记录系统，对图像、报告等信息及系统的修改、增加、删除均有日志记录</w:t>
            </w:r>
          </w:p>
        </w:tc>
        <w:tc>
          <w:tcPr>
            <w:tcW w:w="733" w:type="dxa"/>
            <w:vMerge w:val="continue"/>
            <w:vAlign w:val="center"/>
          </w:tcPr>
          <w:p w14:paraId="36849A1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A4E35AF">
            <w:pPr>
              <w:jc w:val="center"/>
              <w:rPr>
                <w:rFonts w:hint="eastAsia" w:ascii="宋体" w:hAnsi="宋体" w:eastAsia="宋体" w:cs="宋体"/>
                <w:b w:val="0"/>
                <w:bCs w:val="0"/>
                <w:color w:val="auto"/>
                <w:kern w:val="0"/>
                <w:sz w:val="20"/>
                <w:szCs w:val="20"/>
                <w:highlight w:val="none"/>
                <w:lang w:val="en-US" w:eastAsia="zh-CN" w:bidi="ar-SA"/>
              </w:rPr>
            </w:pPr>
          </w:p>
        </w:tc>
      </w:tr>
      <w:tr w14:paraId="65E48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2AF672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113</w:t>
            </w:r>
          </w:p>
        </w:tc>
        <w:tc>
          <w:tcPr>
            <w:tcW w:w="720" w:type="dxa"/>
            <w:vMerge w:val="continue"/>
            <w:vAlign w:val="center"/>
          </w:tcPr>
          <w:p w14:paraId="45BAAD8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A8C65BF">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64D2A04B">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调阅影像</w:t>
            </w:r>
          </w:p>
        </w:tc>
        <w:tc>
          <w:tcPr>
            <w:tcW w:w="4417" w:type="dxa"/>
            <w:vAlign w:val="center"/>
          </w:tcPr>
          <w:p w14:paraId="3F25D69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多个客户端工作站能够同时根据患者姓名、检查设备、检查部位、影像号、检查时间日期等多种查询条件的组合形式查询与调阅影像，并提供查询影像调阅前的缩略图预览功能</w:t>
            </w:r>
          </w:p>
        </w:tc>
        <w:tc>
          <w:tcPr>
            <w:tcW w:w="733" w:type="dxa"/>
            <w:vMerge w:val="continue"/>
            <w:vAlign w:val="center"/>
          </w:tcPr>
          <w:p w14:paraId="6400BBB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7F864B2">
            <w:pPr>
              <w:jc w:val="center"/>
              <w:rPr>
                <w:rFonts w:hint="eastAsia" w:ascii="宋体" w:hAnsi="宋体" w:eastAsia="宋体" w:cs="宋体"/>
                <w:b w:val="0"/>
                <w:bCs w:val="0"/>
                <w:color w:val="auto"/>
                <w:kern w:val="0"/>
                <w:sz w:val="20"/>
                <w:szCs w:val="20"/>
                <w:highlight w:val="none"/>
                <w:lang w:val="en-US" w:eastAsia="zh-CN" w:bidi="ar-SA"/>
              </w:rPr>
            </w:pPr>
          </w:p>
        </w:tc>
      </w:tr>
      <w:tr w14:paraId="4DF61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5D6559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114</w:t>
            </w:r>
          </w:p>
        </w:tc>
        <w:tc>
          <w:tcPr>
            <w:tcW w:w="720" w:type="dxa"/>
            <w:vMerge w:val="continue"/>
            <w:vAlign w:val="center"/>
          </w:tcPr>
          <w:p w14:paraId="26653A5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0CC1092">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12CB05CC">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存储空间自动监测与报警</w:t>
            </w:r>
          </w:p>
        </w:tc>
        <w:tc>
          <w:tcPr>
            <w:tcW w:w="4417" w:type="dxa"/>
            <w:vAlign w:val="center"/>
          </w:tcPr>
          <w:p w14:paraId="646AF06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支持存储空间的自动监测、报警和管理，对于设定的阀值可以智能处理</w:t>
            </w:r>
          </w:p>
        </w:tc>
        <w:tc>
          <w:tcPr>
            <w:tcW w:w="733" w:type="dxa"/>
            <w:vMerge w:val="continue"/>
            <w:vAlign w:val="center"/>
          </w:tcPr>
          <w:p w14:paraId="5436F7E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6D17DBA">
            <w:pPr>
              <w:jc w:val="center"/>
              <w:rPr>
                <w:rFonts w:hint="eastAsia" w:ascii="宋体" w:hAnsi="宋体" w:eastAsia="宋体" w:cs="宋体"/>
                <w:b w:val="0"/>
                <w:bCs w:val="0"/>
                <w:color w:val="auto"/>
                <w:kern w:val="0"/>
                <w:sz w:val="20"/>
                <w:szCs w:val="20"/>
                <w:highlight w:val="none"/>
                <w:lang w:val="en-US" w:eastAsia="zh-CN" w:bidi="ar-SA"/>
              </w:rPr>
            </w:pPr>
          </w:p>
        </w:tc>
      </w:tr>
      <w:tr w14:paraId="16263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878023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115</w:t>
            </w:r>
          </w:p>
        </w:tc>
        <w:tc>
          <w:tcPr>
            <w:tcW w:w="720" w:type="dxa"/>
            <w:vMerge w:val="continue"/>
            <w:vAlign w:val="center"/>
          </w:tcPr>
          <w:p w14:paraId="52E8BCC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15948B0">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5D49AB30">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数据压缩算法</w:t>
            </w:r>
          </w:p>
        </w:tc>
        <w:tc>
          <w:tcPr>
            <w:tcW w:w="4417" w:type="dxa"/>
            <w:vAlign w:val="center"/>
          </w:tcPr>
          <w:p w14:paraId="18D8F0B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支持DICOM3.0数据压缩算法，支持Jpeg、Jpeg-Lossless、Jpeg2000、Jpeg-LS、Deflate等有损及无损压缩模式</w:t>
            </w:r>
          </w:p>
        </w:tc>
        <w:tc>
          <w:tcPr>
            <w:tcW w:w="733" w:type="dxa"/>
            <w:vMerge w:val="continue"/>
            <w:vAlign w:val="center"/>
          </w:tcPr>
          <w:p w14:paraId="417B766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D1853BF">
            <w:pPr>
              <w:jc w:val="center"/>
              <w:rPr>
                <w:rFonts w:hint="eastAsia" w:ascii="宋体" w:hAnsi="宋体" w:eastAsia="宋体" w:cs="宋体"/>
                <w:b w:val="0"/>
                <w:bCs w:val="0"/>
                <w:color w:val="auto"/>
                <w:kern w:val="0"/>
                <w:sz w:val="20"/>
                <w:szCs w:val="20"/>
                <w:highlight w:val="none"/>
                <w:lang w:val="en-US" w:eastAsia="zh-CN" w:bidi="ar-SA"/>
              </w:rPr>
            </w:pPr>
          </w:p>
        </w:tc>
      </w:tr>
      <w:tr w14:paraId="5A02F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1EEACB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116</w:t>
            </w:r>
          </w:p>
        </w:tc>
        <w:tc>
          <w:tcPr>
            <w:tcW w:w="720" w:type="dxa"/>
            <w:vMerge w:val="continue"/>
            <w:vAlign w:val="center"/>
          </w:tcPr>
          <w:p w14:paraId="7E10B35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048F186">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012E16A6">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影像设备数据发送</w:t>
            </w:r>
          </w:p>
        </w:tc>
        <w:tc>
          <w:tcPr>
            <w:tcW w:w="4417" w:type="dxa"/>
            <w:vAlign w:val="center"/>
          </w:tcPr>
          <w:p w14:paraId="7661580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可以同时接受多个不同影像设备发送的数据，并提供影像资料的存储</w:t>
            </w:r>
          </w:p>
        </w:tc>
        <w:tc>
          <w:tcPr>
            <w:tcW w:w="733" w:type="dxa"/>
            <w:vMerge w:val="continue"/>
            <w:vAlign w:val="center"/>
          </w:tcPr>
          <w:p w14:paraId="38D3457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67D79D7">
            <w:pPr>
              <w:jc w:val="center"/>
              <w:rPr>
                <w:rFonts w:hint="eastAsia" w:ascii="宋体" w:hAnsi="宋体" w:eastAsia="宋体" w:cs="宋体"/>
                <w:b w:val="0"/>
                <w:bCs w:val="0"/>
                <w:color w:val="auto"/>
                <w:kern w:val="0"/>
                <w:sz w:val="20"/>
                <w:szCs w:val="20"/>
                <w:highlight w:val="none"/>
                <w:lang w:val="en-US" w:eastAsia="zh-CN" w:bidi="ar-SA"/>
              </w:rPr>
            </w:pPr>
          </w:p>
        </w:tc>
      </w:tr>
      <w:tr w14:paraId="7ACC9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9074D8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117</w:t>
            </w:r>
          </w:p>
        </w:tc>
        <w:tc>
          <w:tcPr>
            <w:tcW w:w="720" w:type="dxa"/>
            <w:vMerge w:val="continue"/>
            <w:vAlign w:val="center"/>
          </w:tcPr>
          <w:p w14:paraId="2312D0B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1BD97B1">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175DBFC0">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用户管理</w:t>
            </w:r>
          </w:p>
        </w:tc>
        <w:tc>
          <w:tcPr>
            <w:tcW w:w="4417" w:type="dxa"/>
            <w:vAlign w:val="center"/>
          </w:tcPr>
          <w:p w14:paraId="327B9C3B">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支持用户管理功能，提供包括用户添加、修改、删除、权限管理、工作组管理等</w:t>
            </w:r>
          </w:p>
        </w:tc>
        <w:tc>
          <w:tcPr>
            <w:tcW w:w="733" w:type="dxa"/>
            <w:vMerge w:val="continue"/>
            <w:vAlign w:val="center"/>
          </w:tcPr>
          <w:p w14:paraId="5D13551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E0C0523">
            <w:pPr>
              <w:jc w:val="center"/>
              <w:rPr>
                <w:rFonts w:hint="eastAsia" w:ascii="宋体" w:hAnsi="宋体" w:eastAsia="宋体" w:cs="宋体"/>
                <w:b w:val="0"/>
                <w:bCs w:val="0"/>
                <w:color w:val="auto"/>
                <w:kern w:val="0"/>
                <w:sz w:val="20"/>
                <w:szCs w:val="20"/>
                <w:highlight w:val="none"/>
                <w:lang w:val="en-US" w:eastAsia="zh-CN" w:bidi="ar-SA"/>
              </w:rPr>
            </w:pPr>
          </w:p>
        </w:tc>
      </w:tr>
      <w:tr w14:paraId="0981E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9F5DD8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118</w:t>
            </w:r>
          </w:p>
        </w:tc>
        <w:tc>
          <w:tcPr>
            <w:tcW w:w="720" w:type="dxa"/>
            <w:vMerge w:val="continue"/>
            <w:vAlign w:val="center"/>
          </w:tcPr>
          <w:p w14:paraId="5A99F5C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AA62F6A">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3CF476EA">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影像数据集成</w:t>
            </w:r>
          </w:p>
        </w:tc>
        <w:tc>
          <w:tcPr>
            <w:tcW w:w="4417" w:type="dxa"/>
            <w:vAlign w:val="center"/>
          </w:tcPr>
          <w:p w14:paraId="3DA9107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支持各类影像数据的一体化平台集成应用（如放射、超声、内镜、介入等）</w:t>
            </w:r>
          </w:p>
        </w:tc>
        <w:tc>
          <w:tcPr>
            <w:tcW w:w="733" w:type="dxa"/>
            <w:vMerge w:val="continue"/>
            <w:vAlign w:val="center"/>
          </w:tcPr>
          <w:p w14:paraId="51B13FD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5303BCA">
            <w:pPr>
              <w:jc w:val="center"/>
              <w:rPr>
                <w:rFonts w:hint="eastAsia" w:ascii="宋体" w:hAnsi="宋体" w:eastAsia="宋体" w:cs="宋体"/>
                <w:b w:val="0"/>
                <w:bCs w:val="0"/>
                <w:color w:val="auto"/>
                <w:kern w:val="0"/>
                <w:sz w:val="20"/>
                <w:szCs w:val="20"/>
                <w:highlight w:val="none"/>
                <w:lang w:val="en-US" w:eastAsia="zh-CN" w:bidi="ar-SA"/>
              </w:rPr>
            </w:pPr>
          </w:p>
        </w:tc>
      </w:tr>
      <w:tr w14:paraId="329C4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429240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119</w:t>
            </w:r>
          </w:p>
        </w:tc>
        <w:tc>
          <w:tcPr>
            <w:tcW w:w="720" w:type="dxa"/>
            <w:vMerge w:val="restart"/>
            <w:vAlign w:val="center"/>
          </w:tcPr>
          <w:p w14:paraId="3F3A749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区域影像系统</w:t>
            </w:r>
          </w:p>
        </w:tc>
        <w:tc>
          <w:tcPr>
            <w:tcW w:w="875" w:type="dxa"/>
            <w:vMerge w:val="restart"/>
            <w:vAlign w:val="center"/>
          </w:tcPr>
          <w:p w14:paraId="3C40CFB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报告管理</w:t>
            </w:r>
          </w:p>
        </w:tc>
        <w:tc>
          <w:tcPr>
            <w:tcW w:w="2308" w:type="dxa"/>
            <w:vAlign w:val="center"/>
          </w:tcPr>
          <w:p w14:paraId="20DB81C1">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检查结果上报</w:t>
            </w:r>
          </w:p>
        </w:tc>
        <w:tc>
          <w:tcPr>
            <w:tcW w:w="4417" w:type="dxa"/>
            <w:vAlign w:val="center"/>
          </w:tcPr>
          <w:p w14:paraId="557AB89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基层机构将检查结果上报到影像云诊中心，用于报告生成和质控</w:t>
            </w:r>
          </w:p>
        </w:tc>
        <w:tc>
          <w:tcPr>
            <w:tcW w:w="733" w:type="dxa"/>
            <w:vMerge w:val="restart"/>
            <w:vAlign w:val="center"/>
          </w:tcPr>
          <w:p w14:paraId="2458158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351BD2B9">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A171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EC0A0E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120</w:t>
            </w:r>
          </w:p>
        </w:tc>
        <w:tc>
          <w:tcPr>
            <w:tcW w:w="720" w:type="dxa"/>
            <w:vMerge w:val="continue"/>
            <w:vAlign w:val="center"/>
          </w:tcPr>
          <w:p w14:paraId="67B33F6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480D9E7">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64A01073">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检查报告接收</w:t>
            </w:r>
          </w:p>
        </w:tc>
        <w:tc>
          <w:tcPr>
            <w:tcW w:w="4417" w:type="dxa"/>
            <w:vAlign w:val="center"/>
          </w:tcPr>
          <w:p w14:paraId="4D207DDB">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区域影像系统接收上级机构回传的检查报告，并与患者进行关联</w:t>
            </w:r>
          </w:p>
        </w:tc>
        <w:tc>
          <w:tcPr>
            <w:tcW w:w="733" w:type="dxa"/>
            <w:vMerge w:val="continue"/>
            <w:vAlign w:val="center"/>
          </w:tcPr>
          <w:p w14:paraId="723A1A7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DD427EF">
            <w:pPr>
              <w:jc w:val="center"/>
              <w:rPr>
                <w:rFonts w:hint="eastAsia" w:ascii="宋体" w:hAnsi="宋体" w:eastAsia="宋体" w:cs="宋体"/>
                <w:b w:val="0"/>
                <w:bCs w:val="0"/>
                <w:color w:val="auto"/>
                <w:kern w:val="0"/>
                <w:sz w:val="20"/>
                <w:szCs w:val="20"/>
                <w:highlight w:val="none"/>
                <w:lang w:val="en-US" w:eastAsia="zh-CN" w:bidi="ar-SA"/>
              </w:rPr>
            </w:pPr>
          </w:p>
        </w:tc>
      </w:tr>
      <w:tr w14:paraId="2FBE9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129098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121</w:t>
            </w:r>
          </w:p>
        </w:tc>
        <w:tc>
          <w:tcPr>
            <w:tcW w:w="720" w:type="dxa"/>
            <w:vMerge w:val="continue"/>
            <w:vAlign w:val="center"/>
          </w:tcPr>
          <w:p w14:paraId="571B7B3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7B32C3C">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22F64F2D">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检查报告查看</w:t>
            </w:r>
          </w:p>
        </w:tc>
        <w:tc>
          <w:tcPr>
            <w:tcW w:w="4417" w:type="dxa"/>
            <w:vAlign w:val="center"/>
          </w:tcPr>
          <w:p w14:paraId="2D7A886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支持对患者远程诊断报告的查看，下载影像文件并预览原片，支持通过浏览器查看</w:t>
            </w:r>
          </w:p>
        </w:tc>
        <w:tc>
          <w:tcPr>
            <w:tcW w:w="733" w:type="dxa"/>
            <w:vMerge w:val="continue"/>
            <w:vAlign w:val="center"/>
          </w:tcPr>
          <w:p w14:paraId="1318153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A9A338E">
            <w:pPr>
              <w:jc w:val="center"/>
              <w:rPr>
                <w:rFonts w:hint="eastAsia" w:ascii="宋体" w:hAnsi="宋体" w:eastAsia="宋体" w:cs="宋体"/>
                <w:b w:val="0"/>
                <w:bCs w:val="0"/>
                <w:color w:val="auto"/>
                <w:kern w:val="0"/>
                <w:sz w:val="20"/>
                <w:szCs w:val="20"/>
                <w:highlight w:val="none"/>
                <w:lang w:val="en-US" w:eastAsia="zh-CN" w:bidi="ar-SA"/>
              </w:rPr>
            </w:pPr>
          </w:p>
        </w:tc>
      </w:tr>
      <w:tr w14:paraId="24C28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B3006C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122</w:t>
            </w:r>
          </w:p>
        </w:tc>
        <w:tc>
          <w:tcPr>
            <w:tcW w:w="720" w:type="dxa"/>
            <w:vMerge w:val="continue"/>
            <w:vAlign w:val="center"/>
          </w:tcPr>
          <w:p w14:paraId="386A62A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A78EFC6">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7180BEFF">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检查报告质控</w:t>
            </w:r>
          </w:p>
        </w:tc>
        <w:tc>
          <w:tcPr>
            <w:tcW w:w="4417" w:type="dxa"/>
            <w:vAlign w:val="center"/>
          </w:tcPr>
          <w:p w14:paraId="666D7EA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支持对检查报告进行质量评估</w:t>
            </w:r>
          </w:p>
        </w:tc>
        <w:tc>
          <w:tcPr>
            <w:tcW w:w="733" w:type="dxa"/>
            <w:vMerge w:val="continue"/>
            <w:vAlign w:val="center"/>
          </w:tcPr>
          <w:p w14:paraId="2A8EDE8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72CE72A">
            <w:pPr>
              <w:jc w:val="center"/>
              <w:rPr>
                <w:rFonts w:hint="eastAsia" w:ascii="宋体" w:hAnsi="宋体" w:eastAsia="宋体" w:cs="宋体"/>
                <w:b w:val="0"/>
                <w:bCs w:val="0"/>
                <w:color w:val="auto"/>
                <w:kern w:val="0"/>
                <w:sz w:val="20"/>
                <w:szCs w:val="20"/>
                <w:highlight w:val="none"/>
                <w:lang w:val="en-US" w:eastAsia="zh-CN" w:bidi="ar-SA"/>
              </w:rPr>
            </w:pPr>
          </w:p>
        </w:tc>
      </w:tr>
      <w:tr w14:paraId="00F75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CC9F45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123</w:t>
            </w:r>
          </w:p>
        </w:tc>
        <w:tc>
          <w:tcPr>
            <w:tcW w:w="720" w:type="dxa"/>
            <w:vMerge w:val="restart"/>
            <w:vAlign w:val="center"/>
          </w:tcPr>
          <w:p w14:paraId="7C51B664">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人民医院影像系统</w:t>
            </w:r>
          </w:p>
        </w:tc>
        <w:tc>
          <w:tcPr>
            <w:tcW w:w="875" w:type="dxa"/>
            <w:vMerge w:val="restart"/>
            <w:vAlign w:val="center"/>
          </w:tcPr>
          <w:p w14:paraId="383C46DA">
            <w:pPr>
              <w:tabs>
                <w:tab w:val="left" w:pos="508"/>
              </w:tabs>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技师工作站</w:t>
            </w:r>
          </w:p>
        </w:tc>
        <w:tc>
          <w:tcPr>
            <w:tcW w:w="2308" w:type="dxa"/>
            <w:vAlign w:val="center"/>
          </w:tcPr>
          <w:p w14:paraId="2AD2D886">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DICOMDIR光盘读取</w:t>
            </w:r>
          </w:p>
        </w:tc>
        <w:tc>
          <w:tcPr>
            <w:tcW w:w="4417" w:type="dxa"/>
            <w:vAlign w:val="center"/>
          </w:tcPr>
          <w:p w14:paraId="2D8FC64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支持读取DICOMDIR光盘图像和报告和对DICOMDIR光盘里面的患者信息进行查询，方便定位</w:t>
            </w:r>
          </w:p>
        </w:tc>
        <w:tc>
          <w:tcPr>
            <w:tcW w:w="733" w:type="dxa"/>
            <w:vMerge w:val="restart"/>
            <w:vAlign w:val="center"/>
          </w:tcPr>
          <w:p w14:paraId="0664710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10914A9C">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767AE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B21BD6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124</w:t>
            </w:r>
          </w:p>
        </w:tc>
        <w:tc>
          <w:tcPr>
            <w:tcW w:w="720" w:type="dxa"/>
            <w:vMerge w:val="continue"/>
            <w:vAlign w:val="center"/>
          </w:tcPr>
          <w:p w14:paraId="05873D3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6F04F42">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4C0D244F">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上传患者的图像和报告查询</w:t>
            </w:r>
          </w:p>
        </w:tc>
        <w:tc>
          <w:tcPr>
            <w:tcW w:w="4417" w:type="dxa"/>
            <w:vAlign w:val="center"/>
          </w:tcPr>
          <w:p w14:paraId="4A5DBE15">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支持多条件查询患者的图像和报告（根据姓名、病号、住院号、患者来源、报告医师、审核医师、诊断等条件）</w:t>
            </w:r>
          </w:p>
        </w:tc>
        <w:tc>
          <w:tcPr>
            <w:tcW w:w="733" w:type="dxa"/>
            <w:vMerge w:val="continue"/>
            <w:vAlign w:val="center"/>
          </w:tcPr>
          <w:p w14:paraId="4CAFFB8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CB202F8">
            <w:pPr>
              <w:jc w:val="center"/>
              <w:rPr>
                <w:rFonts w:hint="eastAsia" w:ascii="宋体" w:hAnsi="宋体" w:eastAsia="宋体" w:cs="宋体"/>
                <w:b w:val="0"/>
                <w:bCs w:val="0"/>
                <w:color w:val="auto"/>
                <w:kern w:val="0"/>
                <w:sz w:val="20"/>
                <w:szCs w:val="20"/>
                <w:highlight w:val="none"/>
                <w:lang w:val="en-US" w:eastAsia="zh-CN" w:bidi="ar-SA"/>
              </w:rPr>
            </w:pPr>
          </w:p>
        </w:tc>
      </w:tr>
      <w:tr w14:paraId="1EBE1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E8B4E2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125</w:t>
            </w:r>
          </w:p>
        </w:tc>
        <w:tc>
          <w:tcPr>
            <w:tcW w:w="720" w:type="dxa"/>
            <w:vMerge w:val="continue"/>
            <w:vAlign w:val="center"/>
          </w:tcPr>
          <w:p w14:paraId="26E0B67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4A996CB">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500AB929">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患者图像</w:t>
            </w:r>
          </w:p>
        </w:tc>
        <w:tc>
          <w:tcPr>
            <w:tcW w:w="4417" w:type="dxa"/>
            <w:vAlign w:val="center"/>
          </w:tcPr>
          <w:p w14:paraId="5804BC1E">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支持对患者图像和报告的删除、刷新等操作功能</w:t>
            </w:r>
          </w:p>
        </w:tc>
        <w:tc>
          <w:tcPr>
            <w:tcW w:w="733" w:type="dxa"/>
            <w:vMerge w:val="continue"/>
            <w:vAlign w:val="center"/>
          </w:tcPr>
          <w:p w14:paraId="6BBF0BF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684F9BF">
            <w:pPr>
              <w:jc w:val="center"/>
              <w:rPr>
                <w:rFonts w:hint="eastAsia" w:ascii="宋体" w:hAnsi="宋体" w:eastAsia="宋体" w:cs="宋体"/>
                <w:b w:val="0"/>
                <w:bCs w:val="0"/>
                <w:color w:val="auto"/>
                <w:kern w:val="0"/>
                <w:sz w:val="20"/>
                <w:szCs w:val="20"/>
                <w:highlight w:val="none"/>
                <w:lang w:val="en-US" w:eastAsia="zh-CN" w:bidi="ar-SA"/>
              </w:rPr>
            </w:pPr>
          </w:p>
        </w:tc>
      </w:tr>
      <w:tr w14:paraId="091F7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2540E7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126</w:t>
            </w:r>
          </w:p>
        </w:tc>
        <w:tc>
          <w:tcPr>
            <w:tcW w:w="720" w:type="dxa"/>
            <w:vMerge w:val="continue"/>
            <w:vAlign w:val="center"/>
          </w:tcPr>
          <w:p w14:paraId="2B22A2C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56D853C">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31E13645">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患者列表</w:t>
            </w:r>
          </w:p>
        </w:tc>
        <w:tc>
          <w:tcPr>
            <w:tcW w:w="4417" w:type="dxa"/>
            <w:vAlign w:val="center"/>
          </w:tcPr>
          <w:p w14:paraId="237223B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支持在图像浏览窗口内获取检查患者列表，无需进行窗口切换</w:t>
            </w:r>
          </w:p>
        </w:tc>
        <w:tc>
          <w:tcPr>
            <w:tcW w:w="733" w:type="dxa"/>
            <w:vMerge w:val="continue"/>
            <w:vAlign w:val="center"/>
          </w:tcPr>
          <w:p w14:paraId="51AC7EF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1001656">
            <w:pPr>
              <w:jc w:val="center"/>
              <w:rPr>
                <w:rFonts w:hint="eastAsia" w:ascii="宋体" w:hAnsi="宋体" w:eastAsia="宋体" w:cs="宋体"/>
                <w:b w:val="0"/>
                <w:bCs w:val="0"/>
                <w:color w:val="auto"/>
                <w:kern w:val="0"/>
                <w:sz w:val="20"/>
                <w:szCs w:val="20"/>
                <w:highlight w:val="none"/>
                <w:lang w:val="en-US" w:eastAsia="zh-CN" w:bidi="ar-SA"/>
              </w:rPr>
            </w:pPr>
          </w:p>
        </w:tc>
      </w:tr>
      <w:tr w14:paraId="7A3B3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1C9D0F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127</w:t>
            </w:r>
          </w:p>
        </w:tc>
        <w:tc>
          <w:tcPr>
            <w:tcW w:w="720" w:type="dxa"/>
            <w:vMerge w:val="continue"/>
            <w:vAlign w:val="center"/>
          </w:tcPr>
          <w:p w14:paraId="4CADD30E">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3B537BF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患者管理</w:t>
            </w:r>
          </w:p>
        </w:tc>
        <w:tc>
          <w:tcPr>
            <w:tcW w:w="2308" w:type="dxa"/>
            <w:vAlign w:val="center"/>
          </w:tcPr>
          <w:p w14:paraId="4FF28C04">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电子申请单调阅</w:t>
            </w:r>
          </w:p>
        </w:tc>
        <w:tc>
          <w:tcPr>
            <w:tcW w:w="4417" w:type="dxa"/>
            <w:vAlign w:val="center"/>
          </w:tcPr>
          <w:p w14:paraId="6992D24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支持电子申请单查看，电子申请单一体化界面，在书写报告时可直接查看患者电子申请单</w:t>
            </w:r>
          </w:p>
        </w:tc>
        <w:tc>
          <w:tcPr>
            <w:tcW w:w="733" w:type="dxa"/>
            <w:vMerge w:val="continue"/>
            <w:vAlign w:val="center"/>
          </w:tcPr>
          <w:p w14:paraId="000F17C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8101F35">
            <w:pPr>
              <w:jc w:val="center"/>
              <w:rPr>
                <w:rFonts w:hint="eastAsia" w:ascii="宋体" w:hAnsi="宋体" w:eastAsia="宋体" w:cs="宋体"/>
                <w:b w:val="0"/>
                <w:bCs w:val="0"/>
                <w:color w:val="auto"/>
                <w:kern w:val="0"/>
                <w:sz w:val="20"/>
                <w:szCs w:val="20"/>
                <w:highlight w:val="none"/>
                <w:lang w:val="en-US" w:eastAsia="zh-CN" w:bidi="ar-SA"/>
              </w:rPr>
            </w:pPr>
          </w:p>
        </w:tc>
      </w:tr>
      <w:tr w14:paraId="5623A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6941B7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128</w:t>
            </w:r>
          </w:p>
        </w:tc>
        <w:tc>
          <w:tcPr>
            <w:tcW w:w="720" w:type="dxa"/>
            <w:vMerge w:val="continue"/>
            <w:vAlign w:val="center"/>
          </w:tcPr>
          <w:p w14:paraId="525095D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5BC7D82">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03F30BA9">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患者电子病历（EMR）调阅</w:t>
            </w:r>
          </w:p>
        </w:tc>
        <w:tc>
          <w:tcPr>
            <w:tcW w:w="4417" w:type="dxa"/>
            <w:vAlign w:val="center"/>
          </w:tcPr>
          <w:p w14:paraId="67F76A25">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支持患者电子病历（EMR）调阅，实现一站式电子病历信息调阅，方便查询患者临床、检验等其他患者数据</w:t>
            </w:r>
          </w:p>
        </w:tc>
        <w:tc>
          <w:tcPr>
            <w:tcW w:w="733" w:type="dxa"/>
            <w:vMerge w:val="continue"/>
            <w:vAlign w:val="center"/>
          </w:tcPr>
          <w:p w14:paraId="25E3ABC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26B93EC">
            <w:pPr>
              <w:jc w:val="center"/>
              <w:rPr>
                <w:rFonts w:hint="eastAsia" w:ascii="宋体" w:hAnsi="宋体" w:eastAsia="宋体" w:cs="宋体"/>
                <w:b w:val="0"/>
                <w:bCs w:val="0"/>
                <w:color w:val="auto"/>
                <w:kern w:val="0"/>
                <w:sz w:val="20"/>
                <w:szCs w:val="20"/>
                <w:highlight w:val="none"/>
                <w:lang w:val="en-US" w:eastAsia="zh-CN" w:bidi="ar-SA"/>
              </w:rPr>
            </w:pPr>
          </w:p>
        </w:tc>
      </w:tr>
      <w:tr w14:paraId="71333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D0EC40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129</w:t>
            </w:r>
          </w:p>
        </w:tc>
        <w:tc>
          <w:tcPr>
            <w:tcW w:w="720" w:type="dxa"/>
            <w:vMerge w:val="continue"/>
            <w:vAlign w:val="center"/>
          </w:tcPr>
          <w:p w14:paraId="5CE780E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3DAEA28">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296C11F6">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典型病例管理</w:t>
            </w:r>
          </w:p>
        </w:tc>
        <w:tc>
          <w:tcPr>
            <w:tcW w:w="4417" w:type="dxa"/>
            <w:vAlign w:val="center"/>
          </w:tcPr>
          <w:p w14:paraId="1F6384CE">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支持典型病例的管理，支持公有典型病例和私有典型病例的收藏，查询和刻录</w:t>
            </w:r>
          </w:p>
        </w:tc>
        <w:tc>
          <w:tcPr>
            <w:tcW w:w="733" w:type="dxa"/>
            <w:vMerge w:val="continue"/>
            <w:vAlign w:val="center"/>
          </w:tcPr>
          <w:p w14:paraId="1F4CB05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46E44FE">
            <w:pPr>
              <w:jc w:val="center"/>
              <w:rPr>
                <w:rFonts w:hint="eastAsia" w:ascii="宋体" w:hAnsi="宋体" w:eastAsia="宋体" w:cs="宋体"/>
                <w:b w:val="0"/>
                <w:bCs w:val="0"/>
                <w:color w:val="auto"/>
                <w:kern w:val="0"/>
                <w:sz w:val="20"/>
                <w:szCs w:val="20"/>
                <w:highlight w:val="none"/>
                <w:lang w:val="en-US" w:eastAsia="zh-CN" w:bidi="ar-SA"/>
              </w:rPr>
            </w:pPr>
          </w:p>
        </w:tc>
      </w:tr>
      <w:tr w14:paraId="426CD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7D4EC8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130</w:t>
            </w:r>
          </w:p>
        </w:tc>
        <w:tc>
          <w:tcPr>
            <w:tcW w:w="720" w:type="dxa"/>
            <w:vMerge w:val="continue"/>
            <w:vAlign w:val="center"/>
          </w:tcPr>
          <w:p w14:paraId="7BFD3C0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D2032B8">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61D24922">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危急患者管理</w:t>
            </w:r>
          </w:p>
        </w:tc>
        <w:tc>
          <w:tcPr>
            <w:tcW w:w="4417" w:type="dxa"/>
            <w:vAlign w:val="center"/>
          </w:tcPr>
          <w:p w14:paraId="0F7343E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支持单独列表展示危急患者信息（患者检查项目、检查结果、报告医师、危急值内容、处理医师、处理结果内容）</w:t>
            </w:r>
          </w:p>
        </w:tc>
        <w:tc>
          <w:tcPr>
            <w:tcW w:w="733" w:type="dxa"/>
            <w:vMerge w:val="continue"/>
            <w:vAlign w:val="center"/>
          </w:tcPr>
          <w:p w14:paraId="20FE757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3CD38F5">
            <w:pPr>
              <w:jc w:val="center"/>
              <w:rPr>
                <w:rFonts w:hint="eastAsia" w:ascii="宋体" w:hAnsi="宋体" w:eastAsia="宋体" w:cs="宋体"/>
                <w:b w:val="0"/>
                <w:bCs w:val="0"/>
                <w:color w:val="auto"/>
                <w:kern w:val="0"/>
                <w:sz w:val="20"/>
                <w:szCs w:val="20"/>
                <w:highlight w:val="none"/>
                <w:lang w:val="en-US" w:eastAsia="zh-CN" w:bidi="ar-SA"/>
              </w:rPr>
            </w:pPr>
          </w:p>
        </w:tc>
      </w:tr>
      <w:tr w14:paraId="4971E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5D7D5F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131</w:t>
            </w:r>
          </w:p>
        </w:tc>
        <w:tc>
          <w:tcPr>
            <w:tcW w:w="720" w:type="dxa"/>
            <w:vMerge w:val="continue"/>
            <w:vAlign w:val="center"/>
          </w:tcPr>
          <w:p w14:paraId="0700AFB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D17375B">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44A5C7BE">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未写报告报警</w:t>
            </w:r>
          </w:p>
        </w:tc>
        <w:tc>
          <w:tcPr>
            <w:tcW w:w="4417" w:type="dxa"/>
            <w:vAlign w:val="center"/>
          </w:tcPr>
          <w:p w14:paraId="6A1139E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支持急诊患者30分钟未写报告报警和门诊患者两小时未写报告报警</w:t>
            </w:r>
          </w:p>
        </w:tc>
        <w:tc>
          <w:tcPr>
            <w:tcW w:w="733" w:type="dxa"/>
            <w:vMerge w:val="continue"/>
            <w:vAlign w:val="center"/>
          </w:tcPr>
          <w:p w14:paraId="379065A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718A77D">
            <w:pPr>
              <w:jc w:val="center"/>
              <w:rPr>
                <w:rFonts w:hint="eastAsia" w:ascii="宋体" w:hAnsi="宋体" w:eastAsia="宋体" w:cs="宋体"/>
                <w:b w:val="0"/>
                <w:bCs w:val="0"/>
                <w:color w:val="auto"/>
                <w:kern w:val="0"/>
                <w:sz w:val="20"/>
                <w:szCs w:val="20"/>
                <w:highlight w:val="none"/>
                <w:lang w:val="en-US" w:eastAsia="zh-CN" w:bidi="ar-SA"/>
              </w:rPr>
            </w:pPr>
          </w:p>
        </w:tc>
      </w:tr>
      <w:tr w14:paraId="2FCF2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C2D97D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132</w:t>
            </w:r>
          </w:p>
        </w:tc>
        <w:tc>
          <w:tcPr>
            <w:tcW w:w="720" w:type="dxa"/>
            <w:vMerge w:val="continue"/>
            <w:vAlign w:val="center"/>
          </w:tcPr>
          <w:p w14:paraId="4639D403">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502AE06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诊断管理</w:t>
            </w:r>
          </w:p>
        </w:tc>
        <w:tc>
          <w:tcPr>
            <w:tcW w:w="2308" w:type="dxa"/>
            <w:vAlign w:val="center"/>
          </w:tcPr>
          <w:p w14:paraId="1AA2B74D">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光盘刻录功能</w:t>
            </w:r>
          </w:p>
        </w:tc>
        <w:tc>
          <w:tcPr>
            <w:tcW w:w="4417" w:type="dxa"/>
            <w:vAlign w:val="center"/>
          </w:tcPr>
          <w:p w14:paraId="6830339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支持光盘刻录功能，可手动选择一个或多个患者进行复制到缓冲区，支持支持DICOMDIR光盘刻录模式，支持一键光盘刻录</w:t>
            </w:r>
          </w:p>
        </w:tc>
        <w:tc>
          <w:tcPr>
            <w:tcW w:w="733" w:type="dxa"/>
            <w:vMerge w:val="continue"/>
            <w:vAlign w:val="center"/>
          </w:tcPr>
          <w:p w14:paraId="1699A7C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F9681AB">
            <w:pPr>
              <w:jc w:val="center"/>
              <w:rPr>
                <w:rFonts w:hint="eastAsia" w:ascii="宋体" w:hAnsi="宋体" w:eastAsia="宋体" w:cs="宋体"/>
                <w:b w:val="0"/>
                <w:bCs w:val="0"/>
                <w:color w:val="auto"/>
                <w:kern w:val="0"/>
                <w:sz w:val="20"/>
                <w:szCs w:val="20"/>
                <w:highlight w:val="none"/>
                <w:lang w:val="en-US" w:eastAsia="zh-CN" w:bidi="ar-SA"/>
              </w:rPr>
            </w:pPr>
          </w:p>
        </w:tc>
      </w:tr>
      <w:tr w14:paraId="21B36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583" w:type="dxa"/>
            <w:vAlign w:val="center"/>
          </w:tcPr>
          <w:p w14:paraId="531F8B8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133</w:t>
            </w:r>
          </w:p>
        </w:tc>
        <w:tc>
          <w:tcPr>
            <w:tcW w:w="720" w:type="dxa"/>
            <w:vMerge w:val="continue"/>
            <w:vAlign w:val="center"/>
          </w:tcPr>
          <w:p w14:paraId="6B6B7A1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6D01F3B">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7AD84270">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无损压缩刻录</w:t>
            </w:r>
          </w:p>
        </w:tc>
        <w:tc>
          <w:tcPr>
            <w:tcW w:w="4417" w:type="dxa"/>
            <w:vAlign w:val="center"/>
          </w:tcPr>
          <w:p w14:paraId="40FB70B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支持图像的无损压缩刻录模式</w:t>
            </w:r>
          </w:p>
        </w:tc>
        <w:tc>
          <w:tcPr>
            <w:tcW w:w="733" w:type="dxa"/>
            <w:vMerge w:val="continue"/>
            <w:vAlign w:val="center"/>
          </w:tcPr>
          <w:p w14:paraId="7C5061E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941AAF5">
            <w:pPr>
              <w:jc w:val="center"/>
              <w:rPr>
                <w:rFonts w:hint="eastAsia" w:ascii="宋体" w:hAnsi="宋体" w:eastAsia="宋体" w:cs="宋体"/>
                <w:b w:val="0"/>
                <w:bCs w:val="0"/>
                <w:color w:val="auto"/>
                <w:kern w:val="0"/>
                <w:sz w:val="20"/>
                <w:szCs w:val="20"/>
                <w:highlight w:val="none"/>
                <w:lang w:val="en-US" w:eastAsia="zh-CN" w:bidi="ar-SA"/>
              </w:rPr>
            </w:pPr>
          </w:p>
        </w:tc>
      </w:tr>
      <w:tr w14:paraId="1ACD0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F07AF5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134</w:t>
            </w:r>
          </w:p>
        </w:tc>
        <w:tc>
          <w:tcPr>
            <w:tcW w:w="720" w:type="dxa"/>
            <w:vMerge w:val="continue"/>
            <w:vAlign w:val="center"/>
          </w:tcPr>
          <w:p w14:paraId="7EEC9C2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56C5EC9">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3E05B342">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报告自动下发</w:t>
            </w:r>
          </w:p>
        </w:tc>
        <w:tc>
          <w:tcPr>
            <w:tcW w:w="4417" w:type="dxa"/>
            <w:vAlign w:val="center"/>
          </w:tcPr>
          <w:p w14:paraId="75189A3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支持按照配置的规则，报告自动下发报告</w:t>
            </w:r>
          </w:p>
        </w:tc>
        <w:tc>
          <w:tcPr>
            <w:tcW w:w="733" w:type="dxa"/>
            <w:vMerge w:val="continue"/>
            <w:vAlign w:val="center"/>
          </w:tcPr>
          <w:p w14:paraId="37E5B3A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49437BB">
            <w:pPr>
              <w:jc w:val="center"/>
              <w:rPr>
                <w:rFonts w:hint="eastAsia" w:ascii="宋体" w:hAnsi="宋体" w:eastAsia="宋体" w:cs="宋体"/>
                <w:b w:val="0"/>
                <w:bCs w:val="0"/>
                <w:color w:val="auto"/>
                <w:kern w:val="0"/>
                <w:sz w:val="20"/>
                <w:szCs w:val="20"/>
                <w:highlight w:val="none"/>
                <w:lang w:val="en-US" w:eastAsia="zh-CN" w:bidi="ar-SA"/>
              </w:rPr>
            </w:pPr>
          </w:p>
        </w:tc>
      </w:tr>
      <w:tr w14:paraId="663C4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15FDC5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135</w:t>
            </w:r>
          </w:p>
        </w:tc>
        <w:tc>
          <w:tcPr>
            <w:tcW w:w="720" w:type="dxa"/>
            <w:vMerge w:val="continue"/>
            <w:vAlign w:val="center"/>
          </w:tcPr>
          <w:p w14:paraId="6D907D3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25EB113">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32B6F367">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诊断报告修改痕迹记录</w:t>
            </w:r>
          </w:p>
        </w:tc>
        <w:tc>
          <w:tcPr>
            <w:tcW w:w="4417" w:type="dxa"/>
            <w:vAlign w:val="center"/>
          </w:tcPr>
          <w:p w14:paraId="0DC78D1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支持诊断报告修改痕迹记录，保留患者报告的所有修改痕迹和中间报告进行修改痕迹对比</w:t>
            </w:r>
          </w:p>
        </w:tc>
        <w:tc>
          <w:tcPr>
            <w:tcW w:w="733" w:type="dxa"/>
            <w:vMerge w:val="continue"/>
            <w:vAlign w:val="center"/>
          </w:tcPr>
          <w:p w14:paraId="4B18E93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73B7AD8">
            <w:pPr>
              <w:jc w:val="center"/>
              <w:rPr>
                <w:rFonts w:hint="eastAsia" w:ascii="宋体" w:hAnsi="宋体" w:eastAsia="宋体" w:cs="宋体"/>
                <w:b w:val="0"/>
                <w:bCs w:val="0"/>
                <w:color w:val="auto"/>
                <w:kern w:val="0"/>
                <w:sz w:val="20"/>
                <w:szCs w:val="20"/>
                <w:highlight w:val="none"/>
                <w:lang w:val="en-US" w:eastAsia="zh-CN" w:bidi="ar-SA"/>
              </w:rPr>
            </w:pPr>
          </w:p>
        </w:tc>
      </w:tr>
      <w:tr w14:paraId="1CF76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DDEB07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136</w:t>
            </w:r>
          </w:p>
        </w:tc>
        <w:tc>
          <w:tcPr>
            <w:tcW w:w="720" w:type="dxa"/>
            <w:vMerge w:val="continue"/>
            <w:vAlign w:val="center"/>
          </w:tcPr>
          <w:p w14:paraId="7E4107A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6C64B63">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45682ABF">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打印记录浏览</w:t>
            </w:r>
          </w:p>
        </w:tc>
        <w:tc>
          <w:tcPr>
            <w:tcW w:w="4417" w:type="dxa"/>
            <w:vAlign w:val="center"/>
          </w:tcPr>
          <w:p w14:paraId="0977671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支持针对报告浏览打印记录，查看打印历史，进行数据追溯</w:t>
            </w:r>
          </w:p>
        </w:tc>
        <w:tc>
          <w:tcPr>
            <w:tcW w:w="733" w:type="dxa"/>
            <w:vMerge w:val="continue"/>
            <w:vAlign w:val="center"/>
          </w:tcPr>
          <w:p w14:paraId="7AA35D5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C3E4C1A">
            <w:pPr>
              <w:jc w:val="center"/>
              <w:rPr>
                <w:rFonts w:hint="eastAsia" w:ascii="宋体" w:hAnsi="宋体" w:eastAsia="宋体" w:cs="宋体"/>
                <w:b w:val="0"/>
                <w:bCs w:val="0"/>
                <w:color w:val="auto"/>
                <w:kern w:val="0"/>
                <w:sz w:val="20"/>
                <w:szCs w:val="20"/>
                <w:highlight w:val="none"/>
                <w:lang w:val="en-US" w:eastAsia="zh-CN" w:bidi="ar-SA"/>
              </w:rPr>
            </w:pPr>
          </w:p>
        </w:tc>
      </w:tr>
      <w:tr w14:paraId="5046B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B27C8D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137</w:t>
            </w:r>
          </w:p>
        </w:tc>
        <w:tc>
          <w:tcPr>
            <w:tcW w:w="720" w:type="dxa"/>
            <w:vMerge w:val="continue"/>
            <w:vAlign w:val="center"/>
          </w:tcPr>
          <w:p w14:paraId="68B5A52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190634E">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77B73FBE">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自定义诊断模板</w:t>
            </w:r>
          </w:p>
        </w:tc>
        <w:tc>
          <w:tcPr>
            <w:tcW w:w="4417" w:type="dxa"/>
            <w:vAlign w:val="center"/>
          </w:tcPr>
          <w:p w14:paraId="4741372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支持医生按自己习惯自定义诊断模板，并能够快速引用设置的模板内容</w:t>
            </w:r>
          </w:p>
        </w:tc>
        <w:tc>
          <w:tcPr>
            <w:tcW w:w="733" w:type="dxa"/>
            <w:vMerge w:val="continue"/>
            <w:vAlign w:val="center"/>
          </w:tcPr>
          <w:p w14:paraId="68097CA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EA01FBB">
            <w:pPr>
              <w:jc w:val="center"/>
              <w:rPr>
                <w:rFonts w:hint="eastAsia" w:ascii="宋体" w:hAnsi="宋体" w:eastAsia="宋体" w:cs="宋体"/>
                <w:b w:val="0"/>
                <w:bCs w:val="0"/>
                <w:color w:val="auto"/>
                <w:kern w:val="0"/>
                <w:sz w:val="20"/>
                <w:szCs w:val="20"/>
                <w:highlight w:val="none"/>
                <w:lang w:val="en-US" w:eastAsia="zh-CN" w:bidi="ar-SA"/>
              </w:rPr>
            </w:pPr>
          </w:p>
        </w:tc>
      </w:tr>
      <w:tr w14:paraId="69273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127A67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138</w:t>
            </w:r>
          </w:p>
        </w:tc>
        <w:tc>
          <w:tcPr>
            <w:tcW w:w="720" w:type="dxa"/>
            <w:vMerge w:val="continue"/>
            <w:vAlign w:val="center"/>
          </w:tcPr>
          <w:p w14:paraId="45317915">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7F98D24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质量控制</w:t>
            </w:r>
          </w:p>
        </w:tc>
        <w:tc>
          <w:tcPr>
            <w:tcW w:w="2308" w:type="dxa"/>
            <w:vAlign w:val="center"/>
          </w:tcPr>
          <w:p w14:paraId="23A4AA15">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图像质量评分</w:t>
            </w:r>
          </w:p>
        </w:tc>
        <w:tc>
          <w:tcPr>
            <w:tcW w:w="4417" w:type="dxa"/>
            <w:vAlign w:val="center"/>
          </w:tcPr>
          <w:p w14:paraId="368AA9C5">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支持图像评分，针对技师拍片质量进行评级、评分</w:t>
            </w:r>
          </w:p>
        </w:tc>
        <w:tc>
          <w:tcPr>
            <w:tcW w:w="733" w:type="dxa"/>
            <w:vMerge w:val="continue"/>
            <w:vAlign w:val="center"/>
          </w:tcPr>
          <w:p w14:paraId="649606F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B0D0C05">
            <w:pPr>
              <w:jc w:val="center"/>
              <w:rPr>
                <w:rFonts w:hint="eastAsia" w:ascii="宋体" w:hAnsi="宋体" w:eastAsia="宋体" w:cs="宋体"/>
                <w:b w:val="0"/>
                <w:bCs w:val="0"/>
                <w:color w:val="auto"/>
                <w:kern w:val="0"/>
                <w:sz w:val="20"/>
                <w:szCs w:val="20"/>
                <w:highlight w:val="none"/>
                <w:lang w:val="en-US" w:eastAsia="zh-CN" w:bidi="ar-SA"/>
              </w:rPr>
            </w:pPr>
          </w:p>
        </w:tc>
      </w:tr>
      <w:tr w14:paraId="2433C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C329EA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139</w:t>
            </w:r>
          </w:p>
        </w:tc>
        <w:tc>
          <w:tcPr>
            <w:tcW w:w="720" w:type="dxa"/>
            <w:vMerge w:val="continue"/>
            <w:vAlign w:val="center"/>
          </w:tcPr>
          <w:p w14:paraId="0E3982E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38D8BD9">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30291C76">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报告质量评分</w:t>
            </w:r>
          </w:p>
        </w:tc>
        <w:tc>
          <w:tcPr>
            <w:tcW w:w="4417" w:type="dxa"/>
            <w:vAlign w:val="center"/>
          </w:tcPr>
          <w:p w14:paraId="11F08EF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支持报告评分，对报告质量进行评级、评分</w:t>
            </w:r>
          </w:p>
        </w:tc>
        <w:tc>
          <w:tcPr>
            <w:tcW w:w="733" w:type="dxa"/>
            <w:vMerge w:val="continue"/>
            <w:vAlign w:val="center"/>
          </w:tcPr>
          <w:p w14:paraId="1FCED38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E9348D0">
            <w:pPr>
              <w:jc w:val="center"/>
              <w:rPr>
                <w:rFonts w:hint="eastAsia" w:ascii="宋体" w:hAnsi="宋体" w:eastAsia="宋体" w:cs="宋体"/>
                <w:b w:val="0"/>
                <w:bCs w:val="0"/>
                <w:color w:val="auto"/>
                <w:kern w:val="0"/>
                <w:sz w:val="20"/>
                <w:szCs w:val="20"/>
                <w:highlight w:val="none"/>
                <w:lang w:val="en-US" w:eastAsia="zh-CN" w:bidi="ar-SA"/>
              </w:rPr>
            </w:pPr>
          </w:p>
        </w:tc>
      </w:tr>
      <w:tr w14:paraId="09CA5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13920B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140</w:t>
            </w:r>
          </w:p>
        </w:tc>
        <w:tc>
          <w:tcPr>
            <w:tcW w:w="720" w:type="dxa"/>
            <w:vMerge w:val="continue"/>
            <w:vAlign w:val="center"/>
          </w:tcPr>
          <w:p w14:paraId="4B9DD26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549FEC8">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5EA61BD6">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报告质控管理</w:t>
            </w:r>
          </w:p>
        </w:tc>
        <w:tc>
          <w:tcPr>
            <w:tcW w:w="4417" w:type="dxa"/>
            <w:vAlign w:val="center"/>
          </w:tcPr>
          <w:p w14:paraId="39DC77D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对报告内容设置质控原则，当报告出现原则互斥的条件时自动进行质控告警</w:t>
            </w:r>
          </w:p>
        </w:tc>
        <w:tc>
          <w:tcPr>
            <w:tcW w:w="733" w:type="dxa"/>
            <w:vMerge w:val="continue"/>
            <w:vAlign w:val="center"/>
          </w:tcPr>
          <w:p w14:paraId="7077C64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36CF69E">
            <w:pPr>
              <w:jc w:val="center"/>
              <w:rPr>
                <w:rFonts w:hint="eastAsia" w:ascii="宋体" w:hAnsi="宋体" w:eastAsia="宋体" w:cs="宋体"/>
                <w:b w:val="0"/>
                <w:bCs w:val="0"/>
                <w:color w:val="auto"/>
                <w:kern w:val="0"/>
                <w:sz w:val="20"/>
                <w:szCs w:val="20"/>
                <w:highlight w:val="none"/>
                <w:lang w:val="en-US" w:eastAsia="zh-CN" w:bidi="ar-SA"/>
              </w:rPr>
            </w:pPr>
          </w:p>
        </w:tc>
      </w:tr>
      <w:tr w14:paraId="3367D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9E74B9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141</w:t>
            </w:r>
          </w:p>
        </w:tc>
        <w:tc>
          <w:tcPr>
            <w:tcW w:w="720" w:type="dxa"/>
            <w:vMerge w:val="continue"/>
            <w:vAlign w:val="center"/>
          </w:tcPr>
          <w:p w14:paraId="3AE4CBB5">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4F16127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系统管理</w:t>
            </w:r>
          </w:p>
        </w:tc>
        <w:tc>
          <w:tcPr>
            <w:tcW w:w="2308" w:type="dxa"/>
            <w:vAlign w:val="center"/>
          </w:tcPr>
          <w:p w14:paraId="08C3D0E3">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历史报告自动查询功能</w:t>
            </w:r>
          </w:p>
        </w:tc>
        <w:tc>
          <w:tcPr>
            <w:tcW w:w="4417" w:type="dxa"/>
            <w:vAlign w:val="center"/>
          </w:tcPr>
          <w:p w14:paraId="0BDF530B">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进入报告界面时，自动获取病人历史报告，并可以查看病人报告和影像信息</w:t>
            </w:r>
          </w:p>
        </w:tc>
        <w:tc>
          <w:tcPr>
            <w:tcW w:w="733" w:type="dxa"/>
            <w:vMerge w:val="continue"/>
            <w:vAlign w:val="center"/>
          </w:tcPr>
          <w:p w14:paraId="0F712CD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B849FB5">
            <w:pPr>
              <w:jc w:val="center"/>
              <w:rPr>
                <w:rFonts w:hint="eastAsia" w:ascii="宋体" w:hAnsi="宋体" w:eastAsia="宋体" w:cs="宋体"/>
                <w:b w:val="0"/>
                <w:bCs w:val="0"/>
                <w:color w:val="auto"/>
                <w:kern w:val="0"/>
                <w:sz w:val="20"/>
                <w:szCs w:val="20"/>
                <w:highlight w:val="none"/>
                <w:lang w:val="en-US" w:eastAsia="zh-CN" w:bidi="ar-SA"/>
              </w:rPr>
            </w:pPr>
          </w:p>
        </w:tc>
      </w:tr>
      <w:tr w14:paraId="169F2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17AA55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142</w:t>
            </w:r>
          </w:p>
        </w:tc>
        <w:tc>
          <w:tcPr>
            <w:tcW w:w="720" w:type="dxa"/>
            <w:vMerge w:val="continue"/>
            <w:vAlign w:val="center"/>
          </w:tcPr>
          <w:p w14:paraId="4933915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817FC51">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21CA567D">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特殊字符编辑工具</w:t>
            </w:r>
          </w:p>
        </w:tc>
        <w:tc>
          <w:tcPr>
            <w:tcW w:w="4417" w:type="dxa"/>
            <w:vAlign w:val="center"/>
          </w:tcPr>
          <w:p w14:paraId="6F23E1C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提供编辑工具，快捷输入特殊字符和更改文字信息</w:t>
            </w:r>
          </w:p>
        </w:tc>
        <w:tc>
          <w:tcPr>
            <w:tcW w:w="733" w:type="dxa"/>
            <w:vMerge w:val="continue"/>
            <w:vAlign w:val="center"/>
          </w:tcPr>
          <w:p w14:paraId="17184FF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AADE6C3">
            <w:pPr>
              <w:jc w:val="center"/>
              <w:rPr>
                <w:rFonts w:hint="eastAsia" w:ascii="宋体" w:hAnsi="宋体" w:eastAsia="宋体" w:cs="宋体"/>
                <w:b w:val="0"/>
                <w:bCs w:val="0"/>
                <w:color w:val="auto"/>
                <w:kern w:val="0"/>
                <w:sz w:val="20"/>
                <w:szCs w:val="20"/>
                <w:highlight w:val="none"/>
                <w:lang w:val="en-US" w:eastAsia="zh-CN" w:bidi="ar-SA"/>
              </w:rPr>
            </w:pPr>
          </w:p>
        </w:tc>
      </w:tr>
      <w:tr w14:paraId="4731F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59E101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143</w:t>
            </w:r>
          </w:p>
        </w:tc>
        <w:tc>
          <w:tcPr>
            <w:tcW w:w="720" w:type="dxa"/>
            <w:vMerge w:val="restart"/>
            <w:vAlign w:val="center"/>
          </w:tcPr>
          <w:p w14:paraId="78259B47">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报告分发管理系统</w:t>
            </w:r>
          </w:p>
        </w:tc>
        <w:tc>
          <w:tcPr>
            <w:tcW w:w="875" w:type="dxa"/>
            <w:vMerge w:val="restart"/>
            <w:vAlign w:val="center"/>
          </w:tcPr>
          <w:p w14:paraId="7244874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排班管理</w:t>
            </w:r>
          </w:p>
        </w:tc>
        <w:tc>
          <w:tcPr>
            <w:tcW w:w="2308" w:type="dxa"/>
            <w:vAlign w:val="center"/>
          </w:tcPr>
          <w:p w14:paraId="1623686B">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班次管理</w:t>
            </w:r>
          </w:p>
        </w:tc>
        <w:tc>
          <w:tcPr>
            <w:tcW w:w="4417" w:type="dxa"/>
            <w:vAlign w:val="center"/>
          </w:tcPr>
          <w:p w14:paraId="5FBE4A3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支持新增班次，支持班次名称、班次时间、班次职责和班次设备设置</w:t>
            </w:r>
          </w:p>
        </w:tc>
        <w:tc>
          <w:tcPr>
            <w:tcW w:w="733" w:type="dxa"/>
            <w:vMerge w:val="restart"/>
            <w:vAlign w:val="center"/>
          </w:tcPr>
          <w:p w14:paraId="3F74FBB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0984D3B3">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65E12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81E3AD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144</w:t>
            </w:r>
          </w:p>
        </w:tc>
        <w:tc>
          <w:tcPr>
            <w:tcW w:w="720" w:type="dxa"/>
            <w:vMerge w:val="continue"/>
            <w:vAlign w:val="center"/>
          </w:tcPr>
          <w:p w14:paraId="23E7638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50AEA32">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087C2689">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职责范围</w:t>
            </w:r>
          </w:p>
        </w:tc>
        <w:tc>
          <w:tcPr>
            <w:tcW w:w="4417" w:type="dxa"/>
            <w:vAlign w:val="center"/>
          </w:tcPr>
          <w:p w14:paraId="618E94B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支持诊断职责和审核职责划分，明确班次职责范围</w:t>
            </w:r>
          </w:p>
        </w:tc>
        <w:tc>
          <w:tcPr>
            <w:tcW w:w="733" w:type="dxa"/>
            <w:vMerge w:val="continue"/>
            <w:vAlign w:val="center"/>
          </w:tcPr>
          <w:p w14:paraId="39D25DF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6A1DEA8">
            <w:pPr>
              <w:jc w:val="center"/>
              <w:rPr>
                <w:rFonts w:hint="eastAsia" w:ascii="宋体" w:hAnsi="宋体" w:eastAsia="宋体" w:cs="宋体"/>
                <w:b w:val="0"/>
                <w:bCs w:val="0"/>
                <w:color w:val="auto"/>
                <w:kern w:val="0"/>
                <w:sz w:val="20"/>
                <w:szCs w:val="20"/>
                <w:highlight w:val="none"/>
                <w:lang w:val="en-US" w:eastAsia="zh-CN" w:bidi="ar-SA"/>
              </w:rPr>
            </w:pPr>
          </w:p>
        </w:tc>
      </w:tr>
      <w:tr w14:paraId="1E75C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468165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145</w:t>
            </w:r>
          </w:p>
        </w:tc>
        <w:tc>
          <w:tcPr>
            <w:tcW w:w="720" w:type="dxa"/>
            <w:vMerge w:val="continue"/>
            <w:vAlign w:val="center"/>
          </w:tcPr>
          <w:p w14:paraId="18D310B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E6AF851">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170827B9">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排班日历管理</w:t>
            </w:r>
          </w:p>
        </w:tc>
        <w:tc>
          <w:tcPr>
            <w:tcW w:w="4417" w:type="dxa"/>
            <w:vAlign w:val="center"/>
          </w:tcPr>
          <w:p w14:paraId="7766F77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支持可视化排班日历管理，日历管理根据日历形式显示该日报告人员，值班人员，审核人员等</w:t>
            </w:r>
          </w:p>
        </w:tc>
        <w:tc>
          <w:tcPr>
            <w:tcW w:w="733" w:type="dxa"/>
            <w:vMerge w:val="continue"/>
            <w:vAlign w:val="center"/>
          </w:tcPr>
          <w:p w14:paraId="085EEC6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F08C5E5">
            <w:pPr>
              <w:jc w:val="center"/>
              <w:rPr>
                <w:rFonts w:hint="eastAsia" w:ascii="宋体" w:hAnsi="宋体" w:eastAsia="宋体" w:cs="宋体"/>
                <w:b w:val="0"/>
                <w:bCs w:val="0"/>
                <w:color w:val="auto"/>
                <w:kern w:val="0"/>
                <w:sz w:val="20"/>
                <w:szCs w:val="20"/>
                <w:highlight w:val="none"/>
                <w:lang w:val="en-US" w:eastAsia="zh-CN" w:bidi="ar-SA"/>
              </w:rPr>
            </w:pPr>
          </w:p>
        </w:tc>
      </w:tr>
      <w:tr w14:paraId="6FCED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47D28C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146</w:t>
            </w:r>
          </w:p>
        </w:tc>
        <w:tc>
          <w:tcPr>
            <w:tcW w:w="720" w:type="dxa"/>
            <w:vMerge w:val="continue"/>
            <w:vAlign w:val="center"/>
          </w:tcPr>
          <w:p w14:paraId="54B97D3C">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53326AD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系统设置</w:t>
            </w:r>
          </w:p>
        </w:tc>
        <w:tc>
          <w:tcPr>
            <w:tcW w:w="2308" w:type="dxa"/>
            <w:vAlign w:val="center"/>
          </w:tcPr>
          <w:p w14:paraId="7DAD9FCD">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人员技能能力设置</w:t>
            </w:r>
          </w:p>
        </w:tc>
        <w:tc>
          <w:tcPr>
            <w:tcW w:w="4417" w:type="dxa"/>
            <w:vAlign w:val="center"/>
          </w:tcPr>
          <w:p w14:paraId="64D16EF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根据医生技能水平设置医生人员工作范围，对医生可以写的报告进行设置</w:t>
            </w:r>
          </w:p>
        </w:tc>
        <w:tc>
          <w:tcPr>
            <w:tcW w:w="733" w:type="dxa"/>
            <w:vMerge w:val="continue"/>
            <w:vAlign w:val="center"/>
          </w:tcPr>
          <w:p w14:paraId="541FCEE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43579B8">
            <w:pPr>
              <w:jc w:val="center"/>
              <w:rPr>
                <w:rFonts w:hint="eastAsia" w:ascii="宋体" w:hAnsi="宋体" w:eastAsia="宋体" w:cs="宋体"/>
                <w:b w:val="0"/>
                <w:bCs w:val="0"/>
                <w:color w:val="auto"/>
                <w:kern w:val="0"/>
                <w:sz w:val="20"/>
                <w:szCs w:val="20"/>
                <w:highlight w:val="none"/>
                <w:lang w:val="en-US" w:eastAsia="zh-CN" w:bidi="ar-SA"/>
              </w:rPr>
            </w:pPr>
          </w:p>
        </w:tc>
      </w:tr>
      <w:tr w14:paraId="2BB47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120BCD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147</w:t>
            </w:r>
          </w:p>
        </w:tc>
        <w:tc>
          <w:tcPr>
            <w:tcW w:w="720" w:type="dxa"/>
            <w:vMerge w:val="continue"/>
            <w:vAlign w:val="center"/>
          </w:tcPr>
          <w:p w14:paraId="55AEADE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9DB3CD8">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5168FA92">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患者类型优先级排序</w:t>
            </w:r>
          </w:p>
        </w:tc>
        <w:tc>
          <w:tcPr>
            <w:tcW w:w="4417" w:type="dxa"/>
            <w:vAlign w:val="center"/>
          </w:tcPr>
          <w:p w14:paraId="73D5F6A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根据患者来源设置优先级，对于优先级高的优先派发报告</w:t>
            </w:r>
          </w:p>
        </w:tc>
        <w:tc>
          <w:tcPr>
            <w:tcW w:w="733" w:type="dxa"/>
            <w:vMerge w:val="continue"/>
            <w:vAlign w:val="center"/>
          </w:tcPr>
          <w:p w14:paraId="68FA554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3BE2CDA">
            <w:pPr>
              <w:jc w:val="center"/>
              <w:rPr>
                <w:rFonts w:hint="eastAsia" w:ascii="宋体" w:hAnsi="宋体" w:eastAsia="宋体" w:cs="宋体"/>
                <w:b w:val="0"/>
                <w:bCs w:val="0"/>
                <w:color w:val="auto"/>
                <w:kern w:val="0"/>
                <w:sz w:val="20"/>
                <w:szCs w:val="20"/>
                <w:highlight w:val="none"/>
                <w:lang w:val="en-US" w:eastAsia="zh-CN" w:bidi="ar-SA"/>
              </w:rPr>
            </w:pPr>
          </w:p>
        </w:tc>
      </w:tr>
      <w:tr w14:paraId="27440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69608B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148</w:t>
            </w:r>
          </w:p>
        </w:tc>
        <w:tc>
          <w:tcPr>
            <w:tcW w:w="720" w:type="dxa"/>
            <w:vMerge w:val="continue"/>
            <w:vAlign w:val="center"/>
          </w:tcPr>
          <w:p w14:paraId="713FEE18">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1999D2B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分发管理</w:t>
            </w:r>
          </w:p>
        </w:tc>
        <w:tc>
          <w:tcPr>
            <w:tcW w:w="2308" w:type="dxa"/>
            <w:vAlign w:val="center"/>
          </w:tcPr>
          <w:p w14:paraId="7F763F71">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报告分发模式选择</w:t>
            </w:r>
          </w:p>
        </w:tc>
        <w:tc>
          <w:tcPr>
            <w:tcW w:w="4417" w:type="dxa"/>
            <w:vAlign w:val="center"/>
          </w:tcPr>
          <w:p w14:paraId="4F5F9CB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持按照检查部位权重或检查名称权重进行报告分发</w:t>
            </w:r>
          </w:p>
        </w:tc>
        <w:tc>
          <w:tcPr>
            <w:tcW w:w="733" w:type="dxa"/>
            <w:vMerge w:val="continue"/>
            <w:vAlign w:val="center"/>
          </w:tcPr>
          <w:p w14:paraId="55E2D1A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8EB6335">
            <w:pPr>
              <w:jc w:val="center"/>
              <w:rPr>
                <w:rFonts w:hint="eastAsia" w:ascii="宋体" w:hAnsi="宋体" w:eastAsia="宋体" w:cs="宋体"/>
                <w:b w:val="0"/>
                <w:bCs w:val="0"/>
                <w:color w:val="auto"/>
                <w:kern w:val="0"/>
                <w:sz w:val="20"/>
                <w:szCs w:val="20"/>
                <w:highlight w:val="none"/>
                <w:lang w:val="en-US" w:eastAsia="zh-CN" w:bidi="ar-SA"/>
              </w:rPr>
            </w:pPr>
          </w:p>
        </w:tc>
      </w:tr>
      <w:tr w14:paraId="5097D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2C29D3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149</w:t>
            </w:r>
          </w:p>
        </w:tc>
        <w:tc>
          <w:tcPr>
            <w:tcW w:w="720" w:type="dxa"/>
            <w:vMerge w:val="continue"/>
            <w:vAlign w:val="center"/>
          </w:tcPr>
          <w:p w14:paraId="6DD2EA8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4769A65">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76426ECE">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重新分发设置</w:t>
            </w:r>
          </w:p>
        </w:tc>
        <w:tc>
          <w:tcPr>
            <w:tcW w:w="4417" w:type="dxa"/>
            <w:vAlign w:val="center"/>
          </w:tcPr>
          <w:p w14:paraId="21C3F7E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指定报告和审核重新分发时间，在规定时间内未完成任务将重新分发到其他人员</w:t>
            </w:r>
          </w:p>
        </w:tc>
        <w:tc>
          <w:tcPr>
            <w:tcW w:w="733" w:type="dxa"/>
            <w:vMerge w:val="continue"/>
            <w:vAlign w:val="center"/>
          </w:tcPr>
          <w:p w14:paraId="553D9D2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4434CB3">
            <w:pPr>
              <w:jc w:val="center"/>
              <w:rPr>
                <w:rFonts w:hint="eastAsia" w:ascii="宋体" w:hAnsi="宋体" w:eastAsia="宋体" w:cs="宋体"/>
                <w:b w:val="0"/>
                <w:bCs w:val="0"/>
                <w:color w:val="auto"/>
                <w:kern w:val="0"/>
                <w:sz w:val="20"/>
                <w:szCs w:val="20"/>
                <w:highlight w:val="none"/>
                <w:lang w:val="en-US" w:eastAsia="zh-CN" w:bidi="ar-SA"/>
              </w:rPr>
            </w:pPr>
          </w:p>
        </w:tc>
      </w:tr>
      <w:tr w14:paraId="3728B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8911EE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150</w:t>
            </w:r>
          </w:p>
        </w:tc>
        <w:tc>
          <w:tcPr>
            <w:tcW w:w="720" w:type="dxa"/>
            <w:vMerge w:val="continue"/>
            <w:vAlign w:val="center"/>
          </w:tcPr>
          <w:p w14:paraId="22A3DFA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5105C85">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2B5E0097">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日程班次情况查询</w:t>
            </w:r>
          </w:p>
        </w:tc>
        <w:tc>
          <w:tcPr>
            <w:tcW w:w="4417" w:type="dxa"/>
            <w:vAlign w:val="center"/>
          </w:tcPr>
          <w:p w14:paraId="7A9C6EBB">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通过可视化排班日历显示每日班次和当值人员情况</w:t>
            </w:r>
          </w:p>
        </w:tc>
        <w:tc>
          <w:tcPr>
            <w:tcW w:w="733" w:type="dxa"/>
            <w:vMerge w:val="continue"/>
            <w:vAlign w:val="center"/>
          </w:tcPr>
          <w:p w14:paraId="0371584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B450B42">
            <w:pPr>
              <w:jc w:val="center"/>
              <w:rPr>
                <w:rFonts w:hint="eastAsia" w:ascii="宋体" w:hAnsi="宋体" w:eastAsia="宋体" w:cs="宋体"/>
                <w:b w:val="0"/>
                <w:bCs w:val="0"/>
                <w:color w:val="auto"/>
                <w:kern w:val="0"/>
                <w:sz w:val="20"/>
                <w:szCs w:val="20"/>
                <w:highlight w:val="none"/>
                <w:lang w:val="en-US" w:eastAsia="zh-CN" w:bidi="ar-SA"/>
              </w:rPr>
            </w:pPr>
          </w:p>
        </w:tc>
      </w:tr>
      <w:tr w14:paraId="05DAB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DA9039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151</w:t>
            </w:r>
          </w:p>
        </w:tc>
        <w:tc>
          <w:tcPr>
            <w:tcW w:w="720" w:type="dxa"/>
            <w:vMerge w:val="restart"/>
            <w:vAlign w:val="center"/>
          </w:tcPr>
          <w:p w14:paraId="50835A8D">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质控管理系统</w:t>
            </w:r>
          </w:p>
        </w:tc>
        <w:tc>
          <w:tcPr>
            <w:tcW w:w="875" w:type="dxa"/>
            <w:vMerge w:val="restart"/>
            <w:vAlign w:val="center"/>
          </w:tcPr>
          <w:p w14:paraId="6176910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事中质控</w:t>
            </w:r>
          </w:p>
        </w:tc>
        <w:tc>
          <w:tcPr>
            <w:tcW w:w="2308" w:type="dxa"/>
            <w:vAlign w:val="center"/>
          </w:tcPr>
          <w:p w14:paraId="11AA571A">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编写报告事中质控</w:t>
            </w:r>
          </w:p>
        </w:tc>
        <w:tc>
          <w:tcPr>
            <w:tcW w:w="4417" w:type="dxa"/>
            <w:vAlign w:val="center"/>
          </w:tcPr>
          <w:p w14:paraId="2D30DC4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医技科室写报告的同时，对抽样选中的报告和图像，可对申请单书写规范、图像质量、报告质量进行质控</w:t>
            </w:r>
          </w:p>
        </w:tc>
        <w:tc>
          <w:tcPr>
            <w:tcW w:w="733" w:type="dxa"/>
            <w:vMerge w:val="restart"/>
            <w:vAlign w:val="center"/>
          </w:tcPr>
          <w:p w14:paraId="2D2227D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755A6208">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19397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3C35EA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152</w:t>
            </w:r>
          </w:p>
        </w:tc>
        <w:tc>
          <w:tcPr>
            <w:tcW w:w="720" w:type="dxa"/>
            <w:vMerge w:val="continue"/>
            <w:vAlign w:val="center"/>
          </w:tcPr>
          <w:p w14:paraId="5ED1D47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BE81FEA">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15CE7002">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审核报告事中质控</w:t>
            </w:r>
          </w:p>
        </w:tc>
        <w:tc>
          <w:tcPr>
            <w:tcW w:w="4417" w:type="dxa"/>
            <w:vAlign w:val="center"/>
          </w:tcPr>
          <w:p w14:paraId="1F53B67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医生在审核报告时，可直接进行质控打分</w:t>
            </w:r>
          </w:p>
        </w:tc>
        <w:tc>
          <w:tcPr>
            <w:tcW w:w="733" w:type="dxa"/>
            <w:vMerge w:val="continue"/>
            <w:vAlign w:val="center"/>
          </w:tcPr>
          <w:p w14:paraId="629AD97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D3432C7">
            <w:pPr>
              <w:jc w:val="center"/>
              <w:rPr>
                <w:rFonts w:hint="eastAsia" w:ascii="宋体" w:hAnsi="宋体" w:eastAsia="宋体" w:cs="宋体"/>
                <w:b w:val="0"/>
                <w:bCs w:val="0"/>
                <w:color w:val="auto"/>
                <w:kern w:val="0"/>
                <w:sz w:val="20"/>
                <w:szCs w:val="20"/>
                <w:highlight w:val="none"/>
                <w:lang w:val="en-US" w:eastAsia="zh-CN" w:bidi="ar-SA"/>
              </w:rPr>
            </w:pPr>
          </w:p>
        </w:tc>
      </w:tr>
      <w:tr w14:paraId="35011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6FDCA7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153</w:t>
            </w:r>
          </w:p>
        </w:tc>
        <w:tc>
          <w:tcPr>
            <w:tcW w:w="720" w:type="dxa"/>
            <w:vMerge w:val="continue"/>
            <w:vAlign w:val="center"/>
          </w:tcPr>
          <w:p w14:paraId="71D61DEB">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781C240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事后质控</w:t>
            </w:r>
          </w:p>
        </w:tc>
        <w:tc>
          <w:tcPr>
            <w:tcW w:w="2308" w:type="dxa"/>
            <w:vAlign w:val="center"/>
          </w:tcPr>
          <w:p w14:paraId="5E0B0943">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书写规范质控</w:t>
            </w:r>
          </w:p>
        </w:tc>
        <w:tc>
          <w:tcPr>
            <w:tcW w:w="4417" w:type="dxa"/>
            <w:vAlign w:val="center"/>
          </w:tcPr>
          <w:p w14:paraId="4FEF4EC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可对申请单书写规范、图像质量、报告质量、审核报告进行质量评分</w:t>
            </w:r>
          </w:p>
        </w:tc>
        <w:tc>
          <w:tcPr>
            <w:tcW w:w="733" w:type="dxa"/>
            <w:vMerge w:val="continue"/>
            <w:vAlign w:val="center"/>
          </w:tcPr>
          <w:p w14:paraId="4A65143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2734F48">
            <w:pPr>
              <w:jc w:val="center"/>
              <w:rPr>
                <w:rFonts w:hint="eastAsia" w:ascii="宋体" w:hAnsi="宋体" w:eastAsia="宋体" w:cs="宋体"/>
                <w:b w:val="0"/>
                <w:bCs w:val="0"/>
                <w:color w:val="auto"/>
                <w:kern w:val="0"/>
                <w:sz w:val="20"/>
                <w:szCs w:val="20"/>
                <w:highlight w:val="none"/>
                <w:lang w:val="en-US" w:eastAsia="zh-CN" w:bidi="ar-SA"/>
              </w:rPr>
            </w:pPr>
          </w:p>
        </w:tc>
      </w:tr>
      <w:tr w14:paraId="41041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7491F9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154</w:t>
            </w:r>
          </w:p>
        </w:tc>
        <w:tc>
          <w:tcPr>
            <w:tcW w:w="720" w:type="dxa"/>
            <w:vMerge w:val="continue"/>
            <w:vAlign w:val="center"/>
          </w:tcPr>
          <w:p w14:paraId="1525A44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2616D1F">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51094C85">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图像质量质控</w:t>
            </w:r>
          </w:p>
        </w:tc>
        <w:tc>
          <w:tcPr>
            <w:tcW w:w="4417" w:type="dxa"/>
            <w:vAlign w:val="center"/>
          </w:tcPr>
          <w:p w14:paraId="2DF51FA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调阅DICOM图像，对图像拍摄质量进行打分</w:t>
            </w:r>
          </w:p>
        </w:tc>
        <w:tc>
          <w:tcPr>
            <w:tcW w:w="733" w:type="dxa"/>
            <w:vMerge w:val="continue"/>
            <w:vAlign w:val="center"/>
          </w:tcPr>
          <w:p w14:paraId="1101E3F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E46A006">
            <w:pPr>
              <w:jc w:val="center"/>
              <w:rPr>
                <w:rFonts w:hint="eastAsia" w:ascii="宋体" w:hAnsi="宋体" w:eastAsia="宋体" w:cs="宋体"/>
                <w:b w:val="0"/>
                <w:bCs w:val="0"/>
                <w:color w:val="auto"/>
                <w:kern w:val="0"/>
                <w:sz w:val="20"/>
                <w:szCs w:val="20"/>
                <w:highlight w:val="none"/>
                <w:lang w:val="en-US" w:eastAsia="zh-CN" w:bidi="ar-SA"/>
              </w:rPr>
            </w:pPr>
          </w:p>
        </w:tc>
      </w:tr>
      <w:tr w14:paraId="62FDB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D70D5A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155</w:t>
            </w:r>
          </w:p>
        </w:tc>
        <w:tc>
          <w:tcPr>
            <w:tcW w:w="720" w:type="dxa"/>
            <w:vMerge w:val="continue"/>
            <w:vAlign w:val="center"/>
          </w:tcPr>
          <w:p w14:paraId="4247017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32CA3DF">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0B339532">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报告质量质控</w:t>
            </w:r>
          </w:p>
        </w:tc>
        <w:tc>
          <w:tcPr>
            <w:tcW w:w="4417" w:type="dxa"/>
            <w:vAlign w:val="center"/>
          </w:tcPr>
          <w:p w14:paraId="70EC62B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对检查报告抽样，评估报告质量，进行打分</w:t>
            </w:r>
          </w:p>
        </w:tc>
        <w:tc>
          <w:tcPr>
            <w:tcW w:w="733" w:type="dxa"/>
            <w:vMerge w:val="continue"/>
            <w:vAlign w:val="center"/>
          </w:tcPr>
          <w:p w14:paraId="76882C5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818A9D1">
            <w:pPr>
              <w:jc w:val="center"/>
              <w:rPr>
                <w:rFonts w:hint="eastAsia" w:ascii="宋体" w:hAnsi="宋体" w:eastAsia="宋体" w:cs="宋体"/>
                <w:b w:val="0"/>
                <w:bCs w:val="0"/>
                <w:color w:val="auto"/>
                <w:kern w:val="0"/>
                <w:sz w:val="20"/>
                <w:szCs w:val="20"/>
                <w:highlight w:val="none"/>
                <w:lang w:val="en-US" w:eastAsia="zh-CN" w:bidi="ar-SA"/>
              </w:rPr>
            </w:pPr>
          </w:p>
        </w:tc>
      </w:tr>
      <w:tr w14:paraId="631A3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EFF537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156</w:t>
            </w:r>
          </w:p>
        </w:tc>
        <w:tc>
          <w:tcPr>
            <w:tcW w:w="720" w:type="dxa"/>
            <w:vMerge w:val="continue"/>
            <w:vAlign w:val="center"/>
          </w:tcPr>
          <w:p w14:paraId="3095772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699C4A3">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2CFC7186">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审核报告质控</w:t>
            </w:r>
          </w:p>
        </w:tc>
        <w:tc>
          <w:tcPr>
            <w:tcW w:w="4417" w:type="dxa"/>
            <w:vAlign w:val="center"/>
          </w:tcPr>
          <w:p w14:paraId="22FDCBC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对报告审核效率、审核结果进行打分质控</w:t>
            </w:r>
          </w:p>
        </w:tc>
        <w:tc>
          <w:tcPr>
            <w:tcW w:w="733" w:type="dxa"/>
            <w:vMerge w:val="continue"/>
            <w:vAlign w:val="center"/>
          </w:tcPr>
          <w:p w14:paraId="619894B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51D5E15">
            <w:pPr>
              <w:jc w:val="center"/>
              <w:rPr>
                <w:rFonts w:hint="eastAsia" w:ascii="宋体" w:hAnsi="宋体" w:eastAsia="宋体" w:cs="宋体"/>
                <w:b w:val="0"/>
                <w:bCs w:val="0"/>
                <w:color w:val="auto"/>
                <w:kern w:val="0"/>
                <w:sz w:val="20"/>
                <w:szCs w:val="20"/>
                <w:highlight w:val="none"/>
                <w:lang w:val="en-US" w:eastAsia="zh-CN" w:bidi="ar-SA"/>
              </w:rPr>
            </w:pPr>
          </w:p>
        </w:tc>
      </w:tr>
      <w:tr w14:paraId="49484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581147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157</w:t>
            </w:r>
          </w:p>
        </w:tc>
        <w:tc>
          <w:tcPr>
            <w:tcW w:w="720" w:type="dxa"/>
            <w:vMerge w:val="continue"/>
            <w:vAlign w:val="center"/>
          </w:tcPr>
          <w:p w14:paraId="3230E10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342E11C">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6CF65707">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评分记录</w:t>
            </w:r>
          </w:p>
        </w:tc>
        <w:tc>
          <w:tcPr>
            <w:tcW w:w="4417" w:type="dxa"/>
            <w:vAlign w:val="center"/>
          </w:tcPr>
          <w:p w14:paraId="30C291C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对影像科图像质量进行评分记录</w:t>
            </w:r>
          </w:p>
        </w:tc>
        <w:tc>
          <w:tcPr>
            <w:tcW w:w="733" w:type="dxa"/>
            <w:vMerge w:val="continue"/>
            <w:vAlign w:val="center"/>
          </w:tcPr>
          <w:p w14:paraId="408B005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6B35FE6">
            <w:pPr>
              <w:jc w:val="center"/>
              <w:rPr>
                <w:rFonts w:hint="eastAsia" w:ascii="宋体" w:hAnsi="宋体" w:eastAsia="宋体" w:cs="宋体"/>
                <w:b w:val="0"/>
                <w:bCs w:val="0"/>
                <w:color w:val="auto"/>
                <w:kern w:val="0"/>
                <w:sz w:val="20"/>
                <w:szCs w:val="20"/>
                <w:highlight w:val="none"/>
                <w:lang w:val="en-US" w:eastAsia="zh-CN" w:bidi="ar-SA"/>
              </w:rPr>
            </w:pPr>
          </w:p>
        </w:tc>
      </w:tr>
      <w:tr w14:paraId="51E30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3" w:type="dxa"/>
            <w:vAlign w:val="center"/>
          </w:tcPr>
          <w:p w14:paraId="1EFE2D1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158</w:t>
            </w:r>
          </w:p>
        </w:tc>
        <w:tc>
          <w:tcPr>
            <w:tcW w:w="720" w:type="dxa"/>
            <w:vMerge w:val="continue"/>
            <w:vAlign w:val="center"/>
          </w:tcPr>
          <w:p w14:paraId="377C238E">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7E15DC5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系统管理</w:t>
            </w:r>
          </w:p>
        </w:tc>
        <w:tc>
          <w:tcPr>
            <w:tcW w:w="2308" w:type="dxa"/>
            <w:vAlign w:val="center"/>
          </w:tcPr>
          <w:p w14:paraId="2FB3B230">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图像质控规则维护</w:t>
            </w:r>
          </w:p>
        </w:tc>
        <w:tc>
          <w:tcPr>
            <w:tcW w:w="4417" w:type="dxa"/>
            <w:vAlign w:val="center"/>
          </w:tcPr>
          <w:p w14:paraId="6F3896C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维护图像质控规则，通过规则自动进行图像质量打分</w:t>
            </w:r>
          </w:p>
        </w:tc>
        <w:tc>
          <w:tcPr>
            <w:tcW w:w="733" w:type="dxa"/>
            <w:vMerge w:val="continue"/>
            <w:vAlign w:val="center"/>
          </w:tcPr>
          <w:p w14:paraId="287DB53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E100AB4">
            <w:pPr>
              <w:jc w:val="center"/>
              <w:rPr>
                <w:rFonts w:hint="eastAsia" w:ascii="宋体" w:hAnsi="宋体" w:eastAsia="宋体" w:cs="宋体"/>
                <w:b w:val="0"/>
                <w:bCs w:val="0"/>
                <w:color w:val="auto"/>
                <w:kern w:val="0"/>
                <w:sz w:val="20"/>
                <w:szCs w:val="20"/>
                <w:highlight w:val="none"/>
                <w:lang w:val="en-US" w:eastAsia="zh-CN" w:bidi="ar-SA"/>
              </w:rPr>
            </w:pPr>
          </w:p>
        </w:tc>
      </w:tr>
      <w:tr w14:paraId="1AFBF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D12C47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159</w:t>
            </w:r>
          </w:p>
        </w:tc>
        <w:tc>
          <w:tcPr>
            <w:tcW w:w="720" w:type="dxa"/>
            <w:vMerge w:val="continue"/>
            <w:vAlign w:val="center"/>
          </w:tcPr>
          <w:p w14:paraId="47F55B4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A5CE0D0">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70881CAD">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质控评分情况统计分析</w:t>
            </w:r>
          </w:p>
        </w:tc>
        <w:tc>
          <w:tcPr>
            <w:tcW w:w="4417" w:type="dxa"/>
            <w:vAlign w:val="center"/>
          </w:tcPr>
          <w:p w14:paraId="4E6E37F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对质控评分结果进行统计分析，可以按多条件进行检索统计</w:t>
            </w:r>
          </w:p>
        </w:tc>
        <w:tc>
          <w:tcPr>
            <w:tcW w:w="733" w:type="dxa"/>
            <w:vMerge w:val="continue"/>
            <w:vAlign w:val="center"/>
          </w:tcPr>
          <w:p w14:paraId="1A11576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4FBF7FB">
            <w:pPr>
              <w:jc w:val="center"/>
              <w:rPr>
                <w:rFonts w:hint="eastAsia" w:ascii="宋体" w:hAnsi="宋体" w:eastAsia="宋体" w:cs="宋体"/>
                <w:b w:val="0"/>
                <w:bCs w:val="0"/>
                <w:color w:val="auto"/>
                <w:kern w:val="0"/>
                <w:sz w:val="20"/>
                <w:szCs w:val="20"/>
                <w:highlight w:val="none"/>
                <w:lang w:val="en-US" w:eastAsia="zh-CN" w:bidi="ar-SA"/>
              </w:rPr>
            </w:pPr>
          </w:p>
        </w:tc>
      </w:tr>
      <w:tr w14:paraId="70DF7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10AD5D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160</w:t>
            </w:r>
          </w:p>
        </w:tc>
        <w:tc>
          <w:tcPr>
            <w:tcW w:w="720" w:type="dxa"/>
            <w:vMerge w:val="restart"/>
            <w:vAlign w:val="center"/>
          </w:tcPr>
          <w:p w14:paraId="19874546">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实施对接</w:t>
            </w:r>
          </w:p>
        </w:tc>
        <w:tc>
          <w:tcPr>
            <w:tcW w:w="875" w:type="dxa"/>
            <w:vMerge w:val="restart"/>
            <w:vAlign w:val="center"/>
          </w:tcPr>
          <w:p w14:paraId="414348C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医院影像系统对接平台调试</w:t>
            </w:r>
          </w:p>
        </w:tc>
        <w:tc>
          <w:tcPr>
            <w:tcW w:w="2308" w:type="dxa"/>
            <w:vAlign w:val="center"/>
          </w:tcPr>
          <w:p w14:paraId="5714381C">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发送检查申请接口</w:t>
            </w:r>
          </w:p>
        </w:tc>
        <w:tc>
          <w:tcPr>
            <w:tcW w:w="4417" w:type="dxa"/>
            <w:vAlign w:val="center"/>
          </w:tcPr>
          <w:p w14:paraId="6DB9F59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对接区域平台，实现发送检查申请接口开发工作</w:t>
            </w:r>
          </w:p>
        </w:tc>
        <w:tc>
          <w:tcPr>
            <w:tcW w:w="733" w:type="dxa"/>
            <w:vMerge w:val="restart"/>
            <w:vAlign w:val="center"/>
          </w:tcPr>
          <w:p w14:paraId="1A4DE2B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5496C4D2">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738AE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806895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161</w:t>
            </w:r>
          </w:p>
        </w:tc>
        <w:tc>
          <w:tcPr>
            <w:tcW w:w="720" w:type="dxa"/>
            <w:vMerge w:val="continue"/>
            <w:vAlign w:val="center"/>
          </w:tcPr>
          <w:p w14:paraId="6FA17D8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965AF36">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18EEBB5D">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取消检查申请接口</w:t>
            </w:r>
          </w:p>
        </w:tc>
        <w:tc>
          <w:tcPr>
            <w:tcW w:w="4417" w:type="dxa"/>
            <w:vAlign w:val="center"/>
          </w:tcPr>
          <w:p w14:paraId="63ADB54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对接区域平台，实现取消检查申请接口开发工作</w:t>
            </w:r>
          </w:p>
        </w:tc>
        <w:tc>
          <w:tcPr>
            <w:tcW w:w="733" w:type="dxa"/>
            <w:vMerge w:val="continue"/>
            <w:vAlign w:val="center"/>
          </w:tcPr>
          <w:p w14:paraId="3C9BC27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FD7E81F">
            <w:pPr>
              <w:jc w:val="center"/>
              <w:rPr>
                <w:rFonts w:hint="eastAsia" w:ascii="宋体" w:hAnsi="宋体" w:eastAsia="宋体" w:cs="宋体"/>
                <w:b w:val="0"/>
                <w:bCs w:val="0"/>
                <w:color w:val="auto"/>
                <w:kern w:val="0"/>
                <w:sz w:val="20"/>
                <w:szCs w:val="20"/>
                <w:highlight w:val="none"/>
                <w:lang w:val="en-US" w:eastAsia="zh-CN" w:bidi="ar-SA"/>
              </w:rPr>
            </w:pPr>
          </w:p>
        </w:tc>
      </w:tr>
      <w:tr w14:paraId="34505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97D15B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162</w:t>
            </w:r>
          </w:p>
        </w:tc>
        <w:tc>
          <w:tcPr>
            <w:tcW w:w="720" w:type="dxa"/>
            <w:vMerge w:val="continue"/>
            <w:vAlign w:val="center"/>
          </w:tcPr>
          <w:p w14:paraId="532F1BA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618C6EE">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2DC04655">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查询检查申请接口</w:t>
            </w:r>
          </w:p>
        </w:tc>
        <w:tc>
          <w:tcPr>
            <w:tcW w:w="4417" w:type="dxa"/>
            <w:vAlign w:val="center"/>
          </w:tcPr>
          <w:p w14:paraId="2048A45B">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对接区域平台，实现查询检查申请接口开发工作</w:t>
            </w:r>
          </w:p>
        </w:tc>
        <w:tc>
          <w:tcPr>
            <w:tcW w:w="733" w:type="dxa"/>
            <w:vMerge w:val="continue"/>
            <w:vAlign w:val="center"/>
          </w:tcPr>
          <w:p w14:paraId="55938B1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37D99E8">
            <w:pPr>
              <w:jc w:val="center"/>
              <w:rPr>
                <w:rFonts w:hint="eastAsia" w:ascii="宋体" w:hAnsi="宋体" w:eastAsia="宋体" w:cs="宋体"/>
                <w:b w:val="0"/>
                <w:bCs w:val="0"/>
                <w:color w:val="auto"/>
                <w:kern w:val="0"/>
                <w:sz w:val="20"/>
                <w:szCs w:val="20"/>
                <w:highlight w:val="none"/>
                <w:lang w:val="en-US" w:eastAsia="zh-CN" w:bidi="ar-SA"/>
              </w:rPr>
            </w:pPr>
          </w:p>
        </w:tc>
      </w:tr>
      <w:tr w14:paraId="29F84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D8A09C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163</w:t>
            </w:r>
          </w:p>
        </w:tc>
        <w:tc>
          <w:tcPr>
            <w:tcW w:w="720" w:type="dxa"/>
            <w:vMerge w:val="continue"/>
            <w:vAlign w:val="center"/>
          </w:tcPr>
          <w:p w14:paraId="72768B0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2677212">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6496E8DB">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发送检查报告接口</w:t>
            </w:r>
          </w:p>
        </w:tc>
        <w:tc>
          <w:tcPr>
            <w:tcW w:w="4417" w:type="dxa"/>
            <w:vAlign w:val="center"/>
          </w:tcPr>
          <w:p w14:paraId="20459C9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对接区域平台，实现发送检查报告接口开发工作</w:t>
            </w:r>
          </w:p>
        </w:tc>
        <w:tc>
          <w:tcPr>
            <w:tcW w:w="733" w:type="dxa"/>
            <w:vMerge w:val="continue"/>
            <w:vAlign w:val="center"/>
          </w:tcPr>
          <w:p w14:paraId="7BC7F2B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EF9A8EB">
            <w:pPr>
              <w:jc w:val="center"/>
              <w:rPr>
                <w:rFonts w:hint="eastAsia" w:ascii="宋体" w:hAnsi="宋体" w:eastAsia="宋体" w:cs="宋体"/>
                <w:b w:val="0"/>
                <w:bCs w:val="0"/>
                <w:color w:val="auto"/>
                <w:kern w:val="0"/>
                <w:sz w:val="20"/>
                <w:szCs w:val="20"/>
                <w:highlight w:val="none"/>
                <w:lang w:val="en-US" w:eastAsia="zh-CN" w:bidi="ar-SA"/>
              </w:rPr>
            </w:pPr>
          </w:p>
        </w:tc>
      </w:tr>
      <w:tr w14:paraId="65829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A217D1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164</w:t>
            </w:r>
          </w:p>
        </w:tc>
        <w:tc>
          <w:tcPr>
            <w:tcW w:w="720" w:type="dxa"/>
            <w:vMerge w:val="continue"/>
            <w:vAlign w:val="center"/>
          </w:tcPr>
          <w:p w14:paraId="272C900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E858510">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60B11427">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撤回检查报告接口</w:t>
            </w:r>
          </w:p>
        </w:tc>
        <w:tc>
          <w:tcPr>
            <w:tcW w:w="4417" w:type="dxa"/>
            <w:vAlign w:val="center"/>
          </w:tcPr>
          <w:p w14:paraId="042E883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对接区域平台，实现撤回检查报告接口开发工作</w:t>
            </w:r>
          </w:p>
        </w:tc>
        <w:tc>
          <w:tcPr>
            <w:tcW w:w="733" w:type="dxa"/>
            <w:vMerge w:val="continue"/>
            <w:vAlign w:val="center"/>
          </w:tcPr>
          <w:p w14:paraId="20F3D05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E003FAF">
            <w:pPr>
              <w:jc w:val="center"/>
              <w:rPr>
                <w:rFonts w:hint="eastAsia" w:ascii="宋体" w:hAnsi="宋体" w:eastAsia="宋体" w:cs="宋体"/>
                <w:b w:val="0"/>
                <w:bCs w:val="0"/>
                <w:color w:val="auto"/>
                <w:kern w:val="0"/>
                <w:sz w:val="20"/>
                <w:szCs w:val="20"/>
                <w:highlight w:val="none"/>
                <w:lang w:val="en-US" w:eastAsia="zh-CN" w:bidi="ar-SA"/>
              </w:rPr>
            </w:pPr>
          </w:p>
        </w:tc>
      </w:tr>
      <w:tr w14:paraId="3B91C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713B52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165</w:t>
            </w:r>
          </w:p>
        </w:tc>
        <w:tc>
          <w:tcPr>
            <w:tcW w:w="720" w:type="dxa"/>
            <w:vMerge w:val="continue"/>
            <w:vAlign w:val="center"/>
          </w:tcPr>
          <w:p w14:paraId="554777B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5D37337">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0468565F">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查询检查报告接口</w:t>
            </w:r>
          </w:p>
        </w:tc>
        <w:tc>
          <w:tcPr>
            <w:tcW w:w="4417" w:type="dxa"/>
            <w:vAlign w:val="center"/>
          </w:tcPr>
          <w:p w14:paraId="45F4B0C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对接区域平台，实现查询检查报告接口开发工作</w:t>
            </w:r>
          </w:p>
        </w:tc>
        <w:tc>
          <w:tcPr>
            <w:tcW w:w="733" w:type="dxa"/>
            <w:vMerge w:val="continue"/>
            <w:vAlign w:val="center"/>
          </w:tcPr>
          <w:p w14:paraId="013E0F2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335AA42">
            <w:pPr>
              <w:jc w:val="center"/>
              <w:rPr>
                <w:rFonts w:hint="eastAsia" w:ascii="宋体" w:hAnsi="宋体" w:eastAsia="宋体" w:cs="宋体"/>
                <w:b w:val="0"/>
                <w:bCs w:val="0"/>
                <w:color w:val="auto"/>
                <w:kern w:val="0"/>
                <w:sz w:val="20"/>
                <w:szCs w:val="20"/>
                <w:highlight w:val="none"/>
                <w:lang w:val="en-US" w:eastAsia="zh-CN" w:bidi="ar-SA"/>
              </w:rPr>
            </w:pPr>
          </w:p>
        </w:tc>
      </w:tr>
      <w:tr w14:paraId="1D6F7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CE134E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166</w:t>
            </w:r>
          </w:p>
        </w:tc>
        <w:tc>
          <w:tcPr>
            <w:tcW w:w="720" w:type="dxa"/>
            <w:vMerge w:val="continue"/>
            <w:vAlign w:val="center"/>
          </w:tcPr>
          <w:p w14:paraId="49E2568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556F3D0">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4327A872">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更新检查状态接口</w:t>
            </w:r>
          </w:p>
        </w:tc>
        <w:tc>
          <w:tcPr>
            <w:tcW w:w="4417" w:type="dxa"/>
            <w:vAlign w:val="center"/>
          </w:tcPr>
          <w:p w14:paraId="57EA4585">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对接区域平台，实现更新检查状态接口开发工作</w:t>
            </w:r>
          </w:p>
        </w:tc>
        <w:tc>
          <w:tcPr>
            <w:tcW w:w="733" w:type="dxa"/>
            <w:vMerge w:val="continue"/>
            <w:vAlign w:val="center"/>
          </w:tcPr>
          <w:p w14:paraId="6485737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2056781">
            <w:pPr>
              <w:jc w:val="center"/>
              <w:rPr>
                <w:rFonts w:hint="eastAsia" w:ascii="宋体" w:hAnsi="宋体" w:eastAsia="宋体" w:cs="宋体"/>
                <w:b w:val="0"/>
                <w:bCs w:val="0"/>
                <w:color w:val="auto"/>
                <w:kern w:val="0"/>
                <w:sz w:val="20"/>
                <w:szCs w:val="20"/>
                <w:highlight w:val="none"/>
                <w:lang w:val="en-US" w:eastAsia="zh-CN" w:bidi="ar-SA"/>
              </w:rPr>
            </w:pPr>
          </w:p>
        </w:tc>
      </w:tr>
      <w:tr w14:paraId="47CA5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E35F13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167</w:t>
            </w:r>
          </w:p>
        </w:tc>
        <w:tc>
          <w:tcPr>
            <w:tcW w:w="720" w:type="dxa"/>
            <w:vMerge w:val="continue"/>
            <w:vAlign w:val="center"/>
          </w:tcPr>
          <w:p w14:paraId="093184E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DF25920">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797C036C">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查询检查状态接口</w:t>
            </w:r>
          </w:p>
        </w:tc>
        <w:tc>
          <w:tcPr>
            <w:tcW w:w="4417" w:type="dxa"/>
            <w:vAlign w:val="center"/>
          </w:tcPr>
          <w:p w14:paraId="66DF895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对接区域平台，实现查询检查状态接口开发工作</w:t>
            </w:r>
          </w:p>
        </w:tc>
        <w:tc>
          <w:tcPr>
            <w:tcW w:w="733" w:type="dxa"/>
            <w:vMerge w:val="continue"/>
            <w:vAlign w:val="center"/>
          </w:tcPr>
          <w:p w14:paraId="0BEC8B7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D014D95">
            <w:pPr>
              <w:jc w:val="center"/>
              <w:rPr>
                <w:rFonts w:hint="eastAsia" w:ascii="宋体" w:hAnsi="宋体" w:eastAsia="宋体" w:cs="宋体"/>
                <w:b w:val="0"/>
                <w:bCs w:val="0"/>
                <w:color w:val="auto"/>
                <w:kern w:val="0"/>
                <w:sz w:val="20"/>
                <w:szCs w:val="20"/>
                <w:highlight w:val="none"/>
                <w:lang w:val="en-US" w:eastAsia="zh-CN" w:bidi="ar-SA"/>
              </w:rPr>
            </w:pPr>
          </w:p>
        </w:tc>
      </w:tr>
      <w:tr w14:paraId="78C81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9D7815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168</w:t>
            </w:r>
          </w:p>
        </w:tc>
        <w:tc>
          <w:tcPr>
            <w:tcW w:w="720" w:type="dxa"/>
            <w:vMerge w:val="continue"/>
            <w:vAlign w:val="center"/>
          </w:tcPr>
          <w:p w14:paraId="57362971">
            <w:pPr>
              <w:jc w:val="center"/>
              <w:rPr>
                <w:rFonts w:hint="eastAsia" w:ascii="宋体" w:hAnsi="宋体" w:eastAsia="宋体" w:cs="宋体"/>
                <w:b/>
                <w:color w:val="auto"/>
                <w:sz w:val="24"/>
                <w:szCs w:val="24"/>
                <w:highlight w:val="none"/>
                <w:vertAlign w:val="baseline"/>
                <w:lang w:eastAsia="zh-CN"/>
              </w:rPr>
            </w:pPr>
          </w:p>
        </w:tc>
        <w:tc>
          <w:tcPr>
            <w:tcW w:w="3183" w:type="dxa"/>
            <w:gridSpan w:val="2"/>
            <w:vAlign w:val="center"/>
          </w:tcPr>
          <w:p w14:paraId="1E50B50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区域平台对接调试</w:t>
            </w:r>
          </w:p>
        </w:tc>
        <w:tc>
          <w:tcPr>
            <w:tcW w:w="4417" w:type="dxa"/>
            <w:vAlign w:val="center"/>
          </w:tcPr>
          <w:p w14:paraId="53A635D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区域平台配置服务路由，实现区域影像、医院影像系统检查申请、报告等信息流转，数据对接调试</w:t>
            </w:r>
          </w:p>
        </w:tc>
        <w:tc>
          <w:tcPr>
            <w:tcW w:w="733" w:type="dxa"/>
            <w:vAlign w:val="center"/>
          </w:tcPr>
          <w:p w14:paraId="0148257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0513541C">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06A1D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741665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169</w:t>
            </w:r>
          </w:p>
        </w:tc>
        <w:tc>
          <w:tcPr>
            <w:tcW w:w="720" w:type="dxa"/>
            <w:vMerge w:val="restart"/>
            <w:vAlign w:val="center"/>
          </w:tcPr>
          <w:p w14:paraId="0CE0852B">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数据大屏</w:t>
            </w:r>
          </w:p>
        </w:tc>
        <w:tc>
          <w:tcPr>
            <w:tcW w:w="3183" w:type="dxa"/>
            <w:gridSpan w:val="2"/>
            <w:vMerge w:val="restart"/>
            <w:vAlign w:val="center"/>
          </w:tcPr>
          <w:p w14:paraId="1CD0471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影像云诊中心</w:t>
            </w:r>
          </w:p>
        </w:tc>
        <w:tc>
          <w:tcPr>
            <w:tcW w:w="4417" w:type="dxa"/>
            <w:vAlign w:val="center"/>
          </w:tcPr>
          <w:p w14:paraId="7C09480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展示区域内远程诊断申请总量、申请通过量和通过率，可按年度进行筛选</w:t>
            </w:r>
          </w:p>
        </w:tc>
        <w:tc>
          <w:tcPr>
            <w:tcW w:w="733" w:type="dxa"/>
            <w:vMerge w:val="restart"/>
            <w:vAlign w:val="center"/>
          </w:tcPr>
          <w:p w14:paraId="45893CE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0CC01D2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w:t>
            </w:r>
          </w:p>
        </w:tc>
      </w:tr>
      <w:tr w14:paraId="31189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E5E840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170</w:t>
            </w:r>
          </w:p>
        </w:tc>
        <w:tc>
          <w:tcPr>
            <w:tcW w:w="720" w:type="dxa"/>
            <w:vMerge w:val="continue"/>
            <w:vAlign w:val="center"/>
          </w:tcPr>
          <w:p w14:paraId="08F5CCAB">
            <w:pPr>
              <w:jc w:val="center"/>
              <w:rPr>
                <w:rFonts w:hint="eastAsia" w:ascii="宋体" w:hAnsi="宋体" w:eastAsia="宋体" w:cs="宋体"/>
                <w:b/>
                <w:color w:val="auto"/>
                <w:sz w:val="24"/>
                <w:szCs w:val="24"/>
                <w:highlight w:val="none"/>
                <w:vertAlign w:val="baseline"/>
                <w:lang w:eastAsia="zh-CN"/>
              </w:rPr>
            </w:pPr>
          </w:p>
        </w:tc>
        <w:tc>
          <w:tcPr>
            <w:tcW w:w="3183" w:type="dxa"/>
            <w:gridSpan w:val="2"/>
            <w:vMerge w:val="continue"/>
            <w:vAlign w:val="center"/>
          </w:tcPr>
          <w:p w14:paraId="5511CEC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417" w:type="dxa"/>
            <w:vAlign w:val="center"/>
          </w:tcPr>
          <w:p w14:paraId="5E9D0B9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展示区域内诊断机构、接入基层机构、诊断医师数量，分析诊断医师的职称对比和工作量排名</w:t>
            </w:r>
          </w:p>
        </w:tc>
        <w:tc>
          <w:tcPr>
            <w:tcW w:w="733" w:type="dxa"/>
            <w:vMerge w:val="continue"/>
            <w:vAlign w:val="center"/>
          </w:tcPr>
          <w:p w14:paraId="127BE7E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5663673">
            <w:pPr>
              <w:jc w:val="center"/>
              <w:rPr>
                <w:rFonts w:hint="eastAsia" w:ascii="宋体" w:hAnsi="宋体" w:eastAsia="宋体" w:cs="宋体"/>
                <w:b w:val="0"/>
                <w:bCs w:val="0"/>
                <w:color w:val="auto"/>
                <w:kern w:val="0"/>
                <w:sz w:val="20"/>
                <w:szCs w:val="20"/>
                <w:highlight w:val="none"/>
                <w:lang w:val="en-US" w:eastAsia="zh-CN" w:bidi="ar-SA"/>
              </w:rPr>
            </w:pPr>
          </w:p>
        </w:tc>
      </w:tr>
      <w:tr w14:paraId="61A09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E1F7D3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171</w:t>
            </w:r>
          </w:p>
        </w:tc>
        <w:tc>
          <w:tcPr>
            <w:tcW w:w="720" w:type="dxa"/>
            <w:vMerge w:val="continue"/>
            <w:vAlign w:val="center"/>
          </w:tcPr>
          <w:p w14:paraId="11B4B14E">
            <w:pPr>
              <w:jc w:val="center"/>
              <w:rPr>
                <w:rFonts w:hint="eastAsia" w:ascii="宋体" w:hAnsi="宋体" w:eastAsia="宋体" w:cs="宋体"/>
                <w:b/>
                <w:color w:val="auto"/>
                <w:sz w:val="24"/>
                <w:szCs w:val="24"/>
                <w:highlight w:val="none"/>
                <w:vertAlign w:val="baseline"/>
                <w:lang w:eastAsia="zh-CN"/>
              </w:rPr>
            </w:pPr>
          </w:p>
        </w:tc>
        <w:tc>
          <w:tcPr>
            <w:tcW w:w="3183" w:type="dxa"/>
            <w:gridSpan w:val="2"/>
            <w:vMerge w:val="continue"/>
            <w:vAlign w:val="center"/>
          </w:tcPr>
          <w:p w14:paraId="7B84D0D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417" w:type="dxa"/>
            <w:vAlign w:val="center"/>
          </w:tcPr>
          <w:p w14:paraId="222FF49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通过地图展示各机构远程诊断的申请数量信息，点击地图上的机构名称，进行数据联动</w:t>
            </w:r>
          </w:p>
        </w:tc>
        <w:tc>
          <w:tcPr>
            <w:tcW w:w="733" w:type="dxa"/>
            <w:vMerge w:val="continue"/>
            <w:vAlign w:val="center"/>
          </w:tcPr>
          <w:p w14:paraId="2E5B27B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7980226">
            <w:pPr>
              <w:jc w:val="center"/>
              <w:rPr>
                <w:rFonts w:hint="eastAsia" w:ascii="宋体" w:hAnsi="宋体" w:eastAsia="宋体" w:cs="宋体"/>
                <w:b w:val="0"/>
                <w:bCs w:val="0"/>
                <w:color w:val="auto"/>
                <w:kern w:val="0"/>
                <w:sz w:val="20"/>
                <w:szCs w:val="20"/>
                <w:highlight w:val="none"/>
                <w:lang w:val="en-US" w:eastAsia="zh-CN" w:bidi="ar-SA"/>
              </w:rPr>
            </w:pPr>
          </w:p>
        </w:tc>
      </w:tr>
      <w:tr w14:paraId="792C4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26119F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172</w:t>
            </w:r>
          </w:p>
        </w:tc>
        <w:tc>
          <w:tcPr>
            <w:tcW w:w="720" w:type="dxa"/>
            <w:vMerge w:val="continue"/>
            <w:vAlign w:val="center"/>
          </w:tcPr>
          <w:p w14:paraId="349DC876">
            <w:pPr>
              <w:jc w:val="center"/>
              <w:rPr>
                <w:rFonts w:hint="eastAsia" w:ascii="宋体" w:hAnsi="宋体" w:eastAsia="宋体" w:cs="宋体"/>
                <w:b/>
                <w:color w:val="auto"/>
                <w:sz w:val="24"/>
                <w:szCs w:val="24"/>
                <w:highlight w:val="none"/>
                <w:vertAlign w:val="baseline"/>
                <w:lang w:eastAsia="zh-CN"/>
              </w:rPr>
            </w:pPr>
          </w:p>
        </w:tc>
        <w:tc>
          <w:tcPr>
            <w:tcW w:w="3183" w:type="dxa"/>
            <w:gridSpan w:val="2"/>
            <w:vMerge w:val="continue"/>
            <w:vAlign w:val="center"/>
          </w:tcPr>
          <w:p w14:paraId="1686C62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417" w:type="dxa"/>
            <w:vAlign w:val="center"/>
          </w:tcPr>
          <w:p w14:paraId="720668C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分析影像云诊人次的月度趋势和检查类别对比和疾病诊断排名；分析诊断时效，对诊断闭环过程的平均时长进行质控</w:t>
            </w:r>
          </w:p>
        </w:tc>
        <w:tc>
          <w:tcPr>
            <w:tcW w:w="733" w:type="dxa"/>
            <w:vMerge w:val="continue"/>
            <w:vAlign w:val="center"/>
          </w:tcPr>
          <w:p w14:paraId="24BB750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E63CDA6">
            <w:pPr>
              <w:jc w:val="center"/>
              <w:rPr>
                <w:rFonts w:hint="eastAsia" w:ascii="宋体" w:hAnsi="宋体" w:eastAsia="宋体" w:cs="宋体"/>
                <w:b w:val="0"/>
                <w:bCs w:val="0"/>
                <w:color w:val="auto"/>
                <w:kern w:val="0"/>
                <w:sz w:val="20"/>
                <w:szCs w:val="20"/>
                <w:highlight w:val="none"/>
                <w:lang w:val="en-US" w:eastAsia="zh-CN" w:bidi="ar-SA"/>
              </w:rPr>
            </w:pPr>
          </w:p>
        </w:tc>
      </w:tr>
      <w:tr w14:paraId="35620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F5579E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173</w:t>
            </w:r>
          </w:p>
        </w:tc>
        <w:tc>
          <w:tcPr>
            <w:tcW w:w="720" w:type="dxa"/>
            <w:vMerge w:val="continue"/>
            <w:vAlign w:val="center"/>
          </w:tcPr>
          <w:p w14:paraId="629C7905">
            <w:pPr>
              <w:jc w:val="center"/>
              <w:rPr>
                <w:rFonts w:hint="eastAsia" w:ascii="宋体" w:hAnsi="宋体" w:eastAsia="宋体" w:cs="宋体"/>
                <w:b/>
                <w:color w:val="auto"/>
                <w:sz w:val="24"/>
                <w:szCs w:val="24"/>
                <w:highlight w:val="none"/>
                <w:vertAlign w:val="baseline"/>
                <w:lang w:eastAsia="zh-CN"/>
              </w:rPr>
            </w:pPr>
          </w:p>
        </w:tc>
        <w:tc>
          <w:tcPr>
            <w:tcW w:w="3183" w:type="dxa"/>
            <w:gridSpan w:val="2"/>
            <w:vMerge w:val="continue"/>
            <w:vAlign w:val="center"/>
          </w:tcPr>
          <w:p w14:paraId="301DF71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417" w:type="dxa"/>
            <w:vAlign w:val="center"/>
          </w:tcPr>
          <w:p w14:paraId="6F564D9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统计危急值上报数量，并按影像类别进行对比；统计诊断阳性率指标</w:t>
            </w:r>
          </w:p>
        </w:tc>
        <w:tc>
          <w:tcPr>
            <w:tcW w:w="733" w:type="dxa"/>
            <w:vMerge w:val="continue"/>
            <w:vAlign w:val="center"/>
          </w:tcPr>
          <w:p w14:paraId="39CC2AE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CAF1440">
            <w:pPr>
              <w:jc w:val="center"/>
              <w:rPr>
                <w:rFonts w:hint="eastAsia" w:ascii="宋体" w:hAnsi="宋体" w:eastAsia="宋体" w:cs="宋体"/>
                <w:b w:val="0"/>
                <w:bCs w:val="0"/>
                <w:color w:val="auto"/>
                <w:kern w:val="0"/>
                <w:sz w:val="20"/>
                <w:szCs w:val="20"/>
                <w:highlight w:val="none"/>
                <w:lang w:val="en-US" w:eastAsia="zh-CN" w:bidi="ar-SA"/>
              </w:rPr>
            </w:pPr>
          </w:p>
        </w:tc>
      </w:tr>
    </w:tbl>
    <w:p w14:paraId="58136CA5">
      <w:pPr>
        <w:keepNext w:val="0"/>
        <w:keepLines w:val="0"/>
        <w:pageBreakBefore w:val="0"/>
        <w:widowControl w:val="0"/>
        <w:numPr>
          <w:ilvl w:val="0"/>
          <w:numId w:val="0"/>
        </w:numPr>
        <w:kinsoku/>
        <w:wordWrap/>
        <w:overflowPunct/>
        <w:topLinePunct w:val="0"/>
        <w:autoSpaceDE/>
        <w:autoSpaceDN/>
        <w:bidi w:val="0"/>
        <w:adjustRightInd/>
        <w:snapToGrid/>
        <w:spacing w:line="420" w:lineRule="exact"/>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highlight w:val="yellow"/>
          <w:lang w:eastAsia="zh-CN"/>
        </w:rPr>
        <w:t>（二）</w:t>
      </w:r>
      <w:r>
        <w:rPr>
          <w:rFonts w:hint="eastAsia" w:ascii="宋体" w:hAnsi="宋体" w:eastAsia="宋体" w:cs="宋体"/>
          <w:highlight w:val="yellow"/>
          <w:lang w:val="en-US" w:eastAsia="zh-CN"/>
        </w:rPr>
        <w:t>-4：</w:t>
      </w:r>
      <w:r>
        <w:rPr>
          <w:rFonts w:hint="eastAsia" w:ascii="宋体" w:hAnsi="宋体" w:eastAsia="宋体" w:cs="宋体"/>
          <w:b w:val="0"/>
          <w:bCs w:val="0"/>
          <w:color w:val="auto"/>
          <w:kern w:val="0"/>
          <w:sz w:val="20"/>
          <w:szCs w:val="20"/>
          <w:highlight w:val="yellow"/>
          <w:lang w:val="en-US" w:eastAsia="zh-CN"/>
        </w:rPr>
        <w:t>智慧急救中心</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875"/>
        <w:gridCol w:w="2058"/>
        <w:gridCol w:w="4667"/>
        <w:gridCol w:w="733"/>
        <w:gridCol w:w="714"/>
      </w:tblGrid>
      <w:tr w14:paraId="3C6A6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29E1252">
            <w:pPr>
              <w:widowControl/>
              <w:jc w:val="center"/>
              <w:rPr>
                <w:rFonts w:hint="eastAsia" w:ascii="仿宋" w:hAnsi="仿宋" w:eastAsia="仿宋" w:cs="宋体"/>
                <w:color w:val="auto"/>
                <w:sz w:val="22"/>
                <w:szCs w:val="22"/>
                <w:highlight w:val="none"/>
                <w:lang w:val="en-US" w:eastAsia="zh-CN"/>
              </w:rPr>
            </w:pPr>
            <w:r>
              <w:rPr>
                <w:rFonts w:hint="eastAsia" w:ascii="宋体" w:hAnsi="宋体" w:cs="宋体"/>
                <w:b/>
                <w:bCs/>
                <w:color w:val="auto"/>
                <w:kern w:val="0"/>
                <w:sz w:val="20"/>
                <w:szCs w:val="20"/>
                <w:highlight w:val="none"/>
              </w:rPr>
              <w:t>序号</w:t>
            </w:r>
          </w:p>
        </w:tc>
        <w:tc>
          <w:tcPr>
            <w:tcW w:w="3653" w:type="dxa"/>
            <w:gridSpan w:val="3"/>
            <w:vAlign w:val="center"/>
          </w:tcPr>
          <w:p w14:paraId="1A4116BA">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建设内容</w:t>
            </w:r>
          </w:p>
        </w:tc>
        <w:tc>
          <w:tcPr>
            <w:tcW w:w="4667" w:type="dxa"/>
            <w:vAlign w:val="center"/>
          </w:tcPr>
          <w:p w14:paraId="26A4879A">
            <w:pPr>
              <w:widowControl/>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63547B4D">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单位</w:t>
            </w:r>
          </w:p>
        </w:tc>
        <w:tc>
          <w:tcPr>
            <w:tcW w:w="714" w:type="dxa"/>
            <w:vAlign w:val="center"/>
          </w:tcPr>
          <w:p w14:paraId="05FF51FE">
            <w:pPr>
              <w:spacing w:line="240" w:lineRule="exact"/>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Cs w:val="21"/>
                <w:highlight w:val="none"/>
                <w:lang w:eastAsia="zh-CN"/>
              </w:rPr>
              <w:t>数量</w:t>
            </w:r>
          </w:p>
        </w:tc>
      </w:tr>
      <w:tr w14:paraId="1E4F9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A3C2E6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174</w:t>
            </w:r>
          </w:p>
        </w:tc>
        <w:tc>
          <w:tcPr>
            <w:tcW w:w="720" w:type="dxa"/>
            <w:vMerge w:val="restart"/>
            <w:vAlign w:val="center"/>
          </w:tcPr>
          <w:p w14:paraId="61EFEA6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调度子系统</w:t>
            </w:r>
          </w:p>
        </w:tc>
        <w:tc>
          <w:tcPr>
            <w:tcW w:w="875" w:type="dxa"/>
            <w:vMerge w:val="restart"/>
            <w:vAlign w:val="center"/>
          </w:tcPr>
          <w:p w14:paraId="21D010A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调度台软件</w:t>
            </w:r>
          </w:p>
        </w:tc>
        <w:tc>
          <w:tcPr>
            <w:tcW w:w="2058" w:type="dxa"/>
            <w:vAlign w:val="center"/>
          </w:tcPr>
          <w:p w14:paraId="4CF38F9C">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病情区分功能</w:t>
            </w:r>
          </w:p>
        </w:tc>
        <w:tc>
          <w:tcPr>
            <w:tcW w:w="4667" w:type="dxa"/>
            <w:vAlign w:val="center"/>
          </w:tcPr>
          <w:p w14:paraId="55A4B9D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派车后的车上病情根据不通颜色来区分，让调度更直观。</w:t>
            </w:r>
          </w:p>
        </w:tc>
        <w:tc>
          <w:tcPr>
            <w:tcW w:w="733" w:type="dxa"/>
            <w:vMerge w:val="restart"/>
            <w:vAlign w:val="center"/>
          </w:tcPr>
          <w:p w14:paraId="5B7EA2C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1C0FBA6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6</w:t>
            </w:r>
          </w:p>
        </w:tc>
      </w:tr>
      <w:tr w14:paraId="1ACC1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E57996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175</w:t>
            </w:r>
          </w:p>
        </w:tc>
        <w:tc>
          <w:tcPr>
            <w:tcW w:w="720" w:type="dxa"/>
            <w:vMerge w:val="continue"/>
            <w:vAlign w:val="center"/>
          </w:tcPr>
          <w:p w14:paraId="2135866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792B8D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C95064A">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调度台状态监控</w:t>
            </w:r>
          </w:p>
        </w:tc>
        <w:tc>
          <w:tcPr>
            <w:tcW w:w="4667" w:type="dxa"/>
            <w:vAlign w:val="center"/>
          </w:tcPr>
          <w:p w14:paraId="671D0A7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调度台状态具备【暂停状态】。【暂停状态】和【离席状态】都不分配电话，但是【暂停状态】为班长的工作时长，而【离席状态】则属于休息时长。</w:t>
            </w:r>
          </w:p>
        </w:tc>
        <w:tc>
          <w:tcPr>
            <w:tcW w:w="733" w:type="dxa"/>
            <w:vMerge w:val="continue"/>
            <w:vAlign w:val="center"/>
          </w:tcPr>
          <w:p w14:paraId="536133E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E69DD66">
            <w:pPr>
              <w:jc w:val="center"/>
              <w:rPr>
                <w:rFonts w:hint="eastAsia" w:ascii="宋体" w:hAnsi="宋体" w:eastAsia="宋体" w:cs="宋体"/>
                <w:b w:val="0"/>
                <w:bCs w:val="0"/>
                <w:color w:val="auto"/>
                <w:kern w:val="0"/>
                <w:sz w:val="20"/>
                <w:szCs w:val="20"/>
                <w:highlight w:val="none"/>
                <w:lang w:val="en-US" w:eastAsia="zh-CN" w:bidi="ar-SA"/>
              </w:rPr>
            </w:pPr>
          </w:p>
        </w:tc>
      </w:tr>
      <w:tr w14:paraId="57995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04F633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176</w:t>
            </w:r>
          </w:p>
        </w:tc>
        <w:tc>
          <w:tcPr>
            <w:tcW w:w="720" w:type="dxa"/>
            <w:vMerge w:val="continue"/>
            <w:vAlign w:val="center"/>
          </w:tcPr>
          <w:p w14:paraId="47A8CC8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9C953A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6AA9EB5">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数字话机具备记录状态功能</w:t>
            </w:r>
          </w:p>
        </w:tc>
        <w:tc>
          <w:tcPr>
            <w:tcW w:w="4667" w:type="dxa"/>
            <w:vAlign w:val="center"/>
          </w:tcPr>
          <w:p w14:paraId="5B4FE67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【电话状态：空闲】和【电话状态：示忙】。调度台状态即使为就绪状态，但是话机为示忙状态，则也不分配电话。</w:t>
            </w:r>
          </w:p>
        </w:tc>
        <w:tc>
          <w:tcPr>
            <w:tcW w:w="733" w:type="dxa"/>
            <w:vMerge w:val="continue"/>
            <w:vAlign w:val="center"/>
          </w:tcPr>
          <w:p w14:paraId="50DB840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55C2BA6">
            <w:pPr>
              <w:jc w:val="center"/>
              <w:rPr>
                <w:rFonts w:hint="eastAsia" w:ascii="宋体" w:hAnsi="宋体" w:eastAsia="宋体" w:cs="宋体"/>
                <w:b w:val="0"/>
                <w:bCs w:val="0"/>
                <w:color w:val="auto"/>
                <w:kern w:val="0"/>
                <w:sz w:val="20"/>
                <w:szCs w:val="20"/>
                <w:highlight w:val="none"/>
                <w:lang w:val="en-US" w:eastAsia="zh-CN" w:bidi="ar-SA"/>
              </w:rPr>
            </w:pPr>
          </w:p>
        </w:tc>
      </w:tr>
      <w:tr w14:paraId="7310C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236146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177</w:t>
            </w:r>
          </w:p>
        </w:tc>
        <w:tc>
          <w:tcPr>
            <w:tcW w:w="720" w:type="dxa"/>
            <w:vMerge w:val="continue"/>
            <w:vAlign w:val="center"/>
          </w:tcPr>
          <w:p w14:paraId="5C9BBE2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6516B2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1DAF4FA">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话机状态具备自动置空闲功能</w:t>
            </w:r>
          </w:p>
        </w:tc>
        <w:tc>
          <w:tcPr>
            <w:tcW w:w="4667" w:type="dxa"/>
            <w:vAlign w:val="center"/>
          </w:tcPr>
          <w:p w14:paraId="4902A035">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当话机手柄摘机，而未进行拨打电话，则话机在20秒后，自动置空闲，即使电话手柄未放好，电话状态也会变为空闲，保证120线路畅通。</w:t>
            </w:r>
          </w:p>
        </w:tc>
        <w:tc>
          <w:tcPr>
            <w:tcW w:w="733" w:type="dxa"/>
            <w:vMerge w:val="continue"/>
            <w:vAlign w:val="center"/>
          </w:tcPr>
          <w:p w14:paraId="25C865D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EA74B7B">
            <w:pPr>
              <w:jc w:val="center"/>
              <w:rPr>
                <w:rFonts w:hint="eastAsia" w:ascii="宋体" w:hAnsi="宋体" w:eastAsia="宋体" w:cs="宋体"/>
                <w:b w:val="0"/>
                <w:bCs w:val="0"/>
                <w:color w:val="auto"/>
                <w:kern w:val="0"/>
                <w:sz w:val="20"/>
                <w:szCs w:val="20"/>
                <w:highlight w:val="none"/>
                <w:lang w:val="en-US" w:eastAsia="zh-CN" w:bidi="ar-SA"/>
              </w:rPr>
            </w:pPr>
          </w:p>
        </w:tc>
      </w:tr>
      <w:tr w14:paraId="2B764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F38114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178</w:t>
            </w:r>
          </w:p>
        </w:tc>
        <w:tc>
          <w:tcPr>
            <w:tcW w:w="720" w:type="dxa"/>
            <w:vMerge w:val="continue"/>
            <w:vAlign w:val="center"/>
          </w:tcPr>
          <w:p w14:paraId="1A95A84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17B803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65DE45E">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调度台具备班次记录功能</w:t>
            </w:r>
          </w:p>
        </w:tc>
        <w:tc>
          <w:tcPr>
            <w:tcW w:w="4667" w:type="dxa"/>
            <w:vAlign w:val="center"/>
          </w:tcPr>
          <w:p w14:paraId="6EF23B9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调度员可以通过【系统信息】中，查看当班信息，统计工作时长、当班时长、电话接听率等数据。便于统计调度员工作量，实时显示工作量，让调度员可以积极工作！同时，为统计调度员工作量的考核提供依据，实现标准化管理提供依据。</w:t>
            </w:r>
          </w:p>
        </w:tc>
        <w:tc>
          <w:tcPr>
            <w:tcW w:w="733" w:type="dxa"/>
            <w:vMerge w:val="continue"/>
            <w:vAlign w:val="center"/>
          </w:tcPr>
          <w:p w14:paraId="3FD8C55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D11C1F4">
            <w:pPr>
              <w:jc w:val="center"/>
              <w:rPr>
                <w:rFonts w:hint="eastAsia" w:ascii="宋体" w:hAnsi="宋体" w:eastAsia="宋体" w:cs="宋体"/>
                <w:b w:val="0"/>
                <w:bCs w:val="0"/>
                <w:color w:val="auto"/>
                <w:kern w:val="0"/>
                <w:sz w:val="20"/>
                <w:szCs w:val="20"/>
                <w:highlight w:val="none"/>
                <w:lang w:val="en-US" w:eastAsia="zh-CN" w:bidi="ar-SA"/>
              </w:rPr>
            </w:pPr>
          </w:p>
        </w:tc>
      </w:tr>
      <w:tr w14:paraId="0E622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476E91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179</w:t>
            </w:r>
          </w:p>
        </w:tc>
        <w:tc>
          <w:tcPr>
            <w:tcW w:w="720" w:type="dxa"/>
            <w:vMerge w:val="continue"/>
            <w:vAlign w:val="center"/>
          </w:tcPr>
          <w:p w14:paraId="3299F62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604616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AB20EE9">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自动计算行驶路径</w:t>
            </w:r>
          </w:p>
        </w:tc>
        <w:tc>
          <w:tcPr>
            <w:tcW w:w="4667" w:type="dxa"/>
            <w:vAlign w:val="center"/>
          </w:tcPr>
          <w:p w14:paraId="26EC985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系统可综合路况信息及地理信息，自动计算待命车辆到达事发现场的行驶路径、时间，而非直线距离。</w:t>
            </w:r>
          </w:p>
        </w:tc>
        <w:tc>
          <w:tcPr>
            <w:tcW w:w="733" w:type="dxa"/>
            <w:vMerge w:val="continue"/>
            <w:vAlign w:val="center"/>
          </w:tcPr>
          <w:p w14:paraId="3F9694E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E031C04">
            <w:pPr>
              <w:jc w:val="center"/>
              <w:rPr>
                <w:rFonts w:hint="eastAsia" w:ascii="宋体" w:hAnsi="宋体" w:eastAsia="宋体" w:cs="宋体"/>
                <w:b w:val="0"/>
                <w:bCs w:val="0"/>
                <w:color w:val="auto"/>
                <w:kern w:val="0"/>
                <w:sz w:val="20"/>
                <w:szCs w:val="20"/>
                <w:highlight w:val="none"/>
                <w:lang w:val="en-US" w:eastAsia="zh-CN" w:bidi="ar-SA"/>
              </w:rPr>
            </w:pPr>
          </w:p>
        </w:tc>
      </w:tr>
      <w:tr w14:paraId="15834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480AF6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180</w:t>
            </w:r>
          </w:p>
        </w:tc>
        <w:tc>
          <w:tcPr>
            <w:tcW w:w="720" w:type="dxa"/>
            <w:vMerge w:val="continue"/>
            <w:vAlign w:val="center"/>
          </w:tcPr>
          <w:p w14:paraId="01DD47C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B829A8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96CE6CF">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报停车辆查询</w:t>
            </w:r>
          </w:p>
        </w:tc>
        <w:tc>
          <w:tcPr>
            <w:tcW w:w="4667" w:type="dxa"/>
            <w:vAlign w:val="center"/>
          </w:tcPr>
          <w:p w14:paraId="36F8AA3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对于报停车辆，增加记录查询。</w:t>
            </w:r>
          </w:p>
        </w:tc>
        <w:tc>
          <w:tcPr>
            <w:tcW w:w="733" w:type="dxa"/>
            <w:vMerge w:val="continue"/>
            <w:vAlign w:val="center"/>
          </w:tcPr>
          <w:p w14:paraId="03848A0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876F77D">
            <w:pPr>
              <w:jc w:val="center"/>
              <w:rPr>
                <w:rFonts w:hint="eastAsia" w:ascii="宋体" w:hAnsi="宋体" w:eastAsia="宋体" w:cs="宋体"/>
                <w:b w:val="0"/>
                <w:bCs w:val="0"/>
                <w:color w:val="auto"/>
                <w:kern w:val="0"/>
                <w:sz w:val="20"/>
                <w:szCs w:val="20"/>
                <w:highlight w:val="none"/>
                <w:lang w:val="en-US" w:eastAsia="zh-CN" w:bidi="ar-SA"/>
              </w:rPr>
            </w:pPr>
          </w:p>
        </w:tc>
      </w:tr>
      <w:tr w14:paraId="2258F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ECA593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181</w:t>
            </w:r>
          </w:p>
        </w:tc>
        <w:tc>
          <w:tcPr>
            <w:tcW w:w="720" w:type="dxa"/>
            <w:vMerge w:val="continue"/>
            <w:vAlign w:val="center"/>
          </w:tcPr>
          <w:p w14:paraId="24F29B7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EE146E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27A3E44">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分站救治能力查询</w:t>
            </w:r>
          </w:p>
        </w:tc>
        <w:tc>
          <w:tcPr>
            <w:tcW w:w="4667" w:type="dxa"/>
            <w:vAlign w:val="center"/>
          </w:tcPr>
          <w:p w14:paraId="570C9E5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分站救治能力可显示在派车列表中，方便调度员派更适合的车辆出车。</w:t>
            </w:r>
          </w:p>
        </w:tc>
        <w:tc>
          <w:tcPr>
            <w:tcW w:w="733" w:type="dxa"/>
            <w:vMerge w:val="continue"/>
            <w:vAlign w:val="center"/>
          </w:tcPr>
          <w:p w14:paraId="0C040BC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A67C404">
            <w:pPr>
              <w:jc w:val="center"/>
              <w:rPr>
                <w:rFonts w:hint="eastAsia" w:ascii="宋体" w:hAnsi="宋体" w:eastAsia="宋体" w:cs="宋体"/>
                <w:b w:val="0"/>
                <w:bCs w:val="0"/>
                <w:color w:val="auto"/>
                <w:kern w:val="0"/>
                <w:sz w:val="20"/>
                <w:szCs w:val="20"/>
                <w:highlight w:val="none"/>
                <w:lang w:val="en-US" w:eastAsia="zh-CN" w:bidi="ar-SA"/>
              </w:rPr>
            </w:pPr>
          </w:p>
        </w:tc>
      </w:tr>
      <w:tr w14:paraId="07611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CAF4DA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182</w:t>
            </w:r>
          </w:p>
        </w:tc>
        <w:tc>
          <w:tcPr>
            <w:tcW w:w="720" w:type="dxa"/>
            <w:vMerge w:val="continue"/>
            <w:vAlign w:val="center"/>
          </w:tcPr>
          <w:p w14:paraId="482675E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F7B408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F137638">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双活功能</w:t>
            </w:r>
          </w:p>
        </w:tc>
        <w:tc>
          <w:tcPr>
            <w:tcW w:w="4667" w:type="dxa"/>
            <w:vAlign w:val="center"/>
          </w:tcPr>
          <w:p w14:paraId="279D9F4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调度台程序在主备服务器之间切换，可实现一键完成。</w:t>
            </w:r>
          </w:p>
        </w:tc>
        <w:tc>
          <w:tcPr>
            <w:tcW w:w="733" w:type="dxa"/>
            <w:vMerge w:val="continue"/>
            <w:vAlign w:val="center"/>
          </w:tcPr>
          <w:p w14:paraId="5DAC536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E629ACF">
            <w:pPr>
              <w:jc w:val="center"/>
              <w:rPr>
                <w:rFonts w:hint="eastAsia" w:ascii="宋体" w:hAnsi="宋体" w:eastAsia="宋体" w:cs="宋体"/>
                <w:b w:val="0"/>
                <w:bCs w:val="0"/>
                <w:color w:val="auto"/>
                <w:kern w:val="0"/>
                <w:sz w:val="20"/>
                <w:szCs w:val="20"/>
                <w:highlight w:val="none"/>
                <w:lang w:val="en-US" w:eastAsia="zh-CN" w:bidi="ar-SA"/>
              </w:rPr>
            </w:pPr>
          </w:p>
        </w:tc>
      </w:tr>
      <w:tr w14:paraId="231D4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21E638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183</w:t>
            </w:r>
          </w:p>
        </w:tc>
        <w:tc>
          <w:tcPr>
            <w:tcW w:w="720" w:type="dxa"/>
            <w:vMerge w:val="continue"/>
            <w:vAlign w:val="center"/>
          </w:tcPr>
          <w:p w14:paraId="4CA9B7B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DFC054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FBA4353">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班长台电子围栏提醒功能</w:t>
            </w:r>
          </w:p>
        </w:tc>
        <w:tc>
          <w:tcPr>
            <w:tcW w:w="4667" w:type="dxa"/>
            <w:vAlign w:val="center"/>
          </w:tcPr>
          <w:p w14:paraId="0A398505">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当非任务中的车辆，定位超出设定的城市范围。班长台会收到通知：那辆车已超出围栏。</w:t>
            </w:r>
          </w:p>
        </w:tc>
        <w:tc>
          <w:tcPr>
            <w:tcW w:w="733" w:type="dxa"/>
            <w:vMerge w:val="continue"/>
            <w:vAlign w:val="center"/>
          </w:tcPr>
          <w:p w14:paraId="217978F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218C910">
            <w:pPr>
              <w:jc w:val="center"/>
              <w:rPr>
                <w:rFonts w:hint="eastAsia" w:ascii="宋体" w:hAnsi="宋体" w:eastAsia="宋体" w:cs="宋体"/>
                <w:b w:val="0"/>
                <w:bCs w:val="0"/>
                <w:color w:val="auto"/>
                <w:kern w:val="0"/>
                <w:sz w:val="20"/>
                <w:szCs w:val="20"/>
                <w:highlight w:val="none"/>
                <w:lang w:val="en-US" w:eastAsia="zh-CN" w:bidi="ar-SA"/>
              </w:rPr>
            </w:pPr>
          </w:p>
        </w:tc>
      </w:tr>
      <w:tr w14:paraId="01095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EB1D6C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184</w:t>
            </w:r>
          </w:p>
        </w:tc>
        <w:tc>
          <w:tcPr>
            <w:tcW w:w="720" w:type="dxa"/>
            <w:vMerge w:val="continue"/>
            <w:vAlign w:val="center"/>
          </w:tcPr>
          <w:p w14:paraId="55EE784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F5E0C2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53FC0E2">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自动升级</w:t>
            </w:r>
          </w:p>
        </w:tc>
        <w:tc>
          <w:tcPr>
            <w:tcW w:w="4667" w:type="dxa"/>
            <w:vAlign w:val="center"/>
          </w:tcPr>
          <w:p w14:paraId="25CAFE9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在完成服务器的升级后，调度台在登录时，自动检测程序版本，如果有新版本程序，可进入升级，自动完成调度台程序更新。</w:t>
            </w:r>
          </w:p>
        </w:tc>
        <w:tc>
          <w:tcPr>
            <w:tcW w:w="733" w:type="dxa"/>
            <w:vMerge w:val="continue"/>
            <w:vAlign w:val="center"/>
          </w:tcPr>
          <w:p w14:paraId="6EF0A17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F5AFD17">
            <w:pPr>
              <w:jc w:val="center"/>
              <w:rPr>
                <w:rFonts w:hint="eastAsia" w:ascii="宋体" w:hAnsi="宋体" w:eastAsia="宋体" w:cs="宋体"/>
                <w:b w:val="0"/>
                <w:bCs w:val="0"/>
                <w:color w:val="auto"/>
                <w:kern w:val="0"/>
                <w:sz w:val="20"/>
                <w:szCs w:val="20"/>
                <w:highlight w:val="none"/>
                <w:lang w:val="en-US" w:eastAsia="zh-CN" w:bidi="ar-SA"/>
              </w:rPr>
            </w:pPr>
          </w:p>
        </w:tc>
      </w:tr>
      <w:tr w14:paraId="76344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DB658C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185</w:t>
            </w:r>
          </w:p>
        </w:tc>
        <w:tc>
          <w:tcPr>
            <w:tcW w:w="720" w:type="dxa"/>
            <w:vMerge w:val="continue"/>
            <w:vAlign w:val="center"/>
          </w:tcPr>
          <w:p w14:paraId="09FD9C5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6FA2FF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5B7F6CD">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事件的历史回看</w:t>
            </w:r>
          </w:p>
        </w:tc>
        <w:tc>
          <w:tcPr>
            <w:tcW w:w="4667" w:type="dxa"/>
            <w:vAlign w:val="center"/>
          </w:tcPr>
          <w:p w14:paraId="0E69E51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可以查看到当时派车时，事发地点定位及附近待命车辆和分站位置和医院信息的历史回看。</w:t>
            </w:r>
          </w:p>
        </w:tc>
        <w:tc>
          <w:tcPr>
            <w:tcW w:w="733" w:type="dxa"/>
            <w:vMerge w:val="continue"/>
            <w:vAlign w:val="center"/>
          </w:tcPr>
          <w:p w14:paraId="037BACD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506B265">
            <w:pPr>
              <w:jc w:val="center"/>
              <w:rPr>
                <w:rFonts w:hint="eastAsia" w:ascii="宋体" w:hAnsi="宋体" w:eastAsia="宋体" w:cs="宋体"/>
                <w:b w:val="0"/>
                <w:bCs w:val="0"/>
                <w:color w:val="auto"/>
                <w:kern w:val="0"/>
                <w:sz w:val="20"/>
                <w:szCs w:val="20"/>
                <w:highlight w:val="none"/>
                <w:lang w:val="en-US" w:eastAsia="zh-CN" w:bidi="ar-SA"/>
              </w:rPr>
            </w:pPr>
          </w:p>
        </w:tc>
      </w:tr>
      <w:tr w14:paraId="318EF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B6B6B7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186</w:t>
            </w:r>
          </w:p>
        </w:tc>
        <w:tc>
          <w:tcPr>
            <w:tcW w:w="720" w:type="dxa"/>
            <w:vMerge w:val="continue"/>
            <w:vAlign w:val="center"/>
          </w:tcPr>
          <w:p w14:paraId="547503C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BBF80E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51E5CE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调度台软件</w:t>
            </w:r>
          </w:p>
        </w:tc>
        <w:tc>
          <w:tcPr>
            <w:tcW w:w="4667" w:type="dxa"/>
            <w:vAlign w:val="center"/>
          </w:tcPr>
          <w:p w14:paraId="4A02FAD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调度子系统调度台软件</w:t>
            </w:r>
          </w:p>
        </w:tc>
        <w:tc>
          <w:tcPr>
            <w:tcW w:w="733" w:type="dxa"/>
            <w:vMerge w:val="continue"/>
            <w:vAlign w:val="center"/>
          </w:tcPr>
          <w:p w14:paraId="7DB4E81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DB45ED7">
            <w:pPr>
              <w:jc w:val="center"/>
              <w:rPr>
                <w:rFonts w:hint="eastAsia" w:ascii="宋体" w:hAnsi="宋体" w:eastAsia="宋体" w:cs="宋体"/>
                <w:b w:val="0"/>
                <w:bCs w:val="0"/>
                <w:color w:val="auto"/>
                <w:kern w:val="0"/>
                <w:sz w:val="20"/>
                <w:szCs w:val="20"/>
                <w:highlight w:val="none"/>
                <w:lang w:val="en-US" w:eastAsia="zh-CN" w:bidi="ar-SA"/>
              </w:rPr>
            </w:pPr>
          </w:p>
        </w:tc>
      </w:tr>
      <w:tr w14:paraId="03698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583CD1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187</w:t>
            </w:r>
          </w:p>
        </w:tc>
        <w:tc>
          <w:tcPr>
            <w:tcW w:w="720" w:type="dxa"/>
            <w:vMerge w:val="continue"/>
            <w:vAlign w:val="center"/>
          </w:tcPr>
          <w:p w14:paraId="6B89A4E6">
            <w:pPr>
              <w:jc w:val="center"/>
              <w:rPr>
                <w:rFonts w:hint="eastAsia" w:ascii="宋体" w:hAnsi="宋体" w:eastAsia="宋体" w:cs="宋体"/>
                <w:b/>
                <w:color w:val="auto"/>
                <w:sz w:val="24"/>
                <w:szCs w:val="24"/>
                <w:highlight w:val="none"/>
                <w:vertAlign w:val="baseline"/>
                <w:lang w:eastAsia="zh-CN"/>
              </w:rPr>
            </w:pPr>
          </w:p>
        </w:tc>
        <w:tc>
          <w:tcPr>
            <w:tcW w:w="2933" w:type="dxa"/>
            <w:gridSpan w:val="2"/>
            <w:vAlign w:val="center"/>
          </w:tcPr>
          <w:p w14:paraId="0A864E6A">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短信双向定位平台</w:t>
            </w:r>
          </w:p>
        </w:tc>
        <w:tc>
          <w:tcPr>
            <w:tcW w:w="4667" w:type="dxa"/>
            <w:vAlign w:val="center"/>
          </w:tcPr>
          <w:p w14:paraId="258280F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当呼救者拨打120电话却无法准确描述求助的位置时，调度系统可发送一条短信至其手机，短信内含有定位链接，呼救者在手机GPS打开的情况下，点击该链接，调度系统即可收到准确的位置信息，然后安排最优路径前往救治。此外，派完车后，系统还可以给车组和呼救人发送短信，实现车组和呼救人的双向定位。</w:t>
            </w:r>
          </w:p>
        </w:tc>
        <w:tc>
          <w:tcPr>
            <w:tcW w:w="733" w:type="dxa"/>
            <w:vAlign w:val="center"/>
          </w:tcPr>
          <w:p w14:paraId="700C170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0E64FC1D">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4F8AD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583" w:type="dxa"/>
            <w:vAlign w:val="center"/>
          </w:tcPr>
          <w:p w14:paraId="1556377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188</w:t>
            </w:r>
          </w:p>
        </w:tc>
        <w:tc>
          <w:tcPr>
            <w:tcW w:w="720" w:type="dxa"/>
            <w:vMerge w:val="restart"/>
            <w:vAlign w:val="center"/>
          </w:tcPr>
          <w:p w14:paraId="7C7DDA6F">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急救分站信息服务端</w:t>
            </w:r>
          </w:p>
        </w:tc>
        <w:tc>
          <w:tcPr>
            <w:tcW w:w="875" w:type="dxa"/>
            <w:vMerge w:val="restart"/>
            <w:vAlign w:val="center"/>
          </w:tcPr>
          <w:p w14:paraId="7A29901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急救分站软件</w:t>
            </w:r>
          </w:p>
        </w:tc>
        <w:tc>
          <w:tcPr>
            <w:tcW w:w="2058" w:type="dxa"/>
            <w:vAlign w:val="center"/>
          </w:tcPr>
          <w:p w14:paraId="5A143A5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人员车辆</w:t>
            </w:r>
          </w:p>
        </w:tc>
        <w:tc>
          <w:tcPr>
            <w:tcW w:w="4667" w:type="dxa"/>
            <w:vAlign w:val="center"/>
          </w:tcPr>
          <w:p w14:paraId="7E2D53F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软件具有管理本分站及所属急救站的人员车辆功能。</w:t>
            </w:r>
          </w:p>
        </w:tc>
        <w:tc>
          <w:tcPr>
            <w:tcW w:w="733" w:type="dxa"/>
            <w:vMerge w:val="restart"/>
            <w:vAlign w:val="center"/>
          </w:tcPr>
          <w:p w14:paraId="43C2955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5AB31F25">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8</w:t>
            </w:r>
          </w:p>
        </w:tc>
      </w:tr>
      <w:tr w14:paraId="61B37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583" w:type="dxa"/>
            <w:vAlign w:val="center"/>
          </w:tcPr>
          <w:p w14:paraId="61BF739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189</w:t>
            </w:r>
          </w:p>
        </w:tc>
        <w:tc>
          <w:tcPr>
            <w:tcW w:w="720" w:type="dxa"/>
            <w:vMerge w:val="continue"/>
            <w:vAlign w:val="center"/>
          </w:tcPr>
          <w:p w14:paraId="78578A0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007F97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50398E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药品仪器卫材</w:t>
            </w:r>
          </w:p>
        </w:tc>
        <w:tc>
          <w:tcPr>
            <w:tcW w:w="4667" w:type="dxa"/>
            <w:vAlign w:val="center"/>
          </w:tcPr>
          <w:p w14:paraId="0D76B86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软件具有管理本分站及所属急救站的药品仪器卫材功能。</w:t>
            </w:r>
          </w:p>
        </w:tc>
        <w:tc>
          <w:tcPr>
            <w:tcW w:w="733" w:type="dxa"/>
            <w:vMerge w:val="continue"/>
            <w:vAlign w:val="center"/>
          </w:tcPr>
          <w:p w14:paraId="29789FB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5871A5C">
            <w:pPr>
              <w:jc w:val="center"/>
              <w:rPr>
                <w:rFonts w:hint="eastAsia" w:ascii="宋体" w:hAnsi="宋体" w:eastAsia="宋体" w:cs="宋体"/>
                <w:b w:val="0"/>
                <w:bCs w:val="0"/>
                <w:color w:val="auto"/>
                <w:kern w:val="0"/>
                <w:sz w:val="20"/>
                <w:szCs w:val="20"/>
                <w:highlight w:val="none"/>
                <w:lang w:val="en-US" w:eastAsia="zh-CN" w:bidi="ar-SA"/>
              </w:rPr>
            </w:pPr>
          </w:p>
        </w:tc>
      </w:tr>
      <w:tr w14:paraId="5ED25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83" w:type="dxa"/>
            <w:vAlign w:val="center"/>
          </w:tcPr>
          <w:p w14:paraId="3DF6B40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190</w:t>
            </w:r>
          </w:p>
        </w:tc>
        <w:tc>
          <w:tcPr>
            <w:tcW w:w="720" w:type="dxa"/>
            <w:vMerge w:val="continue"/>
            <w:vAlign w:val="center"/>
          </w:tcPr>
          <w:p w14:paraId="308E33E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299BFA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E2CACE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急救病历</w:t>
            </w:r>
          </w:p>
        </w:tc>
        <w:tc>
          <w:tcPr>
            <w:tcW w:w="4667" w:type="dxa"/>
            <w:vAlign w:val="center"/>
          </w:tcPr>
          <w:p w14:paraId="65458B5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软件具有管理本分站及所属急救站的急救病历功能。</w:t>
            </w:r>
          </w:p>
        </w:tc>
        <w:tc>
          <w:tcPr>
            <w:tcW w:w="733" w:type="dxa"/>
            <w:vMerge w:val="continue"/>
            <w:vAlign w:val="center"/>
          </w:tcPr>
          <w:p w14:paraId="67610EE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5BC65FA">
            <w:pPr>
              <w:jc w:val="center"/>
              <w:rPr>
                <w:rFonts w:hint="eastAsia" w:ascii="宋体" w:hAnsi="宋体" w:eastAsia="宋体" w:cs="宋体"/>
                <w:b w:val="0"/>
                <w:bCs w:val="0"/>
                <w:color w:val="auto"/>
                <w:kern w:val="0"/>
                <w:sz w:val="20"/>
                <w:szCs w:val="20"/>
                <w:highlight w:val="none"/>
                <w:lang w:val="en-US" w:eastAsia="zh-CN" w:bidi="ar-SA"/>
              </w:rPr>
            </w:pPr>
          </w:p>
        </w:tc>
      </w:tr>
      <w:tr w14:paraId="78DCA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trPr>
        <w:tc>
          <w:tcPr>
            <w:tcW w:w="583" w:type="dxa"/>
            <w:vAlign w:val="center"/>
          </w:tcPr>
          <w:p w14:paraId="0777E5D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191</w:t>
            </w:r>
          </w:p>
        </w:tc>
        <w:tc>
          <w:tcPr>
            <w:tcW w:w="720" w:type="dxa"/>
            <w:vMerge w:val="continue"/>
            <w:vAlign w:val="center"/>
          </w:tcPr>
          <w:p w14:paraId="1E868B9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251D1A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1C67F2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急救分站出车监控</w:t>
            </w:r>
          </w:p>
        </w:tc>
        <w:tc>
          <w:tcPr>
            <w:tcW w:w="4667" w:type="dxa"/>
            <w:vAlign w:val="center"/>
          </w:tcPr>
          <w:p w14:paraId="6630B7F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系统需要对急救分站出车等工作情况进行监视，图像实时传回中心，图像传输通道依赖于急救专网，以便大型事故时领导实施应急指挥调度。</w:t>
            </w:r>
          </w:p>
        </w:tc>
        <w:tc>
          <w:tcPr>
            <w:tcW w:w="733" w:type="dxa"/>
            <w:vMerge w:val="continue"/>
            <w:vAlign w:val="center"/>
          </w:tcPr>
          <w:p w14:paraId="5C80097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A0CFE11">
            <w:pPr>
              <w:jc w:val="center"/>
              <w:rPr>
                <w:rFonts w:hint="eastAsia" w:ascii="宋体" w:hAnsi="宋体" w:eastAsia="宋体" w:cs="宋体"/>
                <w:b w:val="0"/>
                <w:bCs w:val="0"/>
                <w:color w:val="auto"/>
                <w:kern w:val="0"/>
                <w:sz w:val="20"/>
                <w:szCs w:val="20"/>
                <w:highlight w:val="none"/>
                <w:lang w:val="en-US" w:eastAsia="zh-CN" w:bidi="ar-SA"/>
              </w:rPr>
            </w:pPr>
          </w:p>
        </w:tc>
      </w:tr>
      <w:tr w14:paraId="7051C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66C1562">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192</w:t>
            </w:r>
          </w:p>
        </w:tc>
        <w:tc>
          <w:tcPr>
            <w:tcW w:w="720" w:type="dxa"/>
            <w:vMerge w:val="continue"/>
            <w:vAlign w:val="center"/>
          </w:tcPr>
          <w:p w14:paraId="685E8F3F">
            <w:pPr>
              <w:jc w:val="center"/>
              <w:rPr>
                <w:rFonts w:hint="eastAsia" w:ascii="宋体" w:hAnsi="宋体" w:eastAsia="宋体" w:cs="宋体"/>
                <w:b/>
                <w:color w:val="auto"/>
                <w:sz w:val="24"/>
                <w:szCs w:val="24"/>
                <w:highlight w:val="none"/>
                <w:vertAlign w:val="baseline"/>
                <w:lang w:eastAsia="zh-CN"/>
              </w:rPr>
            </w:pPr>
          </w:p>
        </w:tc>
        <w:tc>
          <w:tcPr>
            <w:tcW w:w="2933" w:type="dxa"/>
            <w:gridSpan w:val="2"/>
            <w:vAlign w:val="center"/>
          </w:tcPr>
          <w:p w14:paraId="07444579">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院内系统标准化接口</w:t>
            </w:r>
          </w:p>
        </w:tc>
        <w:tc>
          <w:tcPr>
            <w:tcW w:w="4667" w:type="dxa"/>
            <w:vAlign w:val="center"/>
          </w:tcPr>
          <w:p w14:paraId="75312CB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含院内系统对接、市急救平台对接、市AED平台对接</w:t>
            </w:r>
          </w:p>
        </w:tc>
        <w:tc>
          <w:tcPr>
            <w:tcW w:w="733" w:type="dxa"/>
            <w:vAlign w:val="center"/>
          </w:tcPr>
          <w:p w14:paraId="182DFFC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7C82CFD7">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55162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18BF4C7">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193</w:t>
            </w:r>
          </w:p>
        </w:tc>
        <w:tc>
          <w:tcPr>
            <w:tcW w:w="720" w:type="dxa"/>
            <w:vMerge w:val="continue"/>
            <w:vAlign w:val="center"/>
          </w:tcPr>
          <w:p w14:paraId="6CE0D8EE">
            <w:pPr>
              <w:jc w:val="center"/>
              <w:rPr>
                <w:rFonts w:hint="eastAsia" w:ascii="宋体" w:hAnsi="宋体" w:eastAsia="宋体" w:cs="宋体"/>
                <w:b/>
                <w:color w:val="auto"/>
                <w:sz w:val="24"/>
                <w:szCs w:val="24"/>
                <w:highlight w:val="none"/>
                <w:vertAlign w:val="baseline"/>
                <w:lang w:eastAsia="zh-CN"/>
              </w:rPr>
            </w:pPr>
          </w:p>
        </w:tc>
        <w:tc>
          <w:tcPr>
            <w:tcW w:w="2933" w:type="dxa"/>
            <w:gridSpan w:val="2"/>
            <w:vAlign w:val="center"/>
          </w:tcPr>
          <w:p w14:paraId="1B3F0D6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心电监护仪接入平台</w:t>
            </w:r>
          </w:p>
        </w:tc>
        <w:tc>
          <w:tcPr>
            <w:tcW w:w="4667" w:type="dxa"/>
            <w:vAlign w:val="center"/>
          </w:tcPr>
          <w:p w14:paraId="68A58A4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在对救护车进行智能化升级改造前提下，救护车载监护仪体征数据及报告通过 4G/5G 无线网络实时传输到平台，平台端体征监测设备数据采集服务可实现监护仪数据的接收和转发功能，同时为各会诊终端提供救护车上的体征数据及报告，与救护车和定点医疗机构会诊端体征数据的实时共享。</w:t>
            </w:r>
          </w:p>
        </w:tc>
        <w:tc>
          <w:tcPr>
            <w:tcW w:w="733" w:type="dxa"/>
            <w:vAlign w:val="center"/>
          </w:tcPr>
          <w:p w14:paraId="55D7C41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3D83A7F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0036E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C466BE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194</w:t>
            </w:r>
          </w:p>
        </w:tc>
        <w:tc>
          <w:tcPr>
            <w:tcW w:w="720" w:type="dxa"/>
            <w:vMerge w:val="restart"/>
            <w:vAlign w:val="center"/>
          </w:tcPr>
          <w:p w14:paraId="28B615AC">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急救信息综合管理子系统-电子收费板块</w:t>
            </w:r>
          </w:p>
        </w:tc>
        <w:tc>
          <w:tcPr>
            <w:tcW w:w="875" w:type="dxa"/>
            <w:vMerge w:val="restart"/>
            <w:vAlign w:val="center"/>
          </w:tcPr>
          <w:p w14:paraId="2D76EB7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120库存管理系统</w:t>
            </w:r>
          </w:p>
        </w:tc>
        <w:tc>
          <w:tcPr>
            <w:tcW w:w="2058" w:type="dxa"/>
            <w:vAlign w:val="center"/>
          </w:tcPr>
          <w:p w14:paraId="14906D9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药品和耗材供应商管理</w:t>
            </w:r>
          </w:p>
        </w:tc>
        <w:tc>
          <w:tcPr>
            <w:tcW w:w="4667" w:type="dxa"/>
            <w:vAlign w:val="center"/>
          </w:tcPr>
          <w:p w14:paraId="45C6851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提供药品和耗材供应商管理功能。</w:t>
            </w:r>
          </w:p>
        </w:tc>
        <w:tc>
          <w:tcPr>
            <w:tcW w:w="733" w:type="dxa"/>
            <w:vMerge w:val="restart"/>
            <w:vAlign w:val="center"/>
          </w:tcPr>
          <w:p w14:paraId="65D4FA6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28714E86">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26155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8A2742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195</w:t>
            </w:r>
          </w:p>
        </w:tc>
        <w:tc>
          <w:tcPr>
            <w:tcW w:w="720" w:type="dxa"/>
            <w:vMerge w:val="continue"/>
            <w:vAlign w:val="center"/>
          </w:tcPr>
          <w:p w14:paraId="0F8F992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E7FE80F">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756233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药品和耗材类别管理</w:t>
            </w:r>
          </w:p>
        </w:tc>
        <w:tc>
          <w:tcPr>
            <w:tcW w:w="4667" w:type="dxa"/>
            <w:vAlign w:val="center"/>
          </w:tcPr>
          <w:p w14:paraId="6F3C2FF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提供药品和耗材类别管理功能。</w:t>
            </w:r>
          </w:p>
        </w:tc>
        <w:tc>
          <w:tcPr>
            <w:tcW w:w="733" w:type="dxa"/>
            <w:vMerge w:val="continue"/>
            <w:vAlign w:val="center"/>
          </w:tcPr>
          <w:p w14:paraId="512CD72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4E59260">
            <w:pPr>
              <w:jc w:val="center"/>
              <w:rPr>
                <w:rFonts w:hint="eastAsia" w:ascii="宋体" w:hAnsi="宋体" w:eastAsia="宋体" w:cs="宋体"/>
                <w:b w:val="0"/>
                <w:bCs w:val="0"/>
                <w:color w:val="auto"/>
                <w:kern w:val="0"/>
                <w:sz w:val="20"/>
                <w:szCs w:val="20"/>
                <w:highlight w:val="none"/>
                <w:lang w:val="en-US" w:eastAsia="zh-CN" w:bidi="ar-SA"/>
              </w:rPr>
            </w:pPr>
          </w:p>
        </w:tc>
      </w:tr>
      <w:tr w14:paraId="34CBE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E92577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196</w:t>
            </w:r>
          </w:p>
        </w:tc>
        <w:tc>
          <w:tcPr>
            <w:tcW w:w="720" w:type="dxa"/>
            <w:vMerge w:val="continue"/>
            <w:vAlign w:val="center"/>
          </w:tcPr>
          <w:p w14:paraId="67840D0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9D42F6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59ED5B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药品和耗材资料</w:t>
            </w:r>
          </w:p>
        </w:tc>
        <w:tc>
          <w:tcPr>
            <w:tcW w:w="4667" w:type="dxa"/>
            <w:vAlign w:val="center"/>
          </w:tcPr>
          <w:p w14:paraId="4D3D029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提供药品和耗材资料功能。</w:t>
            </w:r>
          </w:p>
        </w:tc>
        <w:tc>
          <w:tcPr>
            <w:tcW w:w="733" w:type="dxa"/>
            <w:vMerge w:val="continue"/>
            <w:vAlign w:val="center"/>
          </w:tcPr>
          <w:p w14:paraId="499C6D7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237C1C6">
            <w:pPr>
              <w:jc w:val="center"/>
              <w:rPr>
                <w:rFonts w:hint="eastAsia" w:ascii="宋体" w:hAnsi="宋体" w:eastAsia="宋体" w:cs="宋体"/>
                <w:b w:val="0"/>
                <w:bCs w:val="0"/>
                <w:color w:val="auto"/>
                <w:kern w:val="0"/>
                <w:sz w:val="20"/>
                <w:szCs w:val="20"/>
                <w:highlight w:val="none"/>
                <w:lang w:val="en-US" w:eastAsia="zh-CN" w:bidi="ar-SA"/>
              </w:rPr>
            </w:pPr>
          </w:p>
        </w:tc>
      </w:tr>
      <w:tr w14:paraId="171D7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7CDAD1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197</w:t>
            </w:r>
          </w:p>
        </w:tc>
        <w:tc>
          <w:tcPr>
            <w:tcW w:w="720" w:type="dxa"/>
            <w:vMerge w:val="continue"/>
            <w:vAlign w:val="center"/>
          </w:tcPr>
          <w:p w14:paraId="65A87B7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1E9701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463D0F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药品和耗材入库管理</w:t>
            </w:r>
          </w:p>
        </w:tc>
        <w:tc>
          <w:tcPr>
            <w:tcW w:w="4667" w:type="dxa"/>
            <w:vAlign w:val="center"/>
          </w:tcPr>
          <w:p w14:paraId="274CCB0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提供药品和耗材入库管理功能。</w:t>
            </w:r>
          </w:p>
        </w:tc>
        <w:tc>
          <w:tcPr>
            <w:tcW w:w="733" w:type="dxa"/>
            <w:vMerge w:val="continue"/>
            <w:vAlign w:val="center"/>
          </w:tcPr>
          <w:p w14:paraId="44527CC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F0E9223">
            <w:pPr>
              <w:jc w:val="center"/>
              <w:rPr>
                <w:rFonts w:hint="eastAsia" w:ascii="宋体" w:hAnsi="宋体" w:eastAsia="宋体" w:cs="宋体"/>
                <w:b w:val="0"/>
                <w:bCs w:val="0"/>
                <w:color w:val="auto"/>
                <w:kern w:val="0"/>
                <w:sz w:val="20"/>
                <w:szCs w:val="20"/>
                <w:highlight w:val="none"/>
                <w:lang w:val="en-US" w:eastAsia="zh-CN" w:bidi="ar-SA"/>
              </w:rPr>
            </w:pPr>
          </w:p>
        </w:tc>
      </w:tr>
      <w:tr w14:paraId="2F2AD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CA2659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198</w:t>
            </w:r>
          </w:p>
        </w:tc>
        <w:tc>
          <w:tcPr>
            <w:tcW w:w="720" w:type="dxa"/>
            <w:vMerge w:val="continue"/>
            <w:vAlign w:val="center"/>
          </w:tcPr>
          <w:p w14:paraId="23920C8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A5C9D4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4FC723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药品和耗材出库管理</w:t>
            </w:r>
          </w:p>
        </w:tc>
        <w:tc>
          <w:tcPr>
            <w:tcW w:w="4667" w:type="dxa"/>
            <w:vAlign w:val="center"/>
          </w:tcPr>
          <w:p w14:paraId="4BCBE84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提供药品和耗材出库管理功能。</w:t>
            </w:r>
          </w:p>
        </w:tc>
        <w:tc>
          <w:tcPr>
            <w:tcW w:w="733" w:type="dxa"/>
            <w:vMerge w:val="continue"/>
            <w:vAlign w:val="center"/>
          </w:tcPr>
          <w:p w14:paraId="7686F30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22B98EE">
            <w:pPr>
              <w:jc w:val="center"/>
              <w:rPr>
                <w:rFonts w:hint="eastAsia" w:ascii="宋体" w:hAnsi="宋体" w:eastAsia="宋体" w:cs="宋体"/>
                <w:b w:val="0"/>
                <w:bCs w:val="0"/>
                <w:color w:val="auto"/>
                <w:kern w:val="0"/>
                <w:sz w:val="20"/>
                <w:szCs w:val="20"/>
                <w:highlight w:val="none"/>
                <w:lang w:val="en-US" w:eastAsia="zh-CN" w:bidi="ar-SA"/>
              </w:rPr>
            </w:pPr>
          </w:p>
        </w:tc>
      </w:tr>
      <w:tr w14:paraId="5E932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C07F72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199</w:t>
            </w:r>
          </w:p>
        </w:tc>
        <w:tc>
          <w:tcPr>
            <w:tcW w:w="720" w:type="dxa"/>
            <w:vMerge w:val="continue"/>
            <w:vAlign w:val="center"/>
          </w:tcPr>
          <w:p w14:paraId="39C1E3F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66B7AD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D58577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药品和耗材转库管理</w:t>
            </w:r>
          </w:p>
        </w:tc>
        <w:tc>
          <w:tcPr>
            <w:tcW w:w="4667" w:type="dxa"/>
            <w:vAlign w:val="center"/>
          </w:tcPr>
          <w:p w14:paraId="77C8573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提供药品和耗材转库管理功能。</w:t>
            </w:r>
          </w:p>
        </w:tc>
        <w:tc>
          <w:tcPr>
            <w:tcW w:w="733" w:type="dxa"/>
            <w:vMerge w:val="continue"/>
            <w:vAlign w:val="center"/>
          </w:tcPr>
          <w:p w14:paraId="096C7F6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D9C0204">
            <w:pPr>
              <w:jc w:val="center"/>
              <w:rPr>
                <w:rFonts w:hint="eastAsia" w:ascii="宋体" w:hAnsi="宋体" w:eastAsia="宋体" w:cs="宋体"/>
                <w:b w:val="0"/>
                <w:bCs w:val="0"/>
                <w:color w:val="auto"/>
                <w:kern w:val="0"/>
                <w:sz w:val="20"/>
                <w:szCs w:val="20"/>
                <w:highlight w:val="none"/>
                <w:lang w:val="en-US" w:eastAsia="zh-CN" w:bidi="ar-SA"/>
              </w:rPr>
            </w:pPr>
          </w:p>
        </w:tc>
      </w:tr>
      <w:tr w14:paraId="4CC06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F8CA6E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200</w:t>
            </w:r>
          </w:p>
        </w:tc>
        <w:tc>
          <w:tcPr>
            <w:tcW w:w="720" w:type="dxa"/>
            <w:vMerge w:val="continue"/>
            <w:vAlign w:val="center"/>
          </w:tcPr>
          <w:p w14:paraId="6946DC7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D18312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BFF86E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药品和耗材盘点管理</w:t>
            </w:r>
          </w:p>
        </w:tc>
        <w:tc>
          <w:tcPr>
            <w:tcW w:w="4667" w:type="dxa"/>
            <w:vAlign w:val="center"/>
          </w:tcPr>
          <w:p w14:paraId="5916E40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提供药品和耗材盘点管理功能。</w:t>
            </w:r>
          </w:p>
        </w:tc>
        <w:tc>
          <w:tcPr>
            <w:tcW w:w="733" w:type="dxa"/>
            <w:vMerge w:val="continue"/>
            <w:vAlign w:val="center"/>
          </w:tcPr>
          <w:p w14:paraId="19FD0D5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7A86FB3">
            <w:pPr>
              <w:jc w:val="center"/>
              <w:rPr>
                <w:rFonts w:hint="eastAsia" w:ascii="宋体" w:hAnsi="宋体" w:eastAsia="宋体" w:cs="宋体"/>
                <w:b w:val="0"/>
                <w:bCs w:val="0"/>
                <w:color w:val="auto"/>
                <w:kern w:val="0"/>
                <w:sz w:val="20"/>
                <w:szCs w:val="20"/>
                <w:highlight w:val="none"/>
                <w:lang w:val="en-US" w:eastAsia="zh-CN" w:bidi="ar-SA"/>
              </w:rPr>
            </w:pPr>
          </w:p>
        </w:tc>
      </w:tr>
      <w:tr w14:paraId="35524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3A5402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201</w:t>
            </w:r>
          </w:p>
        </w:tc>
        <w:tc>
          <w:tcPr>
            <w:tcW w:w="720" w:type="dxa"/>
            <w:vMerge w:val="continue"/>
            <w:vAlign w:val="center"/>
          </w:tcPr>
          <w:p w14:paraId="1AF8E1A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E1671F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1AB94F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药品和耗材物品报警</w:t>
            </w:r>
          </w:p>
        </w:tc>
        <w:tc>
          <w:tcPr>
            <w:tcW w:w="4667" w:type="dxa"/>
            <w:vAlign w:val="center"/>
          </w:tcPr>
          <w:p w14:paraId="0D9D7FD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物品的低量报警、物品失效报警、物品临近过期报警（失效期-设置的提前量单位天）、物品经领报警。</w:t>
            </w:r>
          </w:p>
        </w:tc>
        <w:tc>
          <w:tcPr>
            <w:tcW w:w="733" w:type="dxa"/>
            <w:vMerge w:val="continue"/>
            <w:vAlign w:val="center"/>
          </w:tcPr>
          <w:p w14:paraId="650AD63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A00CF82">
            <w:pPr>
              <w:jc w:val="center"/>
              <w:rPr>
                <w:rFonts w:hint="eastAsia" w:ascii="宋体" w:hAnsi="宋体" w:eastAsia="宋体" w:cs="宋体"/>
                <w:b w:val="0"/>
                <w:bCs w:val="0"/>
                <w:color w:val="auto"/>
                <w:kern w:val="0"/>
                <w:sz w:val="20"/>
                <w:szCs w:val="20"/>
                <w:highlight w:val="none"/>
                <w:lang w:val="en-US" w:eastAsia="zh-CN" w:bidi="ar-SA"/>
              </w:rPr>
            </w:pPr>
          </w:p>
        </w:tc>
      </w:tr>
      <w:tr w14:paraId="7116C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11DA18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202</w:t>
            </w:r>
          </w:p>
        </w:tc>
        <w:tc>
          <w:tcPr>
            <w:tcW w:w="720" w:type="dxa"/>
            <w:vMerge w:val="continue"/>
            <w:vAlign w:val="center"/>
          </w:tcPr>
          <w:p w14:paraId="1503446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7EBB40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A5378E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药品和耗材申请单管理</w:t>
            </w:r>
          </w:p>
        </w:tc>
        <w:tc>
          <w:tcPr>
            <w:tcW w:w="4667" w:type="dxa"/>
            <w:vAlign w:val="center"/>
          </w:tcPr>
          <w:p w14:paraId="3CFC077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提供药品和耗材申请单管理功能。</w:t>
            </w:r>
          </w:p>
        </w:tc>
        <w:tc>
          <w:tcPr>
            <w:tcW w:w="733" w:type="dxa"/>
            <w:vMerge w:val="continue"/>
            <w:vAlign w:val="center"/>
          </w:tcPr>
          <w:p w14:paraId="5943CD7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FF2DDD3">
            <w:pPr>
              <w:jc w:val="center"/>
              <w:rPr>
                <w:rFonts w:hint="eastAsia" w:ascii="宋体" w:hAnsi="宋体" w:eastAsia="宋体" w:cs="宋体"/>
                <w:b w:val="0"/>
                <w:bCs w:val="0"/>
                <w:color w:val="auto"/>
                <w:kern w:val="0"/>
                <w:sz w:val="20"/>
                <w:szCs w:val="20"/>
                <w:highlight w:val="none"/>
                <w:lang w:val="en-US" w:eastAsia="zh-CN" w:bidi="ar-SA"/>
              </w:rPr>
            </w:pPr>
          </w:p>
        </w:tc>
      </w:tr>
      <w:tr w14:paraId="04D4C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0E8C45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203</w:t>
            </w:r>
          </w:p>
        </w:tc>
        <w:tc>
          <w:tcPr>
            <w:tcW w:w="720" w:type="dxa"/>
            <w:vMerge w:val="continue"/>
            <w:vAlign w:val="center"/>
          </w:tcPr>
          <w:p w14:paraId="1E37867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0DA587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5B095F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药品和耗材库存物资变动统计</w:t>
            </w:r>
          </w:p>
        </w:tc>
        <w:tc>
          <w:tcPr>
            <w:tcW w:w="4667" w:type="dxa"/>
            <w:vAlign w:val="center"/>
          </w:tcPr>
          <w:p w14:paraId="4ABB304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提供药品和耗材库存物资变动统计功能。</w:t>
            </w:r>
          </w:p>
        </w:tc>
        <w:tc>
          <w:tcPr>
            <w:tcW w:w="733" w:type="dxa"/>
            <w:vMerge w:val="continue"/>
            <w:vAlign w:val="center"/>
          </w:tcPr>
          <w:p w14:paraId="1FB5666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A7040EB">
            <w:pPr>
              <w:jc w:val="center"/>
              <w:rPr>
                <w:rFonts w:hint="eastAsia" w:ascii="宋体" w:hAnsi="宋体" w:eastAsia="宋体" w:cs="宋体"/>
                <w:b w:val="0"/>
                <w:bCs w:val="0"/>
                <w:color w:val="auto"/>
                <w:kern w:val="0"/>
                <w:sz w:val="20"/>
                <w:szCs w:val="20"/>
                <w:highlight w:val="none"/>
                <w:lang w:val="en-US" w:eastAsia="zh-CN" w:bidi="ar-SA"/>
              </w:rPr>
            </w:pPr>
          </w:p>
        </w:tc>
      </w:tr>
      <w:tr w14:paraId="2E1AF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1158F9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204</w:t>
            </w:r>
          </w:p>
        </w:tc>
        <w:tc>
          <w:tcPr>
            <w:tcW w:w="720" w:type="dxa"/>
            <w:vMerge w:val="continue"/>
            <w:vAlign w:val="center"/>
          </w:tcPr>
          <w:p w14:paraId="7249F41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F030CC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270A92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分站申领功能</w:t>
            </w:r>
          </w:p>
        </w:tc>
        <w:tc>
          <w:tcPr>
            <w:tcW w:w="4667" w:type="dxa"/>
            <w:vAlign w:val="center"/>
          </w:tcPr>
          <w:p w14:paraId="1DF4771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建立建设药品和耗材库存，设立中心人员工号、分站账号及管理人员账号权限。药品和耗材申领需有个人在个人账号中发起，由分站汇总，发起申领由中心管理人员审核批准。批准通过后通过系统反馈至分站及个人，再由分站确立人员集中申领。</w:t>
            </w:r>
          </w:p>
        </w:tc>
        <w:tc>
          <w:tcPr>
            <w:tcW w:w="733" w:type="dxa"/>
            <w:vMerge w:val="continue"/>
            <w:vAlign w:val="center"/>
          </w:tcPr>
          <w:p w14:paraId="30B95B7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4004299">
            <w:pPr>
              <w:jc w:val="center"/>
              <w:rPr>
                <w:rFonts w:hint="eastAsia" w:ascii="宋体" w:hAnsi="宋体" w:eastAsia="宋体" w:cs="宋体"/>
                <w:b w:val="0"/>
                <w:bCs w:val="0"/>
                <w:color w:val="auto"/>
                <w:kern w:val="0"/>
                <w:sz w:val="20"/>
                <w:szCs w:val="20"/>
                <w:highlight w:val="none"/>
                <w:lang w:val="en-US" w:eastAsia="zh-CN" w:bidi="ar-SA"/>
              </w:rPr>
            </w:pPr>
          </w:p>
        </w:tc>
      </w:tr>
      <w:tr w14:paraId="43388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5AD692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205</w:t>
            </w:r>
          </w:p>
        </w:tc>
        <w:tc>
          <w:tcPr>
            <w:tcW w:w="720" w:type="dxa"/>
            <w:vMerge w:val="continue"/>
            <w:vAlign w:val="center"/>
          </w:tcPr>
          <w:p w14:paraId="73AA0EE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112488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FD2CA6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与电子病历关联</w:t>
            </w:r>
          </w:p>
        </w:tc>
        <w:tc>
          <w:tcPr>
            <w:tcW w:w="4667" w:type="dxa"/>
            <w:vAlign w:val="center"/>
          </w:tcPr>
          <w:p w14:paraId="2BB44BA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所有药品及耗材均与电子病历系统关联，在中心人员出警任务中填写电子病历，所用耗材与药品均在药品耗材库中关联体现，以此确保每件药品及耗材的流向，做到精细化管理目标</w:t>
            </w:r>
          </w:p>
        </w:tc>
        <w:tc>
          <w:tcPr>
            <w:tcW w:w="733" w:type="dxa"/>
            <w:vMerge w:val="continue"/>
            <w:vAlign w:val="center"/>
          </w:tcPr>
          <w:p w14:paraId="2D5EDB9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19C8FE5">
            <w:pPr>
              <w:jc w:val="center"/>
              <w:rPr>
                <w:rFonts w:hint="eastAsia" w:ascii="宋体" w:hAnsi="宋体" w:eastAsia="宋体" w:cs="宋体"/>
                <w:b w:val="0"/>
                <w:bCs w:val="0"/>
                <w:color w:val="auto"/>
                <w:kern w:val="0"/>
                <w:sz w:val="20"/>
                <w:szCs w:val="20"/>
                <w:highlight w:val="none"/>
                <w:lang w:val="en-US" w:eastAsia="zh-CN" w:bidi="ar-SA"/>
              </w:rPr>
            </w:pPr>
          </w:p>
        </w:tc>
      </w:tr>
      <w:tr w14:paraId="3491B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D67275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206</w:t>
            </w:r>
          </w:p>
        </w:tc>
        <w:tc>
          <w:tcPr>
            <w:tcW w:w="720" w:type="dxa"/>
            <w:vMerge w:val="continue"/>
            <w:vAlign w:val="center"/>
          </w:tcPr>
          <w:p w14:paraId="744FCC0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0E84FCF">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4BB3D4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库存管理系统</w:t>
            </w:r>
          </w:p>
        </w:tc>
        <w:tc>
          <w:tcPr>
            <w:tcW w:w="4667" w:type="dxa"/>
            <w:vAlign w:val="center"/>
          </w:tcPr>
          <w:p w14:paraId="4811310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急救信息综合管理子系统-电子收费板块</w:t>
            </w:r>
            <w:r>
              <w:rPr>
                <w:rFonts w:hint="eastAsia" w:ascii="宋体" w:hAnsi="宋体" w:eastAsia="宋体" w:cs="宋体"/>
                <w:b w:val="0"/>
                <w:bCs w:val="0"/>
                <w:color w:val="auto"/>
                <w:kern w:val="0"/>
                <w:sz w:val="20"/>
                <w:szCs w:val="20"/>
                <w:highlight w:val="none"/>
                <w:lang w:val="en-US" w:eastAsia="zh-CN"/>
              </w:rPr>
              <w:t>120库存管理系统软件</w:t>
            </w:r>
          </w:p>
        </w:tc>
        <w:tc>
          <w:tcPr>
            <w:tcW w:w="733" w:type="dxa"/>
            <w:vMerge w:val="continue"/>
            <w:vAlign w:val="center"/>
          </w:tcPr>
          <w:p w14:paraId="22C7AAA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61F239B">
            <w:pPr>
              <w:jc w:val="center"/>
              <w:rPr>
                <w:rFonts w:hint="eastAsia" w:ascii="宋体" w:hAnsi="宋体" w:eastAsia="宋体" w:cs="宋体"/>
                <w:b w:val="0"/>
                <w:bCs w:val="0"/>
                <w:color w:val="auto"/>
                <w:kern w:val="0"/>
                <w:sz w:val="20"/>
                <w:szCs w:val="20"/>
                <w:highlight w:val="none"/>
                <w:lang w:val="en-US" w:eastAsia="zh-CN" w:bidi="ar-SA"/>
              </w:rPr>
            </w:pPr>
          </w:p>
        </w:tc>
      </w:tr>
      <w:tr w14:paraId="5DDB9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3CDC9E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207</w:t>
            </w:r>
          </w:p>
        </w:tc>
        <w:tc>
          <w:tcPr>
            <w:tcW w:w="720" w:type="dxa"/>
            <w:vMerge w:val="continue"/>
            <w:vAlign w:val="center"/>
          </w:tcPr>
          <w:p w14:paraId="050D5077">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4A28590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急救处方、药品和收费一体化处理软件</w:t>
            </w:r>
          </w:p>
        </w:tc>
        <w:tc>
          <w:tcPr>
            <w:tcW w:w="2058" w:type="dxa"/>
            <w:vAlign w:val="center"/>
          </w:tcPr>
          <w:p w14:paraId="2AC8834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与电子病历关联</w:t>
            </w:r>
          </w:p>
        </w:tc>
        <w:tc>
          <w:tcPr>
            <w:tcW w:w="4667" w:type="dxa"/>
            <w:vAlign w:val="center"/>
          </w:tcPr>
          <w:p w14:paraId="76C2E2D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系统可依据此事件医生所填写病历（用药、救治措施）、里程数自动计算应收费用。收费环节设置两种收费方式（现金收费、移动支付），增加未收、实收填输通道。</w:t>
            </w:r>
          </w:p>
        </w:tc>
        <w:tc>
          <w:tcPr>
            <w:tcW w:w="733" w:type="dxa"/>
            <w:vMerge w:val="restart"/>
            <w:vAlign w:val="center"/>
          </w:tcPr>
          <w:p w14:paraId="24BC451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78B90078">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24AD9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91F5E7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208</w:t>
            </w:r>
          </w:p>
        </w:tc>
        <w:tc>
          <w:tcPr>
            <w:tcW w:w="720" w:type="dxa"/>
            <w:vMerge w:val="continue"/>
            <w:vAlign w:val="center"/>
          </w:tcPr>
          <w:p w14:paraId="2514A12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05BCCD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E96CE8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收费清单生成及打印模块</w:t>
            </w:r>
          </w:p>
        </w:tc>
        <w:tc>
          <w:tcPr>
            <w:tcW w:w="4667" w:type="dxa"/>
            <w:vAlign w:val="center"/>
          </w:tcPr>
          <w:p w14:paraId="1CC164D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在医护人员将病家送至目的地后，随车医护人员通过随车便携式打印机打印出收费清单，清单中含移动支付通道（二维码）。</w:t>
            </w:r>
          </w:p>
        </w:tc>
        <w:tc>
          <w:tcPr>
            <w:tcW w:w="733" w:type="dxa"/>
            <w:vMerge w:val="continue"/>
            <w:vAlign w:val="center"/>
          </w:tcPr>
          <w:p w14:paraId="6469770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8DF1188">
            <w:pPr>
              <w:jc w:val="center"/>
              <w:rPr>
                <w:rFonts w:hint="eastAsia" w:ascii="宋体" w:hAnsi="宋体" w:eastAsia="宋体" w:cs="宋体"/>
                <w:b w:val="0"/>
                <w:bCs w:val="0"/>
                <w:color w:val="auto"/>
                <w:kern w:val="0"/>
                <w:sz w:val="20"/>
                <w:szCs w:val="20"/>
                <w:highlight w:val="none"/>
                <w:lang w:val="en-US" w:eastAsia="zh-CN" w:bidi="ar-SA"/>
              </w:rPr>
            </w:pPr>
          </w:p>
        </w:tc>
      </w:tr>
      <w:tr w14:paraId="3E5BD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86F57E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209</w:t>
            </w:r>
          </w:p>
        </w:tc>
        <w:tc>
          <w:tcPr>
            <w:tcW w:w="720" w:type="dxa"/>
            <w:vMerge w:val="continue"/>
            <w:vAlign w:val="center"/>
          </w:tcPr>
          <w:p w14:paraId="1029669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AA076D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E00890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与支付平台对接</w:t>
            </w:r>
          </w:p>
        </w:tc>
        <w:tc>
          <w:tcPr>
            <w:tcW w:w="4667" w:type="dxa"/>
            <w:vAlign w:val="center"/>
          </w:tcPr>
          <w:p w14:paraId="4393306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院前急救移动支付平台与第三方支付系统进行定制化对接，以实现双系统中的数据传输。包含收费金额推送、收费状态反馈、退费等。</w:t>
            </w:r>
          </w:p>
        </w:tc>
        <w:tc>
          <w:tcPr>
            <w:tcW w:w="733" w:type="dxa"/>
            <w:vMerge w:val="continue"/>
            <w:vAlign w:val="center"/>
          </w:tcPr>
          <w:p w14:paraId="1857737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D07E886">
            <w:pPr>
              <w:jc w:val="center"/>
              <w:rPr>
                <w:rFonts w:hint="eastAsia" w:ascii="宋体" w:hAnsi="宋体" w:eastAsia="宋体" w:cs="宋体"/>
                <w:b w:val="0"/>
                <w:bCs w:val="0"/>
                <w:color w:val="auto"/>
                <w:kern w:val="0"/>
                <w:sz w:val="20"/>
                <w:szCs w:val="20"/>
                <w:highlight w:val="none"/>
                <w:lang w:val="en-US" w:eastAsia="zh-CN" w:bidi="ar-SA"/>
              </w:rPr>
            </w:pPr>
          </w:p>
        </w:tc>
      </w:tr>
      <w:tr w14:paraId="242CB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41774C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210</w:t>
            </w:r>
          </w:p>
        </w:tc>
        <w:tc>
          <w:tcPr>
            <w:tcW w:w="720" w:type="dxa"/>
            <w:vMerge w:val="continue"/>
            <w:vAlign w:val="center"/>
          </w:tcPr>
          <w:p w14:paraId="59A72D0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4D28E5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5AE2BD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退费模块</w:t>
            </w:r>
          </w:p>
        </w:tc>
        <w:tc>
          <w:tcPr>
            <w:tcW w:w="4667" w:type="dxa"/>
            <w:vAlign w:val="center"/>
          </w:tcPr>
          <w:p w14:paraId="1F8DD0A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建设退费通道，针对错收、多收等情况平台需具备退费能力。</w:t>
            </w:r>
          </w:p>
        </w:tc>
        <w:tc>
          <w:tcPr>
            <w:tcW w:w="733" w:type="dxa"/>
            <w:vMerge w:val="continue"/>
            <w:vAlign w:val="center"/>
          </w:tcPr>
          <w:p w14:paraId="51F5881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26C06FB">
            <w:pPr>
              <w:jc w:val="center"/>
              <w:rPr>
                <w:rFonts w:hint="eastAsia" w:ascii="宋体" w:hAnsi="宋体" w:eastAsia="宋体" w:cs="宋体"/>
                <w:b w:val="0"/>
                <w:bCs w:val="0"/>
                <w:color w:val="auto"/>
                <w:kern w:val="0"/>
                <w:sz w:val="20"/>
                <w:szCs w:val="20"/>
                <w:highlight w:val="none"/>
                <w:lang w:val="en-US" w:eastAsia="zh-CN" w:bidi="ar-SA"/>
              </w:rPr>
            </w:pPr>
          </w:p>
        </w:tc>
      </w:tr>
      <w:tr w14:paraId="32485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6A58C3F">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211</w:t>
            </w:r>
          </w:p>
        </w:tc>
        <w:tc>
          <w:tcPr>
            <w:tcW w:w="720" w:type="dxa"/>
            <w:vMerge w:val="continue"/>
            <w:vAlign w:val="center"/>
          </w:tcPr>
          <w:p w14:paraId="5F34583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06D06A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3DA49D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急救处方、药品和收费一体化处理软件</w:t>
            </w:r>
          </w:p>
        </w:tc>
        <w:tc>
          <w:tcPr>
            <w:tcW w:w="4667" w:type="dxa"/>
            <w:vAlign w:val="center"/>
          </w:tcPr>
          <w:p w14:paraId="6CDAEA8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急救信息综合管理子系统-电子收费板块</w:t>
            </w:r>
            <w:r>
              <w:rPr>
                <w:rFonts w:hint="eastAsia" w:ascii="宋体" w:hAnsi="宋体" w:eastAsia="宋体" w:cs="宋体"/>
                <w:b w:val="0"/>
                <w:bCs w:val="0"/>
                <w:color w:val="auto"/>
                <w:kern w:val="0"/>
                <w:sz w:val="20"/>
                <w:szCs w:val="20"/>
                <w:highlight w:val="none"/>
                <w:lang w:val="en-US" w:eastAsia="zh-CN"/>
              </w:rPr>
              <w:t>急救处方、药品和收费一体化处理软件</w:t>
            </w:r>
          </w:p>
        </w:tc>
        <w:tc>
          <w:tcPr>
            <w:tcW w:w="733" w:type="dxa"/>
            <w:vMerge w:val="continue"/>
            <w:vAlign w:val="center"/>
          </w:tcPr>
          <w:p w14:paraId="34F9A8A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C676EC6">
            <w:pPr>
              <w:jc w:val="center"/>
              <w:rPr>
                <w:rFonts w:hint="eastAsia" w:ascii="宋体" w:hAnsi="宋体" w:eastAsia="宋体" w:cs="宋体"/>
                <w:b w:val="0"/>
                <w:bCs w:val="0"/>
                <w:color w:val="auto"/>
                <w:kern w:val="0"/>
                <w:sz w:val="20"/>
                <w:szCs w:val="20"/>
                <w:highlight w:val="none"/>
                <w:lang w:val="en-US" w:eastAsia="zh-CN" w:bidi="ar-SA"/>
              </w:rPr>
            </w:pPr>
          </w:p>
        </w:tc>
      </w:tr>
      <w:tr w14:paraId="308BD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3FD033B">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212</w:t>
            </w:r>
          </w:p>
        </w:tc>
        <w:tc>
          <w:tcPr>
            <w:tcW w:w="720" w:type="dxa"/>
            <w:vMerge w:val="continue"/>
            <w:vAlign w:val="center"/>
          </w:tcPr>
          <w:p w14:paraId="2886059C">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723977B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急救票据管理</w:t>
            </w:r>
          </w:p>
        </w:tc>
        <w:tc>
          <w:tcPr>
            <w:tcW w:w="2058" w:type="dxa"/>
            <w:vAlign w:val="center"/>
          </w:tcPr>
          <w:p w14:paraId="5FA039A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电子票据号管理模块</w:t>
            </w:r>
          </w:p>
        </w:tc>
        <w:tc>
          <w:tcPr>
            <w:tcW w:w="4667" w:type="dxa"/>
            <w:vAlign w:val="center"/>
          </w:tcPr>
          <w:p w14:paraId="6CC5552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电子票据号申请状态、余量查询、使用、作废、余量告警等功能。</w:t>
            </w:r>
          </w:p>
        </w:tc>
        <w:tc>
          <w:tcPr>
            <w:tcW w:w="733" w:type="dxa"/>
            <w:vMerge w:val="restart"/>
            <w:vAlign w:val="center"/>
          </w:tcPr>
          <w:p w14:paraId="4373EA9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4D68E201">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276AB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7A9010E">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213</w:t>
            </w:r>
          </w:p>
        </w:tc>
        <w:tc>
          <w:tcPr>
            <w:tcW w:w="720" w:type="dxa"/>
            <w:vMerge w:val="continue"/>
            <w:vAlign w:val="center"/>
          </w:tcPr>
          <w:p w14:paraId="25070C8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A890EE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45ED92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电子票据开票模块</w:t>
            </w:r>
          </w:p>
        </w:tc>
        <w:tc>
          <w:tcPr>
            <w:tcW w:w="4667" w:type="dxa"/>
            <w:vAlign w:val="center"/>
          </w:tcPr>
          <w:p w14:paraId="456FA1F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电子票据开票、作废、重开等功能。</w:t>
            </w:r>
          </w:p>
        </w:tc>
        <w:tc>
          <w:tcPr>
            <w:tcW w:w="733" w:type="dxa"/>
            <w:vMerge w:val="continue"/>
            <w:vAlign w:val="center"/>
          </w:tcPr>
          <w:p w14:paraId="79A94D2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B9EA4C7">
            <w:pPr>
              <w:jc w:val="center"/>
              <w:rPr>
                <w:rFonts w:hint="eastAsia" w:ascii="宋体" w:hAnsi="宋体" w:eastAsia="宋体" w:cs="宋体"/>
                <w:b w:val="0"/>
                <w:bCs w:val="0"/>
                <w:color w:val="auto"/>
                <w:kern w:val="0"/>
                <w:sz w:val="20"/>
                <w:szCs w:val="20"/>
                <w:highlight w:val="none"/>
                <w:lang w:val="en-US" w:eastAsia="zh-CN" w:bidi="ar-SA"/>
              </w:rPr>
            </w:pPr>
          </w:p>
        </w:tc>
      </w:tr>
      <w:tr w14:paraId="395D1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E3BEE3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214</w:t>
            </w:r>
          </w:p>
        </w:tc>
        <w:tc>
          <w:tcPr>
            <w:tcW w:w="720" w:type="dxa"/>
            <w:vMerge w:val="continue"/>
            <w:vAlign w:val="center"/>
          </w:tcPr>
          <w:p w14:paraId="3354ABD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7BBAFF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CD95EB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开票情况查询模块</w:t>
            </w:r>
          </w:p>
        </w:tc>
        <w:tc>
          <w:tcPr>
            <w:tcW w:w="4667" w:type="dxa"/>
            <w:vAlign w:val="center"/>
          </w:tcPr>
          <w:p w14:paraId="2953F2B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查询当前收费电子票据开票情况，包含开票日期、票据种类名称、票据代码、票据号码、开票时间、当前状态等。</w:t>
            </w:r>
          </w:p>
        </w:tc>
        <w:tc>
          <w:tcPr>
            <w:tcW w:w="733" w:type="dxa"/>
            <w:vMerge w:val="continue"/>
            <w:vAlign w:val="center"/>
          </w:tcPr>
          <w:p w14:paraId="79E551D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AD3F49B">
            <w:pPr>
              <w:jc w:val="center"/>
              <w:rPr>
                <w:rFonts w:hint="eastAsia" w:ascii="宋体" w:hAnsi="宋体" w:eastAsia="宋体" w:cs="宋体"/>
                <w:b w:val="0"/>
                <w:bCs w:val="0"/>
                <w:color w:val="auto"/>
                <w:kern w:val="0"/>
                <w:sz w:val="20"/>
                <w:szCs w:val="20"/>
                <w:highlight w:val="none"/>
                <w:lang w:val="en-US" w:eastAsia="zh-CN" w:bidi="ar-SA"/>
              </w:rPr>
            </w:pPr>
          </w:p>
        </w:tc>
      </w:tr>
      <w:tr w14:paraId="2235B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787011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215</w:t>
            </w:r>
          </w:p>
        </w:tc>
        <w:tc>
          <w:tcPr>
            <w:tcW w:w="720" w:type="dxa"/>
            <w:vMerge w:val="continue"/>
            <w:vAlign w:val="center"/>
          </w:tcPr>
          <w:p w14:paraId="5375873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E87B05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CDFF1D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票据入账受理查询模块</w:t>
            </w:r>
          </w:p>
        </w:tc>
        <w:tc>
          <w:tcPr>
            <w:tcW w:w="4667" w:type="dxa"/>
            <w:vAlign w:val="center"/>
          </w:tcPr>
          <w:p w14:paraId="42F7CCC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查询当前电子票据是否已经入账报销，包含开票日期、创建时间、票据种类名称、票据代码、票据号码、状态、受理状态、受理历史记录、入账状态、入账历史记录等。</w:t>
            </w:r>
          </w:p>
        </w:tc>
        <w:tc>
          <w:tcPr>
            <w:tcW w:w="733" w:type="dxa"/>
            <w:vMerge w:val="continue"/>
            <w:vAlign w:val="center"/>
          </w:tcPr>
          <w:p w14:paraId="278B033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D1A5EC5">
            <w:pPr>
              <w:jc w:val="center"/>
              <w:rPr>
                <w:rFonts w:hint="eastAsia" w:ascii="宋体" w:hAnsi="宋体" w:eastAsia="宋体" w:cs="宋体"/>
                <w:b w:val="0"/>
                <w:bCs w:val="0"/>
                <w:color w:val="auto"/>
                <w:kern w:val="0"/>
                <w:sz w:val="20"/>
                <w:szCs w:val="20"/>
                <w:highlight w:val="none"/>
                <w:lang w:val="en-US" w:eastAsia="zh-CN" w:bidi="ar-SA"/>
              </w:rPr>
            </w:pPr>
          </w:p>
        </w:tc>
      </w:tr>
      <w:tr w14:paraId="0910D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BF2BB3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216</w:t>
            </w:r>
          </w:p>
        </w:tc>
        <w:tc>
          <w:tcPr>
            <w:tcW w:w="720" w:type="dxa"/>
            <w:vMerge w:val="continue"/>
            <w:vAlign w:val="center"/>
          </w:tcPr>
          <w:p w14:paraId="28E7E5D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5ECC93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A0CF05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票号查询票据明细模块</w:t>
            </w:r>
          </w:p>
        </w:tc>
        <w:tc>
          <w:tcPr>
            <w:tcW w:w="4667" w:type="dxa"/>
            <w:vAlign w:val="center"/>
          </w:tcPr>
          <w:p w14:paraId="34CDB8D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票号查询票据明细，主要包含收款人、开票日期、开票人、缴款人类型、缴款单位组织机构代码、票据种类编码、票据种类名称、票据代码、票据号码、票据收费项明细等。</w:t>
            </w:r>
          </w:p>
        </w:tc>
        <w:tc>
          <w:tcPr>
            <w:tcW w:w="733" w:type="dxa"/>
            <w:vMerge w:val="continue"/>
            <w:vAlign w:val="center"/>
          </w:tcPr>
          <w:p w14:paraId="7F864E8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0BD756A">
            <w:pPr>
              <w:jc w:val="center"/>
              <w:rPr>
                <w:rFonts w:hint="eastAsia" w:ascii="宋体" w:hAnsi="宋体" w:eastAsia="宋体" w:cs="宋体"/>
                <w:b w:val="0"/>
                <w:bCs w:val="0"/>
                <w:color w:val="auto"/>
                <w:kern w:val="0"/>
                <w:sz w:val="20"/>
                <w:szCs w:val="20"/>
                <w:highlight w:val="none"/>
                <w:lang w:val="en-US" w:eastAsia="zh-CN" w:bidi="ar-SA"/>
              </w:rPr>
            </w:pPr>
          </w:p>
        </w:tc>
      </w:tr>
      <w:tr w14:paraId="21F10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90786C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217</w:t>
            </w:r>
          </w:p>
        </w:tc>
        <w:tc>
          <w:tcPr>
            <w:tcW w:w="720" w:type="dxa"/>
            <w:vMerge w:val="continue"/>
            <w:vAlign w:val="center"/>
          </w:tcPr>
          <w:p w14:paraId="2B86D12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6F82CA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0DE72C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电子票据H5页面模块</w:t>
            </w:r>
          </w:p>
        </w:tc>
        <w:tc>
          <w:tcPr>
            <w:tcW w:w="4667" w:type="dxa"/>
            <w:vAlign w:val="center"/>
          </w:tcPr>
          <w:p w14:paraId="4043B18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查询当前电子票据H5页面信息。</w:t>
            </w:r>
          </w:p>
        </w:tc>
        <w:tc>
          <w:tcPr>
            <w:tcW w:w="733" w:type="dxa"/>
            <w:vMerge w:val="continue"/>
            <w:vAlign w:val="center"/>
          </w:tcPr>
          <w:p w14:paraId="5E45A3F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04075C7">
            <w:pPr>
              <w:jc w:val="center"/>
              <w:rPr>
                <w:rFonts w:hint="eastAsia" w:ascii="宋体" w:hAnsi="宋体" w:eastAsia="宋体" w:cs="宋体"/>
                <w:b w:val="0"/>
                <w:bCs w:val="0"/>
                <w:color w:val="auto"/>
                <w:kern w:val="0"/>
                <w:sz w:val="20"/>
                <w:szCs w:val="20"/>
                <w:highlight w:val="none"/>
                <w:lang w:val="en-US" w:eastAsia="zh-CN" w:bidi="ar-SA"/>
              </w:rPr>
            </w:pPr>
          </w:p>
        </w:tc>
      </w:tr>
      <w:tr w14:paraId="7E73D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D57E24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218</w:t>
            </w:r>
          </w:p>
        </w:tc>
        <w:tc>
          <w:tcPr>
            <w:tcW w:w="720" w:type="dxa"/>
            <w:vMerge w:val="continue"/>
            <w:vAlign w:val="center"/>
          </w:tcPr>
          <w:p w14:paraId="46D16F5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6F0769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FBD1CB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电子票据PDF文件生成及下载模块</w:t>
            </w:r>
          </w:p>
        </w:tc>
        <w:tc>
          <w:tcPr>
            <w:tcW w:w="4667" w:type="dxa"/>
            <w:vAlign w:val="center"/>
          </w:tcPr>
          <w:p w14:paraId="190022F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预览、打印和下载当前票据PDF文件。</w:t>
            </w:r>
          </w:p>
        </w:tc>
        <w:tc>
          <w:tcPr>
            <w:tcW w:w="733" w:type="dxa"/>
            <w:vMerge w:val="continue"/>
            <w:vAlign w:val="center"/>
          </w:tcPr>
          <w:p w14:paraId="346D874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4C6FC6B">
            <w:pPr>
              <w:jc w:val="center"/>
              <w:rPr>
                <w:rFonts w:hint="eastAsia" w:ascii="宋体" w:hAnsi="宋体" w:eastAsia="宋体" w:cs="宋体"/>
                <w:b w:val="0"/>
                <w:bCs w:val="0"/>
                <w:color w:val="auto"/>
                <w:kern w:val="0"/>
                <w:sz w:val="20"/>
                <w:szCs w:val="20"/>
                <w:highlight w:val="none"/>
                <w:lang w:val="en-US" w:eastAsia="zh-CN" w:bidi="ar-SA"/>
              </w:rPr>
            </w:pPr>
          </w:p>
        </w:tc>
      </w:tr>
      <w:tr w14:paraId="6F8C7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6010A7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219</w:t>
            </w:r>
          </w:p>
        </w:tc>
        <w:tc>
          <w:tcPr>
            <w:tcW w:w="720" w:type="dxa"/>
            <w:vMerge w:val="continue"/>
            <w:vAlign w:val="center"/>
          </w:tcPr>
          <w:p w14:paraId="0C4BB96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CC7984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6750D4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开具票据记录模块</w:t>
            </w:r>
          </w:p>
        </w:tc>
        <w:tc>
          <w:tcPr>
            <w:tcW w:w="4667" w:type="dxa"/>
            <w:vAlign w:val="center"/>
          </w:tcPr>
          <w:p w14:paraId="03B1F15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查询当前收费的电子票据开具记录，包含业务流水号、状态、缴款人、开票日期、开票人、缴款人类型、交款单位组织机构代码、票据种类编码、票据代码、票据号码、校验码、合计金额、收款方式、备注、创建时间、已开红票等信息。</w:t>
            </w:r>
          </w:p>
        </w:tc>
        <w:tc>
          <w:tcPr>
            <w:tcW w:w="733" w:type="dxa"/>
            <w:vMerge w:val="continue"/>
            <w:vAlign w:val="center"/>
          </w:tcPr>
          <w:p w14:paraId="746A26A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6B104E9">
            <w:pPr>
              <w:jc w:val="center"/>
              <w:rPr>
                <w:rFonts w:hint="eastAsia" w:ascii="宋体" w:hAnsi="宋体" w:eastAsia="宋体" w:cs="宋体"/>
                <w:b w:val="0"/>
                <w:bCs w:val="0"/>
                <w:color w:val="auto"/>
                <w:kern w:val="0"/>
                <w:sz w:val="20"/>
                <w:szCs w:val="20"/>
                <w:highlight w:val="none"/>
                <w:lang w:val="en-US" w:eastAsia="zh-CN" w:bidi="ar-SA"/>
              </w:rPr>
            </w:pPr>
          </w:p>
        </w:tc>
      </w:tr>
      <w:tr w14:paraId="77E89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B3AE97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220</w:t>
            </w:r>
          </w:p>
        </w:tc>
        <w:tc>
          <w:tcPr>
            <w:tcW w:w="720" w:type="dxa"/>
            <w:vMerge w:val="continue"/>
            <w:vAlign w:val="center"/>
          </w:tcPr>
          <w:p w14:paraId="23A6CC9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F5A7A0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22A39F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退付开具票据模块</w:t>
            </w:r>
          </w:p>
        </w:tc>
        <w:tc>
          <w:tcPr>
            <w:tcW w:w="4667" w:type="dxa"/>
            <w:vAlign w:val="center"/>
          </w:tcPr>
          <w:p w14:paraId="49B24DA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对开具的电子票据进行退付，包含任务编码、病历序号、原票票据代码、原票票据号码、原票票据种类编码、退付原因、退付流水记录等。</w:t>
            </w:r>
          </w:p>
        </w:tc>
        <w:tc>
          <w:tcPr>
            <w:tcW w:w="733" w:type="dxa"/>
            <w:vMerge w:val="continue"/>
            <w:vAlign w:val="center"/>
          </w:tcPr>
          <w:p w14:paraId="084FAFF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DF84E14">
            <w:pPr>
              <w:jc w:val="center"/>
              <w:rPr>
                <w:rFonts w:hint="eastAsia" w:ascii="宋体" w:hAnsi="宋体" w:eastAsia="宋体" w:cs="宋体"/>
                <w:b w:val="0"/>
                <w:bCs w:val="0"/>
                <w:color w:val="auto"/>
                <w:kern w:val="0"/>
                <w:sz w:val="20"/>
                <w:szCs w:val="20"/>
                <w:highlight w:val="none"/>
                <w:lang w:val="en-US" w:eastAsia="zh-CN" w:bidi="ar-SA"/>
              </w:rPr>
            </w:pPr>
          </w:p>
        </w:tc>
      </w:tr>
      <w:tr w14:paraId="11B6A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E6A709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221</w:t>
            </w:r>
          </w:p>
        </w:tc>
        <w:tc>
          <w:tcPr>
            <w:tcW w:w="720" w:type="dxa"/>
            <w:vMerge w:val="continue"/>
            <w:vAlign w:val="center"/>
          </w:tcPr>
          <w:p w14:paraId="78F5A38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6F214F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99FE10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补发短信模块</w:t>
            </w:r>
          </w:p>
        </w:tc>
        <w:tc>
          <w:tcPr>
            <w:tcW w:w="4667" w:type="dxa"/>
            <w:vAlign w:val="center"/>
          </w:tcPr>
          <w:p w14:paraId="3C8A0F5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对已开具的电子票据补发票据获取短信，包含手机号码、开票编码、序号、短信内容、创建时间等。</w:t>
            </w:r>
          </w:p>
        </w:tc>
        <w:tc>
          <w:tcPr>
            <w:tcW w:w="733" w:type="dxa"/>
            <w:vMerge w:val="continue"/>
            <w:vAlign w:val="center"/>
          </w:tcPr>
          <w:p w14:paraId="793B08B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F3050D9">
            <w:pPr>
              <w:jc w:val="center"/>
              <w:rPr>
                <w:rFonts w:hint="eastAsia" w:ascii="宋体" w:hAnsi="宋体" w:eastAsia="宋体" w:cs="宋体"/>
                <w:b w:val="0"/>
                <w:bCs w:val="0"/>
                <w:color w:val="auto"/>
                <w:kern w:val="0"/>
                <w:sz w:val="20"/>
                <w:szCs w:val="20"/>
                <w:highlight w:val="none"/>
                <w:lang w:val="en-US" w:eastAsia="zh-CN" w:bidi="ar-SA"/>
              </w:rPr>
            </w:pPr>
          </w:p>
        </w:tc>
      </w:tr>
      <w:tr w14:paraId="0D299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A3B850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222</w:t>
            </w:r>
          </w:p>
        </w:tc>
        <w:tc>
          <w:tcPr>
            <w:tcW w:w="720" w:type="dxa"/>
            <w:vMerge w:val="continue"/>
            <w:vAlign w:val="center"/>
          </w:tcPr>
          <w:p w14:paraId="68DD89B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7E355B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A89C1F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电子票据统计分析模块</w:t>
            </w:r>
          </w:p>
        </w:tc>
        <w:tc>
          <w:tcPr>
            <w:tcW w:w="4667" w:type="dxa"/>
            <w:vAlign w:val="center"/>
          </w:tcPr>
          <w:p w14:paraId="6C3F130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包含电子票据开票流水表、票据开票统计表等</w:t>
            </w:r>
          </w:p>
        </w:tc>
        <w:tc>
          <w:tcPr>
            <w:tcW w:w="733" w:type="dxa"/>
            <w:vMerge w:val="continue"/>
            <w:vAlign w:val="center"/>
          </w:tcPr>
          <w:p w14:paraId="0E4C5D5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2F82881">
            <w:pPr>
              <w:jc w:val="center"/>
              <w:rPr>
                <w:rFonts w:hint="eastAsia" w:ascii="宋体" w:hAnsi="宋体" w:eastAsia="宋体" w:cs="宋体"/>
                <w:b w:val="0"/>
                <w:bCs w:val="0"/>
                <w:color w:val="auto"/>
                <w:kern w:val="0"/>
                <w:sz w:val="20"/>
                <w:szCs w:val="20"/>
                <w:highlight w:val="none"/>
                <w:lang w:val="en-US" w:eastAsia="zh-CN" w:bidi="ar-SA"/>
              </w:rPr>
            </w:pPr>
          </w:p>
        </w:tc>
      </w:tr>
      <w:tr w14:paraId="1D64E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4E3681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223</w:t>
            </w:r>
          </w:p>
        </w:tc>
        <w:tc>
          <w:tcPr>
            <w:tcW w:w="720" w:type="dxa"/>
            <w:vMerge w:val="continue"/>
            <w:vAlign w:val="center"/>
          </w:tcPr>
          <w:p w14:paraId="60F3B27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A73640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3B60CE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电子票据接口模块</w:t>
            </w:r>
          </w:p>
        </w:tc>
        <w:tc>
          <w:tcPr>
            <w:tcW w:w="4667" w:type="dxa"/>
            <w:vAlign w:val="center"/>
          </w:tcPr>
          <w:p w14:paraId="2669805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提供与财政电子票据接口对接，实现电子票据申领、开具、查询等功能。</w:t>
            </w:r>
          </w:p>
        </w:tc>
        <w:tc>
          <w:tcPr>
            <w:tcW w:w="733" w:type="dxa"/>
            <w:vMerge w:val="continue"/>
            <w:vAlign w:val="center"/>
          </w:tcPr>
          <w:p w14:paraId="07041B2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60A0FCE">
            <w:pPr>
              <w:jc w:val="center"/>
              <w:rPr>
                <w:rFonts w:hint="eastAsia" w:ascii="宋体" w:hAnsi="宋体" w:eastAsia="宋体" w:cs="宋体"/>
                <w:b w:val="0"/>
                <w:bCs w:val="0"/>
                <w:color w:val="auto"/>
                <w:kern w:val="0"/>
                <w:sz w:val="20"/>
                <w:szCs w:val="20"/>
                <w:highlight w:val="none"/>
                <w:lang w:val="en-US" w:eastAsia="zh-CN" w:bidi="ar-SA"/>
              </w:rPr>
            </w:pPr>
          </w:p>
        </w:tc>
      </w:tr>
      <w:tr w14:paraId="27B75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675A13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224</w:t>
            </w:r>
          </w:p>
        </w:tc>
        <w:tc>
          <w:tcPr>
            <w:tcW w:w="720" w:type="dxa"/>
            <w:vMerge w:val="continue"/>
            <w:vAlign w:val="center"/>
          </w:tcPr>
          <w:p w14:paraId="1EB3BBA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2E3911F">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E96E9B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业务系统接口模块</w:t>
            </w:r>
          </w:p>
        </w:tc>
        <w:tc>
          <w:tcPr>
            <w:tcW w:w="4667" w:type="dxa"/>
            <w:vAlign w:val="center"/>
          </w:tcPr>
          <w:p w14:paraId="6A32639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提供与业务系统接口对接，实现财务对账、电子票据生成等功能。</w:t>
            </w:r>
          </w:p>
        </w:tc>
        <w:tc>
          <w:tcPr>
            <w:tcW w:w="733" w:type="dxa"/>
            <w:vMerge w:val="continue"/>
            <w:vAlign w:val="center"/>
          </w:tcPr>
          <w:p w14:paraId="4728FE6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1E87A96">
            <w:pPr>
              <w:jc w:val="center"/>
              <w:rPr>
                <w:rFonts w:hint="eastAsia" w:ascii="宋体" w:hAnsi="宋体" w:eastAsia="宋体" w:cs="宋体"/>
                <w:b w:val="0"/>
                <w:bCs w:val="0"/>
                <w:color w:val="auto"/>
                <w:kern w:val="0"/>
                <w:sz w:val="20"/>
                <w:szCs w:val="20"/>
                <w:highlight w:val="none"/>
                <w:lang w:val="en-US" w:eastAsia="zh-CN" w:bidi="ar-SA"/>
              </w:rPr>
            </w:pPr>
          </w:p>
        </w:tc>
      </w:tr>
      <w:tr w14:paraId="0C171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ECCEDB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225</w:t>
            </w:r>
          </w:p>
        </w:tc>
        <w:tc>
          <w:tcPr>
            <w:tcW w:w="720" w:type="dxa"/>
            <w:vMerge w:val="continue"/>
            <w:vAlign w:val="center"/>
          </w:tcPr>
          <w:p w14:paraId="6C75417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3B62F8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AAFCB0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短信接口模块</w:t>
            </w:r>
          </w:p>
        </w:tc>
        <w:tc>
          <w:tcPr>
            <w:tcW w:w="4667" w:type="dxa"/>
            <w:vAlign w:val="center"/>
          </w:tcPr>
          <w:p w14:paraId="58E0F36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提供与短信平台对接，实现电子收费短信发送功能。</w:t>
            </w:r>
          </w:p>
        </w:tc>
        <w:tc>
          <w:tcPr>
            <w:tcW w:w="733" w:type="dxa"/>
            <w:vMerge w:val="continue"/>
            <w:vAlign w:val="center"/>
          </w:tcPr>
          <w:p w14:paraId="65F1D3B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C03C11F">
            <w:pPr>
              <w:jc w:val="center"/>
              <w:rPr>
                <w:rFonts w:hint="eastAsia" w:ascii="宋体" w:hAnsi="宋体" w:eastAsia="宋体" w:cs="宋体"/>
                <w:b w:val="0"/>
                <w:bCs w:val="0"/>
                <w:color w:val="auto"/>
                <w:kern w:val="0"/>
                <w:sz w:val="20"/>
                <w:szCs w:val="20"/>
                <w:highlight w:val="none"/>
                <w:lang w:val="en-US" w:eastAsia="zh-CN" w:bidi="ar-SA"/>
              </w:rPr>
            </w:pPr>
          </w:p>
        </w:tc>
      </w:tr>
      <w:tr w14:paraId="3F8D4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583" w:type="dxa"/>
            <w:vAlign w:val="center"/>
          </w:tcPr>
          <w:p w14:paraId="2B3A57B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226</w:t>
            </w:r>
          </w:p>
        </w:tc>
        <w:tc>
          <w:tcPr>
            <w:tcW w:w="720" w:type="dxa"/>
            <w:vMerge w:val="continue"/>
            <w:vAlign w:val="center"/>
          </w:tcPr>
          <w:p w14:paraId="5924B54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1A10CF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F77280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急救处方、药品和收费一体化处理软件</w:t>
            </w:r>
          </w:p>
        </w:tc>
        <w:tc>
          <w:tcPr>
            <w:tcW w:w="4667" w:type="dxa"/>
            <w:vAlign w:val="center"/>
          </w:tcPr>
          <w:p w14:paraId="1945B89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急救信息综合管理子系统-电子收费板块急救票据管理软件</w:t>
            </w:r>
          </w:p>
        </w:tc>
        <w:tc>
          <w:tcPr>
            <w:tcW w:w="733" w:type="dxa"/>
            <w:vMerge w:val="continue"/>
            <w:vAlign w:val="center"/>
          </w:tcPr>
          <w:p w14:paraId="58D79B4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9903746">
            <w:pPr>
              <w:jc w:val="center"/>
              <w:rPr>
                <w:rFonts w:hint="eastAsia" w:ascii="宋体" w:hAnsi="宋体" w:eastAsia="宋体" w:cs="宋体"/>
                <w:b w:val="0"/>
                <w:bCs w:val="0"/>
                <w:color w:val="auto"/>
                <w:kern w:val="0"/>
                <w:sz w:val="20"/>
                <w:szCs w:val="20"/>
                <w:highlight w:val="none"/>
                <w:lang w:val="en-US" w:eastAsia="zh-CN" w:bidi="ar-SA"/>
              </w:rPr>
            </w:pPr>
          </w:p>
        </w:tc>
      </w:tr>
      <w:tr w14:paraId="032A3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F7480F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227</w:t>
            </w:r>
          </w:p>
        </w:tc>
        <w:tc>
          <w:tcPr>
            <w:tcW w:w="720" w:type="dxa"/>
            <w:vMerge w:val="restart"/>
            <w:vAlign w:val="center"/>
          </w:tcPr>
          <w:p w14:paraId="6F290A59">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急救医学录像通用设备</w:t>
            </w:r>
          </w:p>
        </w:tc>
        <w:tc>
          <w:tcPr>
            <w:tcW w:w="875" w:type="dxa"/>
            <w:vMerge w:val="restart"/>
            <w:vAlign w:val="center"/>
          </w:tcPr>
          <w:p w14:paraId="518634D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多媒体智能集成管理平台</w:t>
            </w:r>
          </w:p>
        </w:tc>
        <w:tc>
          <w:tcPr>
            <w:tcW w:w="2058" w:type="dxa"/>
            <w:vAlign w:val="center"/>
          </w:tcPr>
          <w:p w14:paraId="0137361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基础功能</w:t>
            </w:r>
          </w:p>
        </w:tc>
        <w:tc>
          <w:tcPr>
            <w:tcW w:w="4667" w:type="dxa"/>
            <w:vAlign w:val="center"/>
          </w:tcPr>
          <w:p w14:paraId="7099BE2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软件要求采用B/S架构；管理软件平台系统服务组成部分要求包含负载均衡服务、WEB应用服务、数据库管理系统、视音频流媒体服务、文件存储服务、地里位置信息服务、图像识别服务、云镜控制服务、移动智能设备APP服务等。</w:t>
            </w:r>
          </w:p>
        </w:tc>
        <w:tc>
          <w:tcPr>
            <w:tcW w:w="733" w:type="dxa"/>
            <w:vMerge w:val="restart"/>
            <w:vAlign w:val="center"/>
          </w:tcPr>
          <w:p w14:paraId="2E7162C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7A8ADBB1">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2390D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C57FB01">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228</w:t>
            </w:r>
          </w:p>
        </w:tc>
        <w:tc>
          <w:tcPr>
            <w:tcW w:w="720" w:type="dxa"/>
            <w:vMerge w:val="continue"/>
            <w:vAlign w:val="center"/>
          </w:tcPr>
          <w:p w14:paraId="529CB38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380F65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11695B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兼容性功能</w:t>
            </w:r>
          </w:p>
        </w:tc>
        <w:tc>
          <w:tcPr>
            <w:tcW w:w="4667" w:type="dxa"/>
            <w:vAlign w:val="center"/>
          </w:tcPr>
          <w:p w14:paraId="37E74E2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管理软件要求可兼容多浏览器，至少包括谷歌、百度、火狐、360等。</w:t>
            </w:r>
          </w:p>
        </w:tc>
        <w:tc>
          <w:tcPr>
            <w:tcW w:w="733" w:type="dxa"/>
            <w:vMerge w:val="continue"/>
            <w:vAlign w:val="center"/>
          </w:tcPr>
          <w:p w14:paraId="58A7504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47110C3">
            <w:pPr>
              <w:jc w:val="center"/>
              <w:rPr>
                <w:rFonts w:hint="eastAsia" w:ascii="宋体" w:hAnsi="宋体" w:eastAsia="宋体" w:cs="宋体"/>
                <w:b w:val="0"/>
                <w:bCs w:val="0"/>
                <w:color w:val="auto"/>
                <w:kern w:val="0"/>
                <w:sz w:val="20"/>
                <w:szCs w:val="20"/>
                <w:highlight w:val="none"/>
                <w:lang w:val="en-US" w:eastAsia="zh-CN" w:bidi="ar-SA"/>
              </w:rPr>
            </w:pPr>
          </w:p>
        </w:tc>
      </w:tr>
      <w:tr w14:paraId="0D151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3CD6D54">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229</w:t>
            </w:r>
          </w:p>
        </w:tc>
        <w:tc>
          <w:tcPr>
            <w:tcW w:w="720" w:type="dxa"/>
            <w:vMerge w:val="continue"/>
            <w:vAlign w:val="center"/>
          </w:tcPr>
          <w:p w14:paraId="05330D5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6BD361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0057C6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在线升级功能</w:t>
            </w:r>
          </w:p>
        </w:tc>
        <w:tc>
          <w:tcPr>
            <w:tcW w:w="4667" w:type="dxa"/>
            <w:vAlign w:val="center"/>
          </w:tcPr>
          <w:p w14:paraId="778C65C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支持通过网络对在线的设备进行远程升级。</w:t>
            </w:r>
          </w:p>
        </w:tc>
        <w:tc>
          <w:tcPr>
            <w:tcW w:w="733" w:type="dxa"/>
            <w:vMerge w:val="continue"/>
            <w:vAlign w:val="center"/>
          </w:tcPr>
          <w:p w14:paraId="5B695EE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5D17A80">
            <w:pPr>
              <w:jc w:val="center"/>
              <w:rPr>
                <w:rFonts w:hint="eastAsia" w:ascii="宋体" w:hAnsi="宋体" w:eastAsia="宋体" w:cs="宋体"/>
                <w:b w:val="0"/>
                <w:bCs w:val="0"/>
                <w:color w:val="auto"/>
                <w:kern w:val="0"/>
                <w:sz w:val="20"/>
                <w:szCs w:val="20"/>
                <w:highlight w:val="none"/>
                <w:lang w:val="en-US" w:eastAsia="zh-CN" w:bidi="ar-SA"/>
              </w:rPr>
            </w:pPr>
          </w:p>
        </w:tc>
      </w:tr>
      <w:tr w14:paraId="3C58F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3" w:type="dxa"/>
            <w:vAlign w:val="center"/>
          </w:tcPr>
          <w:p w14:paraId="426C05D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230</w:t>
            </w:r>
          </w:p>
        </w:tc>
        <w:tc>
          <w:tcPr>
            <w:tcW w:w="720" w:type="dxa"/>
            <w:vMerge w:val="continue"/>
            <w:vAlign w:val="center"/>
          </w:tcPr>
          <w:p w14:paraId="0EA1195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0D2E37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CEA979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地图设置</w:t>
            </w:r>
          </w:p>
        </w:tc>
        <w:tc>
          <w:tcPr>
            <w:tcW w:w="4667" w:type="dxa"/>
            <w:vAlign w:val="center"/>
          </w:tcPr>
          <w:p w14:paraId="13A0E7A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管理软件要求支持多种地图主题可选。</w:t>
            </w:r>
          </w:p>
        </w:tc>
        <w:tc>
          <w:tcPr>
            <w:tcW w:w="733" w:type="dxa"/>
            <w:vMerge w:val="continue"/>
            <w:vAlign w:val="center"/>
          </w:tcPr>
          <w:p w14:paraId="57CFAF7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6C4BBC0">
            <w:pPr>
              <w:jc w:val="center"/>
              <w:rPr>
                <w:rFonts w:hint="eastAsia" w:ascii="宋体" w:hAnsi="宋体" w:eastAsia="宋体" w:cs="宋体"/>
                <w:b w:val="0"/>
                <w:bCs w:val="0"/>
                <w:color w:val="auto"/>
                <w:kern w:val="0"/>
                <w:sz w:val="20"/>
                <w:szCs w:val="20"/>
                <w:highlight w:val="none"/>
                <w:lang w:val="en-US" w:eastAsia="zh-CN" w:bidi="ar-SA"/>
              </w:rPr>
            </w:pPr>
          </w:p>
        </w:tc>
      </w:tr>
      <w:tr w14:paraId="50333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F1E961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231</w:t>
            </w:r>
          </w:p>
        </w:tc>
        <w:tc>
          <w:tcPr>
            <w:tcW w:w="720" w:type="dxa"/>
            <w:vMerge w:val="continue"/>
            <w:vAlign w:val="center"/>
          </w:tcPr>
          <w:p w14:paraId="411503B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8A94AA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53F942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信息编辑功能</w:t>
            </w:r>
          </w:p>
        </w:tc>
        <w:tc>
          <w:tcPr>
            <w:tcW w:w="4667" w:type="dxa"/>
            <w:vAlign w:val="center"/>
          </w:tcPr>
          <w:p w14:paraId="52521E0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通过管理软件要求能对接入执法数据采集设备的终端的使用者信息（包括但不限于使用者姓名、工号、单位名称、单位编号）进行编辑。</w:t>
            </w:r>
          </w:p>
        </w:tc>
        <w:tc>
          <w:tcPr>
            <w:tcW w:w="733" w:type="dxa"/>
            <w:vMerge w:val="continue"/>
            <w:vAlign w:val="center"/>
          </w:tcPr>
          <w:p w14:paraId="7C7756E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93F49C3">
            <w:pPr>
              <w:jc w:val="center"/>
              <w:rPr>
                <w:rFonts w:hint="eastAsia" w:ascii="宋体" w:hAnsi="宋体" w:eastAsia="宋体" w:cs="宋体"/>
                <w:b w:val="0"/>
                <w:bCs w:val="0"/>
                <w:color w:val="auto"/>
                <w:kern w:val="0"/>
                <w:sz w:val="20"/>
                <w:szCs w:val="20"/>
                <w:highlight w:val="none"/>
                <w:lang w:val="en-US" w:eastAsia="zh-CN" w:bidi="ar-SA"/>
              </w:rPr>
            </w:pPr>
          </w:p>
        </w:tc>
      </w:tr>
      <w:tr w14:paraId="45966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29B42B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232</w:t>
            </w:r>
          </w:p>
        </w:tc>
        <w:tc>
          <w:tcPr>
            <w:tcW w:w="720" w:type="dxa"/>
            <w:vMerge w:val="continue"/>
            <w:vAlign w:val="center"/>
          </w:tcPr>
          <w:p w14:paraId="51613CC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D528EA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665486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媒体截取功能</w:t>
            </w:r>
          </w:p>
        </w:tc>
        <w:tc>
          <w:tcPr>
            <w:tcW w:w="4667" w:type="dxa"/>
            <w:vAlign w:val="center"/>
          </w:tcPr>
          <w:p w14:paraId="00C7A4F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通过管理软件在播放媒体文件过程中要求能截取与视频分辨率相同的图片、视频、音频，但不影响媒体文件的正常播放。</w:t>
            </w:r>
          </w:p>
        </w:tc>
        <w:tc>
          <w:tcPr>
            <w:tcW w:w="733" w:type="dxa"/>
            <w:vMerge w:val="continue"/>
            <w:vAlign w:val="center"/>
          </w:tcPr>
          <w:p w14:paraId="71660DB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C315A04">
            <w:pPr>
              <w:jc w:val="center"/>
              <w:rPr>
                <w:rFonts w:hint="eastAsia" w:ascii="宋体" w:hAnsi="宋体" w:eastAsia="宋体" w:cs="宋体"/>
                <w:b w:val="0"/>
                <w:bCs w:val="0"/>
                <w:color w:val="auto"/>
                <w:kern w:val="0"/>
                <w:sz w:val="20"/>
                <w:szCs w:val="20"/>
                <w:highlight w:val="none"/>
                <w:lang w:val="en-US" w:eastAsia="zh-CN" w:bidi="ar-SA"/>
              </w:rPr>
            </w:pPr>
          </w:p>
        </w:tc>
      </w:tr>
      <w:tr w14:paraId="1496B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C9C4FF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233</w:t>
            </w:r>
          </w:p>
        </w:tc>
        <w:tc>
          <w:tcPr>
            <w:tcW w:w="720" w:type="dxa"/>
            <w:vMerge w:val="continue"/>
            <w:vAlign w:val="center"/>
          </w:tcPr>
          <w:p w14:paraId="46C8335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4902DE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B27CB8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图传抓录功能</w:t>
            </w:r>
          </w:p>
        </w:tc>
        <w:tc>
          <w:tcPr>
            <w:tcW w:w="4667" w:type="dxa"/>
            <w:vAlign w:val="center"/>
          </w:tcPr>
          <w:p w14:paraId="07AAD0D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支持图传过程中，可任意实时抓取视音频流数据，并自动保存在服务器。</w:t>
            </w:r>
          </w:p>
        </w:tc>
        <w:tc>
          <w:tcPr>
            <w:tcW w:w="733" w:type="dxa"/>
            <w:vMerge w:val="continue"/>
            <w:vAlign w:val="center"/>
          </w:tcPr>
          <w:p w14:paraId="72CB35E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2EAF264">
            <w:pPr>
              <w:jc w:val="center"/>
              <w:rPr>
                <w:rFonts w:hint="eastAsia" w:ascii="宋体" w:hAnsi="宋体" w:eastAsia="宋体" w:cs="宋体"/>
                <w:b w:val="0"/>
                <w:bCs w:val="0"/>
                <w:color w:val="auto"/>
                <w:kern w:val="0"/>
                <w:sz w:val="20"/>
                <w:szCs w:val="20"/>
                <w:highlight w:val="none"/>
                <w:lang w:val="en-US" w:eastAsia="zh-CN" w:bidi="ar-SA"/>
              </w:rPr>
            </w:pPr>
          </w:p>
        </w:tc>
      </w:tr>
      <w:tr w14:paraId="26C39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582F40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234</w:t>
            </w:r>
          </w:p>
        </w:tc>
        <w:tc>
          <w:tcPr>
            <w:tcW w:w="720" w:type="dxa"/>
            <w:vMerge w:val="continue"/>
            <w:vAlign w:val="center"/>
          </w:tcPr>
          <w:p w14:paraId="4CC2E19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693E29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C7D450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分类功能</w:t>
            </w:r>
          </w:p>
        </w:tc>
        <w:tc>
          <w:tcPr>
            <w:tcW w:w="4667" w:type="dxa"/>
            <w:vAlign w:val="center"/>
          </w:tcPr>
          <w:p w14:paraId="5B9975F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通过管理软件要求能支持用户上传的文件对视音频、音频、照片、文档、其他等类型进行自动分类。</w:t>
            </w:r>
          </w:p>
        </w:tc>
        <w:tc>
          <w:tcPr>
            <w:tcW w:w="733" w:type="dxa"/>
            <w:vMerge w:val="continue"/>
            <w:vAlign w:val="center"/>
          </w:tcPr>
          <w:p w14:paraId="75E52CE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7D38BCD">
            <w:pPr>
              <w:jc w:val="center"/>
              <w:rPr>
                <w:rFonts w:hint="eastAsia" w:ascii="宋体" w:hAnsi="宋体" w:eastAsia="宋体" w:cs="宋体"/>
                <w:b w:val="0"/>
                <w:bCs w:val="0"/>
                <w:color w:val="auto"/>
                <w:kern w:val="0"/>
                <w:sz w:val="20"/>
                <w:szCs w:val="20"/>
                <w:highlight w:val="none"/>
                <w:lang w:val="en-US" w:eastAsia="zh-CN" w:bidi="ar-SA"/>
              </w:rPr>
            </w:pPr>
          </w:p>
        </w:tc>
      </w:tr>
      <w:tr w14:paraId="301A3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003D85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235</w:t>
            </w:r>
          </w:p>
        </w:tc>
        <w:tc>
          <w:tcPr>
            <w:tcW w:w="720" w:type="dxa"/>
            <w:vMerge w:val="continue"/>
            <w:vAlign w:val="center"/>
          </w:tcPr>
          <w:p w14:paraId="3DDAD9C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91AC33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7FC099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实时图传</w:t>
            </w:r>
          </w:p>
        </w:tc>
        <w:tc>
          <w:tcPr>
            <w:tcW w:w="4667" w:type="dxa"/>
            <w:vAlign w:val="center"/>
          </w:tcPr>
          <w:p w14:paraId="720D901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通过管理软件应能对设备进行实时视频图传，图传过程中支持显示画面和水印显示的坐标信息如和叠加坐标汉字信息。</w:t>
            </w:r>
          </w:p>
        </w:tc>
        <w:tc>
          <w:tcPr>
            <w:tcW w:w="733" w:type="dxa"/>
            <w:vMerge w:val="continue"/>
            <w:vAlign w:val="center"/>
          </w:tcPr>
          <w:p w14:paraId="6A6DD6A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AE815F4">
            <w:pPr>
              <w:jc w:val="center"/>
              <w:rPr>
                <w:rFonts w:hint="eastAsia" w:ascii="宋体" w:hAnsi="宋体" w:eastAsia="宋体" w:cs="宋体"/>
                <w:b w:val="0"/>
                <w:bCs w:val="0"/>
                <w:color w:val="auto"/>
                <w:kern w:val="0"/>
                <w:sz w:val="20"/>
                <w:szCs w:val="20"/>
                <w:highlight w:val="none"/>
                <w:lang w:val="en-US" w:eastAsia="zh-CN" w:bidi="ar-SA"/>
              </w:rPr>
            </w:pPr>
          </w:p>
        </w:tc>
      </w:tr>
      <w:tr w14:paraId="6779C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82D6C1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236</w:t>
            </w:r>
          </w:p>
        </w:tc>
        <w:tc>
          <w:tcPr>
            <w:tcW w:w="720" w:type="dxa"/>
            <w:vMerge w:val="continue"/>
            <w:vAlign w:val="center"/>
          </w:tcPr>
          <w:p w14:paraId="71BDE13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9C2374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66FC59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分屏功能</w:t>
            </w:r>
          </w:p>
        </w:tc>
        <w:tc>
          <w:tcPr>
            <w:tcW w:w="4667" w:type="dxa"/>
            <w:vAlign w:val="center"/>
          </w:tcPr>
          <w:p w14:paraId="6BE2341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图传过程中支持图像抓拍、开启监听或语音对讲，支持多个用户同时查看一个设备的实时图传画面；支持一个用户同时查看不少于16个多屏实时图传画面。</w:t>
            </w:r>
          </w:p>
        </w:tc>
        <w:tc>
          <w:tcPr>
            <w:tcW w:w="733" w:type="dxa"/>
            <w:vMerge w:val="continue"/>
            <w:vAlign w:val="center"/>
          </w:tcPr>
          <w:p w14:paraId="59F04D9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64F7FD0">
            <w:pPr>
              <w:jc w:val="center"/>
              <w:rPr>
                <w:rFonts w:hint="eastAsia" w:ascii="宋体" w:hAnsi="宋体" w:eastAsia="宋体" w:cs="宋体"/>
                <w:b w:val="0"/>
                <w:bCs w:val="0"/>
                <w:color w:val="auto"/>
                <w:kern w:val="0"/>
                <w:sz w:val="20"/>
                <w:szCs w:val="20"/>
                <w:highlight w:val="none"/>
                <w:lang w:val="en-US" w:eastAsia="zh-CN" w:bidi="ar-SA"/>
              </w:rPr>
            </w:pPr>
          </w:p>
        </w:tc>
      </w:tr>
      <w:tr w14:paraId="1BDC5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EB4003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237</w:t>
            </w:r>
          </w:p>
        </w:tc>
        <w:tc>
          <w:tcPr>
            <w:tcW w:w="720" w:type="dxa"/>
            <w:vMerge w:val="continue"/>
            <w:vAlign w:val="center"/>
          </w:tcPr>
          <w:p w14:paraId="7DF8BCD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ACD411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6CBD4E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实时定位</w:t>
            </w:r>
          </w:p>
        </w:tc>
        <w:tc>
          <w:tcPr>
            <w:tcW w:w="4667" w:type="dxa"/>
            <w:vAlign w:val="center"/>
          </w:tcPr>
          <w:p w14:paraId="13FB1A8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通过管理软件应能实时定位设备，应能显示定位图标，点击定位图标应能视频呼叫设备，进行实时图传。</w:t>
            </w:r>
          </w:p>
        </w:tc>
        <w:tc>
          <w:tcPr>
            <w:tcW w:w="733" w:type="dxa"/>
            <w:vMerge w:val="continue"/>
            <w:vAlign w:val="center"/>
          </w:tcPr>
          <w:p w14:paraId="45FD64F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0A2849D">
            <w:pPr>
              <w:jc w:val="center"/>
              <w:rPr>
                <w:rFonts w:hint="eastAsia" w:ascii="宋体" w:hAnsi="宋体" w:eastAsia="宋体" w:cs="宋体"/>
                <w:b w:val="0"/>
                <w:bCs w:val="0"/>
                <w:color w:val="auto"/>
                <w:kern w:val="0"/>
                <w:sz w:val="20"/>
                <w:szCs w:val="20"/>
                <w:highlight w:val="none"/>
                <w:lang w:val="en-US" w:eastAsia="zh-CN" w:bidi="ar-SA"/>
              </w:rPr>
            </w:pPr>
          </w:p>
        </w:tc>
      </w:tr>
      <w:tr w14:paraId="260EF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07671E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238</w:t>
            </w:r>
          </w:p>
        </w:tc>
        <w:tc>
          <w:tcPr>
            <w:tcW w:w="720" w:type="dxa"/>
            <w:vMerge w:val="continue"/>
            <w:vAlign w:val="center"/>
          </w:tcPr>
          <w:p w14:paraId="07981E2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FE8526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99A56E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轨迹回放</w:t>
            </w:r>
          </w:p>
        </w:tc>
        <w:tc>
          <w:tcPr>
            <w:tcW w:w="4667" w:type="dxa"/>
            <w:vAlign w:val="center"/>
          </w:tcPr>
          <w:p w14:paraId="0DD1804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通过管理软件应能根据时间检索设备的历史轨迹，进行轨迹的运动回放，支持开始、停止、暂停等回放操作。</w:t>
            </w:r>
          </w:p>
        </w:tc>
        <w:tc>
          <w:tcPr>
            <w:tcW w:w="733" w:type="dxa"/>
            <w:vMerge w:val="continue"/>
            <w:vAlign w:val="center"/>
          </w:tcPr>
          <w:p w14:paraId="7DA05FC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903BD1D">
            <w:pPr>
              <w:jc w:val="center"/>
              <w:rPr>
                <w:rFonts w:hint="eastAsia" w:ascii="宋体" w:hAnsi="宋体" w:eastAsia="宋体" w:cs="宋体"/>
                <w:b w:val="0"/>
                <w:bCs w:val="0"/>
                <w:color w:val="auto"/>
                <w:kern w:val="0"/>
                <w:sz w:val="20"/>
                <w:szCs w:val="20"/>
                <w:highlight w:val="none"/>
                <w:lang w:val="en-US" w:eastAsia="zh-CN" w:bidi="ar-SA"/>
              </w:rPr>
            </w:pPr>
          </w:p>
        </w:tc>
      </w:tr>
      <w:tr w14:paraId="4F6E7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745C41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239</w:t>
            </w:r>
          </w:p>
        </w:tc>
        <w:tc>
          <w:tcPr>
            <w:tcW w:w="720" w:type="dxa"/>
            <w:vMerge w:val="continue"/>
            <w:vAlign w:val="center"/>
          </w:tcPr>
          <w:p w14:paraId="42441D8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7DDE55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B5AF4B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远程操作功能</w:t>
            </w:r>
          </w:p>
        </w:tc>
        <w:tc>
          <w:tcPr>
            <w:tcW w:w="4667" w:type="dxa"/>
            <w:vAlign w:val="center"/>
          </w:tcPr>
          <w:p w14:paraId="0B50FF2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设备应可接收管理平台下发的远程控制指，实现远程远程视音频、远程开启/关闭录像、远程开启/关闭录音、远程重启/关 闭设备、远程抓拍、远程查看设备工作日志、远程下发指令、远程下发人脸信息、远程下发电子围栏等功能。</w:t>
            </w:r>
          </w:p>
        </w:tc>
        <w:tc>
          <w:tcPr>
            <w:tcW w:w="733" w:type="dxa"/>
            <w:vMerge w:val="continue"/>
            <w:vAlign w:val="center"/>
          </w:tcPr>
          <w:p w14:paraId="78C7491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56C285C">
            <w:pPr>
              <w:jc w:val="center"/>
              <w:rPr>
                <w:rFonts w:hint="eastAsia" w:ascii="宋体" w:hAnsi="宋体" w:eastAsia="宋体" w:cs="宋体"/>
                <w:b w:val="0"/>
                <w:bCs w:val="0"/>
                <w:color w:val="auto"/>
                <w:kern w:val="0"/>
                <w:sz w:val="20"/>
                <w:szCs w:val="20"/>
                <w:highlight w:val="none"/>
                <w:lang w:val="en-US" w:eastAsia="zh-CN" w:bidi="ar-SA"/>
              </w:rPr>
            </w:pPr>
          </w:p>
        </w:tc>
      </w:tr>
      <w:tr w14:paraId="68352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83" w:type="dxa"/>
            <w:vAlign w:val="center"/>
          </w:tcPr>
          <w:p w14:paraId="24D81F8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240</w:t>
            </w:r>
          </w:p>
        </w:tc>
        <w:tc>
          <w:tcPr>
            <w:tcW w:w="720" w:type="dxa"/>
            <w:vMerge w:val="continue"/>
            <w:vAlign w:val="center"/>
          </w:tcPr>
          <w:p w14:paraId="4772965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80A5B5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1F5EC4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设备状态</w:t>
            </w:r>
          </w:p>
        </w:tc>
        <w:tc>
          <w:tcPr>
            <w:tcW w:w="4667" w:type="dxa"/>
            <w:vAlign w:val="center"/>
          </w:tcPr>
          <w:p w14:paraId="4E7D945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通过管理软件应能显示设备的在线和离线状态，可按在线状态进行分类检索。</w:t>
            </w:r>
          </w:p>
        </w:tc>
        <w:tc>
          <w:tcPr>
            <w:tcW w:w="733" w:type="dxa"/>
            <w:vMerge w:val="continue"/>
            <w:vAlign w:val="center"/>
          </w:tcPr>
          <w:p w14:paraId="6844D60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0C9DFF2">
            <w:pPr>
              <w:jc w:val="center"/>
              <w:rPr>
                <w:rFonts w:hint="eastAsia" w:ascii="宋体" w:hAnsi="宋体" w:eastAsia="宋体" w:cs="宋体"/>
                <w:b w:val="0"/>
                <w:bCs w:val="0"/>
                <w:color w:val="auto"/>
                <w:kern w:val="0"/>
                <w:sz w:val="20"/>
                <w:szCs w:val="20"/>
                <w:highlight w:val="none"/>
                <w:lang w:val="en-US" w:eastAsia="zh-CN" w:bidi="ar-SA"/>
              </w:rPr>
            </w:pPr>
          </w:p>
        </w:tc>
      </w:tr>
      <w:tr w14:paraId="7CDA7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C078AB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241</w:t>
            </w:r>
          </w:p>
        </w:tc>
        <w:tc>
          <w:tcPr>
            <w:tcW w:w="720" w:type="dxa"/>
            <w:vMerge w:val="continue"/>
            <w:vAlign w:val="center"/>
          </w:tcPr>
          <w:p w14:paraId="41FAE2A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1FE4EC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234C9C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实时存储</w:t>
            </w:r>
          </w:p>
        </w:tc>
        <w:tc>
          <w:tcPr>
            <w:tcW w:w="4667" w:type="dxa"/>
            <w:vAlign w:val="center"/>
          </w:tcPr>
          <w:p w14:paraId="6E270D7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通过管理软件应能对实时图传的视音频数据进行实时存储，并进行回放和下载。</w:t>
            </w:r>
          </w:p>
        </w:tc>
        <w:tc>
          <w:tcPr>
            <w:tcW w:w="733" w:type="dxa"/>
            <w:vMerge w:val="continue"/>
            <w:vAlign w:val="center"/>
          </w:tcPr>
          <w:p w14:paraId="63A3B6A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DE08EDE">
            <w:pPr>
              <w:jc w:val="center"/>
              <w:rPr>
                <w:rFonts w:hint="eastAsia" w:ascii="宋体" w:hAnsi="宋体" w:eastAsia="宋体" w:cs="宋体"/>
                <w:b w:val="0"/>
                <w:bCs w:val="0"/>
                <w:color w:val="auto"/>
                <w:kern w:val="0"/>
                <w:sz w:val="20"/>
                <w:szCs w:val="20"/>
                <w:highlight w:val="none"/>
                <w:lang w:val="en-US" w:eastAsia="zh-CN" w:bidi="ar-SA"/>
              </w:rPr>
            </w:pPr>
          </w:p>
        </w:tc>
      </w:tr>
      <w:tr w14:paraId="4587F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946649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242</w:t>
            </w:r>
          </w:p>
        </w:tc>
        <w:tc>
          <w:tcPr>
            <w:tcW w:w="720" w:type="dxa"/>
            <w:vMerge w:val="continue"/>
            <w:vAlign w:val="center"/>
          </w:tcPr>
          <w:p w14:paraId="5C681C1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4008F3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ACD128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断网补录功能</w:t>
            </w:r>
          </w:p>
        </w:tc>
        <w:tc>
          <w:tcPr>
            <w:tcW w:w="4667" w:type="dxa"/>
            <w:vAlign w:val="center"/>
          </w:tcPr>
          <w:p w14:paraId="6C293BA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平台支持保存设备断网补录上传的文件，并确保文件的连续性。</w:t>
            </w:r>
          </w:p>
        </w:tc>
        <w:tc>
          <w:tcPr>
            <w:tcW w:w="733" w:type="dxa"/>
            <w:vMerge w:val="continue"/>
            <w:vAlign w:val="center"/>
          </w:tcPr>
          <w:p w14:paraId="7EAA735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CAD3850">
            <w:pPr>
              <w:jc w:val="center"/>
              <w:rPr>
                <w:rFonts w:hint="eastAsia" w:ascii="宋体" w:hAnsi="宋体" w:eastAsia="宋体" w:cs="宋体"/>
                <w:b w:val="0"/>
                <w:bCs w:val="0"/>
                <w:color w:val="auto"/>
                <w:kern w:val="0"/>
                <w:sz w:val="20"/>
                <w:szCs w:val="20"/>
                <w:highlight w:val="none"/>
                <w:lang w:val="en-US" w:eastAsia="zh-CN" w:bidi="ar-SA"/>
              </w:rPr>
            </w:pPr>
          </w:p>
        </w:tc>
      </w:tr>
      <w:tr w14:paraId="28711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389490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243</w:t>
            </w:r>
          </w:p>
        </w:tc>
        <w:tc>
          <w:tcPr>
            <w:tcW w:w="720" w:type="dxa"/>
            <w:vMerge w:val="continue"/>
            <w:vAlign w:val="center"/>
          </w:tcPr>
          <w:p w14:paraId="0450F79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310EA0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C4529D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平台呼叫</w:t>
            </w:r>
          </w:p>
        </w:tc>
        <w:tc>
          <w:tcPr>
            <w:tcW w:w="4667" w:type="dxa"/>
            <w:vAlign w:val="center"/>
          </w:tcPr>
          <w:p w14:paraId="20830B9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平台支持通过勾选单位目录中的单位后开始对讲，实现后台人员与单位多成员（不限制数量）进行集群对讲，并在平台中显示所讲话的各个人员的消息状态。</w:t>
            </w:r>
          </w:p>
        </w:tc>
        <w:tc>
          <w:tcPr>
            <w:tcW w:w="733" w:type="dxa"/>
            <w:vMerge w:val="continue"/>
            <w:vAlign w:val="center"/>
          </w:tcPr>
          <w:p w14:paraId="7461BF6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881A968">
            <w:pPr>
              <w:jc w:val="center"/>
              <w:rPr>
                <w:rFonts w:hint="eastAsia" w:ascii="宋体" w:hAnsi="宋体" w:eastAsia="宋体" w:cs="宋体"/>
                <w:b w:val="0"/>
                <w:bCs w:val="0"/>
                <w:color w:val="auto"/>
                <w:kern w:val="0"/>
                <w:sz w:val="20"/>
                <w:szCs w:val="20"/>
                <w:highlight w:val="none"/>
                <w:lang w:val="en-US" w:eastAsia="zh-CN" w:bidi="ar-SA"/>
              </w:rPr>
            </w:pPr>
          </w:p>
        </w:tc>
      </w:tr>
      <w:tr w14:paraId="061E7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583" w:type="dxa"/>
            <w:vAlign w:val="center"/>
          </w:tcPr>
          <w:p w14:paraId="7861727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244</w:t>
            </w:r>
          </w:p>
        </w:tc>
        <w:tc>
          <w:tcPr>
            <w:tcW w:w="720" w:type="dxa"/>
            <w:vMerge w:val="continue"/>
            <w:vAlign w:val="center"/>
          </w:tcPr>
          <w:p w14:paraId="4DF483D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7D6981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84CDB4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日志功能</w:t>
            </w:r>
          </w:p>
        </w:tc>
        <w:tc>
          <w:tcPr>
            <w:tcW w:w="4667" w:type="dxa"/>
            <w:vAlign w:val="center"/>
          </w:tcPr>
          <w:p w14:paraId="0C70436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平台软件支持保存和查询设备在线、离线、关机，采集站操作日志，系统操作日志等。</w:t>
            </w:r>
          </w:p>
        </w:tc>
        <w:tc>
          <w:tcPr>
            <w:tcW w:w="733" w:type="dxa"/>
            <w:vMerge w:val="continue"/>
            <w:vAlign w:val="center"/>
          </w:tcPr>
          <w:p w14:paraId="5400F04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26A9A63">
            <w:pPr>
              <w:jc w:val="center"/>
              <w:rPr>
                <w:rFonts w:hint="eastAsia" w:ascii="宋体" w:hAnsi="宋体" w:eastAsia="宋体" w:cs="宋体"/>
                <w:b w:val="0"/>
                <w:bCs w:val="0"/>
                <w:color w:val="auto"/>
                <w:kern w:val="0"/>
                <w:sz w:val="20"/>
                <w:szCs w:val="20"/>
                <w:highlight w:val="none"/>
                <w:lang w:val="en-US" w:eastAsia="zh-CN" w:bidi="ar-SA"/>
              </w:rPr>
            </w:pPr>
          </w:p>
        </w:tc>
      </w:tr>
      <w:tr w14:paraId="17FA7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CB05FA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245</w:t>
            </w:r>
          </w:p>
        </w:tc>
        <w:tc>
          <w:tcPr>
            <w:tcW w:w="720" w:type="dxa"/>
            <w:vMerge w:val="continue"/>
            <w:vAlign w:val="center"/>
          </w:tcPr>
          <w:p w14:paraId="0759A21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350645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566A3B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多媒体智能集成管理平台</w:t>
            </w:r>
          </w:p>
        </w:tc>
        <w:tc>
          <w:tcPr>
            <w:tcW w:w="4667" w:type="dxa"/>
            <w:vAlign w:val="center"/>
          </w:tcPr>
          <w:p w14:paraId="5A4BEA8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急救医学录像通用设备</w:t>
            </w:r>
            <w:r>
              <w:rPr>
                <w:rFonts w:hint="eastAsia" w:ascii="宋体" w:hAnsi="宋体" w:eastAsia="宋体" w:cs="宋体"/>
                <w:b w:val="0"/>
                <w:bCs w:val="0"/>
                <w:color w:val="auto"/>
                <w:kern w:val="0"/>
                <w:sz w:val="20"/>
                <w:szCs w:val="20"/>
                <w:highlight w:val="none"/>
                <w:lang w:val="en-US" w:eastAsia="zh-CN"/>
              </w:rPr>
              <w:t>多媒体智能集成管理平台</w:t>
            </w:r>
          </w:p>
        </w:tc>
        <w:tc>
          <w:tcPr>
            <w:tcW w:w="733" w:type="dxa"/>
            <w:vMerge w:val="continue"/>
            <w:vAlign w:val="center"/>
          </w:tcPr>
          <w:p w14:paraId="0619887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CB4EDEE">
            <w:pPr>
              <w:jc w:val="center"/>
              <w:rPr>
                <w:rFonts w:hint="eastAsia" w:ascii="宋体" w:hAnsi="宋体" w:eastAsia="宋体" w:cs="宋体"/>
                <w:b w:val="0"/>
                <w:bCs w:val="0"/>
                <w:color w:val="auto"/>
                <w:kern w:val="0"/>
                <w:sz w:val="20"/>
                <w:szCs w:val="20"/>
                <w:highlight w:val="none"/>
                <w:lang w:val="en-US" w:eastAsia="zh-CN" w:bidi="ar-SA"/>
              </w:rPr>
            </w:pPr>
          </w:p>
        </w:tc>
      </w:tr>
      <w:tr w14:paraId="7349F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CF7583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246</w:t>
            </w:r>
          </w:p>
        </w:tc>
        <w:tc>
          <w:tcPr>
            <w:tcW w:w="720" w:type="dxa"/>
            <w:vMerge w:val="continue"/>
            <w:vAlign w:val="center"/>
          </w:tcPr>
          <w:p w14:paraId="2807AEE8">
            <w:pPr>
              <w:jc w:val="center"/>
              <w:rPr>
                <w:rFonts w:hint="eastAsia" w:ascii="宋体" w:hAnsi="宋体" w:eastAsia="宋体" w:cs="宋体"/>
                <w:b/>
                <w:color w:val="auto"/>
                <w:sz w:val="24"/>
                <w:szCs w:val="24"/>
                <w:highlight w:val="none"/>
                <w:vertAlign w:val="baseline"/>
                <w:lang w:eastAsia="zh-CN"/>
              </w:rPr>
            </w:pPr>
          </w:p>
        </w:tc>
        <w:tc>
          <w:tcPr>
            <w:tcW w:w="2933" w:type="dxa"/>
            <w:gridSpan w:val="2"/>
            <w:vAlign w:val="center"/>
          </w:tcPr>
          <w:p w14:paraId="155FFB0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远程视频会诊模块</w:t>
            </w:r>
          </w:p>
        </w:tc>
        <w:tc>
          <w:tcPr>
            <w:tcW w:w="4667" w:type="dxa"/>
            <w:vAlign w:val="center"/>
          </w:tcPr>
          <w:p w14:paraId="3EF19EC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远程会诊视频通讯平台主要用于搭建急救医生、120督导专家、院内专科医生等建立多方视频通话，实现患者病情的远程诊断和救治前移。支持5组远程会诊同时录制。</w:t>
            </w:r>
          </w:p>
        </w:tc>
        <w:tc>
          <w:tcPr>
            <w:tcW w:w="733" w:type="dxa"/>
            <w:vAlign w:val="center"/>
          </w:tcPr>
          <w:p w14:paraId="7537869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2E73FE5F">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6F7E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80D483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247</w:t>
            </w:r>
          </w:p>
        </w:tc>
        <w:tc>
          <w:tcPr>
            <w:tcW w:w="720" w:type="dxa"/>
            <w:vMerge w:val="restart"/>
            <w:vAlign w:val="center"/>
          </w:tcPr>
          <w:p w14:paraId="66522F9C">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急救服务端</w:t>
            </w:r>
          </w:p>
        </w:tc>
        <w:tc>
          <w:tcPr>
            <w:tcW w:w="875" w:type="dxa"/>
            <w:vMerge w:val="restart"/>
            <w:vAlign w:val="center"/>
          </w:tcPr>
          <w:p w14:paraId="7851568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调度系统</w:t>
            </w:r>
          </w:p>
        </w:tc>
        <w:tc>
          <w:tcPr>
            <w:tcW w:w="2058" w:type="dxa"/>
            <w:vAlign w:val="center"/>
          </w:tcPr>
          <w:p w14:paraId="377A6DC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应用服务双活要求</w:t>
            </w:r>
          </w:p>
        </w:tc>
        <w:tc>
          <w:tcPr>
            <w:tcW w:w="4667" w:type="dxa"/>
            <w:vAlign w:val="center"/>
          </w:tcPr>
          <w:p w14:paraId="69F4796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系统所有应用服务系统双活改造，关键技术是改造应用服务缓存设计，改为通过消息计数机制来从应用服务获取数据，通过计数来判断缓存是否是最新，不是最新则需要去数据库更新最新数据，从而在保留了缓存的基础上实现了双活。</w:t>
            </w:r>
          </w:p>
        </w:tc>
        <w:tc>
          <w:tcPr>
            <w:tcW w:w="733" w:type="dxa"/>
            <w:vMerge w:val="restart"/>
            <w:vAlign w:val="center"/>
          </w:tcPr>
          <w:p w14:paraId="4D86A0F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03ACBD47">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68F84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0F52F3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248</w:t>
            </w:r>
          </w:p>
        </w:tc>
        <w:tc>
          <w:tcPr>
            <w:tcW w:w="720" w:type="dxa"/>
            <w:vMerge w:val="continue"/>
            <w:vAlign w:val="center"/>
          </w:tcPr>
          <w:p w14:paraId="50AC5A5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4EB69F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11056B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通信服务双活要求</w:t>
            </w:r>
          </w:p>
        </w:tc>
        <w:tc>
          <w:tcPr>
            <w:tcW w:w="4667" w:type="dxa"/>
            <w:vAlign w:val="center"/>
          </w:tcPr>
          <w:p w14:paraId="11F3688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服主要负责和车载相关系统模块的消息中转，其一，调度系统发往车载的数据，都需要同时发给两个通服，实际车载在哪个通服连接则从哪个通服实际下发。其二，车载改造配置两个通服地址，连接不上一个会尝试连接另一个服务器，服务器收到车载上行消息进行业务处理，推送GPS\北斗数据等，双服务同时工作，互不干扰。主要包括如急救车载软件、电子病历软件、急救分站软件、院前院内协同系统软件等的双活改造。</w:t>
            </w:r>
          </w:p>
        </w:tc>
        <w:tc>
          <w:tcPr>
            <w:tcW w:w="733" w:type="dxa"/>
            <w:vMerge w:val="continue"/>
            <w:vAlign w:val="center"/>
          </w:tcPr>
          <w:p w14:paraId="5A050B5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457641F">
            <w:pPr>
              <w:jc w:val="center"/>
              <w:rPr>
                <w:rFonts w:hint="eastAsia" w:ascii="宋体" w:hAnsi="宋体" w:eastAsia="宋体" w:cs="宋体"/>
                <w:b w:val="0"/>
                <w:bCs w:val="0"/>
                <w:color w:val="auto"/>
                <w:kern w:val="0"/>
                <w:sz w:val="20"/>
                <w:szCs w:val="20"/>
                <w:highlight w:val="none"/>
                <w:lang w:val="en-US" w:eastAsia="zh-CN" w:bidi="ar-SA"/>
              </w:rPr>
            </w:pPr>
          </w:p>
        </w:tc>
      </w:tr>
      <w:tr w14:paraId="41653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E36463B">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249</w:t>
            </w:r>
          </w:p>
        </w:tc>
        <w:tc>
          <w:tcPr>
            <w:tcW w:w="720" w:type="dxa"/>
            <w:vMerge w:val="continue"/>
            <w:vAlign w:val="center"/>
          </w:tcPr>
          <w:p w14:paraId="2BFB7D4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572C32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3FBA84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消息服务双活要求</w:t>
            </w:r>
          </w:p>
        </w:tc>
        <w:tc>
          <w:tcPr>
            <w:tcW w:w="4667" w:type="dxa"/>
            <w:vAlign w:val="center"/>
          </w:tcPr>
          <w:p w14:paraId="2F32277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在基于TCP的云架构下，部署此服务，所有内部通信消息都通过消息服务中转，此服务设计同时可以运行两个，每个服务启动后都会尝试连接另一个服务。当内部通信消息发送到一个服务时，它首先把消息同步到另一个消息服务，再进行正常的客户端转发。所有连接消息服务的客户端都会配置双消息服务地址，当连接不上一个服务时会尝试连接另一个服务。</w:t>
            </w:r>
          </w:p>
        </w:tc>
        <w:tc>
          <w:tcPr>
            <w:tcW w:w="733" w:type="dxa"/>
            <w:vMerge w:val="continue"/>
            <w:vAlign w:val="center"/>
          </w:tcPr>
          <w:p w14:paraId="2C946C7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6993638">
            <w:pPr>
              <w:jc w:val="center"/>
              <w:rPr>
                <w:rFonts w:hint="eastAsia" w:ascii="宋体" w:hAnsi="宋体" w:eastAsia="宋体" w:cs="宋体"/>
                <w:b w:val="0"/>
                <w:bCs w:val="0"/>
                <w:color w:val="auto"/>
                <w:kern w:val="0"/>
                <w:sz w:val="20"/>
                <w:szCs w:val="20"/>
                <w:highlight w:val="none"/>
                <w:lang w:val="en-US" w:eastAsia="zh-CN" w:bidi="ar-SA"/>
              </w:rPr>
            </w:pPr>
          </w:p>
        </w:tc>
      </w:tr>
      <w:tr w14:paraId="229A1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A0FCBA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250</w:t>
            </w:r>
          </w:p>
        </w:tc>
        <w:tc>
          <w:tcPr>
            <w:tcW w:w="720" w:type="dxa"/>
            <w:vMerge w:val="continue"/>
            <w:vAlign w:val="center"/>
          </w:tcPr>
          <w:p w14:paraId="1AB59E1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AD76D0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5A0AE6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客户端双活要求</w:t>
            </w:r>
          </w:p>
        </w:tc>
        <w:tc>
          <w:tcPr>
            <w:tcW w:w="4667" w:type="dxa"/>
            <w:vAlign w:val="center"/>
          </w:tcPr>
          <w:p w14:paraId="61F2953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客户端改造就要包括受理调度台程序、分站接警程序、车载程序进行双活设计改造。其中，受理调度台程序和分站程序需要配置双应用地址和双消息服务地址，连接不到一个时需要尝试连接另一个；车载终端需要配置双通服地址，连接不到一个时需要尝试连接另一个。</w:t>
            </w:r>
          </w:p>
        </w:tc>
        <w:tc>
          <w:tcPr>
            <w:tcW w:w="733" w:type="dxa"/>
            <w:vMerge w:val="continue"/>
            <w:vAlign w:val="center"/>
          </w:tcPr>
          <w:p w14:paraId="5AB10B9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5B4DD45">
            <w:pPr>
              <w:jc w:val="center"/>
              <w:rPr>
                <w:rFonts w:hint="eastAsia" w:ascii="宋体" w:hAnsi="宋体" w:eastAsia="宋体" w:cs="宋体"/>
                <w:b w:val="0"/>
                <w:bCs w:val="0"/>
                <w:color w:val="auto"/>
                <w:kern w:val="0"/>
                <w:sz w:val="20"/>
                <w:szCs w:val="20"/>
                <w:highlight w:val="none"/>
                <w:lang w:val="en-US" w:eastAsia="zh-CN" w:bidi="ar-SA"/>
              </w:rPr>
            </w:pPr>
          </w:p>
        </w:tc>
      </w:tr>
      <w:tr w14:paraId="0A8F1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B5C5B6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251</w:t>
            </w:r>
          </w:p>
        </w:tc>
        <w:tc>
          <w:tcPr>
            <w:tcW w:w="720" w:type="dxa"/>
            <w:vMerge w:val="continue"/>
            <w:vAlign w:val="center"/>
          </w:tcPr>
          <w:p w14:paraId="3C046C8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BA400F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475F80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双活系统后台管理要求</w:t>
            </w:r>
          </w:p>
        </w:tc>
        <w:tc>
          <w:tcPr>
            <w:tcW w:w="4667" w:type="dxa"/>
            <w:vAlign w:val="center"/>
          </w:tcPr>
          <w:p w14:paraId="6F7750E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定制化双活系统后台管理平台，集成全业务流的双活监管，支持配置、告警等功能。</w:t>
            </w:r>
          </w:p>
        </w:tc>
        <w:tc>
          <w:tcPr>
            <w:tcW w:w="733" w:type="dxa"/>
            <w:vMerge w:val="continue"/>
            <w:vAlign w:val="center"/>
          </w:tcPr>
          <w:p w14:paraId="76AF03B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7B365B2">
            <w:pPr>
              <w:jc w:val="center"/>
              <w:rPr>
                <w:rFonts w:hint="eastAsia" w:ascii="宋体" w:hAnsi="宋体" w:eastAsia="宋体" w:cs="宋体"/>
                <w:b w:val="0"/>
                <w:bCs w:val="0"/>
                <w:color w:val="auto"/>
                <w:kern w:val="0"/>
                <w:sz w:val="20"/>
                <w:szCs w:val="20"/>
                <w:highlight w:val="none"/>
                <w:lang w:val="en-US" w:eastAsia="zh-CN" w:bidi="ar-SA"/>
              </w:rPr>
            </w:pPr>
          </w:p>
        </w:tc>
      </w:tr>
      <w:tr w14:paraId="65F41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D6479E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252</w:t>
            </w:r>
          </w:p>
        </w:tc>
        <w:tc>
          <w:tcPr>
            <w:tcW w:w="720" w:type="dxa"/>
            <w:vMerge w:val="continue"/>
            <w:vAlign w:val="center"/>
          </w:tcPr>
          <w:p w14:paraId="5A52B77E">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164D971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120医疗救援办公管理系统软件</w:t>
            </w:r>
          </w:p>
        </w:tc>
        <w:tc>
          <w:tcPr>
            <w:tcW w:w="2058" w:type="dxa"/>
            <w:vAlign w:val="center"/>
          </w:tcPr>
          <w:p w14:paraId="2DC08BA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系统信息管理</w:t>
            </w:r>
          </w:p>
        </w:tc>
        <w:tc>
          <w:tcPr>
            <w:tcW w:w="4667" w:type="dxa"/>
            <w:vAlign w:val="center"/>
          </w:tcPr>
          <w:p w14:paraId="2FA1908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主要针对院前调度、急救、病历、知识、信息统计等进行管理。</w:t>
            </w:r>
          </w:p>
        </w:tc>
        <w:tc>
          <w:tcPr>
            <w:tcW w:w="733" w:type="dxa"/>
            <w:vMerge w:val="restart"/>
            <w:vAlign w:val="center"/>
          </w:tcPr>
          <w:p w14:paraId="1F8BC41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6F1DD4E3">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7638A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CA0BBAD">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253</w:t>
            </w:r>
          </w:p>
        </w:tc>
        <w:tc>
          <w:tcPr>
            <w:tcW w:w="720" w:type="dxa"/>
            <w:vMerge w:val="continue"/>
            <w:vAlign w:val="center"/>
          </w:tcPr>
          <w:p w14:paraId="0490A7B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F0E7E4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BDF143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急救信息统计</w:t>
            </w:r>
          </w:p>
        </w:tc>
        <w:tc>
          <w:tcPr>
            <w:tcW w:w="4667" w:type="dxa"/>
            <w:vAlign w:val="center"/>
          </w:tcPr>
          <w:p w14:paraId="573E0C5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对急救处置过程的监控、统计、分析，帮助领导实现对急救过程的全程管理，主要从调度和急救两个方面进行统计；对呼救受理的前期进行有关呼救来源、坐席设置、人员排班、电话接听等进行分析，以帮助中心领导对系统技术的改进、调度员管理工作的改进提供决策依据；对救治信息统计，依据工作量、处置统计结果，对救护车有效运行率，医生、司机、护士的排班，急救处理能力培训等实行动态管理。</w:t>
            </w:r>
          </w:p>
        </w:tc>
        <w:tc>
          <w:tcPr>
            <w:tcW w:w="733" w:type="dxa"/>
            <w:vMerge w:val="continue"/>
            <w:vAlign w:val="center"/>
          </w:tcPr>
          <w:p w14:paraId="3112C6E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ED00C2A">
            <w:pPr>
              <w:jc w:val="center"/>
              <w:rPr>
                <w:rFonts w:hint="eastAsia" w:ascii="宋体" w:hAnsi="宋体" w:eastAsia="宋体" w:cs="宋体"/>
                <w:b w:val="0"/>
                <w:bCs w:val="0"/>
                <w:color w:val="auto"/>
                <w:kern w:val="0"/>
                <w:sz w:val="20"/>
                <w:szCs w:val="20"/>
                <w:highlight w:val="none"/>
                <w:lang w:val="en-US" w:eastAsia="zh-CN" w:bidi="ar-SA"/>
              </w:rPr>
            </w:pPr>
          </w:p>
        </w:tc>
      </w:tr>
      <w:tr w14:paraId="6DF0A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103180D">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254</w:t>
            </w:r>
          </w:p>
        </w:tc>
        <w:tc>
          <w:tcPr>
            <w:tcW w:w="720" w:type="dxa"/>
            <w:vMerge w:val="continue"/>
            <w:vAlign w:val="center"/>
          </w:tcPr>
          <w:p w14:paraId="5548443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5D3D07F">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C61FAE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调度历史信息</w:t>
            </w:r>
          </w:p>
        </w:tc>
        <w:tc>
          <w:tcPr>
            <w:tcW w:w="4667" w:type="dxa"/>
            <w:vAlign w:val="center"/>
          </w:tcPr>
          <w:p w14:paraId="22423B1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系统提供对急救事件信息、任务信息、车辆信息等查询，并且电话流水查询可以直接调出录音文件进行播放等。</w:t>
            </w:r>
          </w:p>
        </w:tc>
        <w:tc>
          <w:tcPr>
            <w:tcW w:w="733" w:type="dxa"/>
            <w:vMerge w:val="continue"/>
            <w:vAlign w:val="center"/>
          </w:tcPr>
          <w:p w14:paraId="7D5D9E0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531DF13">
            <w:pPr>
              <w:jc w:val="center"/>
              <w:rPr>
                <w:rFonts w:hint="eastAsia" w:ascii="宋体" w:hAnsi="宋体" w:eastAsia="宋体" w:cs="宋体"/>
                <w:b w:val="0"/>
                <w:bCs w:val="0"/>
                <w:color w:val="auto"/>
                <w:kern w:val="0"/>
                <w:sz w:val="20"/>
                <w:szCs w:val="20"/>
                <w:highlight w:val="none"/>
                <w:lang w:val="en-US" w:eastAsia="zh-CN" w:bidi="ar-SA"/>
              </w:rPr>
            </w:pPr>
          </w:p>
        </w:tc>
      </w:tr>
      <w:tr w14:paraId="7F53F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AB9C77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255</w:t>
            </w:r>
          </w:p>
        </w:tc>
        <w:tc>
          <w:tcPr>
            <w:tcW w:w="720" w:type="dxa"/>
            <w:vMerge w:val="continue"/>
            <w:vAlign w:val="center"/>
          </w:tcPr>
          <w:p w14:paraId="5F6C865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D150E0F">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45B845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病历信息</w:t>
            </w:r>
          </w:p>
        </w:tc>
        <w:tc>
          <w:tcPr>
            <w:tcW w:w="4667" w:type="dxa"/>
            <w:vAlign w:val="center"/>
          </w:tcPr>
          <w:p w14:paraId="2DF5D21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结合急救分站获得院前急救病历，利于系统CRM（客户关系管理）的实现，同时有助于突发公共卫生事件的预警，以及进行医学统计以提高急救处置能力。其中院前急救病历填输具备病种模板功能，病种模版要求可以自行在管理系统中维护各类丰富的结构化模版。急救医生也可根据自己习惯，个性化设计自有电子病历结构化模板。维护好的病历模版，可以直接在电子病历中直接调用。</w:t>
            </w:r>
          </w:p>
        </w:tc>
        <w:tc>
          <w:tcPr>
            <w:tcW w:w="733" w:type="dxa"/>
            <w:vMerge w:val="continue"/>
            <w:vAlign w:val="center"/>
          </w:tcPr>
          <w:p w14:paraId="70D1132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4D1D56A">
            <w:pPr>
              <w:jc w:val="center"/>
              <w:rPr>
                <w:rFonts w:hint="eastAsia" w:ascii="宋体" w:hAnsi="宋体" w:eastAsia="宋体" w:cs="宋体"/>
                <w:b w:val="0"/>
                <w:bCs w:val="0"/>
                <w:color w:val="auto"/>
                <w:kern w:val="0"/>
                <w:sz w:val="20"/>
                <w:szCs w:val="20"/>
                <w:highlight w:val="none"/>
                <w:lang w:val="en-US" w:eastAsia="zh-CN" w:bidi="ar-SA"/>
              </w:rPr>
            </w:pPr>
          </w:p>
        </w:tc>
      </w:tr>
      <w:tr w14:paraId="2FCCF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D482E3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256</w:t>
            </w:r>
          </w:p>
        </w:tc>
        <w:tc>
          <w:tcPr>
            <w:tcW w:w="720" w:type="dxa"/>
            <w:vMerge w:val="continue"/>
            <w:vAlign w:val="center"/>
          </w:tcPr>
          <w:p w14:paraId="1D82A4A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88521C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582D5E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办公管理</w:t>
            </w:r>
          </w:p>
        </w:tc>
        <w:tc>
          <w:tcPr>
            <w:tcW w:w="4667" w:type="dxa"/>
            <w:vAlign w:val="center"/>
          </w:tcPr>
          <w:p w14:paraId="1B83EEF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是传统办公管理与IT管理的结合，系统通过提供办公信息管理，将急救中心管理与知识共享融为一体。</w:t>
            </w:r>
          </w:p>
        </w:tc>
        <w:tc>
          <w:tcPr>
            <w:tcW w:w="733" w:type="dxa"/>
            <w:vMerge w:val="continue"/>
            <w:vAlign w:val="center"/>
          </w:tcPr>
          <w:p w14:paraId="0776D77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033E103">
            <w:pPr>
              <w:jc w:val="center"/>
              <w:rPr>
                <w:rFonts w:hint="eastAsia" w:ascii="宋体" w:hAnsi="宋体" w:eastAsia="宋体" w:cs="宋体"/>
                <w:b w:val="0"/>
                <w:bCs w:val="0"/>
                <w:color w:val="auto"/>
                <w:kern w:val="0"/>
                <w:sz w:val="20"/>
                <w:szCs w:val="20"/>
                <w:highlight w:val="none"/>
                <w:lang w:val="en-US" w:eastAsia="zh-CN" w:bidi="ar-SA"/>
              </w:rPr>
            </w:pPr>
          </w:p>
        </w:tc>
      </w:tr>
      <w:tr w14:paraId="545BF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6C56F7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257</w:t>
            </w:r>
          </w:p>
        </w:tc>
        <w:tc>
          <w:tcPr>
            <w:tcW w:w="720" w:type="dxa"/>
            <w:vMerge w:val="continue"/>
            <w:vAlign w:val="center"/>
          </w:tcPr>
          <w:p w14:paraId="7051294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89241D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ECC1AF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知识管理</w:t>
            </w:r>
          </w:p>
        </w:tc>
        <w:tc>
          <w:tcPr>
            <w:tcW w:w="4667" w:type="dxa"/>
            <w:vAlign w:val="center"/>
          </w:tcPr>
          <w:p w14:paraId="28C6243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提供急救知识信息，协助急救中心运用高效的办公系统整合资源,有效改善急救中心知识管理模式,实现资源有效共享。</w:t>
            </w:r>
          </w:p>
        </w:tc>
        <w:tc>
          <w:tcPr>
            <w:tcW w:w="733" w:type="dxa"/>
            <w:vMerge w:val="continue"/>
            <w:vAlign w:val="center"/>
          </w:tcPr>
          <w:p w14:paraId="0EC72D4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2C203B0">
            <w:pPr>
              <w:jc w:val="center"/>
              <w:rPr>
                <w:rFonts w:hint="eastAsia" w:ascii="宋体" w:hAnsi="宋体" w:eastAsia="宋体" w:cs="宋体"/>
                <w:b w:val="0"/>
                <w:bCs w:val="0"/>
                <w:color w:val="auto"/>
                <w:kern w:val="0"/>
                <w:sz w:val="20"/>
                <w:szCs w:val="20"/>
                <w:highlight w:val="none"/>
                <w:lang w:val="en-US" w:eastAsia="zh-CN" w:bidi="ar-SA"/>
              </w:rPr>
            </w:pPr>
          </w:p>
        </w:tc>
      </w:tr>
      <w:tr w14:paraId="71D2A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463A28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258</w:t>
            </w:r>
          </w:p>
        </w:tc>
        <w:tc>
          <w:tcPr>
            <w:tcW w:w="720" w:type="dxa"/>
            <w:vMerge w:val="continue"/>
            <w:vAlign w:val="center"/>
          </w:tcPr>
          <w:p w14:paraId="28EF91D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5116AE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8DF593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系统数据维护</w:t>
            </w:r>
          </w:p>
        </w:tc>
        <w:tc>
          <w:tcPr>
            <w:tcW w:w="4667" w:type="dxa"/>
            <w:vAlign w:val="center"/>
          </w:tcPr>
          <w:p w14:paraId="18F1A23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主要对120医疗救援指挥系统的基础数据、字典表、车载管理、患者救治记录、系统设置等方便的数据进行分析维护。</w:t>
            </w:r>
          </w:p>
        </w:tc>
        <w:tc>
          <w:tcPr>
            <w:tcW w:w="733" w:type="dxa"/>
            <w:vMerge w:val="continue"/>
            <w:vAlign w:val="center"/>
          </w:tcPr>
          <w:p w14:paraId="0DC16C5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2051DD7">
            <w:pPr>
              <w:jc w:val="center"/>
              <w:rPr>
                <w:rFonts w:hint="eastAsia" w:ascii="宋体" w:hAnsi="宋体" w:eastAsia="宋体" w:cs="宋体"/>
                <w:b w:val="0"/>
                <w:bCs w:val="0"/>
                <w:color w:val="auto"/>
                <w:kern w:val="0"/>
                <w:sz w:val="20"/>
                <w:szCs w:val="20"/>
                <w:highlight w:val="none"/>
                <w:lang w:val="en-US" w:eastAsia="zh-CN" w:bidi="ar-SA"/>
              </w:rPr>
            </w:pPr>
          </w:p>
        </w:tc>
      </w:tr>
      <w:tr w14:paraId="293FF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68A04A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259</w:t>
            </w:r>
          </w:p>
        </w:tc>
        <w:tc>
          <w:tcPr>
            <w:tcW w:w="720" w:type="dxa"/>
            <w:vMerge w:val="continue"/>
            <w:vAlign w:val="center"/>
          </w:tcPr>
          <w:p w14:paraId="4B99460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11912EF">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07D97F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120医疗救援办公管理系统软件</w:t>
            </w:r>
          </w:p>
        </w:tc>
        <w:tc>
          <w:tcPr>
            <w:tcW w:w="4667" w:type="dxa"/>
            <w:vAlign w:val="center"/>
          </w:tcPr>
          <w:p w14:paraId="4CAF821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急救服务端</w:t>
            </w:r>
            <w:r>
              <w:rPr>
                <w:rFonts w:hint="eastAsia" w:ascii="宋体" w:hAnsi="宋体" w:eastAsia="宋体" w:cs="宋体"/>
                <w:b w:val="0"/>
                <w:bCs w:val="0"/>
                <w:color w:val="auto"/>
                <w:kern w:val="0"/>
                <w:sz w:val="20"/>
                <w:szCs w:val="20"/>
                <w:highlight w:val="none"/>
                <w:lang w:val="en-US" w:eastAsia="zh-CN"/>
              </w:rPr>
              <w:t>120医疗救援办公管理系统软件</w:t>
            </w:r>
          </w:p>
        </w:tc>
        <w:tc>
          <w:tcPr>
            <w:tcW w:w="733" w:type="dxa"/>
            <w:vMerge w:val="continue"/>
            <w:vAlign w:val="center"/>
          </w:tcPr>
          <w:p w14:paraId="1134F3E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BA6D983">
            <w:pPr>
              <w:jc w:val="center"/>
              <w:rPr>
                <w:rFonts w:hint="eastAsia" w:ascii="宋体" w:hAnsi="宋体" w:eastAsia="宋体" w:cs="宋体"/>
                <w:b w:val="0"/>
                <w:bCs w:val="0"/>
                <w:color w:val="auto"/>
                <w:kern w:val="0"/>
                <w:sz w:val="20"/>
                <w:szCs w:val="20"/>
                <w:highlight w:val="none"/>
                <w:lang w:val="en-US" w:eastAsia="zh-CN" w:bidi="ar-SA"/>
              </w:rPr>
            </w:pPr>
          </w:p>
        </w:tc>
      </w:tr>
      <w:tr w14:paraId="03E54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659E9D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260</w:t>
            </w:r>
          </w:p>
        </w:tc>
        <w:tc>
          <w:tcPr>
            <w:tcW w:w="720" w:type="dxa"/>
            <w:vMerge w:val="continue"/>
            <w:vAlign w:val="center"/>
          </w:tcPr>
          <w:p w14:paraId="100EE645">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3F5DCA1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云地图子系统</w:t>
            </w:r>
          </w:p>
        </w:tc>
        <w:tc>
          <w:tcPr>
            <w:tcW w:w="2058" w:type="dxa"/>
            <w:vAlign w:val="center"/>
          </w:tcPr>
          <w:p w14:paraId="04E0D40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地图视图模块</w:t>
            </w:r>
          </w:p>
        </w:tc>
        <w:tc>
          <w:tcPr>
            <w:tcW w:w="4667" w:type="dxa"/>
            <w:vAlign w:val="center"/>
          </w:tcPr>
          <w:p w14:paraId="3982658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要求提供三种视图：一是矢量地图（传统地图），可提供行政区和交通以及商业信息</w:t>
            </w:r>
            <w:r>
              <w:rPr>
                <w:rFonts w:hint="eastAsia" w:ascii="宋体" w:hAnsi="宋体" w:eastAsia="宋体" w:cs="宋体"/>
                <w:b w:val="0"/>
                <w:bCs w:val="0"/>
                <w:color w:val="auto"/>
                <w:kern w:val="0"/>
                <w:sz w:val="20"/>
                <w:szCs w:val="20"/>
                <w:highlight w:val="none"/>
                <w:lang w:val="en-US" w:eastAsia="zh-CN"/>
              </w:rPr>
              <w:br w:type="textWrapping"/>
            </w:r>
            <w:r>
              <w:rPr>
                <w:rFonts w:hint="eastAsia" w:ascii="宋体" w:hAnsi="宋体" w:eastAsia="宋体" w:cs="宋体"/>
                <w:b w:val="0"/>
                <w:bCs w:val="0"/>
                <w:color w:val="auto"/>
                <w:kern w:val="0"/>
                <w:sz w:val="20"/>
                <w:szCs w:val="20"/>
                <w:highlight w:val="none"/>
                <w:lang w:val="en-US" w:eastAsia="zh-CN"/>
              </w:rPr>
              <w:t>；二是不同分辨率的卫星照片（俯视图）；三是地形视图，可以用以显示地形</w:t>
            </w:r>
          </w:p>
        </w:tc>
        <w:tc>
          <w:tcPr>
            <w:tcW w:w="733" w:type="dxa"/>
            <w:vMerge w:val="restart"/>
            <w:vAlign w:val="center"/>
          </w:tcPr>
          <w:p w14:paraId="54D2DD0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081CABB0">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0FFBB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4C6A6A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261</w:t>
            </w:r>
          </w:p>
        </w:tc>
        <w:tc>
          <w:tcPr>
            <w:tcW w:w="720" w:type="dxa"/>
            <w:vMerge w:val="continue"/>
            <w:vAlign w:val="center"/>
          </w:tcPr>
          <w:p w14:paraId="4F16CCD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DD6A39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120611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地图数据模块</w:t>
            </w:r>
          </w:p>
        </w:tc>
        <w:tc>
          <w:tcPr>
            <w:tcW w:w="4667" w:type="dxa"/>
            <w:vAlign w:val="center"/>
          </w:tcPr>
          <w:p w14:paraId="440F847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提供面积大、内容全、更新迅速的地图数据，要求网络在线地图基于百度、腾讯、高德等互联网地图应用</w:t>
            </w:r>
          </w:p>
        </w:tc>
        <w:tc>
          <w:tcPr>
            <w:tcW w:w="733" w:type="dxa"/>
            <w:vMerge w:val="continue"/>
            <w:vAlign w:val="center"/>
          </w:tcPr>
          <w:p w14:paraId="6706625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D92B3B4">
            <w:pPr>
              <w:jc w:val="center"/>
              <w:rPr>
                <w:rFonts w:hint="eastAsia" w:ascii="宋体" w:hAnsi="宋体" w:eastAsia="宋体" w:cs="宋体"/>
                <w:b w:val="0"/>
                <w:bCs w:val="0"/>
                <w:color w:val="auto"/>
                <w:kern w:val="0"/>
                <w:sz w:val="20"/>
                <w:szCs w:val="20"/>
                <w:highlight w:val="none"/>
                <w:lang w:val="en-US" w:eastAsia="zh-CN" w:bidi="ar-SA"/>
              </w:rPr>
            </w:pPr>
          </w:p>
        </w:tc>
      </w:tr>
      <w:tr w14:paraId="37074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136B8B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262</w:t>
            </w:r>
          </w:p>
        </w:tc>
        <w:tc>
          <w:tcPr>
            <w:tcW w:w="720" w:type="dxa"/>
            <w:vMerge w:val="continue"/>
            <w:vAlign w:val="center"/>
          </w:tcPr>
          <w:p w14:paraId="34AA9EE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92B4C8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90F24A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地图查询模块</w:t>
            </w:r>
          </w:p>
        </w:tc>
        <w:tc>
          <w:tcPr>
            <w:tcW w:w="4667" w:type="dxa"/>
            <w:vAlign w:val="center"/>
          </w:tcPr>
          <w:p w14:paraId="508A47B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要求提供模糊名称查询、最优路径等大量辅助手段</w:t>
            </w:r>
          </w:p>
        </w:tc>
        <w:tc>
          <w:tcPr>
            <w:tcW w:w="733" w:type="dxa"/>
            <w:vMerge w:val="continue"/>
            <w:vAlign w:val="center"/>
          </w:tcPr>
          <w:p w14:paraId="2B85D30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E969E6E">
            <w:pPr>
              <w:jc w:val="center"/>
              <w:rPr>
                <w:rFonts w:hint="eastAsia" w:ascii="宋体" w:hAnsi="宋体" w:eastAsia="宋体" w:cs="宋体"/>
                <w:b w:val="0"/>
                <w:bCs w:val="0"/>
                <w:color w:val="auto"/>
                <w:kern w:val="0"/>
                <w:sz w:val="20"/>
                <w:szCs w:val="20"/>
                <w:highlight w:val="none"/>
                <w:lang w:val="en-US" w:eastAsia="zh-CN" w:bidi="ar-SA"/>
              </w:rPr>
            </w:pPr>
          </w:p>
        </w:tc>
      </w:tr>
      <w:tr w14:paraId="63A3A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2CADF2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263</w:t>
            </w:r>
          </w:p>
        </w:tc>
        <w:tc>
          <w:tcPr>
            <w:tcW w:w="720" w:type="dxa"/>
            <w:vMerge w:val="continue"/>
            <w:vAlign w:val="center"/>
          </w:tcPr>
          <w:p w14:paraId="3748534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701DB7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F843DE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语义搜索模块</w:t>
            </w:r>
          </w:p>
        </w:tc>
        <w:tc>
          <w:tcPr>
            <w:tcW w:w="4667" w:type="dxa"/>
            <w:vAlign w:val="center"/>
          </w:tcPr>
          <w:p w14:paraId="12172F9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要求提供强大语义搜索功能，针对急救行业应用的语义搜索，准确地捕捉到受理员所输入语句后面的真正意图，并以此来进行搜索，从而更准确地返回最符合其需求的搜索结果</w:t>
            </w:r>
          </w:p>
        </w:tc>
        <w:tc>
          <w:tcPr>
            <w:tcW w:w="733" w:type="dxa"/>
            <w:vMerge w:val="continue"/>
            <w:vAlign w:val="center"/>
          </w:tcPr>
          <w:p w14:paraId="76B7EBA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95D20BF">
            <w:pPr>
              <w:jc w:val="center"/>
              <w:rPr>
                <w:rFonts w:hint="eastAsia" w:ascii="宋体" w:hAnsi="宋体" w:eastAsia="宋体" w:cs="宋体"/>
                <w:b w:val="0"/>
                <w:bCs w:val="0"/>
                <w:color w:val="auto"/>
                <w:kern w:val="0"/>
                <w:sz w:val="20"/>
                <w:szCs w:val="20"/>
                <w:highlight w:val="none"/>
                <w:lang w:val="en-US" w:eastAsia="zh-CN" w:bidi="ar-SA"/>
              </w:rPr>
            </w:pPr>
          </w:p>
        </w:tc>
      </w:tr>
      <w:tr w14:paraId="6A293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8ED0B2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264</w:t>
            </w:r>
          </w:p>
        </w:tc>
        <w:tc>
          <w:tcPr>
            <w:tcW w:w="720" w:type="dxa"/>
            <w:vMerge w:val="continue"/>
            <w:vAlign w:val="center"/>
          </w:tcPr>
          <w:p w14:paraId="12EBDAC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78B1B5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D9D052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实时交通模块</w:t>
            </w:r>
          </w:p>
        </w:tc>
        <w:tc>
          <w:tcPr>
            <w:tcW w:w="4667" w:type="dxa"/>
            <w:vAlign w:val="center"/>
          </w:tcPr>
          <w:p w14:paraId="731FB8E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要求提供城市道路交通流量实施信息，通过红、黄、绿等颜色来展示交通状况。通过查看实时交通信息，调整救护车行驶路线</w:t>
            </w:r>
          </w:p>
        </w:tc>
        <w:tc>
          <w:tcPr>
            <w:tcW w:w="733" w:type="dxa"/>
            <w:vMerge w:val="continue"/>
            <w:vAlign w:val="center"/>
          </w:tcPr>
          <w:p w14:paraId="3FC5EDB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B89E7F7">
            <w:pPr>
              <w:jc w:val="center"/>
              <w:rPr>
                <w:rFonts w:hint="eastAsia" w:ascii="宋体" w:hAnsi="宋体" w:eastAsia="宋体" w:cs="宋体"/>
                <w:b w:val="0"/>
                <w:bCs w:val="0"/>
                <w:color w:val="auto"/>
                <w:kern w:val="0"/>
                <w:sz w:val="20"/>
                <w:szCs w:val="20"/>
                <w:highlight w:val="none"/>
                <w:lang w:val="en-US" w:eastAsia="zh-CN" w:bidi="ar-SA"/>
              </w:rPr>
            </w:pPr>
          </w:p>
        </w:tc>
      </w:tr>
      <w:tr w14:paraId="408E7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CAAFFE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265</w:t>
            </w:r>
          </w:p>
        </w:tc>
        <w:tc>
          <w:tcPr>
            <w:tcW w:w="720" w:type="dxa"/>
            <w:vMerge w:val="continue"/>
            <w:vAlign w:val="center"/>
          </w:tcPr>
          <w:p w14:paraId="20A32CD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7931BE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13009A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GIS调度管理模块</w:t>
            </w:r>
          </w:p>
        </w:tc>
        <w:tc>
          <w:tcPr>
            <w:tcW w:w="4667" w:type="dxa"/>
            <w:vAlign w:val="center"/>
          </w:tcPr>
          <w:p w14:paraId="054E6AE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要求互联网GIS与120调度结合，在线地图与受理台调度软件结合，满足受理台调度软件应用需求</w:t>
            </w:r>
          </w:p>
        </w:tc>
        <w:tc>
          <w:tcPr>
            <w:tcW w:w="733" w:type="dxa"/>
            <w:vMerge w:val="continue"/>
            <w:vAlign w:val="center"/>
          </w:tcPr>
          <w:p w14:paraId="53DD945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46DA718">
            <w:pPr>
              <w:jc w:val="center"/>
              <w:rPr>
                <w:rFonts w:hint="eastAsia" w:ascii="宋体" w:hAnsi="宋体" w:eastAsia="宋体" w:cs="宋体"/>
                <w:b w:val="0"/>
                <w:bCs w:val="0"/>
                <w:color w:val="auto"/>
                <w:kern w:val="0"/>
                <w:sz w:val="20"/>
                <w:szCs w:val="20"/>
                <w:highlight w:val="none"/>
                <w:lang w:val="en-US" w:eastAsia="zh-CN" w:bidi="ar-SA"/>
              </w:rPr>
            </w:pPr>
          </w:p>
        </w:tc>
      </w:tr>
      <w:tr w14:paraId="78063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5CC297D">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266</w:t>
            </w:r>
          </w:p>
        </w:tc>
        <w:tc>
          <w:tcPr>
            <w:tcW w:w="720" w:type="dxa"/>
            <w:vMerge w:val="continue"/>
            <w:vAlign w:val="center"/>
          </w:tcPr>
          <w:p w14:paraId="2DCB3F5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7CE825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90961A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地图引擎切换模块</w:t>
            </w:r>
          </w:p>
        </w:tc>
        <w:tc>
          <w:tcPr>
            <w:tcW w:w="4667" w:type="dxa"/>
            <w:vAlign w:val="center"/>
          </w:tcPr>
          <w:p w14:paraId="4BB3405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要求至少百度地图、高德地图、本地地图可同时使用，并可以随意切换。</w:t>
            </w:r>
          </w:p>
        </w:tc>
        <w:tc>
          <w:tcPr>
            <w:tcW w:w="733" w:type="dxa"/>
            <w:vMerge w:val="continue"/>
            <w:vAlign w:val="center"/>
          </w:tcPr>
          <w:p w14:paraId="624E509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CB1095F">
            <w:pPr>
              <w:jc w:val="center"/>
              <w:rPr>
                <w:rFonts w:hint="eastAsia" w:ascii="宋体" w:hAnsi="宋体" w:eastAsia="宋体" w:cs="宋体"/>
                <w:b w:val="0"/>
                <w:bCs w:val="0"/>
                <w:color w:val="auto"/>
                <w:kern w:val="0"/>
                <w:sz w:val="20"/>
                <w:szCs w:val="20"/>
                <w:highlight w:val="none"/>
                <w:lang w:val="en-US" w:eastAsia="zh-CN" w:bidi="ar-SA"/>
              </w:rPr>
            </w:pPr>
          </w:p>
        </w:tc>
      </w:tr>
      <w:tr w14:paraId="6BD79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332ED6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267</w:t>
            </w:r>
          </w:p>
        </w:tc>
        <w:tc>
          <w:tcPr>
            <w:tcW w:w="720" w:type="dxa"/>
            <w:vMerge w:val="continue"/>
            <w:vAlign w:val="center"/>
          </w:tcPr>
          <w:p w14:paraId="25C0D93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E086E2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11E6FD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地图视图模块</w:t>
            </w:r>
          </w:p>
        </w:tc>
        <w:tc>
          <w:tcPr>
            <w:tcW w:w="4667" w:type="dxa"/>
            <w:vAlign w:val="center"/>
          </w:tcPr>
          <w:p w14:paraId="0222B2F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要求提供三种视图：一是矢量地图（传统地图），可提供行政区和交通以及商业信息</w:t>
            </w:r>
            <w:r>
              <w:rPr>
                <w:rFonts w:hint="eastAsia" w:ascii="宋体" w:hAnsi="宋体" w:eastAsia="宋体" w:cs="宋体"/>
                <w:b w:val="0"/>
                <w:bCs w:val="0"/>
                <w:color w:val="auto"/>
                <w:kern w:val="0"/>
                <w:sz w:val="20"/>
                <w:szCs w:val="20"/>
                <w:highlight w:val="none"/>
                <w:lang w:val="en-US" w:eastAsia="zh-CN"/>
              </w:rPr>
              <w:br w:type="textWrapping"/>
            </w:r>
            <w:r>
              <w:rPr>
                <w:rFonts w:hint="eastAsia" w:ascii="宋体" w:hAnsi="宋体" w:eastAsia="宋体" w:cs="宋体"/>
                <w:b w:val="0"/>
                <w:bCs w:val="0"/>
                <w:color w:val="auto"/>
                <w:kern w:val="0"/>
                <w:sz w:val="20"/>
                <w:szCs w:val="20"/>
                <w:highlight w:val="none"/>
                <w:lang w:val="en-US" w:eastAsia="zh-CN"/>
              </w:rPr>
              <w:t>；二是不同分辨率的卫星照片（俯视图）；三是地形视图，可以用以显示地形</w:t>
            </w:r>
          </w:p>
        </w:tc>
        <w:tc>
          <w:tcPr>
            <w:tcW w:w="733" w:type="dxa"/>
            <w:vMerge w:val="continue"/>
            <w:vAlign w:val="center"/>
          </w:tcPr>
          <w:p w14:paraId="29B7639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7BF1BA5">
            <w:pPr>
              <w:jc w:val="center"/>
              <w:rPr>
                <w:rFonts w:hint="eastAsia" w:ascii="宋体" w:hAnsi="宋体" w:eastAsia="宋体" w:cs="宋体"/>
                <w:b w:val="0"/>
                <w:bCs w:val="0"/>
                <w:color w:val="auto"/>
                <w:kern w:val="0"/>
                <w:sz w:val="20"/>
                <w:szCs w:val="20"/>
                <w:highlight w:val="none"/>
                <w:lang w:val="en-US" w:eastAsia="zh-CN" w:bidi="ar-SA"/>
              </w:rPr>
            </w:pPr>
          </w:p>
        </w:tc>
      </w:tr>
      <w:tr w14:paraId="0CAC6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829E3F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268</w:t>
            </w:r>
          </w:p>
        </w:tc>
        <w:tc>
          <w:tcPr>
            <w:tcW w:w="720" w:type="dxa"/>
            <w:vMerge w:val="continue"/>
            <w:vAlign w:val="center"/>
          </w:tcPr>
          <w:p w14:paraId="0F6CDA2B">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60EE8C4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网络视频传输服务端</w:t>
            </w:r>
          </w:p>
        </w:tc>
        <w:tc>
          <w:tcPr>
            <w:tcW w:w="2058" w:type="dxa"/>
            <w:vAlign w:val="center"/>
          </w:tcPr>
          <w:p w14:paraId="59C1DDA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急救视频总览</w:t>
            </w:r>
          </w:p>
        </w:tc>
        <w:tc>
          <w:tcPr>
            <w:tcW w:w="4667" w:type="dxa"/>
            <w:vAlign w:val="center"/>
          </w:tcPr>
          <w:p w14:paraId="4AF8BB6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支持急救站点和急救车两种视频方式</w:t>
            </w:r>
          </w:p>
        </w:tc>
        <w:tc>
          <w:tcPr>
            <w:tcW w:w="733" w:type="dxa"/>
            <w:vMerge w:val="restart"/>
            <w:vAlign w:val="center"/>
          </w:tcPr>
          <w:p w14:paraId="574188E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1B8B8753">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68EB9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4E79E7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269</w:t>
            </w:r>
          </w:p>
        </w:tc>
        <w:tc>
          <w:tcPr>
            <w:tcW w:w="720" w:type="dxa"/>
            <w:vMerge w:val="continue"/>
            <w:vAlign w:val="center"/>
          </w:tcPr>
          <w:p w14:paraId="61A6B39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2347A7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9B9FCF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分站急救监控</w:t>
            </w:r>
          </w:p>
        </w:tc>
        <w:tc>
          <w:tcPr>
            <w:tcW w:w="4667" w:type="dxa"/>
            <w:vAlign w:val="center"/>
          </w:tcPr>
          <w:p w14:paraId="0E7C5F2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急救分站安装监控摄像探头，通过急救专网将各点监控视频上传到中心大屏幕，调度员对各分站的实际工作情况一目了然，便于中心对急救保障工作的急救指挥和监督管理</w:t>
            </w:r>
          </w:p>
        </w:tc>
        <w:tc>
          <w:tcPr>
            <w:tcW w:w="733" w:type="dxa"/>
            <w:vMerge w:val="continue"/>
            <w:vAlign w:val="center"/>
          </w:tcPr>
          <w:p w14:paraId="2840F90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33DCA77">
            <w:pPr>
              <w:jc w:val="center"/>
              <w:rPr>
                <w:rFonts w:hint="eastAsia" w:ascii="宋体" w:hAnsi="宋体" w:eastAsia="宋体" w:cs="宋体"/>
                <w:b w:val="0"/>
                <w:bCs w:val="0"/>
                <w:color w:val="auto"/>
                <w:kern w:val="0"/>
                <w:sz w:val="20"/>
                <w:szCs w:val="20"/>
                <w:highlight w:val="none"/>
                <w:lang w:val="en-US" w:eastAsia="zh-CN" w:bidi="ar-SA"/>
              </w:rPr>
            </w:pPr>
          </w:p>
        </w:tc>
      </w:tr>
      <w:tr w14:paraId="0AD78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823C15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270</w:t>
            </w:r>
          </w:p>
        </w:tc>
        <w:tc>
          <w:tcPr>
            <w:tcW w:w="720" w:type="dxa"/>
            <w:vMerge w:val="continue"/>
            <w:vAlign w:val="center"/>
          </w:tcPr>
          <w:p w14:paraId="5EE4C31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B034BB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5E9F48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视频车载终端</w:t>
            </w:r>
          </w:p>
        </w:tc>
        <w:tc>
          <w:tcPr>
            <w:tcW w:w="4667" w:type="dxa"/>
            <w:vAlign w:val="center"/>
          </w:tcPr>
          <w:p w14:paraId="0A5CC77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急救车辆安装视频车载终端，可以将救护车医疗舱图像（车内摄像头）和现场图像（驾驶舱摄像头）实时传输至 120 急救中心，并通过视频软件完成与车辆的动态切换，便于急救中心对急救质量的监督管理，同时，通过实时了解各急救现场情况，便于急救指挥，支持车载视频终端图像数据在本地\上传中心服务器上进行保存，并能够在多用户界面进行同时显示</w:t>
            </w:r>
          </w:p>
        </w:tc>
        <w:tc>
          <w:tcPr>
            <w:tcW w:w="733" w:type="dxa"/>
            <w:vMerge w:val="continue"/>
            <w:vAlign w:val="center"/>
          </w:tcPr>
          <w:p w14:paraId="0DE44E7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6C256B0">
            <w:pPr>
              <w:jc w:val="center"/>
              <w:rPr>
                <w:rFonts w:hint="eastAsia" w:ascii="宋体" w:hAnsi="宋体" w:eastAsia="宋体" w:cs="宋体"/>
                <w:b w:val="0"/>
                <w:bCs w:val="0"/>
                <w:color w:val="auto"/>
                <w:kern w:val="0"/>
                <w:sz w:val="20"/>
                <w:szCs w:val="20"/>
                <w:highlight w:val="none"/>
                <w:lang w:val="en-US" w:eastAsia="zh-CN" w:bidi="ar-SA"/>
              </w:rPr>
            </w:pPr>
          </w:p>
        </w:tc>
      </w:tr>
      <w:tr w14:paraId="7A802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89A13D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271</w:t>
            </w:r>
          </w:p>
        </w:tc>
        <w:tc>
          <w:tcPr>
            <w:tcW w:w="720" w:type="dxa"/>
            <w:vMerge w:val="continue"/>
            <w:vAlign w:val="center"/>
          </w:tcPr>
          <w:p w14:paraId="7B9BA9A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B9655F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9FCA44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实时图像浏览功能</w:t>
            </w:r>
          </w:p>
        </w:tc>
        <w:tc>
          <w:tcPr>
            <w:tcW w:w="4667" w:type="dxa"/>
            <w:vAlign w:val="center"/>
          </w:tcPr>
          <w:p w14:paraId="3F8976F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授权用户能对指定分配的设备、通道进行实时图像浏览</w:t>
            </w:r>
          </w:p>
        </w:tc>
        <w:tc>
          <w:tcPr>
            <w:tcW w:w="733" w:type="dxa"/>
            <w:vMerge w:val="continue"/>
            <w:vAlign w:val="center"/>
          </w:tcPr>
          <w:p w14:paraId="1BECCA4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897F6AA">
            <w:pPr>
              <w:jc w:val="center"/>
              <w:rPr>
                <w:rFonts w:hint="eastAsia" w:ascii="宋体" w:hAnsi="宋体" w:eastAsia="宋体" w:cs="宋体"/>
                <w:b w:val="0"/>
                <w:bCs w:val="0"/>
                <w:color w:val="auto"/>
                <w:kern w:val="0"/>
                <w:sz w:val="20"/>
                <w:szCs w:val="20"/>
                <w:highlight w:val="none"/>
                <w:lang w:val="en-US" w:eastAsia="zh-CN" w:bidi="ar-SA"/>
              </w:rPr>
            </w:pPr>
          </w:p>
        </w:tc>
      </w:tr>
      <w:tr w14:paraId="05994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FE08DA2">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272</w:t>
            </w:r>
          </w:p>
        </w:tc>
        <w:tc>
          <w:tcPr>
            <w:tcW w:w="720" w:type="dxa"/>
            <w:vMerge w:val="continue"/>
            <w:vAlign w:val="center"/>
          </w:tcPr>
          <w:p w14:paraId="49ACD74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335DED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EC1318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录像存储功能</w:t>
            </w:r>
          </w:p>
        </w:tc>
        <w:tc>
          <w:tcPr>
            <w:tcW w:w="4667" w:type="dxa"/>
            <w:vAlign w:val="center"/>
          </w:tcPr>
          <w:p w14:paraId="2BCEF26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系统支持全程、手动、定时、联动等录像模式，并自动循环覆盖</w:t>
            </w:r>
          </w:p>
        </w:tc>
        <w:tc>
          <w:tcPr>
            <w:tcW w:w="733" w:type="dxa"/>
            <w:vMerge w:val="continue"/>
            <w:vAlign w:val="center"/>
          </w:tcPr>
          <w:p w14:paraId="35C26AD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7AC883F">
            <w:pPr>
              <w:jc w:val="center"/>
              <w:rPr>
                <w:rFonts w:hint="eastAsia" w:ascii="宋体" w:hAnsi="宋体" w:eastAsia="宋体" w:cs="宋体"/>
                <w:b w:val="0"/>
                <w:bCs w:val="0"/>
                <w:color w:val="auto"/>
                <w:kern w:val="0"/>
                <w:sz w:val="20"/>
                <w:szCs w:val="20"/>
                <w:highlight w:val="none"/>
                <w:lang w:val="en-US" w:eastAsia="zh-CN" w:bidi="ar-SA"/>
              </w:rPr>
            </w:pPr>
          </w:p>
        </w:tc>
      </w:tr>
      <w:tr w14:paraId="3BBC9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AE3BDB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273</w:t>
            </w:r>
          </w:p>
        </w:tc>
        <w:tc>
          <w:tcPr>
            <w:tcW w:w="720" w:type="dxa"/>
            <w:vMerge w:val="continue"/>
            <w:vAlign w:val="center"/>
          </w:tcPr>
          <w:p w14:paraId="36E3A52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E2855EF">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2C0942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录像查询回放功能</w:t>
            </w:r>
          </w:p>
        </w:tc>
        <w:tc>
          <w:tcPr>
            <w:tcW w:w="4667" w:type="dxa"/>
            <w:vAlign w:val="center"/>
          </w:tcPr>
          <w:p w14:paraId="41022B0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录像查询回放功能要求：系统支持本地、远程查询回放，可分别按照指定的设备、通道、时间等要素检索历史图像资料</w:t>
            </w:r>
          </w:p>
        </w:tc>
        <w:tc>
          <w:tcPr>
            <w:tcW w:w="733" w:type="dxa"/>
            <w:vMerge w:val="continue"/>
            <w:vAlign w:val="center"/>
          </w:tcPr>
          <w:p w14:paraId="4D6DA40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EDC08A7">
            <w:pPr>
              <w:jc w:val="center"/>
              <w:rPr>
                <w:rFonts w:hint="eastAsia" w:ascii="宋体" w:hAnsi="宋体" w:eastAsia="宋体" w:cs="宋体"/>
                <w:b w:val="0"/>
                <w:bCs w:val="0"/>
                <w:color w:val="auto"/>
                <w:kern w:val="0"/>
                <w:sz w:val="20"/>
                <w:szCs w:val="20"/>
                <w:highlight w:val="none"/>
                <w:lang w:val="en-US" w:eastAsia="zh-CN" w:bidi="ar-SA"/>
              </w:rPr>
            </w:pPr>
          </w:p>
        </w:tc>
      </w:tr>
      <w:tr w14:paraId="40ACD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BE851B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274</w:t>
            </w:r>
          </w:p>
        </w:tc>
        <w:tc>
          <w:tcPr>
            <w:tcW w:w="720" w:type="dxa"/>
            <w:vMerge w:val="continue"/>
            <w:vAlign w:val="center"/>
          </w:tcPr>
          <w:p w14:paraId="0BB3B8AB">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455E657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急救分站信息服务端</w:t>
            </w:r>
          </w:p>
        </w:tc>
        <w:tc>
          <w:tcPr>
            <w:tcW w:w="2058" w:type="dxa"/>
            <w:vMerge w:val="restart"/>
            <w:vAlign w:val="center"/>
          </w:tcPr>
          <w:p w14:paraId="030B12E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出勤管理</w:t>
            </w:r>
          </w:p>
        </w:tc>
        <w:tc>
          <w:tcPr>
            <w:tcW w:w="4667" w:type="dxa"/>
            <w:vAlign w:val="center"/>
          </w:tcPr>
          <w:p w14:paraId="2993942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分站值班人员上、下班管理，并与中心、车载终端上、下班管理一体化使用</w:t>
            </w:r>
          </w:p>
        </w:tc>
        <w:tc>
          <w:tcPr>
            <w:tcW w:w="733" w:type="dxa"/>
            <w:vMerge w:val="restart"/>
            <w:vAlign w:val="center"/>
          </w:tcPr>
          <w:p w14:paraId="0F53795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4427A46C">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5CD47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FA8898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275</w:t>
            </w:r>
          </w:p>
        </w:tc>
        <w:tc>
          <w:tcPr>
            <w:tcW w:w="720" w:type="dxa"/>
            <w:vMerge w:val="continue"/>
            <w:vAlign w:val="center"/>
          </w:tcPr>
          <w:p w14:paraId="339203E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ABDCA1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6FBF4AD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7D6E6C9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通过上下班随机确定医生与司机组合</w:t>
            </w:r>
          </w:p>
        </w:tc>
        <w:tc>
          <w:tcPr>
            <w:tcW w:w="733" w:type="dxa"/>
            <w:vMerge w:val="continue"/>
            <w:vAlign w:val="center"/>
          </w:tcPr>
          <w:p w14:paraId="18F5BF2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048EAFD">
            <w:pPr>
              <w:jc w:val="center"/>
              <w:rPr>
                <w:rFonts w:hint="eastAsia" w:ascii="宋体" w:hAnsi="宋体" w:eastAsia="宋体" w:cs="宋体"/>
                <w:b w:val="0"/>
                <w:bCs w:val="0"/>
                <w:color w:val="auto"/>
                <w:kern w:val="0"/>
                <w:sz w:val="20"/>
                <w:szCs w:val="20"/>
                <w:highlight w:val="none"/>
                <w:lang w:val="en-US" w:eastAsia="zh-CN" w:bidi="ar-SA"/>
              </w:rPr>
            </w:pPr>
          </w:p>
        </w:tc>
      </w:tr>
      <w:tr w14:paraId="7E49B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584BC7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276</w:t>
            </w:r>
          </w:p>
        </w:tc>
        <w:tc>
          <w:tcPr>
            <w:tcW w:w="720" w:type="dxa"/>
            <w:vMerge w:val="continue"/>
            <w:vAlign w:val="center"/>
          </w:tcPr>
          <w:p w14:paraId="5570A90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879EA8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2466306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2741E2F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值班人员可管理车辆特殊状态，如 “暂停调用”、“恢复调用”等，与分站系统同步。请求“暂停调用”要说明原因。（药品原因、氧气原因、设备原因、油料原因、车辆原因、科室原因、个人原因等）</w:t>
            </w:r>
          </w:p>
        </w:tc>
        <w:tc>
          <w:tcPr>
            <w:tcW w:w="733" w:type="dxa"/>
            <w:vMerge w:val="continue"/>
            <w:vAlign w:val="center"/>
          </w:tcPr>
          <w:p w14:paraId="4D309FA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404BFC8">
            <w:pPr>
              <w:jc w:val="center"/>
              <w:rPr>
                <w:rFonts w:hint="eastAsia" w:ascii="宋体" w:hAnsi="宋体" w:eastAsia="宋体" w:cs="宋体"/>
                <w:b w:val="0"/>
                <w:bCs w:val="0"/>
                <w:color w:val="auto"/>
                <w:kern w:val="0"/>
                <w:sz w:val="20"/>
                <w:szCs w:val="20"/>
                <w:highlight w:val="none"/>
                <w:lang w:val="en-US" w:eastAsia="zh-CN" w:bidi="ar-SA"/>
              </w:rPr>
            </w:pPr>
          </w:p>
        </w:tc>
      </w:tr>
      <w:tr w14:paraId="1392F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46DBF6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277</w:t>
            </w:r>
          </w:p>
        </w:tc>
        <w:tc>
          <w:tcPr>
            <w:tcW w:w="720" w:type="dxa"/>
            <w:vMerge w:val="continue"/>
            <w:vAlign w:val="center"/>
          </w:tcPr>
          <w:p w14:paraId="794369E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8FC5F3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restart"/>
            <w:vAlign w:val="center"/>
          </w:tcPr>
          <w:p w14:paraId="22C0850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任务管理</w:t>
            </w:r>
          </w:p>
        </w:tc>
        <w:tc>
          <w:tcPr>
            <w:tcW w:w="4667" w:type="dxa"/>
            <w:vAlign w:val="center"/>
          </w:tcPr>
          <w:p w14:paraId="506CCC4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实时接收指挥中心的调派指令（与救护车接收同步）</w:t>
            </w:r>
          </w:p>
        </w:tc>
        <w:tc>
          <w:tcPr>
            <w:tcW w:w="733" w:type="dxa"/>
            <w:vMerge w:val="continue"/>
            <w:vAlign w:val="center"/>
          </w:tcPr>
          <w:p w14:paraId="36BFC6A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C3F3858">
            <w:pPr>
              <w:jc w:val="center"/>
              <w:rPr>
                <w:rFonts w:hint="eastAsia" w:ascii="宋体" w:hAnsi="宋体" w:eastAsia="宋体" w:cs="宋体"/>
                <w:b w:val="0"/>
                <w:bCs w:val="0"/>
                <w:color w:val="auto"/>
                <w:kern w:val="0"/>
                <w:sz w:val="20"/>
                <w:szCs w:val="20"/>
                <w:highlight w:val="none"/>
                <w:lang w:val="en-US" w:eastAsia="zh-CN" w:bidi="ar-SA"/>
              </w:rPr>
            </w:pPr>
          </w:p>
        </w:tc>
      </w:tr>
      <w:tr w14:paraId="48C73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FDBB21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278</w:t>
            </w:r>
          </w:p>
        </w:tc>
        <w:tc>
          <w:tcPr>
            <w:tcW w:w="720" w:type="dxa"/>
            <w:vMerge w:val="continue"/>
            <w:vAlign w:val="center"/>
          </w:tcPr>
          <w:p w14:paraId="58C3676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DEF4F3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38B4DE8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7740695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可以选择打印当日或当班分站各站的命令单的流水</w:t>
            </w:r>
          </w:p>
        </w:tc>
        <w:tc>
          <w:tcPr>
            <w:tcW w:w="733" w:type="dxa"/>
            <w:vMerge w:val="continue"/>
            <w:vAlign w:val="center"/>
          </w:tcPr>
          <w:p w14:paraId="22E395C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B1EA533">
            <w:pPr>
              <w:jc w:val="center"/>
              <w:rPr>
                <w:rFonts w:hint="eastAsia" w:ascii="宋体" w:hAnsi="宋体" w:eastAsia="宋体" w:cs="宋体"/>
                <w:b w:val="0"/>
                <w:bCs w:val="0"/>
                <w:color w:val="auto"/>
                <w:kern w:val="0"/>
                <w:sz w:val="20"/>
                <w:szCs w:val="20"/>
                <w:highlight w:val="none"/>
                <w:lang w:val="en-US" w:eastAsia="zh-CN" w:bidi="ar-SA"/>
              </w:rPr>
            </w:pPr>
          </w:p>
        </w:tc>
      </w:tr>
      <w:tr w14:paraId="6E5AE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210069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279</w:t>
            </w:r>
          </w:p>
        </w:tc>
        <w:tc>
          <w:tcPr>
            <w:tcW w:w="720" w:type="dxa"/>
            <w:vMerge w:val="continue"/>
            <w:vAlign w:val="center"/>
          </w:tcPr>
          <w:p w14:paraId="0AD5226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6FE381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0DC8379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3B8CB77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可显示本分站各站当日执行的任务清单</w:t>
            </w:r>
          </w:p>
        </w:tc>
        <w:tc>
          <w:tcPr>
            <w:tcW w:w="733" w:type="dxa"/>
            <w:vMerge w:val="continue"/>
            <w:vAlign w:val="center"/>
          </w:tcPr>
          <w:p w14:paraId="7BBA989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1CB55EE">
            <w:pPr>
              <w:jc w:val="center"/>
              <w:rPr>
                <w:rFonts w:hint="eastAsia" w:ascii="宋体" w:hAnsi="宋体" w:eastAsia="宋体" w:cs="宋体"/>
                <w:b w:val="0"/>
                <w:bCs w:val="0"/>
                <w:color w:val="auto"/>
                <w:kern w:val="0"/>
                <w:sz w:val="20"/>
                <w:szCs w:val="20"/>
                <w:highlight w:val="none"/>
                <w:lang w:val="en-US" w:eastAsia="zh-CN" w:bidi="ar-SA"/>
              </w:rPr>
            </w:pPr>
          </w:p>
        </w:tc>
      </w:tr>
      <w:tr w14:paraId="2880C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D88FB4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280</w:t>
            </w:r>
          </w:p>
        </w:tc>
        <w:tc>
          <w:tcPr>
            <w:tcW w:w="720" w:type="dxa"/>
            <w:vMerge w:val="continue"/>
            <w:vAlign w:val="center"/>
          </w:tcPr>
          <w:p w14:paraId="0DC91CF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AAC258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1050E68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1826CCC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可查看本分站车辆执行的历史的任务清单</w:t>
            </w:r>
          </w:p>
        </w:tc>
        <w:tc>
          <w:tcPr>
            <w:tcW w:w="733" w:type="dxa"/>
            <w:vMerge w:val="continue"/>
            <w:vAlign w:val="center"/>
          </w:tcPr>
          <w:p w14:paraId="59F5754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3393737">
            <w:pPr>
              <w:jc w:val="center"/>
              <w:rPr>
                <w:rFonts w:hint="eastAsia" w:ascii="宋体" w:hAnsi="宋体" w:eastAsia="宋体" w:cs="宋体"/>
                <w:b w:val="0"/>
                <w:bCs w:val="0"/>
                <w:color w:val="auto"/>
                <w:kern w:val="0"/>
                <w:sz w:val="20"/>
                <w:szCs w:val="20"/>
                <w:highlight w:val="none"/>
                <w:lang w:val="en-US" w:eastAsia="zh-CN" w:bidi="ar-SA"/>
              </w:rPr>
            </w:pPr>
          </w:p>
        </w:tc>
      </w:tr>
      <w:tr w14:paraId="5661E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6CAB91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281</w:t>
            </w:r>
          </w:p>
        </w:tc>
        <w:tc>
          <w:tcPr>
            <w:tcW w:w="720" w:type="dxa"/>
            <w:vMerge w:val="continue"/>
            <w:vAlign w:val="center"/>
          </w:tcPr>
          <w:p w14:paraId="1DE5E8A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83859C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4058C02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7751FFD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可以选择时间打印任务流水清单。</w:t>
            </w:r>
          </w:p>
        </w:tc>
        <w:tc>
          <w:tcPr>
            <w:tcW w:w="733" w:type="dxa"/>
            <w:vMerge w:val="continue"/>
            <w:vAlign w:val="center"/>
          </w:tcPr>
          <w:p w14:paraId="20DD5AB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02636F8">
            <w:pPr>
              <w:jc w:val="center"/>
              <w:rPr>
                <w:rFonts w:hint="eastAsia" w:ascii="宋体" w:hAnsi="宋体" w:eastAsia="宋体" w:cs="宋体"/>
                <w:b w:val="0"/>
                <w:bCs w:val="0"/>
                <w:color w:val="auto"/>
                <w:kern w:val="0"/>
                <w:sz w:val="20"/>
                <w:szCs w:val="20"/>
                <w:highlight w:val="none"/>
                <w:lang w:val="en-US" w:eastAsia="zh-CN" w:bidi="ar-SA"/>
              </w:rPr>
            </w:pPr>
          </w:p>
        </w:tc>
      </w:tr>
      <w:tr w14:paraId="029C5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01BFEE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282</w:t>
            </w:r>
          </w:p>
        </w:tc>
        <w:tc>
          <w:tcPr>
            <w:tcW w:w="720" w:type="dxa"/>
            <w:vMerge w:val="continue"/>
            <w:vAlign w:val="center"/>
          </w:tcPr>
          <w:p w14:paraId="0AC4D6E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448151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restart"/>
            <w:vAlign w:val="center"/>
          </w:tcPr>
          <w:p w14:paraId="0C3799D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病历管理</w:t>
            </w:r>
          </w:p>
        </w:tc>
        <w:tc>
          <w:tcPr>
            <w:tcW w:w="4667" w:type="dxa"/>
            <w:vAlign w:val="center"/>
          </w:tcPr>
          <w:p w14:paraId="42DFEB1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医生完成任务后应该撰写急救病历。包括普通病历和抢救病历两种</w:t>
            </w:r>
          </w:p>
        </w:tc>
        <w:tc>
          <w:tcPr>
            <w:tcW w:w="733" w:type="dxa"/>
            <w:vMerge w:val="continue"/>
            <w:vAlign w:val="center"/>
          </w:tcPr>
          <w:p w14:paraId="7ABC5BB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B563D7F">
            <w:pPr>
              <w:jc w:val="center"/>
              <w:rPr>
                <w:rFonts w:hint="eastAsia" w:ascii="宋体" w:hAnsi="宋体" w:eastAsia="宋体" w:cs="宋体"/>
                <w:b w:val="0"/>
                <w:bCs w:val="0"/>
                <w:color w:val="auto"/>
                <w:kern w:val="0"/>
                <w:sz w:val="20"/>
                <w:szCs w:val="20"/>
                <w:highlight w:val="none"/>
                <w:lang w:val="en-US" w:eastAsia="zh-CN" w:bidi="ar-SA"/>
              </w:rPr>
            </w:pPr>
          </w:p>
        </w:tc>
      </w:tr>
      <w:tr w14:paraId="15F4D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4B1A79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283</w:t>
            </w:r>
          </w:p>
        </w:tc>
        <w:tc>
          <w:tcPr>
            <w:tcW w:w="720" w:type="dxa"/>
            <w:vMerge w:val="continue"/>
            <w:vAlign w:val="center"/>
          </w:tcPr>
          <w:p w14:paraId="29FCFD8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7C5682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2FD0E62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6AB0118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分站的管理人员将各种病历输入计算机。包括心电图记录的扫描与保存。未完成状态的任务不可输入病历。输入完毕，核实无误，点击保存时，当前保存的病历（数据与图象）信息立即回传给中心系统。发送后的病历记录不可修改</w:t>
            </w:r>
          </w:p>
        </w:tc>
        <w:tc>
          <w:tcPr>
            <w:tcW w:w="733" w:type="dxa"/>
            <w:vMerge w:val="continue"/>
            <w:vAlign w:val="center"/>
          </w:tcPr>
          <w:p w14:paraId="6F35C5A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4B935E8">
            <w:pPr>
              <w:jc w:val="center"/>
              <w:rPr>
                <w:rFonts w:hint="eastAsia" w:ascii="宋体" w:hAnsi="宋体" w:eastAsia="宋体" w:cs="宋体"/>
                <w:b w:val="0"/>
                <w:bCs w:val="0"/>
                <w:color w:val="auto"/>
                <w:kern w:val="0"/>
                <w:sz w:val="20"/>
                <w:szCs w:val="20"/>
                <w:highlight w:val="none"/>
                <w:lang w:val="en-US" w:eastAsia="zh-CN" w:bidi="ar-SA"/>
              </w:rPr>
            </w:pPr>
          </w:p>
        </w:tc>
      </w:tr>
      <w:tr w14:paraId="6671E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0552967">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284</w:t>
            </w:r>
          </w:p>
        </w:tc>
        <w:tc>
          <w:tcPr>
            <w:tcW w:w="720" w:type="dxa"/>
            <w:vMerge w:val="continue"/>
            <w:vAlign w:val="center"/>
          </w:tcPr>
          <w:p w14:paraId="3BC5173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85D452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25A6E76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211DF71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可以在终端按日期检索病历（不含图象），需要看心电图时再调用心电图，心电图可以放大、平移</w:t>
            </w:r>
          </w:p>
        </w:tc>
        <w:tc>
          <w:tcPr>
            <w:tcW w:w="733" w:type="dxa"/>
            <w:vMerge w:val="continue"/>
            <w:vAlign w:val="center"/>
          </w:tcPr>
          <w:p w14:paraId="1CD07EE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9279CBE">
            <w:pPr>
              <w:jc w:val="center"/>
              <w:rPr>
                <w:rFonts w:hint="eastAsia" w:ascii="宋体" w:hAnsi="宋体" w:eastAsia="宋体" w:cs="宋体"/>
                <w:b w:val="0"/>
                <w:bCs w:val="0"/>
                <w:color w:val="auto"/>
                <w:kern w:val="0"/>
                <w:sz w:val="20"/>
                <w:szCs w:val="20"/>
                <w:highlight w:val="none"/>
                <w:lang w:val="en-US" w:eastAsia="zh-CN" w:bidi="ar-SA"/>
              </w:rPr>
            </w:pPr>
          </w:p>
        </w:tc>
      </w:tr>
      <w:tr w14:paraId="3E516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1EE084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285</w:t>
            </w:r>
          </w:p>
        </w:tc>
        <w:tc>
          <w:tcPr>
            <w:tcW w:w="720" w:type="dxa"/>
            <w:vMerge w:val="continue"/>
            <w:vAlign w:val="center"/>
          </w:tcPr>
          <w:p w14:paraId="0FBF6E8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9AF930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restart"/>
            <w:vAlign w:val="center"/>
          </w:tcPr>
          <w:p w14:paraId="3E113B8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车辆管理</w:t>
            </w:r>
          </w:p>
        </w:tc>
        <w:tc>
          <w:tcPr>
            <w:tcW w:w="4667" w:type="dxa"/>
            <w:vAlign w:val="center"/>
          </w:tcPr>
          <w:p w14:paraId="7B50FFE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可以实时显示本分站各站救护车的实时位置及历史轨迹回放</w:t>
            </w:r>
          </w:p>
        </w:tc>
        <w:tc>
          <w:tcPr>
            <w:tcW w:w="733" w:type="dxa"/>
            <w:vMerge w:val="continue"/>
            <w:vAlign w:val="center"/>
          </w:tcPr>
          <w:p w14:paraId="56D65A0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924C1AD">
            <w:pPr>
              <w:jc w:val="center"/>
              <w:rPr>
                <w:rFonts w:hint="eastAsia" w:ascii="宋体" w:hAnsi="宋体" w:eastAsia="宋体" w:cs="宋体"/>
                <w:b w:val="0"/>
                <w:bCs w:val="0"/>
                <w:color w:val="auto"/>
                <w:kern w:val="0"/>
                <w:sz w:val="20"/>
                <w:szCs w:val="20"/>
                <w:highlight w:val="none"/>
                <w:lang w:val="en-US" w:eastAsia="zh-CN" w:bidi="ar-SA"/>
              </w:rPr>
            </w:pPr>
          </w:p>
        </w:tc>
      </w:tr>
      <w:tr w14:paraId="65357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96810F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286</w:t>
            </w:r>
          </w:p>
        </w:tc>
        <w:tc>
          <w:tcPr>
            <w:tcW w:w="720" w:type="dxa"/>
            <w:vMerge w:val="continue"/>
            <w:vAlign w:val="center"/>
          </w:tcPr>
          <w:p w14:paraId="5EC7C7B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4552E6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08B3173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6D55936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可以按医生、司机姓名、车号、急救站站名检索</w:t>
            </w:r>
          </w:p>
        </w:tc>
        <w:tc>
          <w:tcPr>
            <w:tcW w:w="733" w:type="dxa"/>
            <w:vMerge w:val="continue"/>
            <w:vAlign w:val="center"/>
          </w:tcPr>
          <w:p w14:paraId="4C1225B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2D6FD9A">
            <w:pPr>
              <w:jc w:val="center"/>
              <w:rPr>
                <w:rFonts w:hint="eastAsia" w:ascii="宋体" w:hAnsi="宋体" w:eastAsia="宋体" w:cs="宋体"/>
                <w:b w:val="0"/>
                <w:bCs w:val="0"/>
                <w:color w:val="auto"/>
                <w:kern w:val="0"/>
                <w:sz w:val="20"/>
                <w:szCs w:val="20"/>
                <w:highlight w:val="none"/>
                <w:lang w:val="en-US" w:eastAsia="zh-CN" w:bidi="ar-SA"/>
              </w:rPr>
            </w:pPr>
          </w:p>
        </w:tc>
      </w:tr>
      <w:tr w14:paraId="43A12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9C9F10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287</w:t>
            </w:r>
          </w:p>
        </w:tc>
        <w:tc>
          <w:tcPr>
            <w:tcW w:w="720" w:type="dxa"/>
            <w:vMerge w:val="continue"/>
            <w:vAlign w:val="center"/>
          </w:tcPr>
          <w:p w14:paraId="51855A9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C650B9F">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restart"/>
            <w:vAlign w:val="center"/>
          </w:tcPr>
          <w:p w14:paraId="27AFDC0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通信管理</w:t>
            </w:r>
          </w:p>
        </w:tc>
        <w:tc>
          <w:tcPr>
            <w:tcW w:w="4667" w:type="dxa"/>
            <w:vAlign w:val="center"/>
          </w:tcPr>
          <w:p w14:paraId="0C6D0EE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急救中心与分站支持专网连接</w:t>
            </w:r>
          </w:p>
        </w:tc>
        <w:tc>
          <w:tcPr>
            <w:tcW w:w="733" w:type="dxa"/>
            <w:vMerge w:val="continue"/>
            <w:vAlign w:val="center"/>
          </w:tcPr>
          <w:p w14:paraId="7221892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C8F25E7">
            <w:pPr>
              <w:jc w:val="center"/>
              <w:rPr>
                <w:rFonts w:hint="eastAsia" w:ascii="宋体" w:hAnsi="宋体" w:eastAsia="宋体" w:cs="宋体"/>
                <w:b w:val="0"/>
                <w:bCs w:val="0"/>
                <w:color w:val="auto"/>
                <w:kern w:val="0"/>
                <w:sz w:val="20"/>
                <w:szCs w:val="20"/>
                <w:highlight w:val="none"/>
                <w:lang w:val="en-US" w:eastAsia="zh-CN" w:bidi="ar-SA"/>
              </w:rPr>
            </w:pPr>
          </w:p>
        </w:tc>
      </w:tr>
      <w:tr w14:paraId="51D6F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A2BC87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288</w:t>
            </w:r>
          </w:p>
        </w:tc>
        <w:tc>
          <w:tcPr>
            <w:tcW w:w="720" w:type="dxa"/>
            <w:vMerge w:val="continue"/>
            <w:vAlign w:val="center"/>
          </w:tcPr>
          <w:p w14:paraId="7D40748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3CAA8E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4BCBFA9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5966263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分站终端界面可以显示分站组网线路的畅通状态</w:t>
            </w:r>
          </w:p>
        </w:tc>
        <w:tc>
          <w:tcPr>
            <w:tcW w:w="733" w:type="dxa"/>
            <w:vMerge w:val="continue"/>
            <w:vAlign w:val="center"/>
          </w:tcPr>
          <w:p w14:paraId="57E2CCB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025FED1">
            <w:pPr>
              <w:jc w:val="center"/>
              <w:rPr>
                <w:rFonts w:hint="eastAsia" w:ascii="宋体" w:hAnsi="宋体" w:eastAsia="宋体" w:cs="宋体"/>
                <w:b w:val="0"/>
                <w:bCs w:val="0"/>
                <w:color w:val="auto"/>
                <w:kern w:val="0"/>
                <w:sz w:val="20"/>
                <w:szCs w:val="20"/>
                <w:highlight w:val="none"/>
                <w:lang w:val="en-US" w:eastAsia="zh-CN" w:bidi="ar-SA"/>
              </w:rPr>
            </w:pPr>
          </w:p>
        </w:tc>
      </w:tr>
      <w:tr w14:paraId="6659A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1C0405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289</w:t>
            </w:r>
          </w:p>
        </w:tc>
        <w:tc>
          <w:tcPr>
            <w:tcW w:w="720" w:type="dxa"/>
            <w:vMerge w:val="continue"/>
            <w:vAlign w:val="center"/>
          </w:tcPr>
          <w:p w14:paraId="73DEBBA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B35B51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restart"/>
            <w:vAlign w:val="center"/>
          </w:tcPr>
          <w:p w14:paraId="1A02665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统计管理</w:t>
            </w:r>
          </w:p>
        </w:tc>
        <w:tc>
          <w:tcPr>
            <w:tcW w:w="4667" w:type="dxa"/>
            <w:vAlign w:val="center"/>
          </w:tcPr>
          <w:p w14:paraId="67141A7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医生、司机的出勤统计（班次种类、次数，按各人、各站及分站分别求和，按日报、月报、年报和时间段统计。）</w:t>
            </w:r>
          </w:p>
        </w:tc>
        <w:tc>
          <w:tcPr>
            <w:tcW w:w="733" w:type="dxa"/>
            <w:vMerge w:val="continue"/>
            <w:vAlign w:val="center"/>
          </w:tcPr>
          <w:p w14:paraId="67119C7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3EA8B94">
            <w:pPr>
              <w:jc w:val="center"/>
              <w:rPr>
                <w:rFonts w:hint="eastAsia" w:ascii="宋体" w:hAnsi="宋体" w:eastAsia="宋体" w:cs="宋体"/>
                <w:b w:val="0"/>
                <w:bCs w:val="0"/>
                <w:color w:val="auto"/>
                <w:kern w:val="0"/>
                <w:sz w:val="20"/>
                <w:szCs w:val="20"/>
                <w:highlight w:val="none"/>
                <w:lang w:val="en-US" w:eastAsia="zh-CN" w:bidi="ar-SA"/>
              </w:rPr>
            </w:pPr>
          </w:p>
        </w:tc>
      </w:tr>
      <w:tr w14:paraId="1A601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EA0E19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290</w:t>
            </w:r>
          </w:p>
        </w:tc>
        <w:tc>
          <w:tcPr>
            <w:tcW w:w="720" w:type="dxa"/>
            <w:vMerge w:val="continue"/>
            <w:vAlign w:val="center"/>
          </w:tcPr>
          <w:p w14:paraId="3228CA1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7C1E4D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0E87B6E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1E4FE09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医生、司机的工作量统计（出车次数、各种收费、接诊的病种、主要检查与治疗，按各人、各站及分站分别求和，按日报、月报、年报和时间段统计。）</w:t>
            </w:r>
          </w:p>
        </w:tc>
        <w:tc>
          <w:tcPr>
            <w:tcW w:w="733" w:type="dxa"/>
            <w:vMerge w:val="continue"/>
            <w:vAlign w:val="center"/>
          </w:tcPr>
          <w:p w14:paraId="5DB5C73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8D34943">
            <w:pPr>
              <w:jc w:val="center"/>
              <w:rPr>
                <w:rFonts w:hint="eastAsia" w:ascii="宋体" w:hAnsi="宋体" w:eastAsia="宋体" w:cs="宋体"/>
                <w:b w:val="0"/>
                <w:bCs w:val="0"/>
                <w:color w:val="auto"/>
                <w:kern w:val="0"/>
                <w:sz w:val="20"/>
                <w:szCs w:val="20"/>
                <w:highlight w:val="none"/>
                <w:lang w:val="en-US" w:eastAsia="zh-CN" w:bidi="ar-SA"/>
              </w:rPr>
            </w:pPr>
          </w:p>
        </w:tc>
      </w:tr>
      <w:tr w14:paraId="4C163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08FF6E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291</w:t>
            </w:r>
          </w:p>
        </w:tc>
        <w:tc>
          <w:tcPr>
            <w:tcW w:w="720" w:type="dxa"/>
            <w:vMerge w:val="continue"/>
            <w:vAlign w:val="center"/>
          </w:tcPr>
          <w:p w14:paraId="1FA6301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AA738F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restart"/>
            <w:vAlign w:val="center"/>
          </w:tcPr>
          <w:p w14:paraId="2FA96B8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病历回填功能</w:t>
            </w:r>
          </w:p>
        </w:tc>
        <w:tc>
          <w:tcPr>
            <w:tcW w:w="4667" w:type="dxa"/>
            <w:vAlign w:val="center"/>
          </w:tcPr>
          <w:p w14:paraId="292654F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“病历输入”可分为“基本信息”、“体格检查”、“救治记录”三个界面</w:t>
            </w:r>
          </w:p>
        </w:tc>
        <w:tc>
          <w:tcPr>
            <w:tcW w:w="733" w:type="dxa"/>
            <w:vMerge w:val="continue"/>
            <w:vAlign w:val="center"/>
          </w:tcPr>
          <w:p w14:paraId="48D91F2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5ECEE24">
            <w:pPr>
              <w:jc w:val="center"/>
              <w:rPr>
                <w:rFonts w:hint="eastAsia" w:ascii="宋体" w:hAnsi="宋体" w:eastAsia="宋体" w:cs="宋体"/>
                <w:b w:val="0"/>
                <w:bCs w:val="0"/>
                <w:color w:val="auto"/>
                <w:kern w:val="0"/>
                <w:sz w:val="20"/>
                <w:szCs w:val="20"/>
                <w:highlight w:val="none"/>
                <w:lang w:val="en-US" w:eastAsia="zh-CN" w:bidi="ar-SA"/>
              </w:rPr>
            </w:pPr>
          </w:p>
        </w:tc>
      </w:tr>
      <w:tr w14:paraId="30E98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594030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292</w:t>
            </w:r>
          </w:p>
        </w:tc>
        <w:tc>
          <w:tcPr>
            <w:tcW w:w="720" w:type="dxa"/>
            <w:vMerge w:val="continue"/>
            <w:vAlign w:val="center"/>
          </w:tcPr>
          <w:p w14:paraId="1D95571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8BF5BC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1F9F158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12618E6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在“救治记录”界面有“保存记录”按键。在保存记录前允许随意翻页进行修改。保存后，不允许再修改</w:t>
            </w:r>
          </w:p>
        </w:tc>
        <w:tc>
          <w:tcPr>
            <w:tcW w:w="733" w:type="dxa"/>
            <w:vMerge w:val="continue"/>
            <w:vAlign w:val="center"/>
          </w:tcPr>
          <w:p w14:paraId="50C798A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58F7FF4">
            <w:pPr>
              <w:jc w:val="center"/>
              <w:rPr>
                <w:rFonts w:hint="eastAsia" w:ascii="宋体" w:hAnsi="宋体" w:eastAsia="宋体" w:cs="宋体"/>
                <w:b w:val="0"/>
                <w:bCs w:val="0"/>
                <w:color w:val="auto"/>
                <w:kern w:val="0"/>
                <w:sz w:val="20"/>
                <w:szCs w:val="20"/>
                <w:highlight w:val="none"/>
                <w:lang w:val="en-US" w:eastAsia="zh-CN" w:bidi="ar-SA"/>
              </w:rPr>
            </w:pPr>
          </w:p>
        </w:tc>
      </w:tr>
      <w:tr w14:paraId="1120F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9235F77">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293</w:t>
            </w:r>
          </w:p>
        </w:tc>
        <w:tc>
          <w:tcPr>
            <w:tcW w:w="720" w:type="dxa"/>
            <w:vMerge w:val="continue"/>
            <w:vAlign w:val="center"/>
          </w:tcPr>
          <w:p w14:paraId="4498575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F9E0E7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310B402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22D2208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在界面下边缘设置“基本信息”、“体格检查”、“救治记录”三个按键。在选择点击了界面左侧的事件后，首先显示的是“基本信息”页，并且自动填入调度事件记录中已有的内容。此时就按“增加”，表示确认此事件，可以继续输入内容。如果选择有误，允许“删除”。</w:t>
            </w:r>
          </w:p>
        </w:tc>
        <w:tc>
          <w:tcPr>
            <w:tcW w:w="733" w:type="dxa"/>
            <w:vMerge w:val="continue"/>
            <w:vAlign w:val="center"/>
          </w:tcPr>
          <w:p w14:paraId="637D3ED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59A1867">
            <w:pPr>
              <w:jc w:val="center"/>
              <w:rPr>
                <w:rFonts w:hint="eastAsia" w:ascii="宋体" w:hAnsi="宋体" w:eastAsia="宋体" w:cs="宋体"/>
                <w:b w:val="0"/>
                <w:bCs w:val="0"/>
                <w:color w:val="auto"/>
                <w:kern w:val="0"/>
                <w:sz w:val="20"/>
                <w:szCs w:val="20"/>
                <w:highlight w:val="none"/>
                <w:lang w:val="en-US" w:eastAsia="zh-CN" w:bidi="ar-SA"/>
              </w:rPr>
            </w:pPr>
          </w:p>
        </w:tc>
      </w:tr>
      <w:tr w14:paraId="793F4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29F95F1">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294</w:t>
            </w:r>
          </w:p>
        </w:tc>
        <w:tc>
          <w:tcPr>
            <w:tcW w:w="720" w:type="dxa"/>
            <w:vMerge w:val="continue"/>
            <w:vAlign w:val="center"/>
          </w:tcPr>
          <w:p w14:paraId="0D3B8DA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38B982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C06529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急救分站管理软件</w:t>
            </w:r>
          </w:p>
        </w:tc>
        <w:tc>
          <w:tcPr>
            <w:tcW w:w="4667" w:type="dxa"/>
            <w:vAlign w:val="center"/>
          </w:tcPr>
          <w:p w14:paraId="324EF81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急救服务端</w:t>
            </w:r>
            <w:r>
              <w:rPr>
                <w:rFonts w:hint="eastAsia" w:ascii="宋体" w:hAnsi="宋体" w:eastAsia="宋体" w:cs="宋体"/>
                <w:b w:val="0"/>
                <w:bCs w:val="0"/>
                <w:color w:val="auto"/>
                <w:kern w:val="0"/>
                <w:sz w:val="20"/>
                <w:szCs w:val="20"/>
                <w:highlight w:val="none"/>
                <w:lang w:val="en-US" w:eastAsia="zh-CN"/>
              </w:rPr>
              <w:t>急救分站管理软件</w:t>
            </w:r>
          </w:p>
        </w:tc>
        <w:tc>
          <w:tcPr>
            <w:tcW w:w="733" w:type="dxa"/>
            <w:vMerge w:val="continue"/>
            <w:vAlign w:val="center"/>
          </w:tcPr>
          <w:p w14:paraId="06F31B2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C607D95">
            <w:pPr>
              <w:jc w:val="center"/>
              <w:rPr>
                <w:rFonts w:hint="eastAsia" w:ascii="宋体" w:hAnsi="宋体" w:eastAsia="宋体" w:cs="宋体"/>
                <w:b w:val="0"/>
                <w:bCs w:val="0"/>
                <w:color w:val="auto"/>
                <w:kern w:val="0"/>
                <w:sz w:val="20"/>
                <w:szCs w:val="20"/>
                <w:highlight w:val="none"/>
                <w:lang w:val="en-US" w:eastAsia="zh-CN" w:bidi="ar-SA"/>
              </w:rPr>
            </w:pPr>
          </w:p>
        </w:tc>
      </w:tr>
      <w:tr w14:paraId="07642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1C1FCA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295</w:t>
            </w:r>
          </w:p>
        </w:tc>
        <w:tc>
          <w:tcPr>
            <w:tcW w:w="720" w:type="dxa"/>
            <w:vMerge w:val="continue"/>
            <w:vAlign w:val="center"/>
          </w:tcPr>
          <w:p w14:paraId="71745DA1">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593DCFF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电子病历系统服务端</w:t>
            </w:r>
          </w:p>
        </w:tc>
        <w:tc>
          <w:tcPr>
            <w:tcW w:w="2058" w:type="dxa"/>
            <w:vAlign w:val="center"/>
          </w:tcPr>
          <w:p w14:paraId="6398078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病历编号</w:t>
            </w:r>
          </w:p>
        </w:tc>
        <w:tc>
          <w:tcPr>
            <w:tcW w:w="4667" w:type="dxa"/>
            <w:vAlign w:val="center"/>
          </w:tcPr>
          <w:p w14:paraId="7A0E099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要求每份急救病历都有一个唯一的编号，且该编号遵循统一的编号规则</w:t>
            </w:r>
          </w:p>
        </w:tc>
        <w:tc>
          <w:tcPr>
            <w:tcW w:w="733" w:type="dxa"/>
            <w:vMerge w:val="restart"/>
            <w:vAlign w:val="center"/>
          </w:tcPr>
          <w:p w14:paraId="569A976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546C8819">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D2EB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0186A0E">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296</w:t>
            </w:r>
          </w:p>
        </w:tc>
        <w:tc>
          <w:tcPr>
            <w:tcW w:w="720" w:type="dxa"/>
            <w:vMerge w:val="continue"/>
            <w:vAlign w:val="center"/>
          </w:tcPr>
          <w:p w14:paraId="557FF47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422DFB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27916A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急救病史</w:t>
            </w:r>
          </w:p>
        </w:tc>
        <w:tc>
          <w:tcPr>
            <w:tcW w:w="4667" w:type="dxa"/>
            <w:vAlign w:val="center"/>
          </w:tcPr>
          <w:p w14:paraId="191AB6A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包括发病时间、病史提供者、主诉、现病史和重要过去史等内容</w:t>
            </w:r>
          </w:p>
        </w:tc>
        <w:tc>
          <w:tcPr>
            <w:tcW w:w="733" w:type="dxa"/>
            <w:vMerge w:val="continue"/>
            <w:vAlign w:val="center"/>
          </w:tcPr>
          <w:p w14:paraId="67455E1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7E3CFC3">
            <w:pPr>
              <w:jc w:val="center"/>
              <w:rPr>
                <w:rFonts w:hint="eastAsia" w:ascii="宋体" w:hAnsi="宋体" w:eastAsia="宋体" w:cs="宋体"/>
                <w:b w:val="0"/>
                <w:bCs w:val="0"/>
                <w:color w:val="auto"/>
                <w:kern w:val="0"/>
                <w:sz w:val="20"/>
                <w:szCs w:val="20"/>
                <w:highlight w:val="none"/>
                <w:lang w:val="en-US" w:eastAsia="zh-CN" w:bidi="ar-SA"/>
              </w:rPr>
            </w:pPr>
          </w:p>
        </w:tc>
      </w:tr>
      <w:tr w14:paraId="3B672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561B30E">
            <w:pPr>
              <w:keepNext w:val="0"/>
              <w:keepLines w:val="0"/>
              <w:widowControl/>
              <w:suppressLineNumbers w:val="0"/>
              <w:jc w:val="right"/>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297</w:t>
            </w:r>
          </w:p>
        </w:tc>
        <w:tc>
          <w:tcPr>
            <w:tcW w:w="720" w:type="dxa"/>
            <w:vMerge w:val="continue"/>
            <w:vAlign w:val="center"/>
          </w:tcPr>
          <w:p w14:paraId="2CE15DB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C9DD07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C11C5E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转院/出院</w:t>
            </w:r>
          </w:p>
        </w:tc>
        <w:tc>
          <w:tcPr>
            <w:tcW w:w="4667" w:type="dxa"/>
            <w:vAlign w:val="center"/>
          </w:tcPr>
          <w:p w14:paraId="7C5690E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包括转/出院诊断、医院主要治疗措施和目前患者症状等内容</w:t>
            </w:r>
          </w:p>
        </w:tc>
        <w:tc>
          <w:tcPr>
            <w:tcW w:w="733" w:type="dxa"/>
            <w:vMerge w:val="continue"/>
            <w:vAlign w:val="center"/>
          </w:tcPr>
          <w:p w14:paraId="355AF5F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2B42625">
            <w:pPr>
              <w:jc w:val="center"/>
              <w:rPr>
                <w:rFonts w:hint="eastAsia" w:ascii="宋体" w:hAnsi="宋体" w:eastAsia="宋体" w:cs="宋体"/>
                <w:b w:val="0"/>
                <w:bCs w:val="0"/>
                <w:color w:val="auto"/>
                <w:kern w:val="0"/>
                <w:sz w:val="20"/>
                <w:szCs w:val="20"/>
                <w:highlight w:val="none"/>
                <w:lang w:val="en-US" w:eastAsia="zh-CN" w:bidi="ar-SA"/>
              </w:rPr>
            </w:pPr>
          </w:p>
        </w:tc>
      </w:tr>
      <w:tr w14:paraId="6C119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9F8161A">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298</w:t>
            </w:r>
          </w:p>
        </w:tc>
        <w:tc>
          <w:tcPr>
            <w:tcW w:w="720" w:type="dxa"/>
            <w:vMerge w:val="continue"/>
            <w:vAlign w:val="center"/>
          </w:tcPr>
          <w:p w14:paraId="63861A6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4DCB2DF">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F4FCD8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体检功能</w:t>
            </w:r>
          </w:p>
        </w:tc>
        <w:tc>
          <w:tcPr>
            <w:tcW w:w="4667" w:type="dxa"/>
            <w:vAlign w:val="center"/>
          </w:tcPr>
          <w:p w14:paraId="764714A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体检包括2种录入形式，常规结构化录入和人体智能录入。体检中的GCS、IT、Apgar评分，都对应有模版，方便和规范急救医生录入</w:t>
            </w:r>
          </w:p>
        </w:tc>
        <w:tc>
          <w:tcPr>
            <w:tcW w:w="733" w:type="dxa"/>
            <w:vMerge w:val="continue"/>
            <w:vAlign w:val="center"/>
          </w:tcPr>
          <w:p w14:paraId="319D886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14FD10A">
            <w:pPr>
              <w:jc w:val="center"/>
              <w:rPr>
                <w:rFonts w:hint="eastAsia" w:ascii="宋体" w:hAnsi="宋体" w:eastAsia="宋体" w:cs="宋体"/>
                <w:b w:val="0"/>
                <w:bCs w:val="0"/>
                <w:color w:val="auto"/>
                <w:kern w:val="0"/>
                <w:sz w:val="20"/>
                <w:szCs w:val="20"/>
                <w:highlight w:val="none"/>
                <w:lang w:val="en-US" w:eastAsia="zh-CN" w:bidi="ar-SA"/>
              </w:rPr>
            </w:pPr>
          </w:p>
        </w:tc>
      </w:tr>
      <w:tr w14:paraId="5969A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87DB24B">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299</w:t>
            </w:r>
          </w:p>
        </w:tc>
        <w:tc>
          <w:tcPr>
            <w:tcW w:w="720" w:type="dxa"/>
            <w:vMerge w:val="continue"/>
            <w:vAlign w:val="center"/>
          </w:tcPr>
          <w:p w14:paraId="6627F01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FAE453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626586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诊断功能</w:t>
            </w:r>
          </w:p>
        </w:tc>
        <w:tc>
          <w:tcPr>
            <w:tcW w:w="4667" w:type="dxa"/>
            <w:vAlign w:val="center"/>
          </w:tcPr>
          <w:p w14:paraId="4C4DE7B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诊断包括初步印象、心电图印象、血糖和血氧饱和度等内容</w:t>
            </w:r>
          </w:p>
        </w:tc>
        <w:tc>
          <w:tcPr>
            <w:tcW w:w="733" w:type="dxa"/>
            <w:vMerge w:val="continue"/>
            <w:vAlign w:val="center"/>
          </w:tcPr>
          <w:p w14:paraId="13330A7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4827B5B">
            <w:pPr>
              <w:jc w:val="center"/>
              <w:rPr>
                <w:rFonts w:hint="eastAsia" w:ascii="宋体" w:hAnsi="宋体" w:eastAsia="宋体" w:cs="宋体"/>
                <w:b w:val="0"/>
                <w:bCs w:val="0"/>
                <w:color w:val="auto"/>
                <w:kern w:val="0"/>
                <w:sz w:val="20"/>
                <w:szCs w:val="20"/>
                <w:highlight w:val="none"/>
                <w:lang w:val="en-US" w:eastAsia="zh-CN" w:bidi="ar-SA"/>
              </w:rPr>
            </w:pPr>
          </w:p>
        </w:tc>
      </w:tr>
      <w:tr w14:paraId="484E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5118062">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300</w:t>
            </w:r>
          </w:p>
        </w:tc>
        <w:tc>
          <w:tcPr>
            <w:tcW w:w="720" w:type="dxa"/>
            <w:vMerge w:val="continue"/>
            <w:vAlign w:val="center"/>
          </w:tcPr>
          <w:p w14:paraId="2782786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EED826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1A454A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症状变化功能</w:t>
            </w:r>
          </w:p>
        </w:tc>
        <w:tc>
          <w:tcPr>
            <w:tcW w:w="4667" w:type="dxa"/>
            <w:vAlign w:val="center"/>
          </w:tcPr>
          <w:p w14:paraId="7BE6196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记录患者在急救过程中的病情变化情况，记录病情变化的时间和并且变化的内容</w:t>
            </w:r>
          </w:p>
        </w:tc>
        <w:tc>
          <w:tcPr>
            <w:tcW w:w="733" w:type="dxa"/>
            <w:vMerge w:val="continue"/>
            <w:vAlign w:val="center"/>
          </w:tcPr>
          <w:p w14:paraId="7E9390E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1CB33C0">
            <w:pPr>
              <w:jc w:val="center"/>
              <w:rPr>
                <w:rFonts w:hint="eastAsia" w:ascii="宋体" w:hAnsi="宋体" w:eastAsia="宋体" w:cs="宋体"/>
                <w:b w:val="0"/>
                <w:bCs w:val="0"/>
                <w:color w:val="auto"/>
                <w:kern w:val="0"/>
                <w:sz w:val="20"/>
                <w:szCs w:val="20"/>
                <w:highlight w:val="none"/>
                <w:lang w:val="en-US" w:eastAsia="zh-CN" w:bidi="ar-SA"/>
              </w:rPr>
            </w:pPr>
          </w:p>
        </w:tc>
      </w:tr>
      <w:tr w14:paraId="7A371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34BF6F9">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301</w:t>
            </w:r>
          </w:p>
        </w:tc>
        <w:tc>
          <w:tcPr>
            <w:tcW w:w="720" w:type="dxa"/>
            <w:vMerge w:val="continue"/>
            <w:vAlign w:val="center"/>
          </w:tcPr>
          <w:p w14:paraId="65D4F20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99ACF9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05301B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诊疗功能</w:t>
            </w:r>
          </w:p>
        </w:tc>
        <w:tc>
          <w:tcPr>
            <w:tcW w:w="4667" w:type="dxa"/>
            <w:vAlign w:val="center"/>
          </w:tcPr>
          <w:p w14:paraId="4263BEF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选择诊疗措施后，系统会提示出该诊疗过程中可能用到的药品和耗材，选择药品和耗材的种类和数量，相应的费用情况会直接记录在电子急救收费中，同时也会自动统计出药品和耗材的使用量和库存情况</w:t>
            </w:r>
          </w:p>
        </w:tc>
        <w:tc>
          <w:tcPr>
            <w:tcW w:w="733" w:type="dxa"/>
            <w:vMerge w:val="continue"/>
            <w:vAlign w:val="center"/>
          </w:tcPr>
          <w:p w14:paraId="5B71C57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F1B3B24">
            <w:pPr>
              <w:jc w:val="center"/>
              <w:rPr>
                <w:rFonts w:hint="eastAsia" w:ascii="宋体" w:hAnsi="宋体" w:eastAsia="宋体" w:cs="宋体"/>
                <w:b w:val="0"/>
                <w:bCs w:val="0"/>
                <w:color w:val="auto"/>
                <w:kern w:val="0"/>
                <w:sz w:val="20"/>
                <w:szCs w:val="20"/>
                <w:highlight w:val="none"/>
                <w:lang w:val="en-US" w:eastAsia="zh-CN" w:bidi="ar-SA"/>
              </w:rPr>
            </w:pPr>
          </w:p>
        </w:tc>
      </w:tr>
      <w:tr w14:paraId="49F4E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FEBAB2C">
            <w:pPr>
              <w:keepNext w:val="0"/>
              <w:keepLines w:val="0"/>
              <w:widowControl/>
              <w:suppressLineNumbers w:val="0"/>
              <w:jc w:val="right"/>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302</w:t>
            </w:r>
          </w:p>
        </w:tc>
        <w:tc>
          <w:tcPr>
            <w:tcW w:w="720" w:type="dxa"/>
            <w:vMerge w:val="continue"/>
            <w:vAlign w:val="center"/>
          </w:tcPr>
          <w:p w14:paraId="6BC7C1E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38EA44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918163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病种模版</w:t>
            </w:r>
          </w:p>
        </w:tc>
        <w:tc>
          <w:tcPr>
            <w:tcW w:w="4667" w:type="dxa"/>
            <w:vAlign w:val="center"/>
          </w:tcPr>
          <w:p w14:paraId="7CF0868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可以自行在管理系统中，维护各类丰富的结构化模版。急救医生也可根据自己习惯，个性化设计自有电子病历结构化模板。维护好的病历模版，可以直接在电子病历中直接调用</w:t>
            </w:r>
          </w:p>
        </w:tc>
        <w:tc>
          <w:tcPr>
            <w:tcW w:w="733" w:type="dxa"/>
            <w:vMerge w:val="continue"/>
            <w:vAlign w:val="center"/>
          </w:tcPr>
          <w:p w14:paraId="76E4E0D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E2BEBC1">
            <w:pPr>
              <w:jc w:val="center"/>
              <w:rPr>
                <w:rFonts w:hint="eastAsia" w:ascii="宋体" w:hAnsi="宋体" w:eastAsia="宋体" w:cs="宋体"/>
                <w:b w:val="0"/>
                <w:bCs w:val="0"/>
                <w:color w:val="auto"/>
                <w:kern w:val="0"/>
                <w:sz w:val="20"/>
                <w:szCs w:val="20"/>
                <w:highlight w:val="none"/>
                <w:lang w:val="en-US" w:eastAsia="zh-CN" w:bidi="ar-SA"/>
              </w:rPr>
            </w:pPr>
          </w:p>
        </w:tc>
      </w:tr>
      <w:tr w14:paraId="56AEC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64E8FA8">
            <w:pPr>
              <w:keepNext w:val="0"/>
              <w:keepLines w:val="0"/>
              <w:widowControl/>
              <w:suppressLineNumbers w:val="0"/>
              <w:jc w:val="right"/>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303</w:t>
            </w:r>
          </w:p>
        </w:tc>
        <w:tc>
          <w:tcPr>
            <w:tcW w:w="720" w:type="dxa"/>
            <w:vMerge w:val="continue"/>
            <w:vAlign w:val="center"/>
          </w:tcPr>
          <w:p w14:paraId="13EC3D0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2CDB77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821EDB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综合查询功能</w:t>
            </w:r>
          </w:p>
        </w:tc>
        <w:tc>
          <w:tcPr>
            <w:tcW w:w="4667" w:type="dxa"/>
            <w:vAlign w:val="center"/>
          </w:tcPr>
          <w:p w14:paraId="1A10564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通过各种查询条件，对电子病历进行智能查询和检索。查询电子病历有相应的权限区分：个人允许查询自己创建的电子病历，分站长允许查询本分站的电子病历，相关领导允许查询所有的电子病历</w:t>
            </w:r>
          </w:p>
        </w:tc>
        <w:tc>
          <w:tcPr>
            <w:tcW w:w="733" w:type="dxa"/>
            <w:vMerge w:val="continue"/>
            <w:vAlign w:val="center"/>
          </w:tcPr>
          <w:p w14:paraId="47DD75F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62F9322">
            <w:pPr>
              <w:jc w:val="center"/>
              <w:rPr>
                <w:rFonts w:hint="eastAsia" w:ascii="宋体" w:hAnsi="宋体" w:eastAsia="宋体" w:cs="宋体"/>
                <w:b w:val="0"/>
                <w:bCs w:val="0"/>
                <w:color w:val="auto"/>
                <w:kern w:val="0"/>
                <w:sz w:val="20"/>
                <w:szCs w:val="20"/>
                <w:highlight w:val="none"/>
                <w:lang w:val="en-US" w:eastAsia="zh-CN" w:bidi="ar-SA"/>
              </w:rPr>
            </w:pPr>
          </w:p>
        </w:tc>
      </w:tr>
      <w:tr w14:paraId="15849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95FE8F7">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304</w:t>
            </w:r>
          </w:p>
        </w:tc>
        <w:tc>
          <w:tcPr>
            <w:tcW w:w="720" w:type="dxa"/>
            <w:vMerge w:val="continue"/>
            <w:vAlign w:val="center"/>
          </w:tcPr>
          <w:p w14:paraId="7A8FDE9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F29BFC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39EBF5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病历评分功能</w:t>
            </w:r>
          </w:p>
        </w:tc>
        <w:tc>
          <w:tcPr>
            <w:tcW w:w="4667" w:type="dxa"/>
            <w:vAlign w:val="center"/>
          </w:tcPr>
          <w:p w14:paraId="077B85F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可针对每份病历进行评分，评分标准采用手动加自动相结合的方式</w:t>
            </w:r>
          </w:p>
        </w:tc>
        <w:tc>
          <w:tcPr>
            <w:tcW w:w="733" w:type="dxa"/>
            <w:vMerge w:val="continue"/>
            <w:vAlign w:val="center"/>
          </w:tcPr>
          <w:p w14:paraId="2EF3DE3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473BD03">
            <w:pPr>
              <w:jc w:val="center"/>
              <w:rPr>
                <w:rFonts w:hint="eastAsia" w:ascii="宋体" w:hAnsi="宋体" w:eastAsia="宋体" w:cs="宋体"/>
                <w:b w:val="0"/>
                <w:bCs w:val="0"/>
                <w:color w:val="auto"/>
                <w:kern w:val="0"/>
                <w:sz w:val="20"/>
                <w:szCs w:val="20"/>
                <w:highlight w:val="none"/>
                <w:lang w:val="en-US" w:eastAsia="zh-CN" w:bidi="ar-SA"/>
              </w:rPr>
            </w:pPr>
          </w:p>
        </w:tc>
      </w:tr>
      <w:tr w14:paraId="28944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DF9B6DE">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305</w:t>
            </w:r>
          </w:p>
        </w:tc>
        <w:tc>
          <w:tcPr>
            <w:tcW w:w="720" w:type="dxa"/>
            <w:vMerge w:val="continue"/>
            <w:vAlign w:val="center"/>
          </w:tcPr>
          <w:p w14:paraId="0404356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8AD098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81E389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病历检查汇总表</w:t>
            </w:r>
          </w:p>
        </w:tc>
        <w:tc>
          <w:tcPr>
            <w:tcW w:w="4667" w:type="dxa"/>
            <w:vAlign w:val="center"/>
          </w:tcPr>
          <w:p w14:paraId="3BEA5FC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通过病历检查汇总表，可查看所有分站、所有个人的病历评分总体情况</w:t>
            </w:r>
          </w:p>
        </w:tc>
        <w:tc>
          <w:tcPr>
            <w:tcW w:w="733" w:type="dxa"/>
            <w:vMerge w:val="continue"/>
            <w:vAlign w:val="center"/>
          </w:tcPr>
          <w:p w14:paraId="18D008A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9C4D51D">
            <w:pPr>
              <w:jc w:val="center"/>
              <w:rPr>
                <w:rFonts w:hint="eastAsia" w:ascii="宋体" w:hAnsi="宋体" w:eastAsia="宋体" w:cs="宋体"/>
                <w:b w:val="0"/>
                <w:bCs w:val="0"/>
                <w:color w:val="auto"/>
                <w:kern w:val="0"/>
                <w:sz w:val="20"/>
                <w:szCs w:val="20"/>
                <w:highlight w:val="none"/>
                <w:lang w:val="en-US" w:eastAsia="zh-CN" w:bidi="ar-SA"/>
              </w:rPr>
            </w:pPr>
          </w:p>
        </w:tc>
      </w:tr>
      <w:tr w14:paraId="2AB1E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64A2266">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306</w:t>
            </w:r>
          </w:p>
        </w:tc>
        <w:tc>
          <w:tcPr>
            <w:tcW w:w="720" w:type="dxa"/>
            <w:vMerge w:val="continue"/>
            <w:vAlign w:val="center"/>
          </w:tcPr>
          <w:p w14:paraId="0E95FF2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817A1F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F10849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病历检查评表</w:t>
            </w:r>
          </w:p>
        </w:tc>
        <w:tc>
          <w:tcPr>
            <w:tcW w:w="4667" w:type="dxa"/>
            <w:vAlign w:val="center"/>
          </w:tcPr>
          <w:p w14:paraId="66C4EC6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所有的得分情况都会记录在案，通过病历检查评表，可查询出每位医生病历检查的明细信息。医生可以查看自己的病历检查评分，分站长可以看到分站医生的病历检查评分，相关领导可以查询所有医生的病历检查评分</w:t>
            </w:r>
          </w:p>
        </w:tc>
        <w:tc>
          <w:tcPr>
            <w:tcW w:w="733" w:type="dxa"/>
            <w:vMerge w:val="continue"/>
            <w:vAlign w:val="center"/>
          </w:tcPr>
          <w:p w14:paraId="396E045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FB267DF">
            <w:pPr>
              <w:jc w:val="center"/>
              <w:rPr>
                <w:rFonts w:hint="eastAsia" w:ascii="宋体" w:hAnsi="宋体" w:eastAsia="宋体" w:cs="宋体"/>
                <w:b w:val="0"/>
                <w:bCs w:val="0"/>
                <w:color w:val="auto"/>
                <w:kern w:val="0"/>
                <w:sz w:val="20"/>
                <w:szCs w:val="20"/>
                <w:highlight w:val="none"/>
                <w:lang w:val="en-US" w:eastAsia="zh-CN" w:bidi="ar-SA"/>
              </w:rPr>
            </w:pPr>
          </w:p>
        </w:tc>
      </w:tr>
      <w:tr w14:paraId="37DD1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0AB581B">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307</w:t>
            </w:r>
          </w:p>
        </w:tc>
        <w:tc>
          <w:tcPr>
            <w:tcW w:w="720" w:type="dxa"/>
            <w:vMerge w:val="continue"/>
            <w:vAlign w:val="center"/>
          </w:tcPr>
          <w:p w14:paraId="03AA37F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F09314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7FEF52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电子病历统一制式</w:t>
            </w:r>
          </w:p>
        </w:tc>
        <w:tc>
          <w:tcPr>
            <w:tcW w:w="4667" w:type="dxa"/>
            <w:vAlign w:val="center"/>
          </w:tcPr>
          <w:p w14:paraId="0F1E1D3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电子病历要求与盐城市统一制式、统一管理，具备并网能力，所投电子病历具备结构化电子病历及病历自动评价系统</w:t>
            </w:r>
          </w:p>
        </w:tc>
        <w:tc>
          <w:tcPr>
            <w:tcW w:w="733" w:type="dxa"/>
            <w:vMerge w:val="continue"/>
            <w:vAlign w:val="center"/>
          </w:tcPr>
          <w:p w14:paraId="1AE57DF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6C9CEAF">
            <w:pPr>
              <w:jc w:val="center"/>
              <w:rPr>
                <w:rFonts w:hint="eastAsia" w:ascii="宋体" w:hAnsi="宋体" w:eastAsia="宋体" w:cs="宋体"/>
                <w:b w:val="0"/>
                <w:bCs w:val="0"/>
                <w:color w:val="auto"/>
                <w:kern w:val="0"/>
                <w:sz w:val="20"/>
                <w:szCs w:val="20"/>
                <w:highlight w:val="none"/>
                <w:lang w:val="en-US" w:eastAsia="zh-CN" w:bidi="ar-SA"/>
              </w:rPr>
            </w:pPr>
          </w:p>
        </w:tc>
      </w:tr>
      <w:tr w14:paraId="28D31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C5138BF">
            <w:pPr>
              <w:keepNext w:val="0"/>
              <w:keepLines w:val="0"/>
              <w:widowControl/>
              <w:suppressLineNumbers w:val="0"/>
              <w:jc w:val="right"/>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308</w:t>
            </w:r>
          </w:p>
        </w:tc>
        <w:tc>
          <w:tcPr>
            <w:tcW w:w="720" w:type="dxa"/>
            <w:vMerge w:val="continue"/>
            <w:vAlign w:val="center"/>
          </w:tcPr>
          <w:p w14:paraId="1593958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A1CEB1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D659D5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电子病历</w:t>
            </w:r>
          </w:p>
        </w:tc>
        <w:tc>
          <w:tcPr>
            <w:tcW w:w="4667" w:type="dxa"/>
            <w:vAlign w:val="center"/>
          </w:tcPr>
          <w:p w14:paraId="5CF6F59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急救服务端电子病历系统服务端</w:t>
            </w:r>
          </w:p>
        </w:tc>
        <w:tc>
          <w:tcPr>
            <w:tcW w:w="733" w:type="dxa"/>
            <w:vMerge w:val="continue"/>
            <w:vAlign w:val="center"/>
          </w:tcPr>
          <w:p w14:paraId="3ECDA3E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94A62BE">
            <w:pPr>
              <w:jc w:val="center"/>
              <w:rPr>
                <w:rFonts w:hint="eastAsia" w:ascii="宋体" w:hAnsi="宋体" w:eastAsia="宋体" w:cs="宋体"/>
                <w:b w:val="0"/>
                <w:bCs w:val="0"/>
                <w:color w:val="auto"/>
                <w:kern w:val="0"/>
                <w:sz w:val="20"/>
                <w:szCs w:val="20"/>
                <w:highlight w:val="none"/>
                <w:lang w:val="en-US" w:eastAsia="zh-CN" w:bidi="ar-SA"/>
              </w:rPr>
            </w:pPr>
          </w:p>
        </w:tc>
      </w:tr>
      <w:tr w14:paraId="004E4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841CA79">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309</w:t>
            </w:r>
          </w:p>
        </w:tc>
        <w:tc>
          <w:tcPr>
            <w:tcW w:w="720" w:type="dxa"/>
            <w:vMerge w:val="continue"/>
            <w:vAlign w:val="center"/>
          </w:tcPr>
          <w:p w14:paraId="714F703A">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7A156A58">
            <w:pPr>
              <w:jc w:val="center"/>
              <w:rPr>
                <w:rFonts w:hint="eastAsia" w:ascii="宋体" w:hAnsi="宋体" w:eastAsia="宋体" w:cs="宋体"/>
                <w:b w:val="0"/>
                <w:bCs w:val="0"/>
                <w:color w:val="auto"/>
                <w:kern w:val="0"/>
                <w:sz w:val="20"/>
                <w:szCs w:val="20"/>
                <w:highlight w:val="none"/>
                <w:lang w:val="en-US" w:eastAsia="zh-CN" w:bidi="ar-SA"/>
              </w:rPr>
            </w:pPr>
          </w:p>
          <w:p w14:paraId="06785A29">
            <w:pPr>
              <w:bidi w:val="0"/>
              <w:jc w:val="center"/>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院前院内一体化服务端</w:t>
            </w:r>
          </w:p>
        </w:tc>
        <w:tc>
          <w:tcPr>
            <w:tcW w:w="2058" w:type="dxa"/>
            <w:vAlign w:val="center"/>
          </w:tcPr>
          <w:p w14:paraId="0604346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急救信息</w:t>
            </w:r>
          </w:p>
        </w:tc>
        <w:tc>
          <w:tcPr>
            <w:tcW w:w="4667" w:type="dxa"/>
            <w:vAlign w:val="center"/>
          </w:tcPr>
          <w:p w14:paraId="5FAEF68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平台集成急救信息显示“行驶路径、调度信息、救治信息、既往病史、医院资源、视频信息”即时消息提醒、历史记录查询、数据统计分析等功能</w:t>
            </w:r>
          </w:p>
        </w:tc>
        <w:tc>
          <w:tcPr>
            <w:tcW w:w="733" w:type="dxa"/>
            <w:vMerge w:val="restart"/>
            <w:vAlign w:val="center"/>
          </w:tcPr>
          <w:p w14:paraId="6B5A111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69851C96">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04DB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AAE1BD4">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310</w:t>
            </w:r>
          </w:p>
        </w:tc>
        <w:tc>
          <w:tcPr>
            <w:tcW w:w="720" w:type="dxa"/>
            <w:vMerge w:val="continue"/>
            <w:vAlign w:val="center"/>
          </w:tcPr>
          <w:p w14:paraId="043F308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4E0F44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88816C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时间轴</w:t>
            </w:r>
          </w:p>
        </w:tc>
        <w:tc>
          <w:tcPr>
            <w:tcW w:w="4667" w:type="dxa"/>
            <w:vAlign w:val="center"/>
          </w:tcPr>
          <w:p w14:paraId="2DBB223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任务状态实时跟踪振铃时刻、下发指令、收到指令、驶向现场、到达现场、病人上车、到达医院等</w:t>
            </w:r>
          </w:p>
        </w:tc>
        <w:tc>
          <w:tcPr>
            <w:tcW w:w="733" w:type="dxa"/>
            <w:vMerge w:val="continue"/>
            <w:vAlign w:val="center"/>
          </w:tcPr>
          <w:p w14:paraId="47A5BB5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04E0221">
            <w:pPr>
              <w:jc w:val="center"/>
              <w:rPr>
                <w:rFonts w:hint="eastAsia" w:ascii="宋体" w:hAnsi="宋体" w:eastAsia="宋体" w:cs="宋体"/>
                <w:b w:val="0"/>
                <w:bCs w:val="0"/>
                <w:color w:val="auto"/>
                <w:kern w:val="0"/>
                <w:sz w:val="20"/>
                <w:szCs w:val="20"/>
                <w:highlight w:val="none"/>
                <w:lang w:val="en-US" w:eastAsia="zh-CN" w:bidi="ar-SA"/>
              </w:rPr>
            </w:pPr>
          </w:p>
        </w:tc>
      </w:tr>
      <w:tr w14:paraId="60170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A233D5A">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311</w:t>
            </w:r>
          </w:p>
        </w:tc>
        <w:tc>
          <w:tcPr>
            <w:tcW w:w="720" w:type="dxa"/>
            <w:vMerge w:val="continue"/>
            <w:vAlign w:val="center"/>
          </w:tcPr>
          <w:p w14:paraId="7B948F3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9EEB3C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993428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电子地图</w:t>
            </w:r>
          </w:p>
        </w:tc>
        <w:tc>
          <w:tcPr>
            <w:tcW w:w="4667" w:type="dxa"/>
            <w:vAlign w:val="center"/>
          </w:tcPr>
          <w:p w14:paraId="64DBAC0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救护车实时路径，预计到达医院时间等</w:t>
            </w:r>
          </w:p>
        </w:tc>
        <w:tc>
          <w:tcPr>
            <w:tcW w:w="733" w:type="dxa"/>
            <w:vMerge w:val="continue"/>
            <w:vAlign w:val="center"/>
          </w:tcPr>
          <w:p w14:paraId="226C606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5B677C3">
            <w:pPr>
              <w:jc w:val="center"/>
              <w:rPr>
                <w:rFonts w:hint="eastAsia" w:ascii="宋体" w:hAnsi="宋体" w:eastAsia="宋体" w:cs="宋体"/>
                <w:b w:val="0"/>
                <w:bCs w:val="0"/>
                <w:color w:val="auto"/>
                <w:kern w:val="0"/>
                <w:sz w:val="20"/>
                <w:szCs w:val="20"/>
                <w:highlight w:val="none"/>
                <w:lang w:val="en-US" w:eastAsia="zh-CN" w:bidi="ar-SA"/>
              </w:rPr>
            </w:pPr>
          </w:p>
        </w:tc>
      </w:tr>
      <w:tr w14:paraId="1B559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D078EDE">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312</w:t>
            </w:r>
          </w:p>
        </w:tc>
        <w:tc>
          <w:tcPr>
            <w:tcW w:w="720" w:type="dxa"/>
            <w:vMerge w:val="continue"/>
            <w:vAlign w:val="center"/>
          </w:tcPr>
          <w:p w14:paraId="0B9BF36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6C774E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0524B2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心电数据</w:t>
            </w:r>
          </w:p>
        </w:tc>
        <w:tc>
          <w:tcPr>
            <w:tcW w:w="4667" w:type="dxa"/>
            <w:vAlign w:val="center"/>
          </w:tcPr>
          <w:p w14:paraId="589F394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支持拍照上传心电数据，支持心电平台对接上传心电数据</w:t>
            </w:r>
          </w:p>
        </w:tc>
        <w:tc>
          <w:tcPr>
            <w:tcW w:w="733" w:type="dxa"/>
            <w:vMerge w:val="continue"/>
            <w:vAlign w:val="center"/>
          </w:tcPr>
          <w:p w14:paraId="2B9E00B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D67283E">
            <w:pPr>
              <w:jc w:val="center"/>
              <w:rPr>
                <w:rFonts w:hint="eastAsia" w:ascii="宋体" w:hAnsi="宋体" w:eastAsia="宋体" w:cs="宋体"/>
                <w:b w:val="0"/>
                <w:bCs w:val="0"/>
                <w:color w:val="auto"/>
                <w:kern w:val="0"/>
                <w:sz w:val="20"/>
                <w:szCs w:val="20"/>
                <w:highlight w:val="none"/>
                <w:lang w:val="en-US" w:eastAsia="zh-CN" w:bidi="ar-SA"/>
              </w:rPr>
            </w:pPr>
          </w:p>
        </w:tc>
      </w:tr>
      <w:tr w14:paraId="1157B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302990E">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313</w:t>
            </w:r>
          </w:p>
        </w:tc>
        <w:tc>
          <w:tcPr>
            <w:tcW w:w="720" w:type="dxa"/>
            <w:vMerge w:val="continue"/>
            <w:vAlign w:val="center"/>
          </w:tcPr>
          <w:p w14:paraId="7AFAB79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8C773A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5B0174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区域院前院内系统救治平台服务端</w:t>
            </w:r>
          </w:p>
        </w:tc>
        <w:tc>
          <w:tcPr>
            <w:tcW w:w="4667" w:type="dxa"/>
            <w:vAlign w:val="center"/>
          </w:tcPr>
          <w:p w14:paraId="6E3CE18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急救服务端电子病历系统服务端</w:t>
            </w:r>
            <w:r>
              <w:rPr>
                <w:rFonts w:hint="eastAsia" w:ascii="宋体" w:hAnsi="宋体" w:eastAsia="宋体" w:cs="宋体"/>
                <w:b w:val="0"/>
                <w:bCs w:val="0"/>
                <w:color w:val="auto"/>
                <w:kern w:val="0"/>
                <w:sz w:val="20"/>
                <w:szCs w:val="20"/>
                <w:highlight w:val="none"/>
                <w:lang w:val="en-US" w:eastAsia="zh-CN"/>
              </w:rPr>
              <w:t>区域院前院内系统救治平台服务端</w:t>
            </w:r>
          </w:p>
        </w:tc>
        <w:tc>
          <w:tcPr>
            <w:tcW w:w="733" w:type="dxa"/>
            <w:vMerge w:val="continue"/>
            <w:vAlign w:val="center"/>
          </w:tcPr>
          <w:p w14:paraId="53EA0E9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74A4BDE">
            <w:pPr>
              <w:jc w:val="center"/>
              <w:rPr>
                <w:rFonts w:hint="eastAsia" w:ascii="宋体" w:hAnsi="宋体" w:eastAsia="宋体" w:cs="宋体"/>
                <w:b w:val="0"/>
                <w:bCs w:val="0"/>
                <w:color w:val="auto"/>
                <w:kern w:val="0"/>
                <w:sz w:val="20"/>
                <w:szCs w:val="20"/>
                <w:highlight w:val="none"/>
                <w:lang w:val="en-US" w:eastAsia="zh-CN" w:bidi="ar-SA"/>
              </w:rPr>
            </w:pPr>
          </w:p>
        </w:tc>
      </w:tr>
      <w:tr w14:paraId="59D36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C640E67">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314</w:t>
            </w:r>
          </w:p>
        </w:tc>
        <w:tc>
          <w:tcPr>
            <w:tcW w:w="720" w:type="dxa"/>
            <w:vMerge w:val="continue"/>
            <w:vAlign w:val="center"/>
          </w:tcPr>
          <w:p w14:paraId="33BC328A">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3021F85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院前回访子系统</w:t>
            </w:r>
          </w:p>
        </w:tc>
        <w:tc>
          <w:tcPr>
            <w:tcW w:w="2058" w:type="dxa"/>
            <w:vAlign w:val="center"/>
          </w:tcPr>
          <w:p w14:paraId="48E9FC7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短信回访</w:t>
            </w:r>
          </w:p>
        </w:tc>
        <w:tc>
          <w:tcPr>
            <w:tcW w:w="4667" w:type="dxa"/>
            <w:vAlign w:val="center"/>
          </w:tcPr>
          <w:p w14:paraId="0E1453A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提供回访系统与短信应用接口，可发送回访短信，并可接收短信回复</w:t>
            </w:r>
          </w:p>
        </w:tc>
        <w:tc>
          <w:tcPr>
            <w:tcW w:w="733" w:type="dxa"/>
            <w:vMerge w:val="restart"/>
            <w:vAlign w:val="center"/>
          </w:tcPr>
          <w:p w14:paraId="1B646DF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692169ED">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558F7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3A56C6E">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315</w:t>
            </w:r>
          </w:p>
        </w:tc>
        <w:tc>
          <w:tcPr>
            <w:tcW w:w="720" w:type="dxa"/>
            <w:vMerge w:val="continue"/>
            <w:vAlign w:val="center"/>
          </w:tcPr>
          <w:p w14:paraId="01480F7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CB8570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FAD6D9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任务审核</w:t>
            </w:r>
          </w:p>
        </w:tc>
        <w:tc>
          <w:tcPr>
            <w:tcW w:w="4667" w:type="dxa"/>
            <w:vAlign w:val="center"/>
          </w:tcPr>
          <w:p w14:paraId="05CD90E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根据出车任务列表的内容筛选出不进行回访的出车任务(避免回访死亡,事故,出车未见人等回访任务)</w:t>
            </w:r>
          </w:p>
        </w:tc>
        <w:tc>
          <w:tcPr>
            <w:tcW w:w="733" w:type="dxa"/>
            <w:vMerge w:val="continue"/>
            <w:vAlign w:val="center"/>
          </w:tcPr>
          <w:p w14:paraId="4C73660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8FE256A">
            <w:pPr>
              <w:jc w:val="center"/>
              <w:rPr>
                <w:rFonts w:hint="eastAsia" w:ascii="宋体" w:hAnsi="宋体" w:eastAsia="宋体" w:cs="宋体"/>
                <w:b w:val="0"/>
                <w:bCs w:val="0"/>
                <w:color w:val="auto"/>
                <w:kern w:val="0"/>
                <w:sz w:val="20"/>
                <w:szCs w:val="20"/>
                <w:highlight w:val="none"/>
                <w:lang w:val="en-US" w:eastAsia="zh-CN" w:bidi="ar-SA"/>
              </w:rPr>
            </w:pPr>
          </w:p>
        </w:tc>
      </w:tr>
      <w:tr w14:paraId="4566B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CAD3BB3">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316</w:t>
            </w:r>
          </w:p>
        </w:tc>
        <w:tc>
          <w:tcPr>
            <w:tcW w:w="720" w:type="dxa"/>
            <w:vMerge w:val="continue"/>
            <w:vAlign w:val="center"/>
          </w:tcPr>
          <w:p w14:paraId="14CFA32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D45795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009E8B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短信回访</w:t>
            </w:r>
          </w:p>
        </w:tc>
        <w:tc>
          <w:tcPr>
            <w:tcW w:w="4667" w:type="dxa"/>
            <w:vAlign w:val="center"/>
          </w:tcPr>
          <w:p w14:paraId="7E64365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按照规定的时间向手机用户发送回访短信,用户需要回复满意(1)、基本满意（2）或不满意(3)。回访短信模板可按甲方要求定制</w:t>
            </w:r>
          </w:p>
        </w:tc>
        <w:tc>
          <w:tcPr>
            <w:tcW w:w="733" w:type="dxa"/>
            <w:vMerge w:val="continue"/>
            <w:vAlign w:val="center"/>
          </w:tcPr>
          <w:p w14:paraId="796D58B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A0F218E">
            <w:pPr>
              <w:jc w:val="center"/>
              <w:rPr>
                <w:rFonts w:hint="eastAsia" w:ascii="宋体" w:hAnsi="宋体" w:eastAsia="宋体" w:cs="宋体"/>
                <w:b w:val="0"/>
                <w:bCs w:val="0"/>
                <w:color w:val="auto"/>
                <w:kern w:val="0"/>
                <w:sz w:val="20"/>
                <w:szCs w:val="20"/>
                <w:highlight w:val="none"/>
                <w:lang w:val="en-US" w:eastAsia="zh-CN" w:bidi="ar-SA"/>
              </w:rPr>
            </w:pPr>
          </w:p>
        </w:tc>
      </w:tr>
      <w:tr w14:paraId="0114C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BE37F23">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317</w:t>
            </w:r>
          </w:p>
        </w:tc>
        <w:tc>
          <w:tcPr>
            <w:tcW w:w="720" w:type="dxa"/>
            <w:vMerge w:val="continue"/>
            <w:vAlign w:val="center"/>
          </w:tcPr>
          <w:p w14:paraId="0A54978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CC170D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ABCB59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电话回访</w:t>
            </w:r>
          </w:p>
        </w:tc>
        <w:tc>
          <w:tcPr>
            <w:tcW w:w="4667" w:type="dxa"/>
            <w:vAlign w:val="center"/>
          </w:tcPr>
          <w:p w14:paraId="62EAB57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根据任务列表利用电话对当事人进行电话回访,记录回访信息和回访录音</w:t>
            </w:r>
          </w:p>
        </w:tc>
        <w:tc>
          <w:tcPr>
            <w:tcW w:w="733" w:type="dxa"/>
            <w:vMerge w:val="continue"/>
            <w:vAlign w:val="center"/>
          </w:tcPr>
          <w:p w14:paraId="3489356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FD5D83F">
            <w:pPr>
              <w:jc w:val="center"/>
              <w:rPr>
                <w:rFonts w:hint="eastAsia" w:ascii="宋体" w:hAnsi="宋体" w:eastAsia="宋体" w:cs="宋体"/>
                <w:b w:val="0"/>
                <w:bCs w:val="0"/>
                <w:color w:val="auto"/>
                <w:kern w:val="0"/>
                <w:sz w:val="20"/>
                <w:szCs w:val="20"/>
                <w:highlight w:val="none"/>
                <w:lang w:val="en-US" w:eastAsia="zh-CN" w:bidi="ar-SA"/>
              </w:rPr>
            </w:pPr>
          </w:p>
        </w:tc>
      </w:tr>
      <w:tr w14:paraId="61540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8445663">
            <w:pPr>
              <w:keepNext w:val="0"/>
              <w:keepLines w:val="0"/>
              <w:widowControl/>
              <w:suppressLineNumbers w:val="0"/>
              <w:jc w:val="right"/>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318</w:t>
            </w:r>
          </w:p>
        </w:tc>
        <w:tc>
          <w:tcPr>
            <w:tcW w:w="720" w:type="dxa"/>
            <w:vMerge w:val="continue"/>
            <w:vAlign w:val="center"/>
          </w:tcPr>
          <w:p w14:paraId="40401C1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4FD6A9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CBB1BA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标准化回访单配置界面</w:t>
            </w:r>
          </w:p>
        </w:tc>
        <w:tc>
          <w:tcPr>
            <w:tcW w:w="4667" w:type="dxa"/>
            <w:vAlign w:val="center"/>
          </w:tcPr>
          <w:p w14:paraId="73BAEDC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根据当地120的需求可以随意配置星级评分项及回访项内容</w:t>
            </w:r>
          </w:p>
        </w:tc>
        <w:tc>
          <w:tcPr>
            <w:tcW w:w="733" w:type="dxa"/>
            <w:vMerge w:val="continue"/>
            <w:vAlign w:val="center"/>
          </w:tcPr>
          <w:p w14:paraId="640056A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365FA0B">
            <w:pPr>
              <w:jc w:val="center"/>
              <w:rPr>
                <w:rFonts w:hint="eastAsia" w:ascii="宋体" w:hAnsi="宋体" w:eastAsia="宋体" w:cs="宋体"/>
                <w:b w:val="0"/>
                <w:bCs w:val="0"/>
                <w:color w:val="auto"/>
                <w:kern w:val="0"/>
                <w:sz w:val="20"/>
                <w:szCs w:val="20"/>
                <w:highlight w:val="none"/>
                <w:lang w:val="en-US" w:eastAsia="zh-CN" w:bidi="ar-SA"/>
              </w:rPr>
            </w:pPr>
          </w:p>
        </w:tc>
      </w:tr>
      <w:tr w14:paraId="5FA19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4F57F23">
            <w:pPr>
              <w:keepNext w:val="0"/>
              <w:keepLines w:val="0"/>
              <w:widowControl/>
              <w:suppressLineNumbers w:val="0"/>
              <w:jc w:val="right"/>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319</w:t>
            </w:r>
          </w:p>
        </w:tc>
        <w:tc>
          <w:tcPr>
            <w:tcW w:w="720" w:type="dxa"/>
            <w:vMerge w:val="continue"/>
            <w:vAlign w:val="center"/>
          </w:tcPr>
          <w:p w14:paraId="0C8450C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F271FF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06CA4A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回访统计</w:t>
            </w:r>
          </w:p>
        </w:tc>
        <w:tc>
          <w:tcPr>
            <w:tcW w:w="4667" w:type="dxa"/>
            <w:vAlign w:val="center"/>
          </w:tcPr>
          <w:p w14:paraId="0EDF244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对回访后的数据进行统计,以表格或图表的方式向展现出来</w:t>
            </w:r>
          </w:p>
        </w:tc>
        <w:tc>
          <w:tcPr>
            <w:tcW w:w="733" w:type="dxa"/>
            <w:vMerge w:val="continue"/>
            <w:vAlign w:val="center"/>
          </w:tcPr>
          <w:p w14:paraId="3B30B6C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D6FDAF0">
            <w:pPr>
              <w:jc w:val="center"/>
              <w:rPr>
                <w:rFonts w:hint="eastAsia" w:ascii="宋体" w:hAnsi="宋体" w:eastAsia="宋体" w:cs="宋体"/>
                <w:b w:val="0"/>
                <w:bCs w:val="0"/>
                <w:color w:val="auto"/>
                <w:kern w:val="0"/>
                <w:sz w:val="20"/>
                <w:szCs w:val="20"/>
                <w:highlight w:val="none"/>
                <w:lang w:val="en-US" w:eastAsia="zh-CN" w:bidi="ar-SA"/>
              </w:rPr>
            </w:pPr>
          </w:p>
        </w:tc>
      </w:tr>
      <w:tr w14:paraId="19D19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83" w:type="dxa"/>
            <w:vAlign w:val="center"/>
          </w:tcPr>
          <w:p w14:paraId="0C90CE93">
            <w:pPr>
              <w:keepNext w:val="0"/>
              <w:keepLines w:val="0"/>
              <w:widowControl/>
              <w:suppressLineNumbers w:val="0"/>
              <w:jc w:val="right"/>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320</w:t>
            </w:r>
          </w:p>
        </w:tc>
        <w:tc>
          <w:tcPr>
            <w:tcW w:w="720" w:type="dxa"/>
            <w:vMerge w:val="continue"/>
            <w:vAlign w:val="center"/>
          </w:tcPr>
          <w:p w14:paraId="557B611E">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5F33510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短信服务</w:t>
            </w:r>
          </w:p>
        </w:tc>
        <w:tc>
          <w:tcPr>
            <w:tcW w:w="2058" w:type="dxa"/>
            <w:vAlign w:val="center"/>
          </w:tcPr>
          <w:p w14:paraId="5D9C11B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短信使用权</w:t>
            </w:r>
          </w:p>
        </w:tc>
        <w:tc>
          <w:tcPr>
            <w:tcW w:w="4667" w:type="dxa"/>
            <w:vAlign w:val="center"/>
          </w:tcPr>
          <w:p w14:paraId="0F4E48B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提供一年短信平台使用权</w:t>
            </w:r>
          </w:p>
        </w:tc>
        <w:tc>
          <w:tcPr>
            <w:tcW w:w="733" w:type="dxa"/>
            <w:vAlign w:val="center"/>
          </w:tcPr>
          <w:p w14:paraId="0A23C7B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年</w:t>
            </w:r>
          </w:p>
        </w:tc>
        <w:tc>
          <w:tcPr>
            <w:tcW w:w="714" w:type="dxa"/>
            <w:vAlign w:val="center"/>
          </w:tcPr>
          <w:p w14:paraId="1238CB4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84DD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F0AEF3B">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321</w:t>
            </w:r>
          </w:p>
        </w:tc>
        <w:tc>
          <w:tcPr>
            <w:tcW w:w="720" w:type="dxa"/>
            <w:vMerge w:val="restart"/>
            <w:vAlign w:val="center"/>
          </w:tcPr>
          <w:p w14:paraId="2FE6157C">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数据大屏</w:t>
            </w:r>
          </w:p>
        </w:tc>
        <w:tc>
          <w:tcPr>
            <w:tcW w:w="2933" w:type="dxa"/>
            <w:gridSpan w:val="2"/>
            <w:vMerge w:val="restart"/>
            <w:vAlign w:val="center"/>
          </w:tcPr>
          <w:p w14:paraId="76035F4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智慧急救中心</w:t>
            </w:r>
          </w:p>
        </w:tc>
        <w:tc>
          <w:tcPr>
            <w:tcW w:w="4667" w:type="dxa"/>
            <w:vAlign w:val="center"/>
          </w:tcPr>
          <w:p w14:paraId="6B1B726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以“驾驶舱”形式，直观展示急救系统的大数据力和管控力，实时图形化展示医疗资源、医疗数据、急救运行等情况</w:t>
            </w:r>
          </w:p>
        </w:tc>
        <w:tc>
          <w:tcPr>
            <w:tcW w:w="733" w:type="dxa"/>
            <w:vMerge w:val="restart"/>
            <w:vAlign w:val="center"/>
          </w:tcPr>
          <w:p w14:paraId="34D5630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72D4259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7BB3C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C924C99">
            <w:pPr>
              <w:keepNext w:val="0"/>
              <w:keepLines w:val="0"/>
              <w:widowControl/>
              <w:suppressLineNumbers w:val="0"/>
              <w:jc w:val="right"/>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322</w:t>
            </w:r>
          </w:p>
        </w:tc>
        <w:tc>
          <w:tcPr>
            <w:tcW w:w="720" w:type="dxa"/>
            <w:vMerge w:val="continue"/>
            <w:vAlign w:val="center"/>
          </w:tcPr>
          <w:p w14:paraId="42BC4851">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33B526D0">
            <w:pPr>
              <w:jc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2526F36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构建预测预警数据模型，建立评价指标体系，监测急诊数据变动趋势，提供辅助科学决策</w:t>
            </w:r>
          </w:p>
        </w:tc>
        <w:tc>
          <w:tcPr>
            <w:tcW w:w="733" w:type="dxa"/>
            <w:vMerge w:val="continue"/>
            <w:vAlign w:val="center"/>
          </w:tcPr>
          <w:p w14:paraId="67EC1C3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A0F9F47">
            <w:pPr>
              <w:jc w:val="center"/>
              <w:rPr>
                <w:rFonts w:hint="eastAsia" w:ascii="宋体" w:hAnsi="宋体" w:eastAsia="宋体" w:cs="宋体"/>
                <w:b w:val="0"/>
                <w:bCs w:val="0"/>
                <w:color w:val="auto"/>
                <w:kern w:val="0"/>
                <w:sz w:val="20"/>
                <w:szCs w:val="20"/>
                <w:highlight w:val="none"/>
                <w:lang w:val="en-US" w:eastAsia="zh-CN" w:bidi="ar-SA"/>
              </w:rPr>
            </w:pPr>
          </w:p>
        </w:tc>
      </w:tr>
    </w:tbl>
    <w:p w14:paraId="33295E0B">
      <w:pPr>
        <w:keepNext w:val="0"/>
        <w:keepLines w:val="0"/>
        <w:pageBreakBefore w:val="0"/>
        <w:widowControl w:val="0"/>
        <w:numPr>
          <w:ilvl w:val="0"/>
          <w:numId w:val="0"/>
        </w:numPr>
        <w:kinsoku/>
        <w:wordWrap/>
        <w:overflowPunct/>
        <w:topLinePunct w:val="0"/>
        <w:autoSpaceDE/>
        <w:autoSpaceDN/>
        <w:bidi w:val="0"/>
        <w:adjustRightInd/>
        <w:snapToGrid/>
        <w:spacing w:line="420" w:lineRule="exact"/>
        <w:textAlignment w:val="auto"/>
        <w:rPr>
          <w:rFonts w:hint="eastAsia" w:ascii="宋体" w:hAnsi="宋体" w:eastAsia="宋体" w:cs="宋体"/>
          <w:b w:val="0"/>
          <w:bCs w:val="0"/>
          <w:color w:val="auto"/>
          <w:kern w:val="0"/>
          <w:sz w:val="20"/>
          <w:szCs w:val="20"/>
          <w:highlight w:val="yellow"/>
          <w:lang w:val="en-US" w:eastAsia="zh-CN"/>
        </w:rPr>
      </w:pPr>
      <w:r>
        <w:rPr>
          <w:rFonts w:hint="eastAsia" w:ascii="宋体" w:hAnsi="宋体" w:eastAsia="宋体" w:cs="宋体"/>
          <w:highlight w:val="yellow"/>
          <w:lang w:val="en-US" w:eastAsia="zh-CN"/>
        </w:rPr>
        <w:t>（二）-5：</w:t>
      </w:r>
      <w:r>
        <w:rPr>
          <w:rFonts w:hint="eastAsia" w:ascii="宋体" w:hAnsi="宋体" w:eastAsia="宋体" w:cs="宋体"/>
          <w:b w:val="0"/>
          <w:bCs w:val="0"/>
          <w:color w:val="auto"/>
          <w:kern w:val="0"/>
          <w:sz w:val="20"/>
          <w:szCs w:val="20"/>
          <w:highlight w:val="yellow"/>
          <w:lang w:val="en-US" w:eastAsia="zh-CN"/>
        </w:rPr>
        <w:t>远程会诊中心</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875"/>
        <w:gridCol w:w="2058"/>
        <w:gridCol w:w="4667"/>
        <w:gridCol w:w="733"/>
        <w:gridCol w:w="714"/>
      </w:tblGrid>
      <w:tr w14:paraId="64F15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FFA65C7">
            <w:pPr>
              <w:widowControl/>
              <w:jc w:val="center"/>
              <w:rPr>
                <w:rFonts w:hint="eastAsia" w:ascii="仿宋" w:hAnsi="仿宋" w:eastAsia="仿宋" w:cs="宋体"/>
                <w:color w:val="auto"/>
                <w:sz w:val="22"/>
                <w:szCs w:val="22"/>
                <w:highlight w:val="none"/>
                <w:lang w:val="en-US" w:eastAsia="zh-CN"/>
              </w:rPr>
            </w:pPr>
            <w:r>
              <w:rPr>
                <w:rFonts w:hint="eastAsia" w:ascii="宋体" w:hAnsi="宋体" w:cs="宋体"/>
                <w:b/>
                <w:bCs/>
                <w:color w:val="auto"/>
                <w:kern w:val="0"/>
                <w:sz w:val="20"/>
                <w:szCs w:val="20"/>
                <w:highlight w:val="none"/>
              </w:rPr>
              <w:t>序号</w:t>
            </w:r>
          </w:p>
        </w:tc>
        <w:tc>
          <w:tcPr>
            <w:tcW w:w="3653" w:type="dxa"/>
            <w:gridSpan w:val="3"/>
            <w:vAlign w:val="center"/>
          </w:tcPr>
          <w:p w14:paraId="22ABC032">
            <w:pPr>
              <w:widowControl/>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建设内容</w:t>
            </w:r>
          </w:p>
        </w:tc>
        <w:tc>
          <w:tcPr>
            <w:tcW w:w="4667" w:type="dxa"/>
            <w:vAlign w:val="center"/>
          </w:tcPr>
          <w:p w14:paraId="1A29B476">
            <w:pPr>
              <w:widowControl/>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66711E95">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单位</w:t>
            </w:r>
          </w:p>
        </w:tc>
        <w:tc>
          <w:tcPr>
            <w:tcW w:w="714" w:type="dxa"/>
            <w:vAlign w:val="center"/>
          </w:tcPr>
          <w:p w14:paraId="7DF3B53A">
            <w:pPr>
              <w:spacing w:line="240" w:lineRule="exact"/>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Cs w:val="21"/>
                <w:highlight w:val="none"/>
                <w:lang w:eastAsia="zh-CN"/>
              </w:rPr>
              <w:t>数量</w:t>
            </w:r>
          </w:p>
        </w:tc>
      </w:tr>
      <w:tr w14:paraId="1828A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012A9FF">
            <w:pPr>
              <w:keepNext w:val="0"/>
              <w:keepLines w:val="0"/>
              <w:widowControl/>
              <w:suppressLineNumbers w:val="0"/>
              <w:jc w:val="right"/>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323</w:t>
            </w:r>
          </w:p>
        </w:tc>
        <w:tc>
          <w:tcPr>
            <w:tcW w:w="720" w:type="dxa"/>
            <w:vMerge w:val="restart"/>
            <w:vAlign w:val="center"/>
          </w:tcPr>
          <w:p w14:paraId="52BB9D6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区域远程会诊系统</w:t>
            </w:r>
          </w:p>
        </w:tc>
        <w:tc>
          <w:tcPr>
            <w:tcW w:w="875" w:type="dxa"/>
            <w:vMerge w:val="restart"/>
            <w:vAlign w:val="center"/>
          </w:tcPr>
          <w:p w14:paraId="1D1B5ED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会诊申请管理</w:t>
            </w:r>
          </w:p>
        </w:tc>
        <w:tc>
          <w:tcPr>
            <w:tcW w:w="2058" w:type="dxa"/>
            <w:vAlign w:val="center"/>
          </w:tcPr>
          <w:p w14:paraId="34CCAB8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会诊申请信息展示</w:t>
            </w:r>
          </w:p>
        </w:tc>
        <w:tc>
          <w:tcPr>
            <w:tcW w:w="4667" w:type="dxa"/>
            <w:vAlign w:val="center"/>
          </w:tcPr>
          <w:p w14:paraId="18CE927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展示会诊申请的基本信息，包括：会诊编号、会诊患者姓名、申请日期、会诊医院、会诊科室、会诊日期及会诊类型等信息</w:t>
            </w:r>
          </w:p>
        </w:tc>
        <w:tc>
          <w:tcPr>
            <w:tcW w:w="733" w:type="dxa"/>
            <w:vMerge w:val="restart"/>
            <w:vAlign w:val="center"/>
          </w:tcPr>
          <w:p w14:paraId="65126F0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799D2E7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1431E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BA82334">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324</w:t>
            </w:r>
          </w:p>
        </w:tc>
        <w:tc>
          <w:tcPr>
            <w:tcW w:w="720" w:type="dxa"/>
            <w:vMerge w:val="continue"/>
            <w:vAlign w:val="center"/>
          </w:tcPr>
          <w:p w14:paraId="4F357D1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856E76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FC97FF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会诊申请管理</w:t>
            </w:r>
          </w:p>
        </w:tc>
        <w:tc>
          <w:tcPr>
            <w:tcW w:w="4667" w:type="dxa"/>
            <w:vAlign w:val="center"/>
          </w:tcPr>
          <w:p w14:paraId="170BE5E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支持会诊申请的新增申请、撤销和参加会诊等操作</w:t>
            </w:r>
          </w:p>
        </w:tc>
        <w:tc>
          <w:tcPr>
            <w:tcW w:w="733" w:type="dxa"/>
            <w:vMerge w:val="continue"/>
            <w:vAlign w:val="center"/>
          </w:tcPr>
          <w:p w14:paraId="14FCF66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93CD6EC">
            <w:pPr>
              <w:jc w:val="center"/>
              <w:rPr>
                <w:rFonts w:hint="eastAsia" w:ascii="宋体" w:hAnsi="宋体" w:eastAsia="宋体" w:cs="宋体"/>
                <w:b w:val="0"/>
                <w:bCs w:val="0"/>
                <w:color w:val="auto"/>
                <w:kern w:val="0"/>
                <w:sz w:val="20"/>
                <w:szCs w:val="20"/>
                <w:highlight w:val="none"/>
                <w:lang w:val="en-US" w:eastAsia="zh-CN" w:bidi="ar-SA"/>
              </w:rPr>
            </w:pPr>
          </w:p>
        </w:tc>
      </w:tr>
      <w:tr w14:paraId="22AC8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B59E6B3">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325</w:t>
            </w:r>
          </w:p>
        </w:tc>
        <w:tc>
          <w:tcPr>
            <w:tcW w:w="720" w:type="dxa"/>
            <w:vMerge w:val="continue"/>
            <w:vAlign w:val="center"/>
          </w:tcPr>
          <w:p w14:paraId="7555662C">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3175B92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患者电子病历调阅</w:t>
            </w:r>
          </w:p>
        </w:tc>
        <w:tc>
          <w:tcPr>
            <w:tcW w:w="2058" w:type="dxa"/>
            <w:vAlign w:val="center"/>
          </w:tcPr>
          <w:p w14:paraId="3968933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患者电子病历调阅</w:t>
            </w:r>
          </w:p>
        </w:tc>
        <w:tc>
          <w:tcPr>
            <w:tcW w:w="4667" w:type="dxa"/>
            <w:vAlign w:val="center"/>
          </w:tcPr>
          <w:p w14:paraId="07F8319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支持会诊专家在处理会诊申请详情时可以调阅患者的电子病历信息，以便详细了解患者进本信息及病情情况</w:t>
            </w:r>
          </w:p>
        </w:tc>
        <w:tc>
          <w:tcPr>
            <w:tcW w:w="733" w:type="dxa"/>
            <w:vAlign w:val="center"/>
          </w:tcPr>
          <w:p w14:paraId="3E35F07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7A94F18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2</w:t>
            </w:r>
          </w:p>
        </w:tc>
      </w:tr>
      <w:tr w14:paraId="667A8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2BA71CA">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326</w:t>
            </w:r>
          </w:p>
        </w:tc>
        <w:tc>
          <w:tcPr>
            <w:tcW w:w="720" w:type="dxa"/>
            <w:vMerge w:val="continue"/>
            <w:vAlign w:val="center"/>
          </w:tcPr>
          <w:p w14:paraId="659A2E63">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0DA3F77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电子病历文件上传</w:t>
            </w:r>
          </w:p>
        </w:tc>
        <w:tc>
          <w:tcPr>
            <w:tcW w:w="2058" w:type="dxa"/>
            <w:vAlign w:val="center"/>
          </w:tcPr>
          <w:p w14:paraId="224830A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电子病历文件上传</w:t>
            </w:r>
          </w:p>
        </w:tc>
        <w:tc>
          <w:tcPr>
            <w:tcW w:w="4667" w:type="dxa"/>
            <w:vAlign w:val="center"/>
          </w:tcPr>
          <w:p w14:paraId="7979C43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支持在申请远程会诊时可以上传该病人的电子病历信息，以便会诊专家查阅了解患者进本信息及病情情况</w:t>
            </w:r>
          </w:p>
        </w:tc>
        <w:tc>
          <w:tcPr>
            <w:tcW w:w="733" w:type="dxa"/>
            <w:vAlign w:val="center"/>
          </w:tcPr>
          <w:p w14:paraId="6B2429B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26BE00E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2</w:t>
            </w:r>
          </w:p>
        </w:tc>
      </w:tr>
      <w:tr w14:paraId="0749E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6D6A8AD">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327</w:t>
            </w:r>
          </w:p>
        </w:tc>
        <w:tc>
          <w:tcPr>
            <w:tcW w:w="720" w:type="dxa"/>
            <w:vMerge w:val="continue"/>
            <w:vAlign w:val="center"/>
          </w:tcPr>
          <w:p w14:paraId="07D8A2A5">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7FD56ED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影像地址嵌入</w:t>
            </w:r>
          </w:p>
        </w:tc>
        <w:tc>
          <w:tcPr>
            <w:tcW w:w="2058" w:type="dxa"/>
            <w:vAlign w:val="center"/>
          </w:tcPr>
          <w:p w14:paraId="4B8AFF1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影像信息展示</w:t>
            </w:r>
          </w:p>
        </w:tc>
        <w:tc>
          <w:tcPr>
            <w:tcW w:w="4667" w:type="dxa"/>
            <w:vAlign w:val="center"/>
          </w:tcPr>
          <w:p w14:paraId="6CA94C5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支持会诊专家调阅患者的检查影像信息，以便详细了解患者进本信息及病情情况</w:t>
            </w:r>
          </w:p>
        </w:tc>
        <w:tc>
          <w:tcPr>
            <w:tcW w:w="733" w:type="dxa"/>
            <w:vAlign w:val="center"/>
          </w:tcPr>
          <w:p w14:paraId="10B8392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1F949AA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2</w:t>
            </w:r>
          </w:p>
        </w:tc>
      </w:tr>
      <w:tr w14:paraId="4D277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26E565C">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328</w:t>
            </w:r>
          </w:p>
        </w:tc>
        <w:tc>
          <w:tcPr>
            <w:tcW w:w="720" w:type="dxa"/>
            <w:vMerge w:val="continue"/>
            <w:vAlign w:val="center"/>
          </w:tcPr>
          <w:p w14:paraId="08B083C4">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7937AB4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多方远程会诊</w:t>
            </w:r>
          </w:p>
        </w:tc>
        <w:tc>
          <w:tcPr>
            <w:tcW w:w="2058" w:type="dxa"/>
            <w:vAlign w:val="center"/>
          </w:tcPr>
          <w:p w14:paraId="0CD38B2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多方远程会诊</w:t>
            </w:r>
          </w:p>
        </w:tc>
        <w:tc>
          <w:tcPr>
            <w:tcW w:w="4667" w:type="dxa"/>
            <w:vAlign w:val="center"/>
          </w:tcPr>
          <w:p w14:paraId="57B4ABC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支持会诊多方以视频会议形式实时交互</w:t>
            </w:r>
          </w:p>
        </w:tc>
        <w:tc>
          <w:tcPr>
            <w:tcW w:w="733" w:type="dxa"/>
            <w:vAlign w:val="center"/>
          </w:tcPr>
          <w:p w14:paraId="6DEA2FE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451F368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2</w:t>
            </w:r>
          </w:p>
        </w:tc>
      </w:tr>
      <w:tr w14:paraId="0F34E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39F6BA0">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329</w:t>
            </w:r>
          </w:p>
        </w:tc>
        <w:tc>
          <w:tcPr>
            <w:tcW w:w="720" w:type="dxa"/>
            <w:vMerge w:val="continue"/>
            <w:vAlign w:val="center"/>
          </w:tcPr>
          <w:p w14:paraId="268FCB7B">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54365FC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会诊审核</w:t>
            </w:r>
          </w:p>
        </w:tc>
        <w:tc>
          <w:tcPr>
            <w:tcW w:w="2058" w:type="dxa"/>
            <w:vAlign w:val="center"/>
          </w:tcPr>
          <w:p w14:paraId="518C82F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审核安排</w:t>
            </w:r>
          </w:p>
        </w:tc>
        <w:tc>
          <w:tcPr>
            <w:tcW w:w="4667" w:type="dxa"/>
            <w:vAlign w:val="center"/>
          </w:tcPr>
          <w:p w14:paraId="5A6C6F1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上级医院查看会诊申请信息，预览病历附件，并对会诊进行审核、排期，对不满足要求的申请进行驳回，支持填写驳回原因</w:t>
            </w:r>
          </w:p>
        </w:tc>
        <w:tc>
          <w:tcPr>
            <w:tcW w:w="733" w:type="dxa"/>
            <w:vAlign w:val="center"/>
          </w:tcPr>
          <w:p w14:paraId="4CFC781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72BAE35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1</w:t>
            </w:r>
          </w:p>
        </w:tc>
      </w:tr>
      <w:tr w14:paraId="05F0E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A40F4A3">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330</w:t>
            </w:r>
          </w:p>
        </w:tc>
        <w:tc>
          <w:tcPr>
            <w:tcW w:w="720" w:type="dxa"/>
            <w:vMerge w:val="continue"/>
            <w:vAlign w:val="center"/>
          </w:tcPr>
          <w:p w14:paraId="7CFBE84E">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5730EDF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会诊报告</w:t>
            </w:r>
          </w:p>
        </w:tc>
        <w:tc>
          <w:tcPr>
            <w:tcW w:w="2058" w:type="dxa"/>
            <w:vAlign w:val="center"/>
          </w:tcPr>
          <w:p w14:paraId="244CBAB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会诊报告编写</w:t>
            </w:r>
          </w:p>
        </w:tc>
        <w:tc>
          <w:tcPr>
            <w:tcW w:w="4667" w:type="dxa"/>
            <w:vAlign w:val="center"/>
          </w:tcPr>
          <w:p w14:paraId="6B2762E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通过电子病历方式，会诊专家填写本次会诊结论，并支持上传附件</w:t>
            </w:r>
          </w:p>
        </w:tc>
        <w:tc>
          <w:tcPr>
            <w:tcW w:w="733" w:type="dxa"/>
            <w:vMerge w:val="restart"/>
            <w:vAlign w:val="center"/>
          </w:tcPr>
          <w:p w14:paraId="607E635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656FB6E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3</w:t>
            </w:r>
          </w:p>
        </w:tc>
      </w:tr>
      <w:tr w14:paraId="27384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882BF06">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331</w:t>
            </w:r>
          </w:p>
        </w:tc>
        <w:tc>
          <w:tcPr>
            <w:tcW w:w="720" w:type="dxa"/>
            <w:vMerge w:val="continue"/>
            <w:vAlign w:val="center"/>
          </w:tcPr>
          <w:p w14:paraId="35B810E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73F7A0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875DC5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会诊报告信息查看</w:t>
            </w:r>
          </w:p>
        </w:tc>
        <w:tc>
          <w:tcPr>
            <w:tcW w:w="4667" w:type="dxa"/>
            <w:vAlign w:val="center"/>
          </w:tcPr>
          <w:p w14:paraId="71A8B0C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支持展示会诊报告基本信息及会诊相关附件信息预览</w:t>
            </w:r>
          </w:p>
        </w:tc>
        <w:tc>
          <w:tcPr>
            <w:tcW w:w="733" w:type="dxa"/>
            <w:vMerge w:val="continue"/>
            <w:vAlign w:val="center"/>
          </w:tcPr>
          <w:p w14:paraId="022F9B2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AAC0C18">
            <w:pPr>
              <w:jc w:val="center"/>
              <w:rPr>
                <w:rFonts w:hint="eastAsia" w:ascii="宋体" w:hAnsi="宋体" w:eastAsia="宋体" w:cs="宋体"/>
                <w:b w:val="0"/>
                <w:bCs w:val="0"/>
                <w:color w:val="auto"/>
                <w:kern w:val="0"/>
                <w:sz w:val="20"/>
                <w:szCs w:val="20"/>
                <w:highlight w:val="none"/>
                <w:lang w:val="en-US" w:eastAsia="zh-CN" w:bidi="ar-SA"/>
              </w:rPr>
            </w:pPr>
          </w:p>
        </w:tc>
      </w:tr>
      <w:tr w14:paraId="491F5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E30570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332</w:t>
            </w:r>
          </w:p>
        </w:tc>
        <w:tc>
          <w:tcPr>
            <w:tcW w:w="720" w:type="dxa"/>
            <w:vMerge w:val="continue"/>
            <w:vAlign w:val="center"/>
          </w:tcPr>
          <w:p w14:paraId="65FC890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51FDD4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AD3ED6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会诊报告打印</w:t>
            </w:r>
          </w:p>
        </w:tc>
        <w:tc>
          <w:tcPr>
            <w:tcW w:w="4667" w:type="dxa"/>
            <w:vAlign w:val="center"/>
          </w:tcPr>
          <w:p w14:paraId="6A678B7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支持会诊报告打印处理</w:t>
            </w:r>
          </w:p>
        </w:tc>
        <w:tc>
          <w:tcPr>
            <w:tcW w:w="733" w:type="dxa"/>
            <w:vMerge w:val="continue"/>
            <w:vAlign w:val="center"/>
          </w:tcPr>
          <w:p w14:paraId="6696C0A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7ECBB84">
            <w:pPr>
              <w:jc w:val="center"/>
              <w:rPr>
                <w:rFonts w:hint="eastAsia" w:ascii="宋体" w:hAnsi="宋体" w:eastAsia="宋体" w:cs="宋体"/>
                <w:b w:val="0"/>
                <w:bCs w:val="0"/>
                <w:color w:val="auto"/>
                <w:kern w:val="0"/>
                <w:sz w:val="20"/>
                <w:szCs w:val="20"/>
                <w:highlight w:val="none"/>
                <w:lang w:val="en-US" w:eastAsia="zh-CN" w:bidi="ar-SA"/>
              </w:rPr>
            </w:pPr>
          </w:p>
        </w:tc>
      </w:tr>
      <w:tr w14:paraId="4779C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D0A1A4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333</w:t>
            </w:r>
          </w:p>
        </w:tc>
        <w:tc>
          <w:tcPr>
            <w:tcW w:w="720" w:type="dxa"/>
            <w:vMerge w:val="continue"/>
            <w:vAlign w:val="center"/>
          </w:tcPr>
          <w:p w14:paraId="6E120828">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20008E8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工作台</w:t>
            </w:r>
          </w:p>
        </w:tc>
        <w:tc>
          <w:tcPr>
            <w:tcW w:w="2058" w:type="dxa"/>
            <w:vAlign w:val="center"/>
          </w:tcPr>
          <w:p w14:paraId="4BF82FA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申请医师工作台</w:t>
            </w:r>
          </w:p>
        </w:tc>
        <w:tc>
          <w:tcPr>
            <w:tcW w:w="4667" w:type="dxa"/>
            <w:vAlign w:val="center"/>
          </w:tcPr>
          <w:p w14:paraId="6071A97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统计申请医师工作量，以及会诊完成对比分析，实时展示申请医师待办消息，并能快速进入申请工作站</w:t>
            </w:r>
          </w:p>
        </w:tc>
        <w:tc>
          <w:tcPr>
            <w:tcW w:w="733" w:type="dxa"/>
            <w:vMerge w:val="restart"/>
            <w:vAlign w:val="center"/>
          </w:tcPr>
          <w:p w14:paraId="6C80D32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77E90FC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3</w:t>
            </w:r>
          </w:p>
        </w:tc>
      </w:tr>
      <w:tr w14:paraId="1ABC4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0934E4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334</w:t>
            </w:r>
          </w:p>
        </w:tc>
        <w:tc>
          <w:tcPr>
            <w:tcW w:w="720" w:type="dxa"/>
            <w:vMerge w:val="continue"/>
            <w:vAlign w:val="center"/>
          </w:tcPr>
          <w:p w14:paraId="3B5045E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6FE02B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5820BC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审核医师工作台</w:t>
            </w:r>
          </w:p>
        </w:tc>
        <w:tc>
          <w:tcPr>
            <w:tcW w:w="4667" w:type="dxa"/>
            <w:vAlign w:val="center"/>
          </w:tcPr>
          <w:p w14:paraId="5A9E67A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统计审核医师工作量，以及会诊审核、完成对比分析，实时展示审核医师待办消息，并能快速进入申请工作站</w:t>
            </w:r>
          </w:p>
        </w:tc>
        <w:tc>
          <w:tcPr>
            <w:tcW w:w="733" w:type="dxa"/>
            <w:vMerge w:val="continue"/>
            <w:vAlign w:val="center"/>
          </w:tcPr>
          <w:p w14:paraId="13CC1A0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4C7FB41">
            <w:pPr>
              <w:jc w:val="center"/>
              <w:rPr>
                <w:rFonts w:hint="eastAsia" w:ascii="宋体" w:hAnsi="宋体" w:eastAsia="宋体" w:cs="宋体"/>
                <w:b w:val="0"/>
                <w:bCs w:val="0"/>
                <w:color w:val="auto"/>
                <w:kern w:val="0"/>
                <w:sz w:val="20"/>
                <w:szCs w:val="20"/>
                <w:highlight w:val="none"/>
                <w:lang w:val="en-US" w:eastAsia="zh-CN" w:bidi="ar-SA"/>
              </w:rPr>
            </w:pPr>
          </w:p>
        </w:tc>
      </w:tr>
      <w:tr w14:paraId="7AE8E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824F47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335</w:t>
            </w:r>
          </w:p>
        </w:tc>
        <w:tc>
          <w:tcPr>
            <w:tcW w:w="720" w:type="dxa"/>
            <w:vMerge w:val="continue"/>
            <w:vAlign w:val="center"/>
          </w:tcPr>
          <w:p w14:paraId="689481C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AFE34BF">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E2B440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专家工作台</w:t>
            </w:r>
          </w:p>
        </w:tc>
        <w:tc>
          <w:tcPr>
            <w:tcW w:w="4667" w:type="dxa"/>
            <w:vAlign w:val="center"/>
          </w:tcPr>
          <w:p w14:paraId="7072882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统计专家工作量，以及会诊完成情况分析，实时展示专家医师待办消息，并能快速进入申请工作站</w:t>
            </w:r>
          </w:p>
        </w:tc>
        <w:tc>
          <w:tcPr>
            <w:tcW w:w="733" w:type="dxa"/>
            <w:vMerge w:val="continue"/>
            <w:vAlign w:val="center"/>
          </w:tcPr>
          <w:p w14:paraId="7A31F98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84FDE39">
            <w:pPr>
              <w:jc w:val="center"/>
              <w:rPr>
                <w:rFonts w:hint="eastAsia" w:ascii="宋体" w:hAnsi="宋体" w:eastAsia="宋体" w:cs="宋体"/>
                <w:b w:val="0"/>
                <w:bCs w:val="0"/>
                <w:color w:val="auto"/>
                <w:kern w:val="0"/>
                <w:sz w:val="20"/>
                <w:szCs w:val="20"/>
                <w:highlight w:val="none"/>
                <w:lang w:val="en-US" w:eastAsia="zh-CN" w:bidi="ar-SA"/>
              </w:rPr>
            </w:pPr>
          </w:p>
        </w:tc>
      </w:tr>
      <w:tr w14:paraId="4DE11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FC478A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336</w:t>
            </w:r>
          </w:p>
        </w:tc>
        <w:tc>
          <w:tcPr>
            <w:tcW w:w="720" w:type="dxa"/>
            <w:vMerge w:val="continue"/>
            <w:vAlign w:val="center"/>
          </w:tcPr>
          <w:p w14:paraId="0ABB5055">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54B911C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工作量统计分析</w:t>
            </w:r>
          </w:p>
        </w:tc>
        <w:tc>
          <w:tcPr>
            <w:tcW w:w="2058" w:type="dxa"/>
            <w:vAlign w:val="center"/>
          </w:tcPr>
          <w:p w14:paraId="4F00916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机构会诊统计分析</w:t>
            </w:r>
          </w:p>
        </w:tc>
        <w:tc>
          <w:tcPr>
            <w:tcW w:w="4667" w:type="dxa"/>
            <w:vAlign w:val="center"/>
          </w:tcPr>
          <w:p w14:paraId="094847E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以机构维度统计并展示各机构会诊总例数、机构会诊例数排名、近30天会诊人次趋势等统计分析数据</w:t>
            </w:r>
          </w:p>
        </w:tc>
        <w:tc>
          <w:tcPr>
            <w:tcW w:w="733" w:type="dxa"/>
            <w:vMerge w:val="restart"/>
            <w:vAlign w:val="center"/>
          </w:tcPr>
          <w:p w14:paraId="2D5B3AE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7080108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2</w:t>
            </w:r>
          </w:p>
        </w:tc>
      </w:tr>
      <w:tr w14:paraId="5D2BA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60CB22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337</w:t>
            </w:r>
          </w:p>
        </w:tc>
        <w:tc>
          <w:tcPr>
            <w:tcW w:w="720" w:type="dxa"/>
            <w:vMerge w:val="continue"/>
            <w:vAlign w:val="center"/>
          </w:tcPr>
          <w:p w14:paraId="07C1F38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61981A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9A13EA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科室会诊统计分析</w:t>
            </w:r>
          </w:p>
        </w:tc>
        <w:tc>
          <w:tcPr>
            <w:tcW w:w="4667" w:type="dxa"/>
            <w:vAlign w:val="center"/>
          </w:tcPr>
          <w:p w14:paraId="623AF92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以科室维度统计并展示各科室会诊总例数、科室会诊例数排名、近30天会诊人次趋势等统计分析数据</w:t>
            </w:r>
          </w:p>
        </w:tc>
        <w:tc>
          <w:tcPr>
            <w:tcW w:w="733" w:type="dxa"/>
            <w:vMerge w:val="continue"/>
            <w:vAlign w:val="center"/>
          </w:tcPr>
          <w:p w14:paraId="1767A29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F832CB5">
            <w:pPr>
              <w:jc w:val="center"/>
              <w:rPr>
                <w:rFonts w:hint="eastAsia" w:ascii="宋体" w:hAnsi="宋体" w:eastAsia="宋体" w:cs="宋体"/>
                <w:b w:val="0"/>
                <w:bCs w:val="0"/>
                <w:color w:val="auto"/>
                <w:kern w:val="0"/>
                <w:sz w:val="20"/>
                <w:szCs w:val="20"/>
                <w:highlight w:val="none"/>
                <w:lang w:val="en-US" w:eastAsia="zh-CN" w:bidi="ar-SA"/>
              </w:rPr>
            </w:pPr>
          </w:p>
        </w:tc>
      </w:tr>
      <w:tr w14:paraId="62A4A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18703F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338</w:t>
            </w:r>
          </w:p>
        </w:tc>
        <w:tc>
          <w:tcPr>
            <w:tcW w:w="720" w:type="dxa"/>
            <w:vMerge w:val="continue"/>
            <w:vAlign w:val="center"/>
          </w:tcPr>
          <w:p w14:paraId="282420B4">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3321735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会诊类型分析</w:t>
            </w:r>
          </w:p>
        </w:tc>
        <w:tc>
          <w:tcPr>
            <w:tcW w:w="2058" w:type="dxa"/>
            <w:vAlign w:val="center"/>
          </w:tcPr>
          <w:p w14:paraId="5E12E95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机构会诊类型分析</w:t>
            </w:r>
          </w:p>
        </w:tc>
        <w:tc>
          <w:tcPr>
            <w:tcW w:w="4667" w:type="dxa"/>
            <w:vAlign w:val="center"/>
          </w:tcPr>
          <w:p w14:paraId="195F9D8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以机构维度统计并展示各机构会诊类型构成统计分析数据</w:t>
            </w:r>
          </w:p>
        </w:tc>
        <w:tc>
          <w:tcPr>
            <w:tcW w:w="733" w:type="dxa"/>
            <w:vMerge w:val="restart"/>
            <w:vAlign w:val="center"/>
          </w:tcPr>
          <w:p w14:paraId="0A38ADD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472B203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2</w:t>
            </w:r>
          </w:p>
        </w:tc>
      </w:tr>
      <w:tr w14:paraId="4D530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0789C2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339</w:t>
            </w:r>
          </w:p>
        </w:tc>
        <w:tc>
          <w:tcPr>
            <w:tcW w:w="720" w:type="dxa"/>
            <w:vMerge w:val="continue"/>
            <w:vAlign w:val="center"/>
          </w:tcPr>
          <w:p w14:paraId="172714C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9F3A89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6B33E3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科室会诊类型分析</w:t>
            </w:r>
          </w:p>
        </w:tc>
        <w:tc>
          <w:tcPr>
            <w:tcW w:w="4667" w:type="dxa"/>
            <w:vAlign w:val="center"/>
          </w:tcPr>
          <w:p w14:paraId="1B1C690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以科室维度统计并展示各机构会诊类型构成统计分析数据</w:t>
            </w:r>
          </w:p>
        </w:tc>
        <w:tc>
          <w:tcPr>
            <w:tcW w:w="733" w:type="dxa"/>
            <w:vMerge w:val="continue"/>
            <w:vAlign w:val="center"/>
          </w:tcPr>
          <w:p w14:paraId="6C11340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CE051BF">
            <w:pPr>
              <w:jc w:val="center"/>
              <w:rPr>
                <w:rFonts w:hint="eastAsia" w:ascii="宋体" w:hAnsi="宋体" w:eastAsia="宋体" w:cs="宋体"/>
                <w:b w:val="0"/>
                <w:bCs w:val="0"/>
                <w:color w:val="auto"/>
                <w:kern w:val="0"/>
                <w:sz w:val="20"/>
                <w:szCs w:val="20"/>
                <w:highlight w:val="none"/>
                <w:lang w:val="en-US" w:eastAsia="zh-CN" w:bidi="ar-SA"/>
              </w:rPr>
            </w:pPr>
          </w:p>
        </w:tc>
      </w:tr>
      <w:tr w14:paraId="6B8F2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85CEE6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340</w:t>
            </w:r>
          </w:p>
        </w:tc>
        <w:tc>
          <w:tcPr>
            <w:tcW w:w="720" w:type="dxa"/>
            <w:vMerge w:val="continue"/>
            <w:vAlign w:val="center"/>
          </w:tcPr>
          <w:p w14:paraId="48CAD197">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664D7D4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会诊完成情况分析</w:t>
            </w:r>
          </w:p>
        </w:tc>
        <w:tc>
          <w:tcPr>
            <w:tcW w:w="2058" w:type="dxa"/>
            <w:vAlign w:val="center"/>
          </w:tcPr>
          <w:p w14:paraId="45246A8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机构会诊完成情况分析</w:t>
            </w:r>
          </w:p>
        </w:tc>
        <w:tc>
          <w:tcPr>
            <w:tcW w:w="4667" w:type="dxa"/>
            <w:vAlign w:val="center"/>
          </w:tcPr>
          <w:p w14:paraId="6A79666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以机构维度统计并展示各机构会诊完成情况统计分析数据</w:t>
            </w:r>
          </w:p>
        </w:tc>
        <w:tc>
          <w:tcPr>
            <w:tcW w:w="733" w:type="dxa"/>
            <w:vMerge w:val="restart"/>
            <w:vAlign w:val="center"/>
          </w:tcPr>
          <w:p w14:paraId="43568AB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76FE600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2</w:t>
            </w:r>
          </w:p>
        </w:tc>
      </w:tr>
      <w:tr w14:paraId="25EF6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9FD9A7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341</w:t>
            </w:r>
          </w:p>
        </w:tc>
        <w:tc>
          <w:tcPr>
            <w:tcW w:w="720" w:type="dxa"/>
            <w:vMerge w:val="continue"/>
            <w:vAlign w:val="center"/>
          </w:tcPr>
          <w:p w14:paraId="2119E78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72D6C1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0F14FB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科室会诊完成情况分析</w:t>
            </w:r>
          </w:p>
        </w:tc>
        <w:tc>
          <w:tcPr>
            <w:tcW w:w="4667" w:type="dxa"/>
            <w:vAlign w:val="center"/>
          </w:tcPr>
          <w:p w14:paraId="5C9A9DB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以科室维度统计并展示各机构会诊完成情况统计分析数据</w:t>
            </w:r>
          </w:p>
        </w:tc>
        <w:tc>
          <w:tcPr>
            <w:tcW w:w="733" w:type="dxa"/>
            <w:vMerge w:val="continue"/>
            <w:vAlign w:val="center"/>
          </w:tcPr>
          <w:p w14:paraId="5E04333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FB52433">
            <w:pPr>
              <w:jc w:val="center"/>
              <w:rPr>
                <w:rFonts w:hint="eastAsia" w:ascii="宋体" w:hAnsi="宋体" w:eastAsia="宋体" w:cs="宋体"/>
                <w:b w:val="0"/>
                <w:bCs w:val="0"/>
                <w:color w:val="auto"/>
                <w:kern w:val="0"/>
                <w:sz w:val="20"/>
                <w:szCs w:val="20"/>
                <w:highlight w:val="none"/>
                <w:lang w:val="en-US" w:eastAsia="zh-CN" w:bidi="ar-SA"/>
              </w:rPr>
            </w:pPr>
          </w:p>
        </w:tc>
      </w:tr>
      <w:tr w14:paraId="19BBC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3AB82E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342</w:t>
            </w:r>
          </w:p>
        </w:tc>
        <w:tc>
          <w:tcPr>
            <w:tcW w:w="720" w:type="dxa"/>
            <w:vMerge w:val="continue"/>
            <w:vAlign w:val="center"/>
          </w:tcPr>
          <w:p w14:paraId="210CD4A3">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556937F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成员单位查询</w:t>
            </w:r>
          </w:p>
        </w:tc>
        <w:tc>
          <w:tcPr>
            <w:tcW w:w="2058" w:type="dxa"/>
            <w:vAlign w:val="center"/>
          </w:tcPr>
          <w:p w14:paraId="0D5EE54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成员单位信息展示</w:t>
            </w:r>
          </w:p>
        </w:tc>
        <w:tc>
          <w:tcPr>
            <w:tcW w:w="4667" w:type="dxa"/>
            <w:vAlign w:val="center"/>
          </w:tcPr>
          <w:p w14:paraId="5974EF3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展示成员单位的基本信息包括单位名称、加入时间、牵头机构等信息。</w:t>
            </w:r>
          </w:p>
        </w:tc>
        <w:tc>
          <w:tcPr>
            <w:tcW w:w="733" w:type="dxa"/>
            <w:vMerge w:val="restart"/>
            <w:vAlign w:val="center"/>
          </w:tcPr>
          <w:p w14:paraId="2F0397F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7BAD02F4">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w:t>
            </w:r>
          </w:p>
        </w:tc>
      </w:tr>
      <w:tr w14:paraId="5969D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C893DB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343</w:t>
            </w:r>
          </w:p>
        </w:tc>
        <w:tc>
          <w:tcPr>
            <w:tcW w:w="720" w:type="dxa"/>
            <w:vMerge w:val="continue"/>
            <w:vAlign w:val="center"/>
          </w:tcPr>
          <w:p w14:paraId="497AB8E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A5F75B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CBEB2A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成员单位管理</w:t>
            </w:r>
          </w:p>
        </w:tc>
        <w:tc>
          <w:tcPr>
            <w:tcW w:w="4667" w:type="dxa"/>
            <w:vAlign w:val="center"/>
          </w:tcPr>
          <w:p w14:paraId="00AF2F2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支持成员单位信息的新增、编辑和删除等操作</w:t>
            </w:r>
          </w:p>
        </w:tc>
        <w:tc>
          <w:tcPr>
            <w:tcW w:w="733" w:type="dxa"/>
            <w:vMerge w:val="continue"/>
            <w:vAlign w:val="center"/>
          </w:tcPr>
          <w:p w14:paraId="0AE6DD1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75F7DEE">
            <w:pPr>
              <w:jc w:val="center"/>
              <w:rPr>
                <w:rFonts w:hint="eastAsia" w:ascii="宋体" w:hAnsi="宋体" w:eastAsia="宋体" w:cs="宋体"/>
                <w:b w:val="0"/>
                <w:bCs w:val="0"/>
                <w:color w:val="auto"/>
                <w:kern w:val="0"/>
                <w:sz w:val="20"/>
                <w:szCs w:val="20"/>
                <w:highlight w:val="none"/>
                <w:lang w:val="en-US" w:eastAsia="zh-CN" w:bidi="ar-SA"/>
              </w:rPr>
            </w:pPr>
          </w:p>
        </w:tc>
      </w:tr>
      <w:tr w14:paraId="0AC4F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2BA9C7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344</w:t>
            </w:r>
          </w:p>
        </w:tc>
        <w:tc>
          <w:tcPr>
            <w:tcW w:w="720" w:type="dxa"/>
            <w:vMerge w:val="continue"/>
            <w:vAlign w:val="center"/>
          </w:tcPr>
          <w:p w14:paraId="0066038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15C76E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5BB862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成员单位查询</w:t>
            </w:r>
          </w:p>
        </w:tc>
        <w:tc>
          <w:tcPr>
            <w:tcW w:w="4667" w:type="dxa"/>
            <w:vAlign w:val="center"/>
          </w:tcPr>
          <w:p w14:paraId="54AE9E3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支持根据成员单位的名称模糊查询成员单位信息</w:t>
            </w:r>
          </w:p>
        </w:tc>
        <w:tc>
          <w:tcPr>
            <w:tcW w:w="733" w:type="dxa"/>
            <w:vMerge w:val="continue"/>
            <w:vAlign w:val="center"/>
          </w:tcPr>
          <w:p w14:paraId="15A0FCF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70A7CE2">
            <w:pPr>
              <w:jc w:val="center"/>
              <w:rPr>
                <w:rFonts w:hint="eastAsia" w:ascii="宋体" w:hAnsi="宋体" w:eastAsia="宋体" w:cs="宋体"/>
                <w:b w:val="0"/>
                <w:bCs w:val="0"/>
                <w:color w:val="auto"/>
                <w:kern w:val="0"/>
                <w:sz w:val="20"/>
                <w:szCs w:val="20"/>
                <w:highlight w:val="none"/>
                <w:lang w:val="en-US" w:eastAsia="zh-CN" w:bidi="ar-SA"/>
              </w:rPr>
            </w:pPr>
          </w:p>
        </w:tc>
      </w:tr>
      <w:tr w14:paraId="41CB8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6C71A8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345</w:t>
            </w:r>
          </w:p>
        </w:tc>
        <w:tc>
          <w:tcPr>
            <w:tcW w:w="720" w:type="dxa"/>
            <w:vMerge w:val="continue"/>
            <w:vAlign w:val="center"/>
          </w:tcPr>
          <w:p w14:paraId="482547FC">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74B802F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会诊报告评价</w:t>
            </w:r>
          </w:p>
        </w:tc>
        <w:tc>
          <w:tcPr>
            <w:tcW w:w="2058" w:type="dxa"/>
            <w:vAlign w:val="center"/>
          </w:tcPr>
          <w:p w14:paraId="64E0DC6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会诊报告评价</w:t>
            </w:r>
          </w:p>
        </w:tc>
        <w:tc>
          <w:tcPr>
            <w:tcW w:w="4667" w:type="dxa"/>
            <w:vAlign w:val="center"/>
          </w:tcPr>
          <w:p w14:paraId="5107210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支持已调查问卷的形式对会诊报告内容的质量进行匿名评价</w:t>
            </w:r>
          </w:p>
        </w:tc>
        <w:tc>
          <w:tcPr>
            <w:tcW w:w="733" w:type="dxa"/>
            <w:vAlign w:val="center"/>
          </w:tcPr>
          <w:p w14:paraId="6FF0E865">
            <w:pPr>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18C9337F">
            <w:pPr>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2</w:t>
            </w:r>
          </w:p>
        </w:tc>
      </w:tr>
      <w:tr w14:paraId="3B17F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662B89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346</w:t>
            </w:r>
          </w:p>
        </w:tc>
        <w:tc>
          <w:tcPr>
            <w:tcW w:w="720" w:type="dxa"/>
            <w:vMerge w:val="continue"/>
            <w:vAlign w:val="center"/>
          </w:tcPr>
          <w:p w14:paraId="0D447017">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7EF342A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会诊报告随访</w:t>
            </w:r>
          </w:p>
        </w:tc>
        <w:tc>
          <w:tcPr>
            <w:tcW w:w="2058" w:type="dxa"/>
            <w:vAlign w:val="center"/>
          </w:tcPr>
          <w:p w14:paraId="2A52A43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会诊报告随访</w:t>
            </w:r>
          </w:p>
        </w:tc>
        <w:tc>
          <w:tcPr>
            <w:tcW w:w="4667" w:type="dxa"/>
            <w:vAlign w:val="center"/>
          </w:tcPr>
          <w:p w14:paraId="0978E0F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支持根据会诊报告内容对会诊患者进行随访。并将随访结果进行记录保存。</w:t>
            </w:r>
          </w:p>
        </w:tc>
        <w:tc>
          <w:tcPr>
            <w:tcW w:w="733" w:type="dxa"/>
            <w:vAlign w:val="center"/>
          </w:tcPr>
          <w:p w14:paraId="29803362">
            <w:pPr>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680635DD">
            <w:pPr>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3</w:t>
            </w:r>
          </w:p>
        </w:tc>
      </w:tr>
      <w:tr w14:paraId="2AD9B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7CEC2E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347</w:t>
            </w:r>
          </w:p>
        </w:tc>
        <w:tc>
          <w:tcPr>
            <w:tcW w:w="720" w:type="dxa"/>
            <w:vMerge w:val="continue"/>
            <w:vAlign w:val="center"/>
          </w:tcPr>
          <w:p w14:paraId="3E1E78EC">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70DA9B4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视频会议</w:t>
            </w:r>
          </w:p>
        </w:tc>
        <w:tc>
          <w:tcPr>
            <w:tcW w:w="2058" w:type="dxa"/>
            <w:vAlign w:val="center"/>
          </w:tcPr>
          <w:p w14:paraId="22A0F4A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视频会议</w:t>
            </w:r>
          </w:p>
        </w:tc>
        <w:tc>
          <w:tcPr>
            <w:tcW w:w="4667" w:type="dxa"/>
            <w:vAlign w:val="center"/>
          </w:tcPr>
          <w:p w14:paraId="43FF705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支持会诊双方音视频实时交互</w:t>
            </w:r>
          </w:p>
        </w:tc>
        <w:tc>
          <w:tcPr>
            <w:tcW w:w="733" w:type="dxa"/>
            <w:vAlign w:val="center"/>
          </w:tcPr>
          <w:p w14:paraId="1A775DA4">
            <w:pPr>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36684867">
            <w:pPr>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4</w:t>
            </w:r>
          </w:p>
        </w:tc>
      </w:tr>
      <w:tr w14:paraId="56B3A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A9368D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348</w:t>
            </w:r>
          </w:p>
        </w:tc>
        <w:tc>
          <w:tcPr>
            <w:tcW w:w="720" w:type="dxa"/>
            <w:vMerge w:val="continue"/>
            <w:vAlign w:val="center"/>
          </w:tcPr>
          <w:p w14:paraId="6BB517E6">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21935E3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文件管理</w:t>
            </w:r>
          </w:p>
        </w:tc>
        <w:tc>
          <w:tcPr>
            <w:tcW w:w="2058" w:type="dxa"/>
            <w:vAlign w:val="center"/>
          </w:tcPr>
          <w:p w14:paraId="61E9DB6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文件管理</w:t>
            </w:r>
          </w:p>
        </w:tc>
        <w:tc>
          <w:tcPr>
            <w:tcW w:w="4667" w:type="dxa"/>
            <w:vAlign w:val="center"/>
          </w:tcPr>
          <w:p w14:paraId="7DA0B54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支持上传和下载患者的病历文书、检查检验报告、影像原始文件等文件</w:t>
            </w:r>
          </w:p>
        </w:tc>
        <w:tc>
          <w:tcPr>
            <w:tcW w:w="733" w:type="dxa"/>
            <w:vAlign w:val="center"/>
          </w:tcPr>
          <w:p w14:paraId="6EE5F948">
            <w:pPr>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1DF604C7">
            <w:pPr>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3</w:t>
            </w:r>
          </w:p>
        </w:tc>
      </w:tr>
      <w:tr w14:paraId="4A775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19D667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349</w:t>
            </w:r>
          </w:p>
        </w:tc>
        <w:tc>
          <w:tcPr>
            <w:tcW w:w="720" w:type="dxa"/>
            <w:vMerge w:val="restart"/>
            <w:vAlign w:val="center"/>
          </w:tcPr>
          <w:p w14:paraId="10C14E52">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远程会诊系统数据对接</w:t>
            </w:r>
          </w:p>
        </w:tc>
        <w:tc>
          <w:tcPr>
            <w:tcW w:w="875" w:type="dxa"/>
            <w:vAlign w:val="center"/>
          </w:tcPr>
          <w:p w14:paraId="1D638B3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对接区域检验中心</w:t>
            </w:r>
          </w:p>
        </w:tc>
        <w:tc>
          <w:tcPr>
            <w:tcW w:w="2058" w:type="dxa"/>
            <w:vAlign w:val="center"/>
          </w:tcPr>
          <w:p w14:paraId="306E5B3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对接区域检验中心</w:t>
            </w:r>
          </w:p>
        </w:tc>
        <w:tc>
          <w:tcPr>
            <w:tcW w:w="4667" w:type="dxa"/>
            <w:vAlign w:val="center"/>
          </w:tcPr>
          <w:p w14:paraId="703B2F0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支持区域检验的申请和报告数据，通过结构化和非结构化（PDF）两种格式接入</w:t>
            </w:r>
          </w:p>
        </w:tc>
        <w:tc>
          <w:tcPr>
            <w:tcW w:w="733" w:type="dxa"/>
            <w:vAlign w:val="center"/>
          </w:tcPr>
          <w:p w14:paraId="138C16A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32C4EC6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3</w:t>
            </w:r>
          </w:p>
        </w:tc>
      </w:tr>
      <w:tr w14:paraId="1934C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2C3B99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350</w:t>
            </w:r>
          </w:p>
        </w:tc>
        <w:tc>
          <w:tcPr>
            <w:tcW w:w="720" w:type="dxa"/>
            <w:vMerge w:val="continue"/>
            <w:vAlign w:val="center"/>
          </w:tcPr>
          <w:p w14:paraId="74F59A0F">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0211B8E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对接影像云诊中心</w:t>
            </w:r>
          </w:p>
        </w:tc>
        <w:tc>
          <w:tcPr>
            <w:tcW w:w="2058" w:type="dxa"/>
            <w:vAlign w:val="center"/>
          </w:tcPr>
          <w:p w14:paraId="36FF970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对接影像云诊中心</w:t>
            </w:r>
          </w:p>
        </w:tc>
        <w:tc>
          <w:tcPr>
            <w:tcW w:w="4667" w:type="dxa"/>
            <w:vAlign w:val="center"/>
          </w:tcPr>
          <w:p w14:paraId="0B34E78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支持区域影像的申请和报告数据，通过结构化和非结构化（PDF）两种格式接入</w:t>
            </w:r>
          </w:p>
        </w:tc>
        <w:tc>
          <w:tcPr>
            <w:tcW w:w="733" w:type="dxa"/>
            <w:vAlign w:val="center"/>
          </w:tcPr>
          <w:p w14:paraId="4B3825A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5837AC8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2</w:t>
            </w:r>
          </w:p>
        </w:tc>
      </w:tr>
      <w:tr w14:paraId="2E261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96BE820">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351</w:t>
            </w:r>
          </w:p>
        </w:tc>
        <w:tc>
          <w:tcPr>
            <w:tcW w:w="720" w:type="dxa"/>
            <w:vMerge w:val="continue"/>
            <w:vAlign w:val="center"/>
          </w:tcPr>
          <w:p w14:paraId="4107EAC3">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16A76E7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对接网络心电中心</w:t>
            </w:r>
          </w:p>
        </w:tc>
        <w:tc>
          <w:tcPr>
            <w:tcW w:w="2058" w:type="dxa"/>
            <w:vAlign w:val="center"/>
          </w:tcPr>
          <w:p w14:paraId="283A681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对接网络心电中心</w:t>
            </w:r>
          </w:p>
        </w:tc>
        <w:tc>
          <w:tcPr>
            <w:tcW w:w="4667" w:type="dxa"/>
            <w:vAlign w:val="center"/>
          </w:tcPr>
          <w:p w14:paraId="34F68E0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支持区域心电的申请和报告数据，通过结构化和非结构化（PDF）两种格式接入</w:t>
            </w:r>
          </w:p>
        </w:tc>
        <w:tc>
          <w:tcPr>
            <w:tcW w:w="733" w:type="dxa"/>
            <w:vAlign w:val="center"/>
          </w:tcPr>
          <w:p w14:paraId="1DB38A8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6B24EF3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3</w:t>
            </w:r>
          </w:p>
        </w:tc>
      </w:tr>
      <w:tr w14:paraId="61EAB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66BDE81">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352</w:t>
            </w:r>
          </w:p>
        </w:tc>
        <w:tc>
          <w:tcPr>
            <w:tcW w:w="720" w:type="dxa"/>
            <w:vMerge w:val="continue"/>
            <w:vAlign w:val="center"/>
          </w:tcPr>
          <w:p w14:paraId="74D50D01">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6286E8A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数据仓库建设</w:t>
            </w:r>
          </w:p>
        </w:tc>
        <w:tc>
          <w:tcPr>
            <w:tcW w:w="2058" w:type="dxa"/>
            <w:vAlign w:val="center"/>
          </w:tcPr>
          <w:p w14:paraId="7463E33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数据仓库建设</w:t>
            </w:r>
          </w:p>
        </w:tc>
        <w:tc>
          <w:tcPr>
            <w:tcW w:w="4667" w:type="dxa"/>
            <w:vAlign w:val="center"/>
          </w:tcPr>
          <w:p w14:paraId="7B1E026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支持和阜宁县人口健康平台的对接。建立人口信息数据仓库。</w:t>
            </w:r>
          </w:p>
        </w:tc>
        <w:tc>
          <w:tcPr>
            <w:tcW w:w="733" w:type="dxa"/>
            <w:vAlign w:val="center"/>
          </w:tcPr>
          <w:p w14:paraId="45559CA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498121D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2</w:t>
            </w:r>
          </w:p>
        </w:tc>
      </w:tr>
      <w:tr w14:paraId="30062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624160F">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353</w:t>
            </w:r>
          </w:p>
        </w:tc>
        <w:tc>
          <w:tcPr>
            <w:tcW w:w="720" w:type="dxa"/>
            <w:vMerge w:val="continue"/>
            <w:vAlign w:val="center"/>
          </w:tcPr>
          <w:p w14:paraId="725FA96A">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6AB19AD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与区域平台互联互通</w:t>
            </w:r>
          </w:p>
        </w:tc>
        <w:tc>
          <w:tcPr>
            <w:tcW w:w="2058" w:type="dxa"/>
            <w:vAlign w:val="center"/>
          </w:tcPr>
          <w:p w14:paraId="707685C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与区域平台互联互通</w:t>
            </w:r>
          </w:p>
        </w:tc>
        <w:tc>
          <w:tcPr>
            <w:tcW w:w="4667" w:type="dxa"/>
            <w:vAlign w:val="center"/>
          </w:tcPr>
          <w:p w14:paraId="5E09731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支持区域平台标准数据接口事项互联互通</w:t>
            </w:r>
          </w:p>
        </w:tc>
        <w:tc>
          <w:tcPr>
            <w:tcW w:w="733" w:type="dxa"/>
            <w:vAlign w:val="center"/>
          </w:tcPr>
          <w:p w14:paraId="32F605D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5338D57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1</w:t>
            </w:r>
          </w:p>
        </w:tc>
      </w:tr>
      <w:tr w14:paraId="2920A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362561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354</w:t>
            </w:r>
          </w:p>
        </w:tc>
        <w:tc>
          <w:tcPr>
            <w:tcW w:w="720" w:type="dxa"/>
            <w:vMerge w:val="restart"/>
            <w:vAlign w:val="center"/>
          </w:tcPr>
          <w:p w14:paraId="0C347BDC">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数据大屏</w:t>
            </w:r>
          </w:p>
        </w:tc>
        <w:tc>
          <w:tcPr>
            <w:tcW w:w="2933" w:type="dxa"/>
            <w:gridSpan w:val="2"/>
            <w:vMerge w:val="restart"/>
            <w:vAlign w:val="center"/>
          </w:tcPr>
          <w:p w14:paraId="00EDE57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远程会诊中心</w:t>
            </w:r>
          </w:p>
        </w:tc>
        <w:tc>
          <w:tcPr>
            <w:tcW w:w="4667" w:type="dxa"/>
            <w:vAlign w:val="center"/>
          </w:tcPr>
          <w:p w14:paraId="02265F9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展示区域内会诊专家数量，并分析职称对比，以及工作量排名</w:t>
            </w:r>
          </w:p>
        </w:tc>
        <w:tc>
          <w:tcPr>
            <w:tcW w:w="733" w:type="dxa"/>
            <w:vMerge w:val="restart"/>
            <w:vAlign w:val="center"/>
          </w:tcPr>
          <w:p w14:paraId="272BD07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27C4110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3</w:t>
            </w:r>
          </w:p>
        </w:tc>
      </w:tr>
      <w:tr w14:paraId="2C121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E700BF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355</w:t>
            </w:r>
          </w:p>
        </w:tc>
        <w:tc>
          <w:tcPr>
            <w:tcW w:w="720" w:type="dxa"/>
            <w:vMerge w:val="continue"/>
            <w:vAlign w:val="center"/>
          </w:tcPr>
          <w:p w14:paraId="45B78327">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164E5E2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132CFE2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统计区域内会诊总量，按单学科、多学科对比，以及按普通会诊、影像会诊对比，可选择不同的年度进行筛选</w:t>
            </w:r>
          </w:p>
        </w:tc>
        <w:tc>
          <w:tcPr>
            <w:tcW w:w="733" w:type="dxa"/>
            <w:vMerge w:val="continue"/>
            <w:vAlign w:val="center"/>
          </w:tcPr>
          <w:p w14:paraId="4640383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3CC26EB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r w14:paraId="1B1D9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D36A4C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356</w:t>
            </w:r>
          </w:p>
        </w:tc>
        <w:tc>
          <w:tcPr>
            <w:tcW w:w="720" w:type="dxa"/>
            <w:vMerge w:val="continue"/>
            <w:vAlign w:val="center"/>
          </w:tcPr>
          <w:p w14:paraId="6F3E9CC5">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2F4E8E9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336965B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分析会诊量的月度趋势，以及会诊疾病的排名情况</w:t>
            </w:r>
          </w:p>
        </w:tc>
        <w:tc>
          <w:tcPr>
            <w:tcW w:w="733" w:type="dxa"/>
            <w:vMerge w:val="continue"/>
            <w:vAlign w:val="center"/>
          </w:tcPr>
          <w:p w14:paraId="2B2DC28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54B9D24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r w14:paraId="592CF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1698EE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kern w:val="2"/>
                <w:sz w:val="22"/>
                <w:szCs w:val="22"/>
                <w:highlight w:val="none"/>
                <w:lang w:val="en-US" w:eastAsia="zh-CN" w:bidi="ar-SA"/>
              </w:rPr>
              <w:t>357</w:t>
            </w:r>
          </w:p>
        </w:tc>
        <w:tc>
          <w:tcPr>
            <w:tcW w:w="720" w:type="dxa"/>
            <w:vMerge w:val="continue"/>
            <w:vAlign w:val="center"/>
          </w:tcPr>
          <w:p w14:paraId="7CDB6A53">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4EFD36D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626D718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通过地图展示各基层机构会诊申请量信息</w:t>
            </w:r>
          </w:p>
        </w:tc>
        <w:tc>
          <w:tcPr>
            <w:tcW w:w="733" w:type="dxa"/>
            <w:vMerge w:val="continue"/>
            <w:vAlign w:val="center"/>
          </w:tcPr>
          <w:p w14:paraId="0B80CA2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1692254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r w14:paraId="63C85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D09C138">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358</w:t>
            </w:r>
          </w:p>
        </w:tc>
        <w:tc>
          <w:tcPr>
            <w:tcW w:w="720" w:type="dxa"/>
            <w:vMerge w:val="continue"/>
            <w:vAlign w:val="center"/>
          </w:tcPr>
          <w:p w14:paraId="7A760E71">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42A8133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3BDD88F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展示会诊类型对比信息，并对会诊安排平均时长、会诊平均时长、会诊随访率、患者满意度等关键指标进行质控监管</w:t>
            </w:r>
          </w:p>
        </w:tc>
        <w:tc>
          <w:tcPr>
            <w:tcW w:w="733" w:type="dxa"/>
            <w:vMerge w:val="continue"/>
            <w:vAlign w:val="center"/>
          </w:tcPr>
          <w:p w14:paraId="6F6188B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7020CE2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bl>
    <w:p w14:paraId="743FBF05">
      <w:pPr>
        <w:pStyle w:val="2"/>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both"/>
        <w:textAlignment w:val="auto"/>
        <w:rPr>
          <w:rFonts w:hint="eastAsia"/>
          <w:lang w:eastAsia="zh-CN"/>
        </w:rPr>
      </w:pPr>
      <w:r>
        <w:rPr>
          <w:rFonts w:hint="eastAsia" w:ascii="宋体" w:hAnsi="宋体" w:eastAsia="宋体" w:cs="宋体"/>
          <w:highlight w:val="yellow"/>
          <w:lang w:val="en-US" w:eastAsia="zh-CN"/>
        </w:rPr>
        <w:t>（二）-6：</w:t>
      </w:r>
      <w:r>
        <w:rPr>
          <w:rFonts w:hint="eastAsia" w:ascii="宋体" w:hAnsi="宋体" w:eastAsia="宋体" w:cs="宋体"/>
          <w:b w:val="0"/>
          <w:bCs w:val="0"/>
          <w:color w:val="auto"/>
          <w:kern w:val="0"/>
          <w:sz w:val="20"/>
          <w:szCs w:val="20"/>
          <w:highlight w:val="yellow"/>
          <w:lang w:val="en-US" w:eastAsia="zh-CN"/>
        </w:rPr>
        <w:t>集中审方中心</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875"/>
        <w:gridCol w:w="2058"/>
        <w:gridCol w:w="4667"/>
        <w:gridCol w:w="733"/>
        <w:gridCol w:w="714"/>
      </w:tblGrid>
      <w:tr w14:paraId="1E33E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9D94269">
            <w:pPr>
              <w:widowControl/>
              <w:jc w:val="center"/>
              <w:rPr>
                <w:rFonts w:hint="eastAsia" w:ascii="仿宋" w:hAnsi="仿宋" w:eastAsia="仿宋" w:cs="宋体"/>
                <w:color w:val="auto"/>
                <w:sz w:val="22"/>
                <w:szCs w:val="22"/>
                <w:highlight w:val="none"/>
                <w:lang w:val="en-US" w:eastAsia="zh-CN"/>
              </w:rPr>
            </w:pPr>
            <w:r>
              <w:rPr>
                <w:rFonts w:hint="eastAsia" w:ascii="宋体" w:hAnsi="宋体" w:cs="宋体"/>
                <w:b/>
                <w:bCs/>
                <w:color w:val="auto"/>
                <w:kern w:val="0"/>
                <w:sz w:val="20"/>
                <w:szCs w:val="20"/>
                <w:highlight w:val="none"/>
              </w:rPr>
              <w:t>序号</w:t>
            </w:r>
          </w:p>
        </w:tc>
        <w:tc>
          <w:tcPr>
            <w:tcW w:w="3653" w:type="dxa"/>
            <w:gridSpan w:val="3"/>
            <w:vAlign w:val="center"/>
          </w:tcPr>
          <w:p w14:paraId="05AC89B3">
            <w:pPr>
              <w:widowControl/>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建设内容</w:t>
            </w:r>
          </w:p>
        </w:tc>
        <w:tc>
          <w:tcPr>
            <w:tcW w:w="4667" w:type="dxa"/>
            <w:vAlign w:val="center"/>
          </w:tcPr>
          <w:p w14:paraId="4DC6FCEE">
            <w:pPr>
              <w:widowControl/>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6074F6B3">
            <w:pPr>
              <w:widowControl/>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单位</w:t>
            </w:r>
          </w:p>
        </w:tc>
        <w:tc>
          <w:tcPr>
            <w:tcW w:w="714" w:type="dxa"/>
            <w:vAlign w:val="center"/>
          </w:tcPr>
          <w:p w14:paraId="6FBD6303">
            <w:pPr>
              <w:spacing w:line="240" w:lineRule="exact"/>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Cs w:val="21"/>
                <w:highlight w:val="none"/>
                <w:lang w:eastAsia="zh-CN"/>
              </w:rPr>
              <w:t>数量</w:t>
            </w:r>
          </w:p>
        </w:tc>
      </w:tr>
      <w:tr w14:paraId="01B1A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shd w:val="clear" w:color="auto" w:fill="auto"/>
            <w:vAlign w:val="center"/>
          </w:tcPr>
          <w:p w14:paraId="1CE11AB4">
            <w:pPr>
              <w:spacing w:line="300" w:lineRule="exact"/>
              <w:jc w:val="center"/>
              <w:rPr>
                <w:rFonts w:hint="default" w:ascii="仿宋" w:hAnsi="仿宋" w:eastAsia="仿宋" w:cs="宋体"/>
                <w:color w:val="auto"/>
                <w:kern w:val="2"/>
                <w:sz w:val="22"/>
                <w:szCs w:val="22"/>
                <w:highlight w:val="none"/>
                <w:lang w:val="en-US" w:eastAsia="zh-CN" w:bidi="ar-SA"/>
              </w:rPr>
            </w:pPr>
            <w:r>
              <w:rPr>
                <w:rFonts w:hint="eastAsia" w:ascii="仿宋" w:hAnsi="仿宋" w:eastAsia="仿宋" w:cs="宋体"/>
                <w:color w:val="auto"/>
                <w:sz w:val="22"/>
                <w:szCs w:val="22"/>
                <w:highlight w:val="none"/>
                <w:lang w:val="en-US" w:eastAsia="zh-CN"/>
              </w:rPr>
              <w:t>359</w:t>
            </w:r>
          </w:p>
        </w:tc>
        <w:tc>
          <w:tcPr>
            <w:tcW w:w="720" w:type="dxa"/>
            <w:vMerge w:val="restart"/>
            <w:vAlign w:val="center"/>
          </w:tcPr>
          <w:p w14:paraId="1A1CC5C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集中审方系统</w:t>
            </w:r>
          </w:p>
        </w:tc>
        <w:tc>
          <w:tcPr>
            <w:tcW w:w="875" w:type="dxa"/>
            <w:vMerge w:val="restart"/>
            <w:vAlign w:val="center"/>
          </w:tcPr>
          <w:p w14:paraId="07443A4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基础功能</w:t>
            </w:r>
          </w:p>
        </w:tc>
        <w:tc>
          <w:tcPr>
            <w:tcW w:w="2058" w:type="dxa"/>
            <w:vAlign w:val="center"/>
          </w:tcPr>
          <w:p w14:paraId="72AEBA0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药学知识库</w:t>
            </w:r>
          </w:p>
        </w:tc>
        <w:tc>
          <w:tcPr>
            <w:tcW w:w="4667" w:type="dxa"/>
            <w:vAlign w:val="center"/>
          </w:tcPr>
          <w:p w14:paraId="79BA90C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系统具有多层次、开放式药学知识库，底层药学知识库内容丰富，覆盖医院现行用药品种，具有药品说明书、临床指南和开放自定义等功能内涵。</w:t>
            </w:r>
          </w:p>
        </w:tc>
        <w:tc>
          <w:tcPr>
            <w:tcW w:w="733" w:type="dxa"/>
            <w:vMerge w:val="restart"/>
            <w:vAlign w:val="center"/>
          </w:tcPr>
          <w:p w14:paraId="39E7E36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78D944E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16</w:t>
            </w:r>
          </w:p>
        </w:tc>
      </w:tr>
      <w:tr w14:paraId="1B432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7D9C9D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360</w:t>
            </w:r>
          </w:p>
        </w:tc>
        <w:tc>
          <w:tcPr>
            <w:tcW w:w="720" w:type="dxa"/>
            <w:vMerge w:val="continue"/>
            <w:vAlign w:val="center"/>
          </w:tcPr>
          <w:p w14:paraId="66F4A2F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0BDA9C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5E9B9C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智能化审核引擎</w:t>
            </w:r>
          </w:p>
        </w:tc>
        <w:tc>
          <w:tcPr>
            <w:tcW w:w="4667" w:type="dxa"/>
            <w:vAlign w:val="center"/>
          </w:tcPr>
          <w:p w14:paraId="2003044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系统具有智能化审核引擎，实现审方规则的精细化配置和审核内容的分类匹配，且具有高性能并发处理机制，医生站弹框响应时间不超过0.5秒，医生工作站与药师工作站的数据实现秒级同步。</w:t>
            </w:r>
          </w:p>
        </w:tc>
        <w:tc>
          <w:tcPr>
            <w:tcW w:w="733" w:type="dxa"/>
            <w:vMerge w:val="continue"/>
            <w:vAlign w:val="center"/>
          </w:tcPr>
          <w:p w14:paraId="18325BB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02D9B68">
            <w:pPr>
              <w:jc w:val="center"/>
              <w:rPr>
                <w:rFonts w:hint="eastAsia" w:ascii="宋体" w:hAnsi="宋体" w:eastAsia="宋体" w:cs="宋体"/>
                <w:b w:val="0"/>
                <w:bCs w:val="0"/>
                <w:color w:val="auto"/>
                <w:kern w:val="0"/>
                <w:sz w:val="20"/>
                <w:szCs w:val="20"/>
                <w:highlight w:val="none"/>
                <w:lang w:val="en-US" w:eastAsia="zh-CN" w:bidi="ar-SA"/>
              </w:rPr>
            </w:pPr>
          </w:p>
        </w:tc>
      </w:tr>
      <w:tr w14:paraId="59848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AF30AA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361</w:t>
            </w:r>
          </w:p>
        </w:tc>
        <w:tc>
          <w:tcPr>
            <w:tcW w:w="720" w:type="dxa"/>
            <w:vMerge w:val="continue"/>
            <w:vAlign w:val="center"/>
          </w:tcPr>
          <w:p w14:paraId="308B0E1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08A065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C0BB39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医生工作站合理用药监测功能</w:t>
            </w:r>
          </w:p>
        </w:tc>
        <w:tc>
          <w:tcPr>
            <w:tcW w:w="4667" w:type="dxa"/>
            <w:vAlign w:val="center"/>
          </w:tcPr>
          <w:p w14:paraId="7B1B080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系统具有医生工作站合理用药监测（系统预审）功能，可对问题处方进行分级分类设置，并根据实际使用情况进行调整。</w:t>
            </w:r>
          </w:p>
        </w:tc>
        <w:tc>
          <w:tcPr>
            <w:tcW w:w="733" w:type="dxa"/>
            <w:vMerge w:val="continue"/>
            <w:vAlign w:val="center"/>
          </w:tcPr>
          <w:p w14:paraId="5AE3A70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53F9BB7">
            <w:pPr>
              <w:jc w:val="center"/>
              <w:rPr>
                <w:rFonts w:hint="eastAsia" w:ascii="宋体" w:hAnsi="宋体" w:eastAsia="宋体" w:cs="宋体"/>
                <w:b w:val="0"/>
                <w:bCs w:val="0"/>
                <w:color w:val="auto"/>
                <w:kern w:val="0"/>
                <w:sz w:val="20"/>
                <w:szCs w:val="20"/>
                <w:highlight w:val="none"/>
                <w:lang w:val="en-US" w:eastAsia="zh-CN" w:bidi="ar-SA"/>
              </w:rPr>
            </w:pPr>
          </w:p>
        </w:tc>
      </w:tr>
      <w:tr w14:paraId="11882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7CD65A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362</w:t>
            </w:r>
          </w:p>
        </w:tc>
        <w:tc>
          <w:tcPr>
            <w:tcW w:w="720" w:type="dxa"/>
            <w:vMerge w:val="continue"/>
            <w:vAlign w:val="center"/>
          </w:tcPr>
          <w:p w14:paraId="0894DFF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9BC54F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04EDD6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药师工作站审方干预功能</w:t>
            </w:r>
          </w:p>
        </w:tc>
        <w:tc>
          <w:tcPr>
            <w:tcW w:w="4667" w:type="dxa"/>
            <w:vAlign w:val="center"/>
          </w:tcPr>
          <w:p w14:paraId="211CD51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系统具有药师工作站审方干预（药师复核）功能，审核时间可按门诊、住院、科室等分类设置，为方便药师快速、准确审方，须提供以下信息的便捷浏览</w:t>
            </w:r>
          </w:p>
        </w:tc>
        <w:tc>
          <w:tcPr>
            <w:tcW w:w="733" w:type="dxa"/>
            <w:vMerge w:val="continue"/>
            <w:vAlign w:val="center"/>
          </w:tcPr>
          <w:p w14:paraId="2785DD4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47E4EF3">
            <w:pPr>
              <w:jc w:val="center"/>
              <w:rPr>
                <w:rFonts w:hint="eastAsia" w:ascii="宋体" w:hAnsi="宋体" w:eastAsia="宋体" w:cs="宋体"/>
                <w:b w:val="0"/>
                <w:bCs w:val="0"/>
                <w:color w:val="auto"/>
                <w:kern w:val="0"/>
                <w:sz w:val="20"/>
                <w:szCs w:val="20"/>
                <w:highlight w:val="none"/>
                <w:lang w:val="en-US" w:eastAsia="zh-CN" w:bidi="ar-SA"/>
              </w:rPr>
            </w:pPr>
          </w:p>
        </w:tc>
      </w:tr>
      <w:tr w14:paraId="499C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1F95C8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363</w:t>
            </w:r>
          </w:p>
        </w:tc>
        <w:tc>
          <w:tcPr>
            <w:tcW w:w="720" w:type="dxa"/>
            <w:vMerge w:val="continue"/>
            <w:vAlign w:val="center"/>
          </w:tcPr>
          <w:p w14:paraId="354795D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34CB10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DF22C9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处方信息浏览</w:t>
            </w:r>
          </w:p>
        </w:tc>
        <w:tc>
          <w:tcPr>
            <w:tcW w:w="4667" w:type="dxa"/>
            <w:vAlign w:val="center"/>
          </w:tcPr>
          <w:p w14:paraId="05089AC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本次处方、历史处方/本次医嘱、执行医嘱、用药重整信息</w:t>
            </w:r>
          </w:p>
        </w:tc>
        <w:tc>
          <w:tcPr>
            <w:tcW w:w="733" w:type="dxa"/>
            <w:vMerge w:val="continue"/>
            <w:vAlign w:val="center"/>
          </w:tcPr>
          <w:p w14:paraId="616B579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6CEA87D">
            <w:pPr>
              <w:jc w:val="center"/>
              <w:rPr>
                <w:rFonts w:hint="eastAsia" w:ascii="宋体" w:hAnsi="宋体" w:eastAsia="宋体" w:cs="宋体"/>
                <w:b w:val="0"/>
                <w:bCs w:val="0"/>
                <w:color w:val="auto"/>
                <w:kern w:val="0"/>
                <w:sz w:val="20"/>
                <w:szCs w:val="20"/>
                <w:highlight w:val="none"/>
                <w:lang w:val="en-US" w:eastAsia="zh-CN" w:bidi="ar-SA"/>
              </w:rPr>
            </w:pPr>
          </w:p>
        </w:tc>
      </w:tr>
      <w:tr w14:paraId="1BCF2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FDE806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364</w:t>
            </w:r>
          </w:p>
        </w:tc>
        <w:tc>
          <w:tcPr>
            <w:tcW w:w="720" w:type="dxa"/>
            <w:vMerge w:val="continue"/>
            <w:vAlign w:val="center"/>
          </w:tcPr>
          <w:p w14:paraId="35D148D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F4BF44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1769A4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诊断信息浏览</w:t>
            </w:r>
          </w:p>
        </w:tc>
        <w:tc>
          <w:tcPr>
            <w:tcW w:w="4667" w:type="dxa"/>
            <w:vAlign w:val="center"/>
          </w:tcPr>
          <w:p w14:paraId="679BA63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主诊断、辅助诊断，当前诊断、历史诊断</w:t>
            </w:r>
          </w:p>
        </w:tc>
        <w:tc>
          <w:tcPr>
            <w:tcW w:w="733" w:type="dxa"/>
            <w:vMerge w:val="continue"/>
            <w:vAlign w:val="center"/>
          </w:tcPr>
          <w:p w14:paraId="0ABA2FE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D735A91">
            <w:pPr>
              <w:jc w:val="center"/>
              <w:rPr>
                <w:rFonts w:hint="eastAsia" w:ascii="宋体" w:hAnsi="宋体" w:eastAsia="宋体" w:cs="宋体"/>
                <w:b w:val="0"/>
                <w:bCs w:val="0"/>
                <w:color w:val="auto"/>
                <w:kern w:val="0"/>
                <w:sz w:val="20"/>
                <w:szCs w:val="20"/>
                <w:highlight w:val="none"/>
                <w:lang w:val="en-US" w:eastAsia="zh-CN" w:bidi="ar-SA"/>
              </w:rPr>
            </w:pPr>
          </w:p>
        </w:tc>
      </w:tr>
      <w:tr w14:paraId="5EA5B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FEC61D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365</w:t>
            </w:r>
          </w:p>
        </w:tc>
        <w:tc>
          <w:tcPr>
            <w:tcW w:w="720" w:type="dxa"/>
            <w:vMerge w:val="continue"/>
            <w:vAlign w:val="center"/>
          </w:tcPr>
          <w:p w14:paraId="66FD572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4CB463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21B477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患者信息浏览</w:t>
            </w:r>
          </w:p>
        </w:tc>
        <w:tc>
          <w:tcPr>
            <w:tcW w:w="4667" w:type="dxa"/>
            <w:vAlign w:val="center"/>
          </w:tcPr>
          <w:p w14:paraId="72C129C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基本信息、药物过敏史、肝肾功能、身高/体重、哺乳/妊娠、（异常）检验指标、检查报告、电子病历等</w:t>
            </w:r>
          </w:p>
        </w:tc>
        <w:tc>
          <w:tcPr>
            <w:tcW w:w="733" w:type="dxa"/>
            <w:vMerge w:val="continue"/>
            <w:vAlign w:val="center"/>
          </w:tcPr>
          <w:p w14:paraId="0D40DCA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5C10F5E">
            <w:pPr>
              <w:jc w:val="center"/>
              <w:rPr>
                <w:rFonts w:hint="eastAsia" w:ascii="宋体" w:hAnsi="宋体" w:eastAsia="宋体" w:cs="宋体"/>
                <w:b w:val="0"/>
                <w:bCs w:val="0"/>
                <w:color w:val="auto"/>
                <w:kern w:val="0"/>
                <w:sz w:val="20"/>
                <w:szCs w:val="20"/>
                <w:highlight w:val="none"/>
                <w:lang w:val="en-US" w:eastAsia="zh-CN" w:bidi="ar-SA"/>
              </w:rPr>
            </w:pPr>
          </w:p>
        </w:tc>
      </w:tr>
      <w:tr w14:paraId="6811A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9CACC7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366</w:t>
            </w:r>
          </w:p>
        </w:tc>
        <w:tc>
          <w:tcPr>
            <w:tcW w:w="720" w:type="dxa"/>
            <w:vMerge w:val="continue"/>
            <w:vAlign w:val="center"/>
          </w:tcPr>
          <w:p w14:paraId="3E3F0EE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A8475A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D9F532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医药沟通功能</w:t>
            </w:r>
          </w:p>
        </w:tc>
        <w:tc>
          <w:tcPr>
            <w:tcW w:w="4667" w:type="dxa"/>
            <w:vAlign w:val="center"/>
          </w:tcPr>
          <w:p w14:paraId="4552FD4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系统具有便捷的医药沟通功能模块，沟通内容可采用定制模板选择、拷贝编辑等方式快速完成；并配备医院内网的即时通讯工具，供医生、药师之间事后沟通交流，可独立存储，供事后分析总结</w:t>
            </w:r>
          </w:p>
        </w:tc>
        <w:tc>
          <w:tcPr>
            <w:tcW w:w="733" w:type="dxa"/>
            <w:vMerge w:val="continue"/>
            <w:vAlign w:val="center"/>
          </w:tcPr>
          <w:p w14:paraId="1DF6C47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1B10F9C">
            <w:pPr>
              <w:jc w:val="center"/>
              <w:rPr>
                <w:rFonts w:hint="eastAsia" w:ascii="宋体" w:hAnsi="宋体" w:eastAsia="宋体" w:cs="宋体"/>
                <w:b w:val="0"/>
                <w:bCs w:val="0"/>
                <w:color w:val="auto"/>
                <w:kern w:val="0"/>
                <w:sz w:val="20"/>
                <w:szCs w:val="20"/>
                <w:highlight w:val="none"/>
                <w:lang w:val="en-US" w:eastAsia="zh-CN" w:bidi="ar-SA"/>
              </w:rPr>
            </w:pPr>
          </w:p>
        </w:tc>
      </w:tr>
      <w:tr w14:paraId="27852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708616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367</w:t>
            </w:r>
          </w:p>
        </w:tc>
        <w:tc>
          <w:tcPr>
            <w:tcW w:w="720" w:type="dxa"/>
            <w:vMerge w:val="continue"/>
            <w:vAlign w:val="center"/>
          </w:tcPr>
          <w:p w14:paraId="752AF723">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5FB7770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合理用药监测</w:t>
            </w:r>
          </w:p>
        </w:tc>
        <w:tc>
          <w:tcPr>
            <w:tcW w:w="2058" w:type="dxa"/>
            <w:vAlign w:val="center"/>
          </w:tcPr>
          <w:p w14:paraId="7382E44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适应症审查</w:t>
            </w:r>
          </w:p>
        </w:tc>
        <w:tc>
          <w:tcPr>
            <w:tcW w:w="4667" w:type="dxa"/>
            <w:vAlign w:val="center"/>
          </w:tcPr>
          <w:p w14:paraId="1182849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通过患者的诊断与处方药品，分析药品适应症是否与患者诊断相符合；并对无适应症用药的问题进行提示</w:t>
            </w:r>
          </w:p>
        </w:tc>
        <w:tc>
          <w:tcPr>
            <w:tcW w:w="733" w:type="dxa"/>
            <w:vMerge w:val="restart"/>
            <w:vAlign w:val="center"/>
          </w:tcPr>
          <w:p w14:paraId="0001DFC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7D617B2E">
            <w:pPr>
              <w:keepNext w:val="0"/>
              <w:keepLines w:val="0"/>
              <w:widowControl/>
              <w:suppressLineNumbers w:val="0"/>
              <w:jc w:val="center"/>
              <w:textAlignment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30</w:t>
            </w:r>
          </w:p>
        </w:tc>
      </w:tr>
      <w:tr w14:paraId="65F25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C03B04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368</w:t>
            </w:r>
          </w:p>
        </w:tc>
        <w:tc>
          <w:tcPr>
            <w:tcW w:w="720" w:type="dxa"/>
            <w:vMerge w:val="continue"/>
            <w:vAlign w:val="center"/>
          </w:tcPr>
          <w:p w14:paraId="542DD40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4DBB46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DA1F7C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剂量审查</w:t>
            </w:r>
          </w:p>
        </w:tc>
        <w:tc>
          <w:tcPr>
            <w:tcW w:w="4667" w:type="dxa"/>
            <w:vAlign w:val="center"/>
          </w:tcPr>
          <w:p w14:paraId="1ECA0B3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结合年龄、给药途径、诊断、肝肾指标等信息审查处方（医嘱）中药品剂量、给药频次是否在说明书推荐范围内。</w:t>
            </w:r>
          </w:p>
        </w:tc>
        <w:tc>
          <w:tcPr>
            <w:tcW w:w="733" w:type="dxa"/>
            <w:vMerge w:val="continue"/>
            <w:vAlign w:val="center"/>
          </w:tcPr>
          <w:p w14:paraId="1479889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5D818E5">
            <w:pPr>
              <w:jc w:val="center"/>
              <w:rPr>
                <w:rFonts w:hint="eastAsia" w:ascii="宋体" w:hAnsi="宋体" w:eastAsia="宋体" w:cs="宋体"/>
                <w:b w:val="0"/>
                <w:bCs w:val="0"/>
                <w:color w:val="auto"/>
                <w:kern w:val="0"/>
                <w:sz w:val="20"/>
                <w:szCs w:val="20"/>
                <w:highlight w:val="none"/>
                <w:lang w:val="en-US" w:eastAsia="zh-CN" w:bidi="ar-SA"/>
              </w:rPr>
            </w:pPr>
          </w:p>
        </w:tc>
      </w:tr>
      <w:tr w14:paraId="7E5B6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36E7FE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369</w:t>
            </w:r>
          </w:p>
        </w:tc>
        <w:tc>
          <w:tcPr>
            <w:tcW w:w="720" w:type="dxa"/>
            <w:vMerge w:val="continue"/>
            <w:vAlign w:val="center"/>
          </w:tcPr>
          <w:p w14:paraId="706F987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20B5A9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F3A98B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最大最小推荐量</w:t>
            </w:r>
          </w:p>
        </w:tc>
        <w:tc>
          <w:tcPr>
            <w:tcW w:w="4667" w:type="dxa"/>
            <w:vAlign w:val="bottom"/>
          </w:tcPr>
          <w:p w14:paraId="7CABDFF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审查处方/医嘱中药品的次剂量和日剂量的最大最小推荐量</w:t>
            </w:r>
          </w:p>
        </w:tc>
        <w:tc>
          <w:tcPr>
            <w:tcW w:w="733" w:type="dxa"/>
            <w:vMerge w:val="continue"/>
            <w:vAlign w:val="center"/>
          </w:tcPr>
          <w:p w14:paraId="51CA0AD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F128060">
            <w:pPr>
              <w:jc w:val="center"/>
              <w:rPr>
                <w:rFonts w:hint="eastAsia" w:ascii="宋体" w:hAnsi="宋体" w:eastAsia="宋体" w:cs="宋体"/>
                <w:b w:val="0"/>
                <w:bCs w:val="0"/>
                <w:color w:val="auto"/>
                <w:kern w:val="0"/>
                <w:sz w:val="20"/>
                <w:szCs w:val="20"/>
                <w:highlight w:val="none"/>
                <w:lang w:val="en-US" w:eastAsia="zh-CN" w:bidi="ar-SA"/>
              </w:rPr>
            </w:pPr>
          </w:p>
        </w:tc>
      </w:tr>
      <w:tr w14:paraId="0F3F3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B6A5F34">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370</w:t>
            </w:r>
          </w:p>
        </w:tc>
        <w:tc>
          <w:tcPr>
            <w:tcW w:w="720" w:type="dxa"/>
            <w:vMerge w:val="continue"/>
            <w:vAlign w:val="center"/>
          </w:tcPr>
          <w:p w14:paraId="7F023F3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AF249E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FF5175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超出规定极量</w:t>
            </w:r>
          </w:p>
        </w:tc>
        <w:tc>
          <w:tcPr>
            <w:tcW w:w="4667" w:type="dxa"/>
            <w:vAlign w:val="center"/>
          </w:tcPr>
          <w:p w14:paraId="176173E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审查处方/医嘱中药品的每次和每日给药剂量是否超出规定极量</w:t>
            </w:r>
          </w:p>
        </w:tc>
        <w:tc>
          <w:tcPr>
            <w:tcW w:w="733" w:type="dxa"/>
            <w:vMerge w:val="continue"/>
            <w:vAlign w:val="center"/>
          </w:tcPr>
          <w:p w14:paraId="22871E4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A0F0C9B">
            <w:pPr>
              <w:jc w:val="center"/>
              <w:rPr>
                <w:rFonts w:hint="eastAsia" w:ascii="宋体" w:hAnsi="宋体" w:eastAsia="宋体" w:cs="宋体"/>
                <w:b w:val="0"/>
                <w:bCs w:val="0"/>
                <w:color w:val="auto"/>
                <w:kern w:val="0"/>
                <w:sz w:val="20"/>
                <w:szCs w:val="20"/>
                <w:highlight w:val="none"/>
                <w:lang w:val="en-US" w:eastAsia="zh-CN" w:bidi="ar-SA"/>
              </w:rPr>
            </w:pPr>
          </w:p>
        </w:tc>
      </w:tr>
      <w:tr w14:paraId="632B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1C3F3B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371</w:t>
            </w:r>
          </w:p>
        </w:tc>
        <w:tc>
          <w:tcPr>
            <w:tcW w:w="720" w:type="dxa"/>
            <w:vMerge w:val="continue"/>
            <w:vAlign w:val="center"/>
          </w:tcPr>
          <w:p w14:paraId="74EB37C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F4444B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7F64B7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超出规定频次</w:t>
            </w:r>
          </w:p>
        </w:tc>
        <w:tc>
          <w:tcPr>
            <w:tcW w:w="4667" w:type="dxa"/>
            <w:vAlign w:val="center"/>
          </w:tcPr>
          <w:p w14:paraId="346F4E6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审查处方/医嘱中药品的给药频次是否超出规定频次</w:t>
            </w:r>
          </w:p>
        </w:tc>
        <w:tc>
          <w:tcPr>
            <w:tcW w:w="733" w:type="dxa"/>
            <w:vMerge w:val="continue"/>
            <w:vAlign w:val="center"/>
          </w:tcPr>
          <w:p w14:paraId="2370F9D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D47B299">
            <w:pPr>
              <w:jc w:val="center"/>
              <w:rPr>
                <w:rFonts w:hint="eastAsia" w:ascii="宋体" w:hAnsi="宋体" w:eastAsia="宋体" w:cs="宋体"/>
                <w:b w:val="0"/>
                <w:bCs w:val="0"/>
                <w:color w:val="auto"/>
                <w:kern w:val="0"/>
                <w:sz w:val="20"/>
                <w:szCs w:val="20"/>
                <w:highlight w:val="none"/>
                <w:lang w:val="en-US" w:eastAsia="zh-CN" w:bidi="ar-SA"/>
              </w:rPr>
            </w:pPr>
          </w:p>
        </w:tc>
      </w:tr>
      <w:tr w14:paraId="29DA0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E530C6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372</w:t>
            </w:r>
          </w:p>
        </w:tc>
        <w:tc>
          <w:tcPr>
            <w:tcW w:w="720" w:type="dxa"/>
            <w:vMerge w:val="continue"/>
            <w:vAlign w:val="center"/>
          </w:tcPr>
          <w:p w14:paraId="5FCB400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D7B6F7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B2CCAB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禁忌症审查</w:t>
            </w:r>
          </w:p>
        </w:tc>
        <w:tc>
          <w:tcPr>
            <w:tcW w:w="4667" w:type="dxa"/>
            <w:vAlign w:val="center"/>
          </w:tcPr>
          <w:p w14:paraId="4B58063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通过患者的诊断与处方药品，分析药品与诊断之间是否存在问题</w:t>
            </w:r>
          </w:p>
        </w:tc>
        <w:tc>
          <w:tcPr>
            <w:tcW w:w="733" w:type="dxa"/>
            <w:vMerge w:val="continue"/>
            <w:vAlign w:val="center"/>
          </w:tcPr>
          <w:p w14:paraId="588B566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A47404A">
            <w:pPr>
              <w:jc w:val="center"/>
              <w:rPr>
                <w:rFonts w:hint="eastAsia" w:ascii="宋体" w:hAnsi="宋体" w:eastAsia="宋体" w:cs="宋体"/>
                <w:b w:val="0"/>
                <w:bCs w:val="0"/>
                <w:color w:val="auto"/>
                <w:kern w:val="0"/>
                <w:sz w:val="20"/>
                <w:szCs w:val="20"/>
                <w:highlight w:val="none"/>
                <w:lang w:val="en-US" w:eastAsia="zh-CN" w:bidi="ar-SA"/>
              </w:rPr>
            </w:pPr>
          </w:p>
        </w:tc>
      </w:tr>
      <w:tr w14:paraId="40965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B97AB4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373</w:t>
            </w:r>
          </w:p>
        </w:tc>
        <w:tc>
          <w:tcPr>
            <w:tcW w:w="720" w:type="dxa"/>
            <w:vMerge w:val="continue"/>
            <w:vAlign w:val="center"/>
          </w:tcPr>
          <w:p w14:paraId="54E3349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8C89FF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BDE819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给药途径审查</w:t>
            </w:r>
          </w:p>
        </w:tc>
        <w:tc>
          <w:tcPr>
            <w:tcW w:w="4667" w:type="dxa"/>
            <w:vAlign w:val="center"/>
          </w:tcPr>
          <w:p w14:paraId="47D22B7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根据药品说明书内容，对处方/医嘱中的药品选择的给药途径进行分析，对于存在给药途径选择问题进行提示</w:t>
            </w:r>
          </w:p>
        </w:tc>
        <w:tc>
          <w:tcPr>
            <w:tcW w:w="733" w:type="dxa"/>
            <w:vMerge w:val="continue"/>
            <w:vAlign w:val="center"/>
          </w:tcPr>
          <w:p w14:paraId="2DCB6E7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5C23C24">
            <w:pPr>
              <w:jc w:val="center"/>
              <w:rPr>
                <w:rFonts w:hint="eastAsia" w:ascii="宋体" w:hAnsi="宋体" w:eastAsia="宋体" w:cs="宋体"/>
                <w:b w:val="0"/>
                <w:bCs w:val="0"/>
                <w:color w:val="auto"/>
                <w:kern w:val="0"/>
                <w:sz w:val="20"/>
                <w:szCs w:val="20"/>
                <w:highlight w:val="none"/>
                <w:lang w:val="en-US" w:eastAsia="zh-CN" w:bidi="ar-SA"/>
              </w:rPr>
            </w:pPr>
          </w:p>
        </w:tc>
      </w:tr>
      <w:tr w14:paraId="6CD8A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F954FA8">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374</w:t>
            </w:r>
          </w:p>
        </w:tc>
        <w:tc>
          <w:tcPr>
            <w:tcW w:w="720" w:type="dxa"/>
            <w:vMerge w:val="continue"/>
            <w:vAlign w:val="center"/>
          </w:tcPr>
          <w:p w14:paraId="01F2018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6BB29E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18EB78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相互作用审查</w:t>
            </w:r>
          </w:p>
        </w:tc>
        <w:tc>
          <w:tcPr>
            <w:tcW w:w="4667" w:type="dxa"/>
            <w:vAlign w:val="center"/>
          </w:tcPr>
          <w:p w14:paraId="4792C85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对患者同时使用的处方/医嘱中的药品两两之间或是药品所含成份之间存在的相互作用进行审查，对于存在的问题进行提示</w:t>
            </w:r>
          </w:p>
        </w:tc>
        <w:tc>
          <w:tcPr>
            <w:tcW w:w="733" w:type="dxa"/>
            <w:vMerge w:val="continue"/>
            <w:vAlign w:val="center"/>
          </w:tcPr>
          <w:p w14:paraId="0BB5CD7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0C631DA">
            <w:pPr>
              <w:jc w:val="center"/>
              <w:rPr>
                <w:rFonts w:hint="eastAsia" w:ascii="宋体" w:hAnsi="宋体" w:eastAsia="宋体" w:cs="宋体"/>
                <w:b w:val="0"/>
                <w:bCs w:val="0"/>
                <w:color w:val="auto"/>
                <w:kern w:val="0"/>
                <w:sz w:val="20"/>
                <w:szCs w:val="20"/>
                <w:highlight w:val="none"/>
                <w:lang w:val="en-US" w:eastAsia="zh-CN" w:bidi="ar-SA"/>
              </w:rPr>
            </w:pPr>
          </w:p>
        </w:tc>
      </w:tr>
      <w:tr w14:paraId="2D404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381523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375</w:t>
            </w:r>
          </w:p>
        </w:tc>
        <w:tc>
          <w:tcPr>
            <w:tcW w:w="720" w:type="dxa"/>
            <w:vMerge w:val="continue"/>
            <w:vAlign w:val="center"/>
          </w:tcPr>
          <w:p w14:paraId="28268CF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AD0F08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6019BF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配伍禁忌审查</w:t>
            </w:r>
          </w:p>
        </w:tc>
        <w:tc>
          <w:tcPr>
            <w:tcW w:w="4667" w:type="dxa"/>
            <w:vAlign w:val="center"/>
          </w:tcPr>
          <w:p w14:paraId="2F8DDD4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对将在同一容器中混合的注射药品进行配伍审查，对混合后会导致药液浑浊、变色、稳定性变化等配伍问题进行提示，提示内容包括详细信息及参考文献</w:t>
            </w:r>
          </w:p>
        </w:tc>
        <w:tc>
          <w:tcPr>
            <w:tcW w:w="733" w:type="dxa"/>
            <w:vMerge w:val="continue"/>
            <w:vAlign w:val="center"/>
          </w:tcPr>
          <w:p w14:paraId="46D3CCA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22E0C75">
            <w:pPr>
              <w:jc w:val="center"/>
              <w:rPr>
                <w:rFonts w:hint="eastAsia" w:ascii="宋体" w:hAnsi="宋体" w:eastAsia="宋体" w:cs="宋体"/>
                <w:b w:val="0"/>
                <w:bCs w:val="0"/>
                <w:color w:val="auto"/>
                <w:kern w:val="0"/>
                <w:sz w:val="20"/>
                <w:szCs w:val="20"/>
                <w:highlight w:val="none"/>
                <w:lang w:val="en-US" w:eastAsia="zh-CN" w:bidi="ar-SA"/>
              </w:rPr>
            </w:pPr>
          </w:p>
        </w:tc>
      </w:tr>
      <w:tr w14:paraId="0809C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BE2683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376</w:t>
            </w:r>
          </w:p>
        </w:tc>
        <w:tc>
          <w:tcPr>
            <w:tcW w:w="720" w:type="dxa"/>
            <w:vMerge w:val="continue"/>
            <w:vAlign w:val="center"/>
          </w:tcPr>
          <w:p w14:paraId="3178514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639F4F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07E30E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妊娠期妇女用药审查</w:t>
            </w:r>
          </w:p>
        </w:tc>
        <w:tc>
          <w:tcPr>
            <w:tcW w:w="4667" w:type="dxa"/>
            <w:vAlign w:val="center"/>
          </w:tcPr>
          <w:p w14:paraId="2EB85CD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根据药品说明书内容，结合患者生理状态进行分析，当患者处于妊娠期时，对处方中的药品进行妊娠期用药审查，对于存在的问题进行提示</w:t>
            </w:r>
          </w:p>
        </w:tc>
        <w:tc>
          <w:tcPr>
            <w:tcW w:w="733" w:type="dxa"/>
            <w:vMerge w:val="continue"/>
            <w:vAlign w:val="center"/>
          </w:tcPr>
          <w:p w14:paraId="1CB9E42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0165341">
            <w:pPr>
              <w:jc w:val="center"/>
              <w:rPr>
                <w:rFonts w:hint="eastAsia" w:ascii="宋体" w:hAnsi="宋体" w:eastAsia="宋体" w:cs="宋体"/>
                <w:b w:val="0"/>
                <w:bCs w:val="0"/>
                <w:color w:val="auto"/>
                <w:kern w:val="0"/>
                <w:sz w:val="20"/>
                <w:szCs w:val="20"/>
                <w:highlight w:val="none"/>
                <w:lang w:val="en-US" w:eastAsia="zh-CN" w:bidi="ar-SA"/>
              </w:rPr>
            </w:pPr>
          </w:p>
        </w:tc>
      </w:tr>
      <w:tr w14:paraId="7535F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2543E6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377</w:t>
            </w:r>
          </w:p>
        </w:tc>
        <w:tc>
          <w:tcPr>
            <w:tcW w:w="720" w:type="dxa"/>
            <w:vMerge w:val="continue"/>
            <w:vAlign w:val="center"/>
          </w:tcPr>
          <w:p w14:paraId="56B6E7D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86BDA1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C3BB8A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哺乳期妇女用药审查</w:t>
            </w:r>
          </w:p>
        </w:tc>
        <w:tc>
          <w:tcPr>
            <w:tcW w:w="4667" w:type="dxa"/>
            <w:vAlign w:val="center"/>
          </w:tcPr>
          <w:p w14:paraId="0000BA7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根据药品说明书内容，结合患者生理状态进行分析，当患者处于哺乳期时，对处方中的药品进行哺乳期用药审查，对于存在的问题进行提示</w:t>
            </w:r>
          </w:p>
        </w:tc>
        <w:tc>
          <w:tcPr>
            <w:tcW w:w="733" w:type="dxa"/>
            <w:vMerge w:val="continue"/>
            <w:vAlign w:val="center"/>
          </w:tcPr>
          <w:p w14:paraId="244E9F9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E201C67">
            <w:pPr>
              <w:jc w:val="center"/>
              <w:rPr>
                <w:rFonts w:hint="eastAsia" w:ascii="宋体" w:hAnsi="宋体" w:eastAsia="宋体" w:cs="宋体"/>
                <w:b w:val="0"/>
                <w:bCs w:val="0"/>
                <w:color w:val="auto"/>
                <w:kern w:val="0"/>
                <w:sz w:val="20"/>
                <w:szCs w:val="20"/>
                <w:highlight w:val="none"/>
                <w:lang w:val="en-US" w:eastAsia="zh-CN" w:bidi="ar-SA"/>
              </w:rPr>
            </w:pPr>
          </w:p>
        </w:tc>
      </w:tr>
      <w:tr w14:paraId="57726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274266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378</w:t>
            </w:r>
          </w:p>
        </w:tc>
        <w:tc>
          <w:tcPr>
            <w:tcW w:w="720" w:type="dxa"/>
            <w:vMerge w:val="continue"/>
            <w:vAlign w:val="center"/>
          </w:tcPr>
          <w:p w14:paraId="6C5A839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21CA5A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F62300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肝功能不全患者的用药审查</w:t>
            </w:r>
          </w:p>
        </w:tc>
        <w:tc>
          <w:tcPr>
            <w:tcW w:w="4667" w:type="dxa"/>
            <w:vAlign w:val="center"/>
          </w:tcPr>
          <w:p w14:paraId="7698C91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根据药品说明书内容，结合患者肝功能状态进行分析，当患者肝功能不全时，对处方中的药品进行肝功能不全用药审查，对于存在的问题进行提示</w:t>
            </w:r>
          </w:p>
        </w:tc>
        <w:tc>
          <w:tcPr>
            <w:tcW w:w="733" w:type="dxa"/>
            <w:vMerge w:val="continue"/>
            <w:vAlign w:val="center"/>
          </w:tcPr>
          <w:p w14:paraId="7567C74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1CEAD7F">
            <w:pPr>
              <w:jc w:val="center"/>
              <w:rPr>
                <w:rFonts w:hint="eastAsia" w:ascii="宋体" w:hAnsi="宋体" w:eastAsia="宋体" w:cs="宋体"/>
                <w:b w:val="0"/>
                <w:bCs w:val="0"/>
                <w:color w:val="auto"/>
                <w:kern w:val="0"/>
                <w:sz w:val="20"/>
                <w:szCs w:val="20"/>
                <w:highlight w:val="none"/>
                <w:lang w:val="en-US" w:eastAsia="zh-CN" w:bidi="ar-SA"/>
              </w:rPr>
            </w:pPr>
          </w:p>
        </w:tc>
      </w:tr>
      <w:tr w14:paraId="3E869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27D5D9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379</w:t>
            </w:r>
          </w:p>
        </w:tc>
        <w:tc>
          <w:tcPr>
            <w:tcW w:w="720" w:type="dxa"/>
            <w:vMerge w:val="continue"/>
            <w:vAlign w:val="center"/>
          </w:tcPr>
          <w:p w14:paraId="1993E61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384183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5C290E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肾功能不全患者的用药审查</w:t>
            </w:r>
          </w:p>
        </w:tc>
        <w:tc>
          <w:tcPr>
            <w:tcW w:w="4667" w:type="dxa"/>
            <w:vAlign w:val="center"/>
          </w:tcPr>
          <w:p w14:paraId="1C83BD2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根据药品说明书内容，结合患者肾功能状态进行分析，当患者肾功能不全时，对处方中的药品进行肾功能不全用药审查，对于存在的问题进行提示</w:t>
            </w:r>
          </w:p>
        </w:tc>
        <w:tc>
          <w:tcPr>
            <w:tcW w:w="733" w:type="dxa"/>
            <w:vMerge w:val="continue"/>
            <w:vAlign w:val="center"/>
          </w:tcPr>
          <w:p w14:paraId="4D5BDCF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AEAF30C">
            <w:pPr>
              <w:jc w:val="center"/>
              <w:rPr>
                <w:rFonts w:hint="eastAsia" w:ascii="宋体" w:hAnsi="宋体" w:eastAsia="宋体" w:cs="宋体"/>
                <w:b w:val="0"/>
                <w:bCs w:val="0"/>
                <w:color w:val="auto"/>
                <w:kern w:val="0"/>
                <w:sz w:val="20"/>
                <w:szCs w:val="20"/>
                <w:highlight w:val="none"/>
                <w:lang w:val="en-US" w:eastAsia="zh-CN" w:bidi="ar-SA"/>
              </w:rPr>
            </w:pPr>
          </w:p>
        </w:tc>
      </w:tr>
      <w:tr w14:paraId="7ACF0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EE7741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380</w:t>
            </w:r>
          </w:p>
        </w:tc>
        <w:tc>
          <w:tcPr>
            <w:tcW w:w="720" w:type="dxa"/>
            <w:vMerge w:val="continue"/>
            <w:vAlign w:val="center"/>
          </w:tcPr>
          <w:p w14:paraId="2740D54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BA2569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F05611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儿童患者用药审查</w:t>
            </w:r>
          </w:p>
        </w:tc>
        <w:tc>
          <w:tcPr>
            <w:tcW w:w="4667" w:type="dxa"/>
            <w:vAlign w:val="center"/>
          </w:tcPr>
          <w:p w14:paraId="020EF88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根据药品说明书内容，结合患者年龄进行分析，当患者处于某一年龄段时，对于存在的问题进行提示</w:t>
            </w:r>
          </w:p>
        </w:tc>
        <w:tc>
          <w:tcPr>
            <w:tcW w:w="733" w:type="dxa"/>
            <w:vMerge w:val="continue"/>
            <w:vAlign w:val="center"/>
          </w:tcPr>
          <w:p w14:paraId="4EF6F65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8BF78B9">
            <w:pPr>
              <w:jc w:val="center"/>
              <w:rPr>
                <w:rFonts w:hint="eastAsia" w:ascii="宋体" w:hAnsi="宋体" w:eastAsia="宋体" w:cs="宋体"/>
                <w:b w:val="0"/>
                <w:bCs w:val="0"/>
                <w:color w:val="auto"/>
                <w:kern w:val="0"/>
                <w:sz w:val="20"/>
                <w:szCs w:val="20"/>
                <w:highlight w:val="none"/>
                <w:lang w:val="en-US" w:eastAsia="zh-CN" w:bidi="ar-SA"/>
              </w:rPr>
            </w:pPr>
          </w:p>
        </w:tc>
      </w:tr>
      <w:tr w14:paraId="45EFC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AFB572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381</w:t>
            </w:r>
          </w:p>
        </w:tc>
        <w:tc>
          <w:tcPr>
            <w:tcW w:w="720" w:type="dxa"/>
            <w:vMerge w:val="continue"/>
            <w:vAlign w:val="center"/>
          </w:tcPr>
          <w:p w14:paraId="0387751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10C036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67ED9E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老年患者用药审查</w:t>
            </w:r>
          </w:p>
        </w:tc>
        <w:tc>
          <w:tcPr>
            <w:tcW w:w="4667" w:type="dxa"/>
            <w:vAlign w:val="center"/>
          </w:tcPr>
          <w:p w14:paraId="439DCBE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根据药品说明书内容，结合患者年龄进行分析，当患者处于某一年龄段时，对于存在的问题进行提示</w:t>
            </w:r>
          </w:p>
        </w:tc>
        <w:tc>
          <w:tcPr>
            <w:tcW w:w="733" w:type="dxa"/>
            <w:vMerge w:val="continue"/>
            <w:vAlign w:val="center"/>
          </w:tcPr>
          <w:p w14:paraId="4E81AC5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7630E71">
            <w:pPr>
              <w:jc w:val="center"/>
              <w:rPr>
                <w:rFonts w:hint="eastAsia" w:ascii="宋体" w:hAnsi="宋体" w:eastAsia="宋体" w:cs="宋体"/>
                <w:b w:val="0"/>
                <w:bCs w:val="0"/>
                <w:color w:val="auto"/>
                <w:kern w:val="0"/>
                <w:sz w:val="20"/>
                <w:szCs w:val="20"/>
                <w:highlight w:val="none"/>
                <w:lang w:val="en-US" w:eastAsia="zh-CN" w:bidi="ar-SA"/>
              </w:rPr>
            </w:pPr>
          </w:p>
        </w:tc>
      </w:tr>
      <w:tr w14:paraId="40DFE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D11D13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382</w:t>
            </w:r>
          </w:p>
        </w:tc>
        <w:tc>
          <w:tcPr>
            <w:tcW w:w="720" w:type="dxa"/>
            <w:vMerge w:val="continue"/>
            <w:vAlign w:val="center"/>
          </w:tcPr>
          <w:p w14:paraId="1090E68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EAFC08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CA407E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重复使用的药品进行审查</w:t>
            </w:r>
          </w:p>
        </w:tc>
        <w:tc>
          <w:tcPr>
            <w:tcW w:w="4667" w:type="dxa"/>
            <w:vAlign w:val="center"/>
          </w:tcPr>
          <w:p w14:paraId="47F8271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对患者同时使用的药品进行重复用药问题审查。包括是否使用了同种药、同类药或所含成份相同的药品</w:t>
            </w:r>
          </w:p>
        </w:tc>
        <w:tc>
          <w:tcPr>
            <w:tcW w:w="733" w:type="dxa"/>
            <w:vMerge w:val="continue"/>
            <w:vAlign w:val="center"/>
          </w:tcPr>
          <w:p w14:paraId="31A158F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B09CB58">
            <w:pPr>
              <w:jc w:val="center"/>
              <w:rPr>
                <w:rFonts w:hint="eastAsia" w:ascii="宋体" w:hAnsi="宋体" w:eastAsia="宋体" w:cs="宋体"/>
                <w:b w:val="0"/>
                <w:bCs w:val="0"/>
                <w:color w:val="auto"/>
                <w:kern w:val="0"/>
                <w:sz w:val="20"/>
                <w:szCs w:val="20"/>
                <w:highlight w:val="none"/>
                <w:lang w:val="en-US" w:eastAsia="zh-CN" w:bidi="ar-SA"/>
              </w:rPr>
            </w:pPr>
          </w:p>
        </w:tc>
      </w:tr>
      <w:tr w14:paraId="516EC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4DF8C9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383</w:t>
            </w:r>
          </w:p>
        </w:tc>
        <w:tc>
          <w:tcPr>
            <w:tcW w:w="720" w:type="dxa"/>
            <w:vMerge w:val="continue"/>
            <w:vAlign w:val="center"/>
          </w:tcPr>
          <w:p w14:paraId="4CA7DF7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F64EE4F">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4AAA9D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药品使用疗程审核</w:t>
            </w:r>
          </w:p>
        </w:tc>
        <w:tc>
          <w:tcPr>
            <w:tcW w:w="4667" w:type="dxa"/>
            <w:vAlign w:val="center"/>
          </w:tcPr>
          <w:p w14:paraId="4093A99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据院方规定设置药品最大开具天数，对于存在的问题进行提示</w:t>
            </w:r>
          </w:p>
        </w:tc>
        <w:tc>
          <w:tcPr>
            <w:tcW w:w="733" w:type="dxa"/>
            <w:vMerge w:val="continue"/>
            <w:vAlign w:val="center"/>
          </w:tcPr>
          <w:p w14:paraId="29B6900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FC00677">
            <w:pPr>
              <w:jc w:val="center"/>
              <w:rPr>
                <w:rFonts w:hint="eastAsia" w:ascii="宋体" w:hAnsi="宋体" w:eastAsia="宋体" w:cs="宋体"/>
                <w:b w:val="0"/>
                <w:bCs w:val="0"/>
                <w:color w:val="auto"/>
                <w:kern w:val="0"/>
                <w:sz w:val="20"/>
                <w:szCs w:val="20"/>
                <w:highlight w:val="none"/>
                <w:lang w:val="en-US" w:eastAsia="zh-CN" w:bidi="ar-SA"/>
              </w:rPr>
            </w:pPr>
          </w:p>
        </w:tc>
      </w:tr>
      <w:tr w14:paraId="0168C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87F244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384</w:t>
            </w:r>
          </w:p>
        </w:tc>
        <w:tc>
          <w:tcPr>
            <w:tcW w:w="720" w:type="dxa"/>
            <w:vMerge w:val="continue"/>
            <w:vAlign w:val="center"/>
          </w:tcPr>
          <w:p w14:paraId="34F8ED4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5F6B5A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B987C6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药物过敏史审查</w:t>
            </w:r>
          </w:p>
        </w:tc>
        <w:tc>
          <w:tcPr>
            <w:tcW w:w="4667" w:type="dxa"/>
            <w:vAlign w:val="center"/>
          </w:tcPr>
          <w:p w14:paraId="5E5E4AB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根据药品说明书内容，结合患者的过敏信息分析处方/医嘱中的药品是否存在患者禁用或是慎用的药品，对于存在的问题进行提示</w:t>
            </w:r>
          </w:p>
        </w:tc>
        <w:tc>
          <w:tcPr>
            <w:tcW w:w="733" w:type="dxa"/>
            <w:vMerge w:val="continue"/>
            <w:vAlign w:val="center"/>
          </w:tcPr>
          <w:p w14:paraId="4BC2594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782704E">
            <w:pPr>
              <w:jc w:val="center"/>
              <w:rPr>
                <w:rFonts w:hint="eastAsia" w:ascii="宋体" w:hAnsi="宋体" w:eastAsia="宋体" w:cs="宋体"/>
                <w:b w:val="0"/>
                <w:bCs w:val="0"/>
                <w:color w:val="auto"/>
                <w:kern w:val="0"/>
                <w:sz w:val="20"/>
                <w:szCs w:val="20"/>
                <w:highlight w:val="none"/>
                <w:lang w:val="en-US" w:eastAsia="zh-CN" w:bidi="ar-SA"/>
              </w:rPr>
            </w:pPr>
          </w:p>
        </w:tc>
      </w:tr>
      <w:tr w14:paraId="522B6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CCEB5C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385</w:t>
            </w:r>
          </w:p>
        </w:tc>
        <w:tc>
          <w:tcPr>
            <w:tcW w:w="720" w:type="dxa"/>
            <w:vMerge w:val="continue"/>
            <w:vAlign w:val="center"/>
          </w:tcPr>
          <w:p w14:paraId="2D6ADAF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EB8F53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CB0C87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抗菌药物审查</w:t>
            </w:r>
          </w:p>
        </w:tc>
        <w:tc>
          <w:tcPr>
            <w:tcW w:w="4667" w:type="dxa"/>
            <w:vAlign w:val="center"/>
          </w:tcPr>
          <w:p w14:paraId="37D4AAA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以《抗菌药物临床应用分级管理目录》为依据，对抗菌药物分级信息进行提示。对超权限使用抗菌药物问题进行审查并提醒</w:t>
            </w:r>
          </w:p>
        </w:tc>
        <w:tc>
          <w:tcPr>
            <w:tcW w:w="733" w:type="dxa"/>
            <w:vMerge w:val="continue"/>
            <w:vAlign w:val="center"/>
          </w:tcPr>
          <w:p w14:paraId="4638999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4671DA6">
            <w:pPr>
              <w:jc w:val="center"/>
              <w:rPr>
                <w:rFonts w:hint="eastAsia" w:ascii="宋体" w:hAnsi="宋体" w:eastAsia="宋体" w:cs="宋体"/>
                <w:b w:val="0"/>
                <w:bCs w:val="0"/>
                <w:color w:val="auto"/>
                <w:kern w:val="0"/>
                <w:sz w:val="20"/>
                <w:szCs w:val="20"/>
                <w:highlight w:val="none"/>
                <w:lang w:val="en-US" w:eastAsia="zh-CN" w:bidi="ar-SA"/>
              </w:rPr>
            </w:pPr>
          </w:p>
        </w:tc>
      </w:tr>
      <w:tr w14:paraId="4F02A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BBD4AA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386</w:t>
            </w:r>
          </w:p>
        </w:tc>
        <w:tc>
          <w:tcPr>
            <w:tcW w:w="720" w:type="dxa"/>
            <w:vMerge w:val="continue"/>
            <w:vAlign w:val="center"/>
          </w:tcPr>
          <w:p w14:paraId="5D3398B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6712B4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730744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审查项目自定义设置</w:t>
            </w:r>
          </w:p>
        </w:tc>
        <w:tc>
          <w:tcPr>
            <w:tcW w:w="4667" w:type="dxa"/>
            <w:vAlign w:val="center"/>
          </w:tcPr>
          <w:p w14:paraId="0C9F4BA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于不同类型的提醒信息系统提供默认级别间进行调整。做到处方可以“跨科室、跨处方”进行审查，并可以自定义基本原则。对于上述所有审查项目都可进行自定义修改与调整，对于缺失的审查项目可进行手动添加，对于不需要的审查项目或内容可手动删除。并且可对如何审查可进行个性化设置</w:t>
            </w:r>
          </w:p>
        </w:tc>
        <w:tc>
          <w:tcPr>
            <w:tcW w:w="733" w:type="dxa"/>
            <w:vMerge w:val="continue"/>
            <w:vAlign w:val="center"/>
          </w:tcPr>
          <w:p w14:paraId="7BD75FB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7AD908B">
            <w:pPr>
              <w:jc w:val="center"/>
              <w:rPr>
                <w:rFonts w:hint="eastAsia" w:ascii="宋体" w:hAnsi="宋体" w:eastAsia="宋体" w:cs="宋体"/>
                <w:b w:val="0"/>
                <w:bCs w:val="0"/>
                <w:color w:val="auto"/>
                <w:kern w:val="0"/>
                <w:sz w:val="20"/>
                <w:szCs w:val="20"/>
                <w:highlight w:val="none"/>
                <w:lang w:val="en-US" w:eastAsia="zh-CN" w:bidi="ar-SA"/>
              </w:rPr>
            </w:pPr>
          </w:p>
        </w:tc>
      </w:tr>
      <w:tr w14:paraId="7F27E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9079B1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387</w:t>
            </w:r>
          </w:p>
        </w:tc>
        <w:tc>
          <w:tcPr>
            <w:tcW w:w="720" w:type="dxa"/>
            <w:vMerge w:val="continue"/>
            <w:vAlign w:val="center"/>
          </w:tcPr>
          <w:p w14:paraId="4A643EF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32CFC1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749FE3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药品说明书</w:t>
            </w:r>
          </w:p>
        </w:tc>
        <w:tc>
          <w:tcPr>
            <w:tcW w:w="4667" w:type="dxa"/>
            <w:vAlign w:val="center"/>
          </w:tcPr>
          <w:p w14:paraId="46C7326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可以查看处方药品说明书电子版文档</w:t>
            </w:r>
          </w:p>
        </w:tc>
        <w:tc>
          <w:tcPr>
            <w:tcW w:w="733" w:type="dxa"/>
            <w:vMerge w:val="continue"/>
            <w:vAlign w:val="center"/>
          </w:tcPr>
          <w:p w14:paraId="4474EF2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204709B">
            <w:pPr>
              <w:jc w:val="center"/>
              <w:rPr>
                <w:rFonts w:hint="eastAsia" w:ascii="宋体" w:hAnsi="宋体" w:eastAsia="宋体" w:cs="宋体"/>
                <w:b w:val="0"/>
                <w:bCs w:val="0"/>
                <w:color w:val="auto"/>
                <w:kern w:val="0"/>
                <w:sz w:val="20"/>
                <w:szCs w:val="20"/>
                <w:highlight w:val="none"/>
                <w:lang w:val="en-US" w:eastAsia="zh-CN" w:bidi="ar-SA"/>
              </w:rPr>
            </w:pPr>
          </w:p>
        </w:tc>
      </w:tr>
      <w:tr w14:paraId="08631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9160DA0">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388</w:t>
            </w:r>
          </w:p>
        </w:tc>
        <w:tc>
          <w:tcPr>
            <w:tcW w:w="720" w:type="dxa"/>
            <w:vMerge w:val="continue"/>
            <w:vAlign w:val="center"/>
          </w:tcPr>
          <w:p w14:paraId="6835DEA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A92E4A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6E4B79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药品限定科室自定义</w:t>
            </w:r>
          </w:p>
        </w:tc>
        <w:tc>
          <w:tcPr>
            <w:tcW w:w="4667" w:type="dxa"/>
            <w:vAlign w:val="center"/>
          </w:tcPr>
          <w:p w14:paraId="05B2E5A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对于某药品有权使用科室、医师进行自定义设置</w:t>
            </w:r>
          </w:p>
        </w:tc>
        <w:tc>
          <w:tcPr>
            <w:tcW w:w="733" w:type="dxa"/>
            <w:vMerge w:val="continue"/>
            <w:vAlign w:val="center"/>
          </w:tcPr>
          <w:p w14:paraId="77EBFEA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29CCE97">
            <w:pPr>
              <w:jc w:val="center"/>
              <w:rPr>
                <w:rFonts w:hint="eastAsia" w:ascii="宋体" w:hAnsi="宋体" w:eastAsia="宋体" w:cs="宋体"/>
                <w:b w:val="0"/>
                <w:bCs w:val="0"/>
                <w:color w:val="auto"/>
                <w:kern w:val="0"/>
                <w:sz w:val="20"/>
                <w:szCs w:val="20"/>
                <w:highlight w:val="none"/>
                <w:lang w:val="en-US" w:eastAsia="zh-CN" w:bidi="ar-SA"/>
              </w:rPr>
            </w:pPr>
          </w:p>
        </w:tc>
      </w:tr>
      <w:tr w14:paraId="43262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3E65258">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389</w:t>
            </w:r>
          </w:p>
        </w:tc>
        <w:tc>
          <w:tcPr>
            <w:tcW w:w="720" w:type="dxa"/>
            <w:vMerge w:val="continue"/>
            <w:vAlign w:val="center"/>
          </w:tcPr>
          <w:p w14:paraId="4DC58757">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71A5115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药师审方干预</w:t>
            </w:r>
          </w:p>
        </w:tc>
        <w:tc>
          <w:tcPr>
            <w:tcW w:w="2058" w:type="dxa"/>
            <w:vAlign w:val="center"/>
          </w:tcPr>
          <w:p w14:paraId="626A317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药师开始/停止审方</w:t>
            </w:r>
          </w:p>
        </w:tc>
        <w:tc>
          <w:tcPr>
            <w:tcW w:w="4667" w:type="dxa"/>
            <w:vAlign w:val="center"/>
          </w:tcPr>
          <w:p w14:paraId="035E3CB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系统按照模块设置用户“开始审方”、“结束审方”的功能</w:t>
            </w:r>
          </w:p>
        </w:tc>
        <w:tc>
          <w:tcPr>
            <w:tcW w:w="733" w:type="dxa"/>
            <w:vMerge w:val="restart"/>
            <w:vAlign w:val="center"/>
          </w:tcPr>
          <w:p w14:paraId="4522AA2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7D796966">
            <w:pPr>
              <w:keepNext w:val="0"/>
              <w:keepLines w:val="0"/>
              <w:widowControl/>
              <w:suppressLineNumbers w:val="0"/>
              <w:jc w:val="center"/>
              <w:textAlignment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9.5</w:t>
            </w:r>
          </w:p>
        </w:tc>
      </w:tr>
      <w:tr w14:paraId="38668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FFB30F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390</w:t>
            </w:r>
          </w:p>
        </w:tc>
        <w:tc>
          <w:tcPr>
            <w:tcW w:w="720" w:type="dxa"/>
            <w:vMerge w:val="continue"/>
            <w:vAlign w:val="center"/>
          </w:tcPr>
          <w:p w14:paraId="6100EC4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B867AE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16B4E7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处方审核超时功能</w:t>
            </w:r>
          </w:p>
        </w:tc>
        <w:tc>
          <w:tcPr>
            <w:tcW w:w="4667" w:type="dxa"/>
            <w:vAlign w:val="center"/>
          </w:tcPr>
          <w:p w14:paraId="1F59F2F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用户可设置处方/医嘱审核的超时时间，系统对于超过预设时间未经药师人工审核的处方/医嘱有系统标识通过</w:t>
            </w:r>
          </w:p>
        </w:tc>
        <w:tc>
          <w:tcPr>
            <w:tcW w:w="733" w:type="dxa"/>
            <w:vMerge w:val="continue"/>
            <w:vAlign w:val="center"/>
          </w:tcPr>
          <w:p w14:paraId="29EBDF8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01BBD22">
            <w:pPr>
              <w:jc w:val="center"/>
              <w:rPr>
                <w:rFonts w:hint="eastAsia" w:ascii="宋体" w:hAnsi="宋体" w:eastAsia="宋体" w:cs="宋体"/>
                <w:b w:val="0"/>
                <w:bCs w:val="0"/>
                <w:color w:val="auto"/>
                <w:kern w:val="0"/>
                <w:sz w:val="20"/>
                <w:szCs w:val="20"/>
                <w:highlight w:val="none"/>
                <w:lang w:val="en-US" w:eastAsia="zh-CN" w:bidi="ar-SA"/>
              </w:rPr>
            </w:pPr>
          </w:p>
        </w:tc>
      </w:tr>
      <w:tr w14:paraId="178FA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BF0EAA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391</w:t>
            </w:r>
          </w:p>
        </w:tc>
        <w:tc>
          <w:tcPr>
            <w:tcW w:w="720" w:type="dxa"/>
            <w:vMerge w:val="continue"/>
            <w:vAlign w:val="center"/>
          </w:tcPr>
          <w:p w14:paraId="1B04BF0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23E2D5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673BE1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处方优先审核功能</w:t>
            </w:r>
          </w:p>
        </w:tc>
        <w:tc>
          <w:tcPr>
            <w:tcW w:w="4667" w:type="dxa"/>
            <w:vAlign w:val="center"/>
          </w:tcPr>
          <w:p w14:paraId="7D36D91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支持审方任务的自动分配，系统可以设置处方/医嘱的优先顺序以及按科室审核的功能</w:t>
            </w:r>
          </w:p>
        </w:tc>
        <w:tc>
          <w:tcPr>
            <w:tcW w:w="733" w:type="dxa"/>
            <w:vMerge w:val="continue"/>
            <w:vAlign w:val="center"/>
          </w:tcPr>
          <w:p w14:paraId="522123F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C600F6B">
            <w:pPr>
              <w:jc w:val="center"/>
              <w:rPr>
                <w:rFonts w:hint="eastAsia" w:ascii="宋体" w:hAnsi="宋体" w:eastAsia="宋体" w:cs="宋体"/>
                <w:b w:val="0"/>
                <w:bCs w:val="0"/>
                <w:color w:val="auto"/>
                <w:kern w:val="0"/>
                <w:sz w:val="20"/>
                <w:szCs w:val="20"/>
                <w:highlight w:val="none"/>
                <w:lang w:val="en-US" w:eastAsia="zh-CN" w:bidi="ar-SA"/>
              </w:rPr>
            </w:pPr>
          </w:p>
        </w:tc>
      </w:tr>
      <w:tr w14:paraId="70E1E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88FD5B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392</w:t>
            </w:r>
          </w:p>
        </w:tc>
        <w:tc>
          <w:tcPr>
            <w:tcW w:w="720" w:type="dxa"/>
            <w:vMerge w:val="continue"/>
            <w:vAlign w:val="center"/>
          </w:tcPr>
          <w:p w14:paraId="421EDE5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ED7DA4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D456D9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审核意见模板设置功能</w:t>
            </w:r>
          </w:p>
        </w:tc>
        <w:tc>
          <w:tcPr>
            <w:tcW w:w="4667" w:type="dxa"/>
            <w:vAlign w:val="center"/>
          </w:tcPr>
          <w:p w14:paraId="560B4AC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用户可设置常用的审核意见模板</w:t>
            </w:r>
          </w:p>
        </w:tc>
        <w:tc>
          <w:tcPr>
            <w:tcW w:w="733" w:type="dxa"/>
            <w:vMerge w:val="continue"/>
            <w:vAlign w:val="center"/>
          </w:tcPr>
          <w:p w14:paraId="3288C2D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EBCAE59">
            <w:pPr>
              <w:jc w:val="center"/>
              <w:rPr>
                <w:rFonts w:hint="eastAsia" w:ascii="宋体" w:hAnsi="宋体" w:eastAsia="宋体" w:cs="宋体"/>
                <w:b w:val="0"/>
                <w:bCs w:val="0"/>
                <w:color w:val="auto"/>
                <w:kern w:val="0"/>
                <w:sz w:val="20"/>
                <w:szCs w:val="20"/>
                <w:highlight w:val="none"/>
                <w:lang w:val="en-US" w:eastAsia="zh-CN" w:bidi="ar-SA"/>
              </w:rPr>
            </w:pPr>
          </w:p>
        </w:tc>
      </w:tr>
      <w:tr w14:paraId="259CE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548EE5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393</w:t>
            </w:r>
          </w:p>
        </w:tc>
        <w:tc>
          <w:tcPr>
            <w:tcW w:w="720" w:type="dxa"/>
            <w:vMerge w:val="continue"/>
            <w:vAlign w:val="center"/>
          </w:tcPr>
          <w:p w14:paraId="662842D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515775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6A506C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门急诊药师审方</w:t>
            </w:r>
          </w:p>
        </w:tc>
        <w:tc>
          <w:tcPr>
            <w:tcW w:w="4667" w:type="dxa"/>
            <w:vAlign w:val="center"/>
          </w:tcPr>
          <w:p w14:paraId="6911694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帮助药师在患者缴费前完成门诊处方实时审查。系统先自动审查出问题处方，再由药师人工审查，审查过程（审核通过、打回、提醒）中药师可以与医生实时互动，直到处方通过，交流过程可设置常用询问意见模板</w:t>
            </w:r>
          </w:p>
        </w:tc>
        <w:tc>
          <w:tcPr>
            <w:tcW w:w="733" w:type="dxa"/>
            <w:vMerge w:val="continue"/>
            <w:vAlign w:val="center"/>
          </w:tcPr>
          <w:p w14:paraId="44F27D3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E2E3AE1">
            <w:pPr>
              <w:jc w:val="center"/>
              <w:rPr>
                <w:rFonts w:hint="eastAsia" w:ascii="宋体" w:hAnsi="宋体" w:eastAsia="宋体" w:cs="宋体"/>
                <w:b w:val="0"/>
                <w:bCs w:val="0"/>
                <w:color w:val="auto"/>
                <w:kern w:val="0"/>
                <w:sz w:val="20"/>
                <w:szCs w:val="20"/>
                <w:highlight w:val="none"/>
                <w:lang w:val="en-US" w:eastAsia="zh-CN" w:bidi="ar-SA"/>
              </w:rPr>
            </w:pPr>
          </w:p>
        </w:tc>
      </w:tr>
      <w:tr w14:paraId="598C1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130698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394</w:t>
            </w:r>
          </w:p>
        </w:tc>
        <w:tc>
          <w:tcPr>
            <w:tcW w:w="720" w:type="dxa"/>
            <w:vMerge w:val="continue"/>
            <w:vAlign w:val="center"/>
          </w:tcPr>
          <w:p w14:paraId="1C3369E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2375BA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C6BECA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住院药师审方</w:t>
            </w:r>
          </w:p>
        </w:tc>
        <w:tc>
          <w:tcPr>
            <w:tcW w:w="4667" w:type="dxa"/>
            <w:vAlign w:val="center"/>
          </w:tcPr>
          <w:p w14:paraId="55452EA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帮助药师在护士领药前完成住院医嘱审查。系统应能区分临时医嘱和长期医嘱。对于长期医嘱，系统应能区分新开立医嘱和原医嘱。系统先自动审查出问题医嘱，再由药师人工审查，审查过程（审核通过、打回、提醒）中药师可以与医生实时互动，直到医嘱通过，交流过程可设置常用询问意见模板</w:t>
            </w:r>
          </w:p>
        </w:tc>
        <w:tc>
          <w:tcPr>
            <w:tcW w:w="733" w:type="dxa"/>
            <w:vMerge w:val="continue"/>
            <w:vAlign w:val="center"/>
          </w:tcPr>
          <w:p w14:paraId="03CA41E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C95929B">
            <w:pPr>
              <w:jc w:val="center"/>
              <w:rPr>
                <w:rFonts w:hint="eastAsia" w:ascii="宋体" w:hAnsi="宋体" w:eastAsia="宋体" w:cs="宋体"/>
                <w:b w:val="0"/>
                <w:bCs w:val="0"/>
                <w:color w:val="auto"/>
                <w:kern w:val="0"/>
                <w:sz w:val="20"/>
                <w:szCs w:val="20"/>
                <w:highlight w:val="none"/>
                <w:lang w:val="en-US" w:eastAsia="zh-CN" w:bidi="ar-SA"/>
              </w:rPr>
            </w:pPr>
          </w:p>
        </w:tc>
      </w:tr>
      <w:tr w14:paraId="61C58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51AFA7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395</w:t>
            </w:r>
          </w:p>
        </w:tc>
        <w:tc>
          <w:tcPr>
            <w:tcW w:w="720" w:type="dxa"/>
            <w:vMerge w:val="continue"/>
            <w:vAlign w:val="center"/>
          </w:tcPr>
          <w:p w14:paraId="16288F2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CC29DA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71EC11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查看全部处方或医嘱</w:t>
            </w:r>
          </w:p>
        </w:tc>
        <w:tc>
          <w:tcPr>
            <w:tcW w:w="4667" w:type="dxa"/>
            <w:vAlign w:val="center"/>
          </w:tcPr>
          <w:p w14:paraId="2E9190C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支持查看进入审方系统的全部处方或医嘱，包括人工审核通过及打回的处方/医嘱以及系统自动通过的处方/医嘱</w:t>
            </w:r>
          </w:p>
        </w:tc>
        <w:tc>
          <w:tcPr>
            <w:tcW w:w="733" w:type="dxa"/>
            <w:vMerge w:val="continue"/>
            <w:vAlign w:val="center"/>
          </w:tcPr>
          <w:p w14:paraId="69E3B7D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29FE090">
            <w:pPr>
              <w:jc w:val="center"/>
              <w:rPr>
                <w:rFonts w:hint="eastAsia" w:ascii="宋体" w:hAnsi="宋体" w:eastAsia="宋体" w:cs="宋体"/>
                <w:b w:val="0"/>
                <w:bCs w:val="0"/>
                <w:color w:val="auto"/>
                <w:kern w:val="0"/>
                <w:sz w:val="20"/>
                <w:szCs w:val="20"/>
                <w:highlight w:val="none"/>
                <w:lang w:val="en-US" w:eastAsia="zh-CN" w:bidi="ar-SA"/>
              </w:rPr>
            </w:pPr>
          </w:p>
        </w:tc>
      </w:tr>
      <w:tr w14:paraId="38C85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1D21A5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396</w:t>
            </w:r>
          </w:p>
        </w:tc>
        <w:tc>
          <w:tcPr>
            <w:tcW w:w="720" w:type="dxa"/>
            <w:vMerge w:val="continue"/>
            <w:vAlign w:val="center"/>
          </w:tcPr>
          <w:p w14:paraId="6AEF88A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4A256C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A29F9F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药师审方工作统计</w:t>
            </w:r>
          </w:p>
        </w:tc>
        <w:tc>
          <w:tcPr>
            <w:tcW w:w="4667" w:type="dxa"/>
            <w:vAlign w:val="center"/>
          </w:tcPr>
          <w:p w14:paraId="4724D8E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支持药师审方工作统计功能，包括审方药师审核处方（医嘱）数、审查次数、干预次数、干预成功次数、干预失败次数</w:t>
            </w:r>
          </w:p>
        </w:tc>
        <w:tc>
          <w:tcPr>
            <w:tcW w:w="733" w:type="dxa"/>
            <w:vMerge w:val="continue"/>
            <w:vAlign w:val="center"/>
          </w:tcPr>
          <w:p w14:paraId="3F5ABE8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A3032CB">
            <w:pPr>
              <w:jc w:val="center"/>
              <w:rPr>
                <w:rFonts w:hint="eastAsia" w:ascii="宋体" w:hAnsi="宋体" w:eastAsia="宋体" w:cs="宋体"/>
                <w:b w:val="0"/>
                <w:bCs w:val="0"/>
                <w:color w:val="auto"/>
                <w:kern w:val="0"/>
                <w:sz w:val="20"/>
                <w:szCs w:val="20"/>
                <w:highlight w:val="none"/>
                <w:lang w:val="en-US" w:eastAsia="zh-CN" w:bidi="ar-SA"/>
              </w:rPr>
            </w:pPr>
          </w:p>
        </w:tc>
      </w:tr>
      <w:tr w14:paraId="70F50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DDE78E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397</w:t>
            </w:r>
          </w:p>
        </w:tc>
        <w:tc>
          <w:tcPr>
            <w:tcW w:w="720" w:type="dxa"/>
            <w:vMerge w:val="continue"/>
            <w:vAlign w:val="center"/>
          </w:tcPr>
          <w:p w14:paraId="072E3314">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76C4585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处方点评系统</w:t>
            </w:r>
          </w:p>
        </w:tc>
        <w:tc>
          <w:tcPr>
            <w:tcW w:w="2058" w:type="dxa"/>
            <w:vAlign w:val="center"/>
          </w:tcPr>
          <w:p w14:paraId="46B0293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处方点评预处理</w:t>
            </w:r>
          </w:p>
        </w:tc>
        <w:tc>
          <w:tcPr>
            <w:tcW w:w="4667" w:type="dxa"/>
            <w:vAlign w:val="center"/>
          </w:tcPr>
          <w:p w14:paraId="0E6FD7F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可根据多重条件，抽取已审核处方/医嘱供药学管理人员进行回顾性分析评价，并可根据审核结果生成评价报表</w:t>
            </w:r>
          </w:p>
        </w:tc>
        <w:tc>
          <w:tcPr>
            <w:tcW w:w="733" w:type="dxa"/>
            <w:vAlign w:val="center"/>
          </w:tcPr>
          <w:p w14:paraId="52828AA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2ACF146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2</w:t>
            </w:r>
          </w:p>
        </w:tc>
      </w:tr>
      <w:tr w14:paraId="0BB06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C1A833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398</w:t>
            </w:r>
          </w:p>
        </w:tc>
        <w:tc>
          <w:tcPr>
            <w:tcW w:w="720" w:type="dxa"/>
            <w:vMerge w:val="continue"/>
            <w:vAlign w:val="center"/>
          </w:tcPr>
          <w:p w14:paraId="3BF9697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B48BD2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restart"/>
            <w:vAlign w:val="center"/>
          </w:tcPr>
          <w:p w14:paraId="58ABABF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点评不规范处方</w:t>
            </w:r>
          </w:p>
        </w:tc>
        <w:tc>
          <w:tcPr>
            <w:tcW w:w="4667" w:type="dxa"/>
            <w:vAlign w:val="center"/>
          </w:tcPr>
          <w:p w14:paraId="2336FD4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全处方的前记、正文、后记内容缺项，书写不规范或者字迹难以辨认的；此项不作判断，由用户人工点评确认。</w:t>
            </w:r>
          </w:p>
        </w:tc>
        <w:tc>
          <w:tcPr>
            <w:tcW w:w="733" w:type="dxa"/>
            <w:vMerge w:val="restart"/>
            <w:vAlign w:val="center"/>
          </w:tcPr>
          <w:p w14:paraId="0E95D73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71E12D8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9</w:t>
            </w:r>
          </w:p>
        </w:tc>
      </w:tr>
      <w:tr w14:paraId="7E389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9FB840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399</w:t>
            </w:r>
          </w:p>
        </w:tc>
        <w:tc>
          <w:tcPr>
            <w:tcW w:w="720" w:type="dxa"/>
            <w:vMerge w:val="continue"/>
            <w:vAlign w:val="center"/>
          </w:tcPr>
          <w:p w14:paraId="100F767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FE25DEF">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5950BED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4C2A21F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医师签名、签章不规范或者与签名、签章的留样不一致的；此项不作判断，由用户人工点评确认。</w:t>
            </w:r>
          </w:p>
        </w:tc>
        <w:tc>
          <w:tcPr>
            <w:tcW w:w="733" w:type="dxa"/>
            <w:vMerge w:val="continue"/>
            <w:vAlign w:val="center"/>
          </w:tcPr>
          <w:p w14:paraId="0C77015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8D0586F">
            <w:pPr>
              <w:jc w:val="center"/>
              <w:rPr>
                <w:rFonts w:hint="eastAsia" w:ascii="宋体" w:hAnsi="宋体" w:eastAsia="宋体" w:cs="宋体"/>
                <w:b w:val="0"/>
                <w:bCs w:val="0"/>
                <w:color w:val="auto"/>
                <w:kern w:val="0"/>
                <w:sz w:val="20"/>
                <w:szCs w:val="20"/>
                <w:highlight w:val="none"/>
                <w:lang w:val="en-US" w:eastAsia="zh-CN" w:bidi="ar-SA"/>
              </w:rPr>
            </w:pPr>
          </w:p>
        </w:tc>
      </w:tr>
      <w:tr w14:paraId="75F02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DC1973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400</w:t>
            </w:r>
          </w:p>
        </w:tc>
        <w:tc>
          <w:tcPr>
            <w:tcW w:w="720" w:type="dxa"/>
            <w:vMerge w:val="continue"/>
            <w:vAlign w:val="center"/>
          </w:tcPr>
          <w:p w14:paraId="2B1EBAC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5F2B92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1334EE4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688F69C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 xml:space="preserve"> 药师未对处方进行适宜性审核的（处方后记的审核、调配、核对、发药栏目无审核调配药师及核对发药药师签名，或者单人值班调剂未执行双签名规定）；</w:t>
            </w:r>
            <w:r>
              <w:rPr>
                <w:rFonts w:hint="eastAsia" w:ascii="宋体" w:hAnsi="宋体" w:eastAsia="宋体" w:cs="宋体"/>
                <w:b w:val="0"/>
                <w:bCs w:val="0"/>
                <w:color w:val="auto"/>
                <w:kern w:val="0"/>
                <w:sz w:val="20"/>
                <w:szCs w:val="20"/>
                <w:highlight w:val="none"/>
                <w:lang w:val="en-US" w:eastAsia="zh-CN"/>
              </w:rPr>
              <w:br w:type="textWrapping"/>
            </w:r>
            <w:r>
              <w:rPr>
                <w:rFonts w:hint="eastAsia" w:ascii="宋体" w:hAnsi="宋体" w:eastAsia="宋体" w:cs="宋体"/>
                <w:b w:val="0"/>
                <w:bCs w:val="0"/>
                <w:color w:val="auto"/>
                <w:kern w:val="0"/>
                <w:sz w:val="20"/>
                <w:szCs w:val="20"/>
                <w:highlight w:val="none"/>
                <w:lang w:val="en-US" w:eastAsia="zh-CN"/>
              </w:rPr>
              <w:t>处方中审核药师、调配药师、核对药师、发药药师有一字段内容为空，系统判断为问题。</w:t>
            </w:r>
          </w:p>
        </w:tc>
        <w:tc>
          <w:tcPr>
            <w:tcW w:w="733" w:type="dxa"/>
            <w:vMerge w:val="continue"/>
            <w:vAlign w:val="center"/>
          </w:tcPr>
          <w:p w14:paraId="46992AA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08C04FD">
            <w:pPr>
              <w:jc w:val="center"/>
              <w:rPr>
                <w:rFonts w:hint="eastAsia" w:ascii="宋体" w:hAnsi="宋体" w:eastAsia="宋体" w:cs="宋体"/>
                <w:b w:val="0"/>
                <w:bCs w:val="0"/>
                <w:color w:val="auto"/>
                <w:kern w:val="0"/>
                <w:sz w:val="20"/>
                <w:szCs w:val="20"/>
                <w:highlight w:val="none"/>
                <w:lang w:val="en-US" w:eastAsia="zh-CN" w:bidi="ar-SA"/>
              </w:rPr>
            </w:pPr>
          </w:p>
        </w:tc>
      </w:tr>
      <w:tr w14:paraId="07D16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28E582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401</w:t>
            </w:r>
          </w:p>
        </w:tc>
        <w:tc>
          <w:tcPr>
            <w:tcW w:w="720" w:type="dxa"/>
            <w:vMerge w:val="continue"/>
            <w:vAlign w:val="center"/>
          </w:tcPr>
          <w:p w14:paraId="7160BE5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7BD305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77BF4A8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745B15A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全新生儿、婴幼儿处方未写明日、月龄的；此项不作判断，由用户人工点评确认。</w:t>
            </w:r>
          </w:p>
        </w:tc>
        <w:tc>
          <w:tcPr>
            <w:tcW w:w="733" w:type="dxa"/>
            <w:vMerge w:val="continue"/>
            <w:vAlign w:val="center"/>
          </w:tcPr>
          <w:p w14:paraId="47064A6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AA16837">
            <w:pPr>
              <w:jc w:val="center"/>
              <w:rPr>
                <w:rFonts w:hint="eastAsia" w:ascii="宋体" w:hAnsi="宋体" w:eastAsia="宋体" w:cs="宋体"/>
                <w:b w:val="0"/>
                <w:bCs w:val="0"/>
                <w:color w:val="auto"/>
                <w:kern w:val="0"/>
                <w:sz w:val="20"/>
                <w:szCs w:val="20"/>
                <w:highlight w:val="none"/>
                <w:lang w:val="en-US" w:eastAsia="zh-CN" w:bidi="ar-SA"/>
              </w:rPr>
            </w:pPr>
          </w:p>
        </w:tc>
      </w:tr>
      <w:tr w14:paraId="068C3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FC9B941">
            <w:pPr>
              <w:keepNext w:val="0"/>
              <w:keepLines w:val="0"/>
              <w:widowControl/>
              <w:suppressLineNumbers w:val="0"/>
              <w:jc w:val="right"/>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402</w:t>
            </w:r>
          </w:p>
        </w:tc>
        <w:tc>
          <w:tcPr>
            <w:tcW w:w="720" w:type="dxa"/>
            <w:vMerge w:val="continue"/>
            <w:vAlign w:val="center"/>
          </w:tcPr>
          <w:p w14:paraId="229A6E0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A022A3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031A27E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6E0B5A1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西药、中成药与中药饮片未分别开具处方的； 处方中同时存在西药、中成药、草药时，系统判断为问题。</w:t>
            </w:r>
          </w:p>
        </w:tc>
        <w:tc>
          <w:tcPr>
            <w:tcW w:w="733" w:type="dxa"/>
            <w:vMerge w:val="continue"/>
            <w:vAlign w:val="center"/>
          </w:tcPr>
          <w:p w14:paraId="6BF774B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9E6BE8F">
            <w:pPr>
              <w:jc w:val="center"/>
              <w:rPr>
                <w:rFonts w:hint="eastAsia" w:ascii="宋体" w:hAnsi="宋体" w:eastAsia="宋体" w:cs="宋体"/>
                <w:b w:val="0"/>
                <w:bCs w:val="0"/>
                <w:color w:val="auto"/>
                <w:kern w:val="0"/>
                <w:sz w:val="20"/>
                <w:szCs w:val="20"/>
                <w:highlight w:val="none"/>
                <w:lang w:val="en-US" w:eastAsia="zh-CN" w:bidi="ar-SA"/>
              </w:rPr>
            </w:pPr>
          </w:p>
        </w:tc>
      </w:tr>
      <w:tr w14:paraId="2864B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EB95629">
            <w:pPr>
              <w:keepNext w:val="0"/>
              <w:keepLines w:val="0"/>
              <w:widowControl/>
              <w:suppressLineNumbers w:val="0"/>
              <w:jc w:val="right"/>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403</w:t>
            </w:r>
          </w:p>
        </w:tc>
        <w:tc>
          <w:tcPr>
            <w:tcW w:w="720" w:type="dxa"/>
            <w:vMerge w:val="continue"/>
            <w:vAlign w:val="center"/>
          </w:tcPr>
          <w:p w14:paraId="43AA9E8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701C10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7AF7B05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17AEB49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未使用药品规范名称开具处方的； 此项不作判断，由用户人工点评确认。</w:t>
            </w:r>
          </w:p>
        </w:tc>
        <w:tc>
          <w:tcPr>
            <w:tcW w:w="733" w:type="dxa"/>
            <w:vMerge w:val="continue"/>
            <w:vAlign w:val="center"/>
          </w:tcPr>
          <w:p w14:paraId="7135AA3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13D38B2">
            <w:pPr>
              <w:jc w:val="center"/>
              <w:rPr>
                <w:rFonts w:hint="eastAsia" w:ascii="宋体" w:hAnsi="宋体" w:eastAsia="宋体" w:cs="宋体"/>
                <w:b w:val="0"/>
                <w:bCs w:val="0"/>
                <w:color w:val="auto"/>
                <w:kern w:val="0"/>
                <w:sz w:val="20"/>
                <w:szCs w:val="20"/>
                <w:highlight w:val="none"/>
                <w:lang w:val="en-US" w:eastAsia="zh-CN" w:bidi="ar-SA"/>
              </w:rPr>
            </w:pPr>
          </w:p>
        </w:tc>
      </w:tr>
      <w:tr w14:paraId="12808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3B14FA1">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404</w:t>
            </w:r>
          </w:p>
        </w:tc>
        <w:tc>
          <w:tcPr>
            <w:tcW w:w="720" w:type="dxa"/>
            <w:vMerge w:val="continue"/>
            <w:vAlign w:val="center"/>
          </w:tcPr>
          <w:p w14:paraId="306F96F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59F842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6418413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3017DFD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药品的剂量、规格、数量、单位等书写不规范或不清楚的； 处方的药品名称、规格、剂量、剂量单位、用药天数有一字段内容为空，系统判断为问题。</w:t>
            </w:r>
          </w:p>
        </w:tc>
        <w:tc>
          <w:tcPr>
            <w:tcW w:w="733" w:type="dxa"/>
            <w:vMerge w:val="continue"/>
            <w:vAlign w:val="center"/>
          </w:tcPr>
          <w:p w14:paraId="3DC16DD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C9E73AA">
            <w:pPr>
              <w:jc w:val="center"/>
              <w:rPr>
                <w:rFonts w:hint="eastAsia" w:ascii="宋体" w:hAnsi="宋体" w:eastAsia="宋体" w:cs="宋体"/>
                <w:b w:val="0"/>
                <w:bCs w:val="0"/>
                <w:color w:val="auto"/>
                <w:kern w:val="0"/>
                <w:sz w:val="20"/>
                <w:szCs w:val="20"/>
                <w:highlight w:val="none"/>
                <w:lang w:val="en-US" w:eastAsia="zh-CN" w:bidi="ar-SA"/>
              </w:rPr>
            </w:pPr>
          </w:p>
        </w:tc>
      </w:tr>
      <w:tr w14:paraId="052A8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31178C1">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405</w:t>
            </w:r>
          </w:p>
        </w:tc>
        <w:tc>
          <w:tcPr>
            <w:tcW w:w="720" w:type="dxa"/>
            <w:vMerge w:val="continue"/>
            <w:vAlign w:val="center"/>
          </w:tcPr>
          <w:p w14:paraId="36067DB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99E9D2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1538102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4167D57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用法、用量使用“遵医嘱”、“自用”等含糊不清字句的； 药品剂量、给药途径、频次、用药天数中有一字段内容含有“遵医嘱”、“自用”等字句时，系统判断为问题。</w:t>
            </w:r>
          </w:p>
        </w:tc>
        <w:tc>
          <w:tcPr>
            <w:tcW w:w="733" w:type="dxa"/>
            <w:vMerge w:val="continue"/>
            <w:vAlign w:val="center"/>
          </w:tcPr>
          <w:p w14:paraId="7511B17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89479FE">
            <w:pPr>
              <w:jc w:val="center"/>
              <w:rPr>
                <w:rFonts w:hint="eastAsia" w:ascii="宋体" w:hAnsi="宋体" w:eastAsia="宋体" w:cs="宋体"/>
                <w:b w:val="0"/>
                <w:bCs w:val="0"/>
                <w:color w:val="auto"/>
                <w:kern w:val="0"/>
                <w:sz w:val="20"/>
                <w:szCs w:val="20"/>
                <w:highlight w:val="none"/>
                <w:lang w:val="en-US" w:eastAsia="zh-CN" w:bidi="ar-SA"/>
              </w:rPr>
            </w:pPr>
          </w:p>
        </w:tc>
      </w:tr>
      <w:tr w14:paraId="597FD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2E9A6AA">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406</w:t>
            </w:r>
          </w:p>
        </w:tc>
        <w:tc>
          <w:tcPr>
            <w:tcW w:w="720" w:type="dxa"/>
            <w:vMerge w:val="continue"/>
            <w:vAlign w:val="center"/>
          </w:tcPr>
          <w:p w14:paraId="3CC4953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BEFE79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4798135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7CF04DF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处方修改未签名并注明修改日期，或药品超剂量使用未注明原因和再次签名的；此项不作判断，由用户人工点评确认。</w:t>
            </w:r>
          </w:p>
        </w:tc>
        <w:tc>
          <w:tcPr>
            <w:tcW w:w="733" w:type="dxa"/>
            <w:vMerge w:val="continue"/>
            <w:vAlign w:val="center"/>
          </w:tcPr>
          <w:p w14:paraId="0178C7D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6618D46">
            <w:pPr>
              <w:jc w:val="center"/>
              <w:rPr>
                <w:rFonts w:hint="eastAsia" w:ascii="宋体" w:hAnsi="宋体" w:eastAsia="宋体" w:cs="宋体"/>
                <w:b w:val="0"/>
                <w:bCs w:val="0"/>
                <w:color w:val="auto"/>
                <w:kern w:val="0"/>
                <w:sz w:val="20"/>
                <w:szCs w:val="20"/>
                <w:highlight w:val="none"/>
                <w:lang w:val="en-US" w:eastAsia="zh-CN" w:bidi="ar-SA"/>
              </w:rPr>
            </w:pPr>
          </w:p>
        </w:tc>
      </w:tr>
      <w:tr w14:paraId="4B94D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57CA2B3">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407</w:t>
            </w:r>
          </w:p>
        </w:tc>
        <w:tc>
          <w:tcPr>
            <w:tcW w:w="720" w:type="dxa"/>
            <w:vMerge w:val="continue"/>
            <w:vAlign w:val="center"/>
          </w:tcPr>
          <w:p w14:paraId="6DDD0F6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23647A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0C7DD6F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471A7BB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开具处方未写临床诊断或临床诊断书写不全的； 处方中的诊断字段内容为空，系统判断为问题。</w:t>
            </w:r>
          </w:p>
        </w:tc>
        <w:tc>
          <w:tcPr>
            <w:tcW w:w="733" w:type="dxa"/>
            <w:vMerge w:val="continue"/>
            <w:vAlign w:val="center"/>
          </w:tcPr>
          <w:p w14:paraId="3F078BA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395B064">
            <w:pPr>
              <w:jc w:val="center"/>
              <w:rPr>
                <w:rFonts w:hint="eastAsia" w:ascii="宋体" w:hAnsi="宋体" w:eastAsia="宋体" w:cs="宋体"/>
                <w:b w:val="0"/>
                <w:bCs w:val="0"/>
                <w:color w:val="auto"/>
                <w:kern w:val="0"/>
                <w:sz w:val="20"/>
                <w:szCs w:val="20"/>
                <w:highlight w:val="none"/>
                <w:lang w:val="en-US" w:eastAsia="zh-CN" w:bidi="ar-SA"/>
              </w:rPr>
            </w:pPr>
          </w:p>
        </w:tc>
      </w:tr>
      <w:tr w14:paraId="49AB9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ABC6F6D">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408</w:t>
            </w:r>
          </w:p>
        </w:tc>
        <w:tc>
          <w:tcPr>
            <w:tcW w:w="720" w:type="dxa"/>
            <w:vMerge w:val="continue"/>
            <w:vAlign w:val="center"/>
          </w:tcPr>
          <w:p w14:paraId="2375DA0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4E0233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375F896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10798D9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单张门急诊处方超过五种药品的；药品品种按照用户提供的药品通用名进行统计，单张处方中药品品种数＞5，系统判断为问题。</w:t>
            </w:r>
          </w:p>
        </w:tc>
        <w:tc>
          <w:tcPr>
            <w:tcW w:w="733" w:type="dxa"/>
            <w:vMerge w:val="continue"/>
            <w:vAlign w:val="center"/>
          </w:tcPr>
          <w:p w14:paraId="590616F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3379863">
            <w:pPr>
              <w:jc w:val="center"/>
              <w:rPr>
                <w:rFonts w:hint="eastAsia" w:ascii="宋体" w:hAnsi="宋体" w:eastAsia="宋体" w:cs="宋体"/>
                <w:b w:val="0"/>
                <w:bCs w:val="0"/>
                <w:color w:val="auto"/>
                <w:kern w:val="0"/>
                <w:sz w:val="20"/>
                <w:szCs w:val="20"/>
                <w:highlight w:val="none"/>
                <w:lang w:val="en-US" w:eastAsia="zh-CN" w:bidi="ar-SA"/>
              </w:rPr>
            </w:pPr>
          </w:p>
        </w:tc>
      </w:tr>
      <w:tr w14:paraId="05FB7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48A1D10">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409</w:t>
            </w:r>
          </w:p>
        </w:tc>
        <w:tc>
          <w:tcPr>
            <w:tcW w:w="720" w:type="dxa"/>
            <w:vMerge w:val="continue"/>
            <w:vAlign w:val="center"/>
          </w:tcPr>
          <w:p w14:paraId="39DE1E9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0D3EFB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6294A6F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6847CB4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无特殊情况下，门诊处方超过7日用量，急诊处方超过3日用量，慢性病、老年病或特殊情况下需要适当延长处方用量未注明理由 门诊、急诊处方用药天数超过规定天数且未注明理由时，即用药理由字段内容为空，系统判断为问题</w:t>
            </w:r>
          </w:p>
        </w:tc>
        <w:tc>
          <w:tcPr>
            <w:tcW w:w="733" w:type="dxa"/>
            <w:vMerge w:val="continue"/>
            <w:vAlign w:val="center"/>
          </w:tcPr>
          <w:p w14:paraId="207852C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15E5922">
            <w:pPr>
              <w:jc w:val="center"/>
              <w:rPr>
                <w:rFonts w:hint="eastAsia" w:ascii="宋体" w:hAnsi="宋体" w:eastAsia="宋体" w:cs="宋体"/>
                <w:b w:val="0"/>
                <w:bCs w:val="0"/>
                <w:color w:val="auto"/>
                <w:kern w:val="0"/>
                <w:sz w:val="20"/>
                <w:szCs w:val="20"/>
                <w:highlight w:val="none"/>
                <w:lang w:val="en-US" w:eastAsia="zh-CN" w:bidi="ar-SA"/>
              </w:rPr>
            </w:pPr>
          </w:p>
        </w:tc>
      </w:tr>
      <w:tr w14:paraId="6336A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9D4EC0E">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410</w:t>
            </w:r>
          </w:p>
        </w:tc>
        <w:tc>
          <w:tcPr>
            <w:tcW w:w="720" w:type="dxa"/>
            <w:vMerge w:val="continue"/>
            <w:vAlign w:val="center"/>
          </w:tcPr>
          <w:p w14:paraId="353D935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3D9248F">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6DB59DF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520C200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开具麻醉药品、精神药品、医疗用毒性药品、放射性药品等特殊管理药品处方未执行国家有关规定</w:t>
            </w:r>
          </w:p>
        </w:tc>
        <w:tc>
          <w:tcPr>
            <w:tcW w:w="733" w:type="dxa"/>
            <w:vMerge w:val="continue"/>
            <w:vAlign w:val="center"/>
          </w:tcPr>
          <w:p w14:paraId="4149003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C3074D6">
            <w:pPr>
              <w:jc w:val="center"/>
              <w:rPr>
                <w:rFonts w:hint="eastAsia" w:ascii="宋体" w:hAnsi="宋体" w:eastAsia="宋体" w:cs="宋体"/>
                <w:b w:val="0"/>
                <w:bCs w:val="0"/>
                <w:color w:val="auto"/>
                <w:kern w:val="0"/>
                <w:sz w:val="20"/>
                <w:szCs w:val="20"/>
                <w:highlight w:val="none"/>
                <w:lang w:val="en-US" w:eastAsia="zh-CN" w:bidi="ar-SA"/>
              </w:rPr>
            </w:pPr>
          </w:p>
        </w:tc>
      </w:tr>
      <w:tr w14:paraId="64BEE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2546D48">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411</w:t>
            </w:r>
          </w:p>
        </w:tc>
        <w:tc>
          <w:tcPr>
            <w:tcW w:w="720" w:type="dxa"/>
            <w:vMerge w:val="continue"/>
            <w:vAlign w:val="center"/>
          </w:tcPr>
          <w:p w14:paraId="2FAFFD4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C8F9ED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2653D45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3B1A8FA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医师未按照抗菌药物临床应用管理规定开具抗菌药物处方根据医院设定的医生抗菌药物处方权限进行判断，有越级使用现象，系统判断为问题。</w:t>
            </w:r>
          </w:p>
        </w:tc>
        <w:tc>
          <w:tcPr>
            <w:tcW w:w="733" w:type="dxa"/>
            <w:vMerge w:val="continue"/>
            <w:vAlign w:val="center"/>
          </w:tcPr>
          <w:p w14:paraId="0671912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89D3717">
            <w:pPr>
              <w:jc w:val="center"/>
              <w:rPr>
                <w:rFonts w:hint="eastAsia" w:ascii="宋体" w:hAnsi="宋体" w:eastAsia="宋体" w:cs="宋体"/>
                <w:b w:val="0"/>
                <w:bCs w:val="0"/>
                <w:color w:val="auto"/>
                <w:kern w:val="0"/>
                <w:sz w:val="20"/>
                <w:szCs w:val="20"/>
                <w:highlight w:val="none"/>
                <w:lang w:val="en-US" w:eastAsia="zh-CN" w:bidi="ar-SA"/>
              </w:rPr>
            </w:pPr>
          </w:p>
        </w:tc>
      </w:tr>
      <w:tr w14:paraId="2F287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1BB6A0B">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412</w:t>
            </w:r>
          </w:p>
        </w:tc>
        <w:tc>
          <w:tcPr>
            <w:tcW w:w="720" w:type="dxa"/>
            <w:vMerge w:val="continue"/>
            <w:vAlign w:val="center"/>
          </w:tcPr>
          <w:p w14:paraId="13B41DF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A811BC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6533407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71633CC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中药饮片处方药物未按照“君、臣、佐、使”的顺序排列，或未按要求标注药物调剂、煎煮等特殊要求的。此项不作判断，由用户人工点评确认。</w:t>
            </w:r>
          </w:p>
        </w:tc>
        <w:tc>
          <w:tcPr>
            <w:tcW w:w="733" w:type="dxa"/>
            <w:vMerge w:val="continue"/>
            <w:vAlign w:val="center"/>
          </w:tcPr>
          <w:p w14:paraId="0E985D9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D98E502">
            <w:pPr>
              <w:jc w:val="center"/>
              <w:rPr>
                <w:rFonts w:hint="eastAsia" w:ascii="宋体" w:hAnsi="宋体" w:eastAsia="宋体" w:cs="宋体"/>
                <w:b w:val="0"/>
                <w:bCs w:val="0"/>
                <w:color w:val="auto"/>
                <w:kern w:val="0"/>
                <w:sz w:val="20"/>
                <w:szCs w:val="20"/>
                <w:highlight w:val="none"/>
                <w:lang w:val="en-US" w:eastAsia="zh-CN" w:bidi="ar-SA"/>
              </w:rPr>
            </w:pPr>
          </w:p>
        </w:tc>
      </w:tr>
      <w:tr w14:paraId="024C1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A1D1211">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413</w:t>
            </w:r>
          </w:p>
        </w:tc>
        <w:tc>
          <w:tcPr>
            <w:tcW w:w="720" w:type="dxa"/>
            <w:vMerge w:val="continue"/>
            <w:vAlign w:val="center"/>
          </w:tcPr>
          <w:p w14:paraId="01CBDF7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DCB0E2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restart"/>
            <w:vAlign w:val="center"/>
          </w:tcPr>
          <w:p w14:paraId="551D89C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点评用药不适宜处方</w:t>
            </w:r>
          </w:p>
        </w:tc>
        <w:tc>
          <w:tcPr>
            <w:tcW w:w="4667" w:type="dxa"/>
            <w:vAlign w:val="center"/>
          </w:tcPr>
          <w:p w14:paraId="60FF3FF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适应证不适宜 药品与诊断不相符，系统判断为问题。</w:t>
            </w:r>
          </w:p>
        </w:tc>
        <w:tc>
          <w:tcPr>
            <w:tcW w:w="733" w:type="dxa"/>
            <w:vMerge w:val="restart"/>
            <w:vAlign w:val="center"/>
          </w:tcPr>
          <w:p w14:paraId="3E27317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571F186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5</w:t>
            </w:r>
          </w:p>
        </w:tc>
      </w:tr>
      <w:tr w14:paraId="7EFC5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03047A6">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414</w:t>
            </w:r>
          </w:p>
        </w:tc>
        <w:tc>
          <w:tcPr>
            <w:tcW w:w="720" w:type="dxa"/>
            <w:vMerge w:val="continue"/>
            <w:vAlign w:val="center"/>
          </w:tcPr>
          <w:p w14:paraId="69CF6F1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1A7813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4844220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7EE7281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遴选的药品不适宜 诊断与药品存在禁忌症；特殊人群禁慎用（孕妇禁/慎用问题；哺乳期妇女禁/慎用问题；肝功能不用禁/慎用问题；肾功能不全禁/慎用问题）；年龄与性别禁慎用、过敏禁/慎用问题，系统判断为问题</w:t>
            </w:r>
          </w:p>
        </w:tc>
        <w:tc>
          <w:tcPr>
            <w:tcW w:w="733" w:type="dxa"/>
            <w:vMerge w:val="continue"/>
            <w:vAlign w:val="center"/>
          </w:tcPr>
          <w:p w14:paraId="698E2E8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0B9176F">
            <w:pPr>
              <w:jc w:val="center"/>
              <w:rPr>
                <w:rFonts w:hint="eastAsia" w:ascii="宋体" w:hAnsi="宋体" w:eastAsia="宋体" w:cs="宋体"/>
                <w:b w:val="0"/>
                <w:bCs w:val="0"/>
                <w:color w:val="auto"/>
                <w:kern w:val="0"/>
                <w:sz w:val="20"/>
                <w:szCs w:val="20"/>
                <w:highlight w:val="none"/>
                <w:lang w:val="en-US" w:eastAsia="zh-CN" w:bidi="ar-SA"/>
              </w:rPr>
            </w:pPr>
          </w:p>
        </w:tc>
      </w:tr>
      <w:tr w14:paraId="50A23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18EB2C1">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415</w:t>
            </w:r>
          </w:p>
        </w:tc>
        <w:tc>
          <w:tcPr>
            <w:tcW w:w="720" w:type="dxa"/>
            <w:vMerge w:val="continue"/>
            <w:vAlign w:val="center"/>
          </w:tcPr>
          <w:p w14:paraId="1302B46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989101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0D8CF64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378151D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药品剂型或给药途径不适宜 药品给药途径错误，或超过说明书规定范围的，系统判断为问题</w:t>
            </w:r>
          </w:p>
        </w:tc>
        <w:tc>
          <w:tcPr>
            <w:tcW w:w="733" w:type="dxa"/>
            <w:vMerge w:val="continue"/>
            <w:vAlign w:val="center"/>
          </w:tcPr>
          <w:p w14:paraId="286B5AB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AF3ADAF">
            <w:pPr>
              <w:jc w:val="center"/>
              <w:rPr>
                <w:rFonts w:hint="eastAsia" w:ascii="宋体" w:hAnsi="宋体" w:eastAsia="宋体" w:cs="宋体"/>
                <w:b w:val="0"/>
                <w:bCs w:val="0"/>
                <w:color w:val="auto"/>
                <w:kern w:val="0"/>
                <w:sz w:val="20"/>
                <w:szCs w:val="20"/>
                <w:highlight w:val="none"/>
                <w:lang w:val="en-US" w:eastAsia="zh-CN" w:bidi="ar-SA"/>
              </w:rPr>
            </w:pPr>
          </w:p>
        </w:tc>
      </w:tr>
      <w:tr w14:paraId="12476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124619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416</w:t>
            </w:r>
          </w:p>
        </w:tc>
        <w:tc>
          <w:tcPr>
            <w:tcW w:w="720" w:type="dxa"/>
            <w:vMerge w:val="continue"/>
            <w:vAlign w:val="center"/>
          </w:tcPr>
          <w:p w14:paraId="106A7E5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1F393D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03D0564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0C9EEDE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无正当理由不首选国家基本药物用法、用量不适宜联合用药不适宜重复给药有配伍禁忌或者不良相互作用其它用药不适宜情况</w:t>
            </w:r>
          </w:p>
        </w:tc>
        <w:tc>
          <w:tcPr>
            <w:tcW w:w="733" w:type="dxa"/>
            <w:vMerge w:val="continue"/>
            <w:vAlign w:val="center"/>
          </w:tcPr>
          <w:p w14:paraId="2561FC8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572EC5C">
            <w:pPr>
              <w:jc w:val="center"/>
              <w:rPr>
                <w:rFonts w:hint="eastAsia" w:ascii="宋体" w:hAnsi="宋体" w:eastAsia="宋体" w:cs="宋体"/>
                <w:b w:val="0"/>
                <w:bCs w:val="0"/>
                <w:color w:val="auto"/>
                <w:kern w:val="0"/>
                <w:sz w:val="20"/>
                <w:szCs w:val="20"/>
                <w:highlight w:val="none"/>
                <w:lang w:val="en-US" w:eastAsia="zh-CN" w:bidi="ar-SA"/>
              </w:rPr>
            </w:pPr>
          </w:p>
        </w:tc>
      </w:tr>
      <w:tr w14:paraId="004CD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F88F5E9">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417</w:t>
            </w:r>
          </w:p>
        </w:tc>
        <w:tc>
          <w:tcPr>
            <w:tcW w:w="720" w:type="dxa"/>
            <w:vMerge w:val="continue"/>
            <w:vAlign w:val="center"/>
          </w:tcPr>
          <w:p w14:paraId="2C30024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5D0E81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3A64B25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1C8908A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用法、用量不适宜超极量或常规量，系统判断为问题</w:t>
            </w:r>
          </w:p>
        </w:tc>
        <w:tc>
          <w:tcPr>
            <w:tcW w:w="733" w:type="dxa"/>
            <w:vMerge w:val="continue"/>
            <w:vAlign w:val="center"/>
          </w:tcPr>
          <w:p w14:paraId="6716CB0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B55DA91">
            <w:pPr>
              <w:jc w:val="center"/>
              <w:rPr>
                <w:rFonts w:hint="eastAsia" w:ascii="宋体" w:hAnsi="宋体" w:eastAsia="宋体" w:cs="宋体"/>
                <w:b w:val="0"/>
                <w:bCs w:val="0"/>
                <w:color w:val="auto"/>
                <w:kern w:val="0"/>
                <w:sz w:val="20"/>
                <w:szCs w:val="20"/>
                <w:highlight w:val="none"/>
                <w:lang w:val="en-US" w:eastAsia="zh-CN" w:bidi="ar-SA"/>
              </w:rPr>
            </w:pPr>
          </w:p>
        </w:tc>
      </w:tr>
      <w:tr w14:paraId="0A59B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68A1EE9">
            <w:pPr>
              <w:keepNext w:val="0"/>
              <w:keepLines w:val="0"/>
              <w:widowControl/>
              <w:suppressLineNumbers w:val="0"/>
              <w:jc w:val="right"/>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418</w:t>
            </w:r>
          </w:p>
        </w:tc>
        <w:tc>
          <w:tcPr>
            <w:tcW w:w="720" w:type="dxa"/>
            <w:vMerge w:val="continue"/>
            <w:vAlign w:val="center"/>
          </w:tcPr>
          <w:p w14:paraId="0A917EE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898FCF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5162014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795F462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联合用药不适宜系统不作判断，由用户在点评时确认</w:t>
            </w:r>
          </w:p>
        </w:tc>
        <w:tc>
          <w:tcPr>
            <w:tcW w:w="733" w:type="dxa"/>
            <w:vMerge w:val="continue"/>
            <w:vAlign w:val="center"/>
          </w:tcPr>
          <w:p w14:paraId="3960865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A293D5F">
            <w:pPr>
              <w:jc w:val="center"/>
              <w:rPr>
                <w:rFonts w:hint="eastAsia" w:ascii="宋体" w:hAnsi="宋体" w:eastAsia="宋体" w:cs="宋体"/>
                <w:b w:val="0"/>
                <w:bCs w:val="0"/>
                <w:color w:val="auto"/>
                <w:kern w:val="0"/>
                <w:sz w:val="20"/>
                <w:szCs w:val="20"/>
                <w:highlight w:val="none"/>
                <w:lang w:val="en-US" w:eastAsia="zh-CN" w:bidi="ar-SA"/>
              </w:rPr>
            </w:pPr>
          </w:p>
        </w:tc>
      </w:tr>
      <w:tr w14:paraId="66691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5199695">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419</w:t>
            </w:r>
          </w:p>
        </w:tc>
        <w:tc>
          <w:tcPr>
            <w:tcW w:w="720" w:type="dxa"/>
            <w:vMerge w:val="continue"/>
            <w:vAlign w:val="center"/>
          </w:tcPr>
          <w:p w14:paraId="11B7826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B28381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05FD0CB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1F69A6A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重复给药，处方中存在同种药品，系统判断为问题</w:t>
            </w:r>
          </w:p>
        </w:tc>
        <w:tc>
          <w:tcPr>
            <w:tcW w:w="733" w:type="dxa"/>
            <w:vMerge w:val="continue"/>
            <w:vAlign w:val="center"/>
          </w:tcPr>
          <w:p w14:paraId="787FE56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967B556">
            <w:pPr>
              <w:jc w:val="center"/>
              <w:rPr>
                <w:rFonts w:hint="eastAsia" w:ascii="宋体" w:hAnsi="宋体" w:eastAsia="宋体" w:cs="宋体"/>
                <w:b w:val="0"/>
                <w:bCs w:val="0"/>
                <w:color w:val="auto"/>
                <w:kern w:val="0"/>
                <w:sz w:val="20"/>
                <w:szCs w:val="20"/>
                <w:highlight w:val="none"/>
                <w:lang w:val="en-US" w:eastAsia="zh-CN" w:bidi="ar-SA"/>
              </w:rPr>
            </w:pPr>
          </w:p>
        </w:tc>
      </w:tr>
      <w:tr w14:paraId="1B2B2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A9B89C3">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420</w:t>
            </w:r>
          </w:p>
        </w:tc>
        <w:tc>
          <w:tcPr>
            <w:tcW w:w="720" w:type="dxa"/>
            <w:vMerge w:val="continue"/>
            <w:vAlign w:val="center"/>
          </w:tcPr>
          <w:p w14:paraId="77C3732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9F48DF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63DD81E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33EA780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有配伍禁忌或者不良相互作用存在配伍禁忌或相互作用的，系统判断为问题</w:t>
            </w:r>
          </w:p>
        </w:tc>
        <w:tc>
          <w:tcPr>
            <w:tcW w:w="733" w:type="dxa"/>
            <w:vMerge w:val="continue"/>
            <w:vAlign w:val="center"/>
          </w:tcPr>
          <w:p w14:paraId="5BFF298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AB92406">
            <w:pPr>
              <w:jc w:val="center"/>
              <w:rPr>
                <w:rFonts w:hint="eastAsia" w:ascii="宋体" w:hAnsi="宋体" w:eastAsia="宋体" w:cs="宋体"/>
                <w:b w:val="0"/>
                <w:bCs w:val="0"/>
                <w:color w:val="auto"/>
                <w:kern w:val="0"/>
                <w:sz w:val="20"/>
                <w:szCs w:val="20"/>
                <w:highlight w:val="none"/>
                <w:lang w:val="en-US" w:eastAsia="zh-CN" w:bidi="ar-SA"/>
              </w:rPr>
            </w:pPr>
          </w:p>
        </w:tc>
      </w:tr>
      <w:tr w14:paraId="5614D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3B67CB7">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421</w:t>
            </w:r>
          </w:p>
        </w:tc>
        <w:tc>
          <w:tcPr>
            <w:tcW w:w="720" w:type="dxa"/>
            <w:vMerge w:val="continue"/>
            <w:vAlign w:val="center"/>
          </w:tcPr>
          <w:p w14:paraId="33DAB4F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AC9FBE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54CF105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611B15E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其它用药不适宜情况系统不作判断，由用户在点评时确认。</w:t>
            </w:r>
          </w:p>
        </w:tc>
        <w:tc>
          <w:tcPr>
            <w:tcW w:w="733" w:type="dxa"/>
            <w:vMerge w:val="continue"/>
            <w:vAlign w:val="center"/>
          </w:tcPr>
          <w:p w14:paraId="22C3809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20BE1B8">
            <w:pPr>
              <w:jc w:val="center"/>
              <w:rPr>
                <w:rFonts w:hint="eastAsia" w:ascii="宋体" w:hAnsi="宋体" w:eastAsia="宋体" w:cs="宋体"/>
                <w:b w:val="0"/>
                <w:bCs w:val="0"/>
                <w:color w:val="auto"/>
                <w:kern w:val="0"/>
                <w:sz w:val="20"/>
                <w:szCs w:val="20"/>
                <w:highlight w:val="none"/>
                <w:lang w:val="en-US" w:eastAsia="zh-CN" w:bidi="ar-SA"/>
              </w:rPr>
            </w:pPr>
          </w:p>
        </w:tc>
      </w:tr>
      <w:tr w14:paraId="5C46D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7C1CFA0">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422</w:t>
            </w:r>
          </w:p>
        </w:tc>
        <w:tc>
          <w:tcPr>
            <w:tcW w:w="720" w:type="dxa"/>
            <w:vMerge w:val="continue"/>
            <w:vAlign w:val="center"/>
          </w:tcPr>
          <w:p w14:paraId="04C918F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0E581C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restart"/>
            <w:vAlign w:val="center"/>
          </w:tcPr>
          <w:p w14:paraId="5ED4CB0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点评超常处方</w:t>
            </w:r>
          </w:p>
        </w:tc>
        <w:tc>
          <w:tcPr>
            <w:tcW w:w="4667" w:type="dxa"/>
            <w:vAlign w:val="center"/>
          </w:tcPr>
          <w:p w14:paraId="7309385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无适应证用药诊断字段为空，系统判断为问题</w:t>
            </w:r>
          </w:p>
        </w:tc>
        <w:tc>
          <w:tcPr>
            <w:tcW w:w="733" w:type="dxa"/>
            <w:vMerge w:val="restart"/>
            <w:vAlign w:val="center"/>
          </w:tcPr>
          <w:p w14:paraId="60AAA62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67BA098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2</w:t>
            </w:r>
          </w:p>
        </w:tc>
      </w:tr>
      <w:tr w14:paraId="496D5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A788422">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423</w:t>
            </w:r>
          </w:p>
        </w:tc>
        <w:tc>
          <w:tcPr>
            <w:tcW w:w="720" w:type="dxa"/>
            <w:vMerge w:val="continue"/>
            <w:vAlign w:val="center"/>
          </w:tcPr>
          <w:p w14:paraId="58E90E2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F4FDDD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65E1DF5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2E0ADEC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无正当理由开具高价药使用高价药的，用药理由字段为空，系统判断为问题</w:t>
            </w:r>
          </w:p>
        </w:tc>
        <w:tc>
          <w:tcPr>
            <w:tcW w:w="733" w:type="dxa"/>
            <w:vMerge w:val="continue"/>
            <w:vAlign w:val="center"/>
          </w:tcPr>
          <w:p w14:paraId="6E86121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37D8147">
            <w:pPr>
              <w:jc w:val="center"/>
              <w:rPr>
                <w:rFonts w:hint="eastAsia" w:ascii="宋体" w:hAnsi="宋体" w:eastAsia="宋体" w:cs="宋体"/>
                <w:b w:val="0"/>
                <w:bCs w:val="0"/>
                <w:color w:val="auto"/>
                <w:kern w:val="0"/>
                <w:sz w:val="20"/>
                <w:szCs w:val="20"/>
                <w:highlight w:val="none"/>
                <w:lang w:val="en-US" w:eastAsia="zh-CN" w:bidi="ar-SA"/>
              </w:rPr>
            </w:pPr>
          </w:p>
        </w:tc>
      </w:tr>
      <w:tr w14:paraId="000DC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73F9F97">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424</w:t>
            </w:r>
          </w:p>
        </w:tc>
        <w:tc>
          <w:tcPr>
            <w:tcW w:w="720" w:type="dxa"/>
            <w:vMerge w:val="continue"/>
            <w:vAlign w:val="center"/>
          </w:tcPr>
          <w:p w14:paraId="53DE501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1983D9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0C95ADC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30CE0DF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无正当理由超说明书用药系统不作判断，由用户在点评时确认</w:t>
            </w:r>
          </w:p>
        </w:tc>
        <w:tc>
          <w:tcPr>
            <w:tcW w:w="733" w:type="dxa"/>
            <w:vMerge w:val="continue"/>
            <w:vAlign w:val="center"/>
          </w:tcPr>
          <w:p w14:paraId="0B2B2CA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0AB6A10">
            <w:pPr>
              <w:jc w:val="center"/>
              <w:rPr>
                <w:rFonts w:hint="eastAsia" w:ascii="宋体" w:hAnsi="宋体" w:eastAsia="宋体" w:cs="宋体"/>
                <w:b w:val="0"/>
                <w:bCs w:val="0"/>
                <w:color w:val="auto"/>
                <w:kern w:val="0"/>
                <w:sz w:val="20"/>
                <w:szCs w:val="20"/>
                <w:highlight w:val="none"/>
                <w:lang w:val="en-US" w:eastAsia="zh-CN" w:bidi="ar-SA"/>
              </w:rPr>
            </w:pPr>
          </w:p>
        </w:tc>
      </w:tr>
      <w:tr w14:paraId="0AE1F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7EE8B6C">
            <w:pPr>
              <w:keepNext w:val="0"/>
              <w:keepLines w:val="0"/>
              <w:widowControl/>
              <w:suppressLineNumbers w:val="0"/>
              <w:jc w:val="right"/>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425</w:t>
            </w:r>
          </w:p>
        </w:tc>
        <w:tc>
          <w:tcPr>
            <w:tcW w:w="720" w:type="dxa"/>
            <w:vMerge w:val="continue"/>
            <w:vAlign w:val="center"/>
          </w:tcPr>
          <w:p w14:paraId="792EA83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E0A606F">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50959FB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0FA701B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无正当理由为同一患者同时开具2种以上药理作用相同药物存在两个以上药理作用相同的药品且用药理由字段为空，系统判断为问题</w:t>
            </w:r>
          </w:p>
        </w:tc>
        <w:tc>
          <w:tcPr>
            <w:tcW w:w="733" w:type="dxa"/>
            <w:vMerge w:val="continue"/>
            <w:vAlign w:val="center"/>
          </w:tcPr>
          <w:p w14:paraId="66B8C7D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2130A86">
            <w:pPr>
              <w:jc w:val="center"/>
              <w:rPr>
                <w:rFonts w:hint="eastAsia" w:ascii="宋体" w:hAnsi="宋体" w:eastAsia="宋体" w:cs="宋体"/>
                <w:b w:val="0"/>
                <w:bCs w:val="0"/>
                <w:color w:val="auto"/>
                <w:kern w:val="0"/>
                <w:sz w:val="20"/>
                <w:szCs w:val="20"/>
                <w:highlight w:val="none"/>
                <w:lang w:val="en-US" w:eastAsia="zh-CN" w:bidi="ar-SA"/>
              </w:rPr>
            </w:pPr>
          </w:p>
        </w:tc>
      </w:tr>
      <w:tr w14:paraId="03BFB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61E8707">
            <w:pPr>
              <w:keepNext w:val="0"/>
              <w:keepLines w:val="0"/>
              <w:widowControl/>
              <w:suppressLineNumbers w:val="0"/>
              <w:jc w:val="center"/>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426</w:t>
            </w:r>
          </w:p>
        </w:tc>
        <w:tc>
          <w:tcPr>
            <w:tcW w:w="720" w:type="dxa"/>
            <w:vMerge w:val="continue"/>
            <w:vAlign w:val="center"/>
          </w:tcPr>
          <w:p w14:paraId="6AA3257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57FE6C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6DFA3F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42EFB93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抽查情况进行数据统计，可了解处方/医嘱的抽查情况，包括“系统分析的疑似问题处方数”、“占样本的比例”及“人工确认的问题处方数”及“占样比的比例”，点击“系统分析的疑似问题处方数”与“人工确认的问题处方数”可进一步了解问题处方的具体问题分布情况，并可查看处方点评结果。包括：“系统预处理结果”的统计及占样本的百分比及“人工点评结果”的统计及占样本的百分比。</w:t>
            </w:r>
          </w:p>
        </w:tc>
        <w:tc>
          <w:tcPr>
            <w:tcW w:w="733" w:type="dxa"/>
            <w:vAlign w:val="center"/>
          </w:tcPr>
          <w:p w14:paraId="1689DAD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11100C6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1.5</w:t>
            </w:r>
          </w:p>
        </w:tc>
      </w:tr>
      <w:tr w14:paraId="19FD0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E658146">
            <w:pPr>
              <w:keepNext w:val="0"/>
              <w:keepLines w:val="0"/>
              <w:widowControl/>
              <w:suppressLineNumbers w:val="0"/>
              <w:jc w:val="center"/>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427</w:t>
            </w:r>
          </w:p>
        </w:tc>
        <w:tc>
          <w:tcPr>
            <w:tcW w:w="720" w:type="dxa"/>
            <w:vMerge w:val="continue"/>
            <w:vAlign w:val="center"/>
          </w:tcPr>
          <w:p w14:paraId="721BA970">
            <w:pPr>
              <w:jc w:val="center"/>
              <w:rPr>
                <w:rFonts w:hint="eastAsia" w:ascii="宋体" w:hAnsi="宋体" w:eastAsia="宋体" w:cs="宋体"/>
                <w:b/>
                <w:color w:val="auto"/>
                <w:sz w:val="24"/>
                <w:szCs w:val="24"/>
                <w:highlight w:val="none"/>
                <w:vertAlign w:val="baseline"/>
                <w:lang w:eastAsia="zh-CN"/>
              </w:rPr>
            </w:pPr>
          </w:p>
        </w:tc>
        <w:tc>
          <w:tcPr>
            <w:tcW w:w="2933" w:type="dxa"/>
            <w:gridSpan w:val="2"/>
            <w:vAlign w:val="center"/>
          </w:tcPr>
          <w:p w14:paraId="0E653D6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区域平台对接调试</w:t>
            </w:r>
          </w:p>
        </w:tc>
        <w:tc>
          <w:tcPr>
            <w:tcW w:w="4667" w:type="dxa"/>
            <w:vAlign w:val="center"/>
          </w:tcPr>
          <w:p w14:paraId="5D0275A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区域平台相关接口对接</w:t>
            </w:r>
          </w:p>
        </w:tc>
        <w:tc>
          <w:tcPr>
            <w:tcW w:w="733" w:type="dxa"/>
            <w:vAlign w:val="center"/>
          </w:tcPr>
          <w:p w14:paraId="0892F4E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53D6098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2</w:t>
            </w:r>
          </w:p>
        </w:tc>
      </w:tr>
      <w:tr w14:paraId="6327A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4F43A17">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428</w:t>
            </w:r>
          </w:p>
        </w:tc>
        <w:tc>
          <w:tcPr>
            <w:tcW w:w="720" w:type="dxa"/>
            <w:vMerge w:val="restart"/>
            <w:vAlign w:val="center"/>
          </w:tcPr>
          <w:p w14:paraId="1280D9FB">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数据大屏</w:t>
            </w:r>
          </w:p>
        </w:tc>
        <w:tc>
          <w:tcPr>
            <w:tcW w:w="2933" w:type="dxa"/>
            <w:gridSpan w:val="2"/>
            <w:vMerge w:val="restart"/>
            <w:vAlign w:val="center"/>
          </w:tcPr>
          <w:p w14:paraId="4D8878F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集中审方中心</w:t>
            </w:r>
          </w:p>
        </w:tc>
        <w:tc>
          <w:tcPr>
            <w:tcW w:w="4667" w:type="dxa"/>
            <w:vAlign w:val="center"/>
          </w:tcPr>
          <w:p w14:paraId="59303DE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展示区域内审方药师数量，并按职称进行分类展示</w:t>
            </w:r>
          </w:p>
        </w:tc>
        <w:tc>
          <w:tcPr>
            <w:tcW w:w="733" w:type="dxa"/>
            <w:vMerge w:val="restart"/>
            <w:vAlign w:val="center"/>
          </w:tcPr>
          <w:p w14:paraId="7E36819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68A7917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4</w:t>
            </w:r>
          </w:p>
        </w:tc>
      </w:tr>
      <w:tr w14:paraId="10BE9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E7849AC">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429</w:t>
            </w:r>
          </w:p>
        </w:tc>
        <w:tc>
          <w:tcPr>
            <w:tcW w:w="720" w:type="dxa"/>
            <w:vMerge w:val="continue"/>
            <w:vAlign w:val="center"/>
          </w:tcPr>
          <w:p w14:paraId="022389C5">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3198F70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56E8932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通过地图展示各机构的门诊处方量和住院医嘱量</w:t>
            </w:r>
          </w:p>
        </w:tc>
        <w:tc>
          <w:tcPr>
            <w:tcW w:w="733" w:type="dxa"/>
            <w:vMerge w:val="continue"/>
            <w:vAlign w:val="center"/>
          </w:tcPr>
          <w:p w14:paraId="538CE6F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0DAF0C2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r w14:paraId="4ABF2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67DF612">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430</w:t>
            </w:r>
          </w:p>
        </w:tc>
        <w:tc>
          <w:tcPr>
            <w:tcW w:w="720" w:type="dxa"/>
            <w:vMerge w:val="continue"/>
            <w:vAlign w:val="center"/>
          </w:tcPr>
          <w:p w14:paraId="3FF69C59">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2210BC3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3994F55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对区域内处方和医嘱的总张(组)数、自动神恶化不合理数、点评不合理数进行汇总，并可按年度进行筛选</w:t>
            </w:r>
          </w:p>
        </w:tc>
        <w:tc>
          <w:tcPr>
            <w:tcW w:w="733" w:type="dxa"/>
            <w:vMerge w:val="continue"/>
            <w:vAlign w:val="center"/>
          </w:tcPr>
          <w:p w14:paraId="2ED19DE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7991585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r w14:paraId="28680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733B7C5">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431</w:t>
            </w:r>
          </w:p>
        </w:tc>
        <w:tc>
          <w:tcPr>
            <w:tcW w:w="720" w:type="dxa"/>
            <w:vMerge w:val="continue"/>
            <w:vAlign w:val="center"/>
          </w:tcPr>
          <w:p w14:paraId="27742E91">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05B0958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2950C8A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分析人工审方数量趋势和处方点评数量趋势</w:t>
            </w:r>
          </w:p>
        </w:tc>
        <w:tc>
          <w:tcPr>
            <w:tcW w:w="733" w:type="dxa"/>
            <w:vMerge w:val="continue"/>
            <w:vAlign w:val="center"/>
          </w:tcPr>
          <w:p w14:paraId="019B7AC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1FD4B45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r w14:paraId="33394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F128060">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432</w:t>
            </w:r>
          </w:p>
        </w:tc>
        <w:tc>
          <w:tcPr>
            <w:tcW w:w="720" w:type="dxa"/>
            <w:vMerge w:val="continue"/>
            <w:vAlign w:val="center"/>
          </w:tcPr>
          <w:p w14:paraId="7E8A6C2A">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44FBB84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1DFF3E3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按处方、医嘱对比分析各机构点评不合理的处方数量，以及按点评不合理处方数筛选top5科室</w:t>
            </w:r>
          </w:p>
        </w:tc>
        <w:tc>
          <w:tcPr>
            <w:tcW w:w="733" w:type="dxa"/>
            <w:vMerge w:val="continue"/>
            <w:vAlign w:val="center"/>
          </w:tcPr>
          <w:p w14:paraId="5B2DC53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28E21C8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r w14:paraId="092D1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18441D5">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433</w:t>
            </w:r>
          </w:p>
        </w:tc>
        <w:tc>
          <w:tcPr>
            <w:tcW w:w="720" w:type="dxa"/>
            <w:vMerge w:val="continue"/>
            <w:vAlign w:val="center"/>
          </w:tcPr>
          <w:p w14:paraId="6F89243D">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42CA660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72FF34D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对处方合格率、点评率指标进行质控，以及按不规范处方、用药不适宜处方、超常处方对点评不合理处方进行分类对比</w:t>
            </w:r>
          </w:p>
        </w:tc>
        <w:tc>
          <w:tcPr>
            <w:tcW w:w="733" w:type="dxa"/>
            <w:vMerge w:val="continue"/>
            <w:vAlign w:val="center"/>
          </w:tcPr>
          <w:p w14:paraId="1706058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08783E8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bl>
    <w:p w14:paraId="4AA75BAA">
      <w:pPr>
        <w:pStyle w:val="2"/>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both"/>
        <w:textAlignment w:val="auto"/>
        <w:rPr>
          <w:rFonts w:hint="eastAsia" w:ascii="宋体" w:hAnsi="宋体" w:eastAsia="宋体" w:cs="宋体"/>
          <w:highlight w:val="yellow"/>
          <w:lang w:val="en-US" w:eastAsia="zh-CN"/>
        </w:rPr>
      </w:pPr>
      <w:r>
        <w:rPr>
          <w:rFonts w:hint="eastAsia" w:ascii="宋体" w:hAnsi="宋体" w:eastAsia="宋体" w:cs="宋体"/>
          <w:highlight w:val="yellow"/>
          <w:lang w:val="en-US" w:eastAsia="zh-CN"/>
        </w:rPr>
        <w:t>（二）-7：健康随访中心</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1308"/>
        <w:gridCol w:w="1900"/>
        <w:gridCol w:w="4392"/>
        <w:gridCol w:w="733"/>
        <w:gridCol w:w="714"/>
      </w:tblGrid>
      <w:tr w14:paraId="6855B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9CBCA35">
            <w:pPr>
              <w:widowControl/>
              <w:jc w:val="center"/>
              <w:rPr>
                <w:rFonts w:hint="eastAsia" w:ascii="仿宋" w:hAnsi="仿宋" w:eastAsia="仿宋" w:cs="宋体"/>
                <w:color w:val="auto"/>
                <w:sz w:val="22"/>
                <w:szCs w:val="22"/>
                <w:highlight w:val="none"/>
                <w:lang w:val="en-US" w:eastAsia="zh-CN"/>
              </w:rPr>
            </w:pPr>
            <w:r>
              <w:rPr>
                <w:rFonts w:hint="eastAsia" w:ascii="宋体" w:hAnsi="宋体" w:cs="宋体"/>
                <w:b/>
                <w:bCs/>
                <w:color w:val="auto"/>
                <w:kern w:val="0"/>
                <w:sz w:val="20"/>
                <w:szCs w:val="20"/>
                <w:highlight w:val="none"/>
              </w:rPr>
              <w:t>序号</w:t>
            </w:r>
          </w:p>
        </w:tc>
        <w:tc>
          <w:tcPr>
            <w:tcW w:w="3928" w:type="dxa"/>
            <w:gridSpan w:val="3"/>
            <w:vAlign w:val="center"/>
          </w:tcPr>
          <w:p w14:paraId="668778F9">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建设内容</w:t>
            </w:r>
          </w:p>
        </w:tc>
        <w:tc>
          <w:tcPr>
            <w:tcW w:w="4392" w:type="dxa"/>
            <w:vAlign w:val="center"/>
          </w:tcPr>
          <w:p w14:paraId="01C281F6">
            <w:pPr>
              <w:widowControl/>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58EA5F57">
            <w:pPr>
              <w:widowControl/>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单位</w:t>
            </w:r>
          </w:p>
        </w:tc>
        <w:tc>
          <w:tcPr>
            <w:tcW w:w="714" w:type="dxa"/>
            <w:vAlign w:val="center"/>
          </w:tcPr>
          <w:p w14:paraId="2EF10448">
            <w:pPr>
              <w:spacing w:line="240" w:lineRule="exact"/>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Cs w:val="21"/>
                <w:highlight w:val="none"/>
                <w:lang w:eastAsia="zh-CN"/>
              </w:rPr>
              <w:t>数量</w:t>
            </w:r>
          </w:p>
        </w:tc>
      </w:tr>
      <w:tr w14:paraId="552B8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3" w:type="dxa"/>
            <w:vAlign w:val="center"/>
          </w:tcPr>
          <w:p w14:paraId="66C8F80F">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434</w:t>
            </w:r>
          </w:p>
        </w:tc>
        <w:tc>
          <w:tcPr>
            <w:tcW w:w="720" w:type="dxa"/>
            <w:vMerge w:val="restart"/>
            <w:vAlign w:val="center"/>
          </w:tcPr>
          <w:p w14:paraId="74033DD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数据采集系统</w:t>
            </w:r>
          </w:p>
        </w:tc>
        <w:tc>
          <w:tcPr>
            <w:tcW w:w="1308" w:type="dxa"/>
            <w:vMerge w:val="restart"/>
            <w:vAlign w:val="center"/>
          </w:tcPr>
          <w:p w14:paraId="5799A09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多数据源接入</w:t>
            </w:r>
          </w:p>
        </w:tc>
        <w:tc>
          <w:tcPr>
            <w:tcW w:w="1900" w:type="dxa"/>
            <w:vAlign w:val="center"/>
          </w:tcPr>
          <w:p w14:paraId="222DA4E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数据源配置</w:t>
            </w:r>
          </w:p>
        </w:tc>
        <w:tc>
          <w:tcPr>
            <w:tcW w:w="4392" w:type="dxa"/>
            <w:vAlign w:val="center"/>
          </w:tcPr>
          <w:p w14:paraId="15D8664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提供数据源连接信息的配置管理</w:t>
            </w:r>
          </w:p>
        </w:tc>
        <w:tc>
          <w:tcPr>
            <w:tcW w:w="733" w:type="dxa"/>
            <w:vMerge w:val="restart"/>
            <w:vAlign w:val="center"/>
          </w:tcPr>
          <w:p w14:paraId="32EDE5C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2527026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1</w:t>
            </w:r>
          </w:p>
        </w:tc>
      </w:tr>
      <w:tr w14:paraId="2B45C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EB5390B">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435</w:t>
            </w:r>
          </w:p>
        </w:tc>
        <w:tc>
          <w:tcPr>
            <w:tcW w:w="720" w:type="dxa"/>
            <w:vMerge w:val="continue"/>
            <w:vAlign w:val="center"/>
          </w:tcPr>
          <w:p w14:paraId="7838A47F">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71CE5B5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3B62059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多数据源接入</w:t>
            </w:r>
          </w:p>
        </w:tc>
        <w:tc>
          <w:tcPr>
            <w:tcW w:w="4392" w:type="dxa"/>
            <w:vAlign w:val="center"/>
          </w:tcPr>
          <w:p w14:paraId="5432C36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提供数据采集系统，支持自动定时采集多数据源的健康数据。</w:t>
            </w:r>
          </w:p>
        </w:tc>
        <w:tc>
          <w:tcPr>
            <w:tcW w:w="733" w:type="dxa"/>
            <w:vMerge w:val="continue"/>
            <w:vAlign w:val="center"/>
          </w:tcPr>
          <w:p w14:paraId="1E01AF9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52627A4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r w14:paraId="0499E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DD3F4A3">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436</w:t>
            </w:r>
          </w:p>
        </w:tc>
        <w:tc>
          <w:tcPr>
            <w:tcW w:w="720" w:type="dxa"/>
            <w:vMerge w:val="continue"/>
            <w:vAlign w:val="center"/>
          </w:tcPr>
          <w:p w14:paraId="11D2C1AE">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44A169A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流程管理</w:t>
            </w:r>
          </w:p>
        </w:tc>
        <w:tc>
          <w:tcPr>
            <w:tcW w:w="1900" w:type="dxa"/>
            <w:vAlign w:val="center"/>
          </w:tcPr>
          <w:p w14:paraId="0A7AC0B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流程信息展示</w:t>
            </w:r>
          </w:p>
        </w:tc>
        <w:tc>
          <w:tcPr>
            <w:tcW w:w="4392" w:type="dxa"/>
            <w:vAlign w:val="center"/>
          </w:tcPr>
          <w:p w14:paraId="3C09204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展示、编辑已创建的数据采集处理流程基本信息</w:t>
            </w:r>
          </w:p>
        </w:tc>
        <w:tc>
          <w:tcPr>
            <w:tcW w:w="733" w:type="dxa"/>
            <w:vMerge w:val="restart"/>
            <w:vAlign w:val="center"/>
          </w:tcPr>
          <w:p w14:paraId="127BCCF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5CCC6FD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3.5</w:t>
            </w:r>
          </w:p>
        </w:tc>
      </w:tr>
      <w:tr w14:paraId="401E5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09C554D">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437</w:t>
            </w:r>
          </w:p>
        </w:tc>
        <w:tc>
          <w:tcPr>
            <w:tcW w:w="720" w:type="dxa"/>
            <w:vMerge w:val="continue"/>
            <w:vAlign w:val="center"/>
          </w:tcPr>
          <w:p w14:paraId="63A21FBC">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0747F6EA">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28B016F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流程信息管理</w:t>
            </w:r>
          </w:p>
        </w:tc>
        <w:tc>
          <w:tcPr>
            <w:tcW w:w="4392" w:type="dxa"/>
            <w:vAlign w:val="center"/>
          </w:tcPr>
          <w:p w14:paraId="0886C97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支持数据采集流程新增、编排和撤销操作。</w:t>
            </w:r>
          </w:p>
        </w:tc>
        <w:tc>
          <w:tcPr>
            <w:tcW w:w="733" w:type="dxa"/>
            <w:vMerge w:val="continue"/>
            <w:vAlign w:val="center"/>
          </w:tcPr>
          <w:p w14:paraId="6E1F656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2EAD496">
            <w:pPr>
              <w:jc w:val="center"/>
              <w:rPr>
                <w:rFonts w:hint="eastAsia" w:ascii="宋体" w:hAnsi="宋体" w:eastAsia="宋体" w:cs="宋体"/>
                <w:b w:val="0"/>
                <w:bCs w:val="0"/>
                <w:color w:val="auto"/>
                <w:kern w:val="0"/>
                <w:sz w:val="20"/>
                <w:szCs w:val="20"/>
                <w:highlight w:val="none"/>
                <w:lang w:val="en-US" w:eastAsia="zh-CN" w:bidi="ar-SA"/>
              </w:rPr>
            </w:pPr>
          </w:p>
        </w:tc>
      </w:tr>
      <w:tr w14:paraId="41D75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6D75332">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438</w:t>
            </w:r>
          </w:p>
        </w:tc>
        <w:tc>
          <w:tcPr>
            <w:tcW w:w="720" w:type="dxa"/>
            <w:vMerge w:val="continue"/>
            <w:vAlign w:val="center"/>
          </w:tcPr>
          <w:p w14:paraId="1AC09146">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4EAF30B4">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6B9DBDE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流程的导入和导出</w:t>
            </w:r>
          </w:p>
        </w:tc>
        <w:tc>
          <w:tcPr>
            <w:tcW w:w="4392" w:type="dxa"/>
            <w:vAlign w:val="center"/>
          </w:tcPr>
          <w:p w14:paraId="02F8F2A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支持XML格式的数据采集流程配置信息的导入和导出。</w:t>
            </w:r>
          </w:p>
        </w:tc>
        <w:tc>
          <w:tcPr>
            <w:tcW w:w="733" w:type="dxa"/>
            <w:vMerge w:val="continue"/>
            <w:vAlign w:val="center"/>
          </w:tcPr>
          <w:p w14:paraId="6CE0A49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BF4A916">
            <w:pPr>
              <w:jc w:val="center"/>
              <w:rPr>
                <w:rFonts w:hint="eastAsia" w:ascii="宋体" w:hAnsi="宋体" w:eastAsia="宋体" w:cs="宋体"/>
                <w:b w:val="0"/>
                <w:bCs w:val="0"/>
                <w:color w:val="auto"/>
                <w:kern w:val="0"/>
                <w:sz w:val="20"/>
                <w:szCs w:val="20"/>
                <w:highlight w:val="none"/>
                <w:lang w:val="en-US" w:eastAsia="zh-CN" w:bidi="ar-SA"/>
              </w:rPr>
            </w:pPr>
          </w:p>
        </w:tc>
      </w:tr>
      <w:tr w14:paraId="20443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5869C9C">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439</w:t>
            </w:r>
          </w:p>
        </w:tc>
        <w:tc>
          <w:tcPr>
            <w:tcW w:w="720" w:type="dxa"/>
            <w:vMerge w:val="continue"/>
            <w:vAlign w:val="center"/>
          </w:tcPr>
          <w:p w14:paraId="6BBF1201">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0DFDCF5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定时任务</w:t>
            </w:r>
          </w:p>
        </w:tc>
        <w:tc>
          <w:tcPr>
            <w:tcW w:w="1900" w:type="dxa"/>
            <w:vAlign w:val="center"/>
          </w:tcPr>
          <w:p w14:paraId="172F4D0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定时任务信息展示</w:t>
            </w:r>
          </w:p>
        </w:tc>
        <w:tc>
          <w:tcPr>
            <w:tcW w:w="4392" w:type="dxa"/>
            <w:vAlign w:val="center"/>
          </w:tcPr>
          <w:p w14:paraId="2E065A8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展示定时任务的基本信息。包括：任务名称、任务脚本、任务类型、执行周期和执行状态等。</w:t>
            </w:r>
          </w:p>
        </w:tc>
        <w:tc>
          <w:tcPr>
            <w:tcW w:w="733" w:type="dxa"/>
            <w:vMerge w:val="restart"/>
            <w:vAlign w:val="center"/>
          </w:tcPr>
          <w:p w14:paraId="775253B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663C354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2</w:t>
            </w:r>
          </w:p>
        </w:tc>
      </w:tr>
      <w:tr w14:paraId="737C2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CBA78E8">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440</w:t>
            </w:r>
          </w:p>
        </w:tc>
        <w:tc>
          <w:tcPr>
            <w:tcW w:w="720" w:type="dxa"/>
            <w:vMerge w:val="continue"/>
            <w:vAlign w:val="center"/>
          </w:tcPr>
          <w:p w14:paraId="65F188CF">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3641C112">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2A754C0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定时任务信息管理</w:t>
            </w:r>
          </w:p>
        </w:tc>
        <w:tc>
          <w:tcPr>
            <w:tcW w:w="4392" w:type="dxa"/>
            <w:vAlign w:val="center"/>
          </w:tcPr>
          <w:p w14:paraId="3A07ED7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支持定时任务的新增、修改和删除操作。</w:t>
            </w:r>
          </w:p>
        </w:tc>
        <w:tc>
          <w:tcPr>
            <w:tcW w:w="733" w:type="dxa"/>
            <w:vMerge w:val="continue"/>
            <w:vAlign w:val="center"/>
          </w:tcPr>
          <w:p w14:paraId="6020B64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DD6563C">
            <w:pPr>
              <w:jc w:val="center"/>
              <w:rPr>
                <w:rFonts w:hint="eastAsia" w:ascii="宋体" w:hAnsi="宋体" w:eastAsia="宋体" w:cs="宋体"/>
                <w:b w:val="0"/>
                <w:bCs w:val="0"/>
                <w:color w:val="auto"/>
                <w:kern w:val="0"/>
                <w:sz w:val="20"/>
                <w:szCs w:val="20"/>
                <w:highlight w:val="none"/>
                <w:lang w:val="en-US" w:eastAsia="zh-CN" w:bidi="ar-SA"/>
              </w:rPr>
            </w:pPr>
          </w:p>
        </w:tc>
      </w:tr>
      <w:tr w14:paraId="7FAB1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583" w:type="dxa"/>
            <w:vAlign w:val="center"/>
          </w:tcPr>
          <w:p w14:paraId="7F93AF32">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441</w:t>
            </w:r>
          </w:p>
        </w:tc>
        <w:tc>
          <w:tcPr>
            <w:tcW w:w="720" w:type="dxa"/>
            <w:vMerge w:val="continue"/>
            <w:vAlign w:val="center"/>
          </w:tcPr>
          <w:p w14:paraId="73DD7774">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2AAD5E6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任务日志</w:t>
            </w:r>
          </w:p>
        </w:tc>
        <w:tc>
          <w:tcPr>
            <w:tcW w:w="1900" w:type="dxa"/>
            <w:vAlign w:val="center"/>
          </w:tcPr>
          <w:p w14:paraId="6CCDD7A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任务日志信息展示</w:t>
            </w:r>
          </w:p>
        </w:tc>
        <w:tc>
          <w:tcPr>
            <w:tcW w:w="4392" w:type="dxa"/>
            <w:vAlign w:val="center"/>
          </w:tcPr>
          <w:p w14:paraId="11C8222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展示定时任务执行的日志详细信息以及任务当前执行时的相关参数信息。</w:t>
            </w:r>
          </w:p>
        </w:tc>
        <w:tc>
          <w:tcPr>
            <w:tcW w:w="733" w:type="dxa"/>
            <w:vAlign w:val="center"/>
          </w:tcPr>
          <w:p w14:paraId="4922094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087BA87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0.5</w:t>
            </w:r>
          </w:p>
        </w:tc>
      </w:tr>
      <w:tr w14:paraId="1AABE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80F6EDE">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442</w:t>
            </w:r>
          </w:p>
        </w:tc>
        <w:tc>
          <w:tcPr>
            <w:tcW w:w="720" w:type="dxa"/>
            <w:vMerge w:val="continue"/>
            <w:vAlign w:val="center"/>
          </w:tcPr>
          <w:p w14:paraId="097A3179">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43364AD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任务监控</w:t>
            </w:r>
          </w:p>
        </w:tc>
        <w:tc>
          <w:tcPr>
            <w:tcW w:w="1900" w:type="dxa"/>
            <w:vAlign w:val="center"/>
          </w:tcPr>
          <w:p w14:paraId="433BB7E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任务监控信息展示</w:t>
            </w:r>
          </w:p>
        </w:tc>
        <w:tc>
          <w:tcPr>
            <w:tcW w:w="4392" w:type="dxa"/>
            <w:vAlign w:val="center"/>
          </w:tcPr>
          <w:p w14:paraId="47F452C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展示定时任务执行的执行状态、任务开始时间、任务耗时、任务的数据范围等信息</w:t>
            </w:r>
          </w:p>
        </w:tc>
        <w:tc>
          <w:tcPr>
            <w:tcW w:w="733" w:type="dxa"/>
            <w:vAlign w:val="center"/>
          </w:tcPr>
          <w:p w14:paraId="7B6F3E0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3FBA160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0.5</w:t>
            </w:r>
          </w:p>
        </w:tc>
      </w:tr>
      <w:tr w14:paraId="68266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A07C0F1">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443</w:t>
            </w:r>
          </w:p>
        </w:tc>
        <w:tc>
          <w:tcPr>
            <w:tcW w:w="720" w:type="dxa"/>
            <w:vMerge w:val="continue"/>
            <w:vAlign w:val="center"/>
          </w:tcPr>
          <w:p w14:paraId="63318725">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609862F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数据采集流程编排</w:t>
            </w:r>
          </w:p>
        </w:tc>
        <w:tc>
          <w:tcPr>
            <w:tcW w:w="1900" w:type="dxa"/>
            <w:vAlign w:val="center"/>
          </w:tcPr>
          <w:p w14:paraId="1AA0638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数据处理流程编排</w:t>
            </w:r>
          </w:p>
        </w:tc>
        <w:tc>
          <w:tcPr>
            <w:tcW w:w="4392" w:type="dxa"/>
            <w:vAlign w:val="center"/>
          </w:tcPr>
          <w:p w14:paraId="1F4BA5A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通过可视化各数据采集转换组件拖拽处理进行数据采集流程的编排，降低数据采集复杂度提高数据采集质量</w:t>
            </w:r>
          </w:p>
        </w:tc>
        <w:tc>
          <w:tcPr>
            <w:tcW w:w="733" w:type="dxa"/>
            <w:vAlign w:val="center"/>
          </w:tcPr>
          <w:p w14:paraId="08A4316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5986F71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32F7E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673A362">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444</w:t>
            </w:r>
          </w:p>
        </w:tc>
        <w:tc>
          <w:tcPr>
            <w:tcW w:w="720" w:type="dxa"/>
            <w:vMerge w:val="continue"/>
            <w:vAlign w:val="center"/>
          </w:tcPr>
          <w:p w14:paraId="339148C6">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16CE67F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步骤度量</w:t>
            </w:r>
          </w:p>
        </w:tc>
        <w:tc>
          <w:tcPr>
            <w:tcW w:w="1900" w:type="dxa"/>
            <w:vAlign w:val="center"/>
          </w:tcPr>
          <w:p w14:paraId="6DFE5A0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步骤度量信息展示</w:t>
            </w:r>
          </w:p>
        </w:tc>
        <w:tc>
          <w:tcPr>
            <w:tcW w:w="4392" w:type="dxa"/>
            <w:vAlign w:val="center"/>
          </w:tcPr>
          <w:p w14:paraId="4F7971C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展示采集步骤的步骤名称、复制记录数、输入、输出、执行时间、执行状态等信息。</w:t>
            </w:r>
          </w:p>
        </w:tc>
        <w:tc>
          <w:tcPr>
            <w:tcW w:w="733" w:type="dxa"/>
            <w:vAlign w:val="center"/>
          </w:tcPr>
          <w:p w14:paraId="70F5A24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2CA72D8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0.5</w:t>
            </w:r>
          </w:p>
        </w:tc>
      </w:tr>
      <w:tr w14:paraId="1705D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910CEA9">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445</w:t>
            </w:r>
          </w:p>
        </w:tc>
        <w:tc>
          <w:tcPr>
            <w:tcW w:w="720" w:type="dxa"/>
            <w:vMerge w:val="continue"/>
            <w:vAlign w:val="center"/>
          </w:tcPr>
          <w:p w14:paraId="68F333A0">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1AE6834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采集数据预览</w:t>
            </w:r>
          </w:p>
        </w:tc>
        <w:tc>
          <w:tcPr>
            <w:tcW w:w="1900" w:type="dxa"/>
            <w:vAlign w:val="center"/>
          </w:tcPr>
          <w:p w14:paraId="0C97E88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采集数据预览</w:t>
            </w:r>
          </w:p>
        </w:tc>
        <w:tc>
          <w:tcPr>
            <w:tcW w:w="4392" w:type="dxa"/>
            <w:vAlign w:val="center"/>
          </w:tcPr>
          <w:p w14:paraId="77BA597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支持对数据采集流程执行数据预览。通过设定数据采集流程业务参数和预览数据量参数获取预览数据信息。</w:t>
            </w:r>
          </w:p>
        </w:tc>
        <w:tc>
          <w:tcPr>
            <w:tcW w:w="733" w:type="dxa"/>
            <w:vAlign w:val="center"/>
          </w:tcPr>
          <w:p w14:paraId="471547E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1E2EA56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135D0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1DF2B44">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446</w:t>
            </w:r>
          </w:p>
        </w:tc>
        <w:tc>
          <w:tcPr>
            <w:tcW w:w="720" w:type="dxa"/>
            <w:vMerge w:val="continue"/>
            <w:vAlign w:val="center"/>
          </w:tcPr>
          <w:p w14:paraId="751BA8D9">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2ADCB7F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数据存储监控</w:t>
            </w:r>
          </w:p>
        </w:tc>
        <w:tc>
          <w:tcPr>
            <w:tcW w:w="1900" w:type="dxa"/>
            <w:vAlign w:val="center"/>
          </w:tcPr>
          <w:p w14:paraId="6BEDFE0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数据存储监控信息展示</w:t>
            </w:r>
          </w:p>
        </w:tc>
        <w:tc>
          <w:tcPr>
            <w:tcW w:w="4392" w:type="dxa"/>
            <w:vAlign w:val="center"/>
          </w:tcPr>
          <w:p w14:paraId="7C4989D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展示数据采集系统的已采集的总数据数、空间容量、数据容量、索引容量、使用率以及个采集数据业务表的概要信息等信息。</w:t>
            </w:r>
          </w:p>
        </w:tc>
        <w:tc>
          <w:tcPr>
            <w:tcW w:w="733" w:type="dxa"/>
            <w:vAlign w:val="center"/>
          </w:tcPr>
          <w:p w14:paraId="7379DA8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0AA713B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63631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E3DAFEA">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447</w:t>
            </w:r>
          </w:p>
        </w:tc>
        <w:tc>
          <w:tcPr>
            <w:tcW w:w="720" w:type="dxa"/>
            <w:vMerge w:val="continue"/>
            <w:vAlign w:val="center"/>
          </w:tcPr>
          <w:p w14:paraId="171D17B1">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2C7B17B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数据库表管理</w:t>
            </w:r>
          </w:p>
        </w:tc>
        <w:tc>
          <w:tcPr>
            <w:tcW w:w="1900" w:type="dxa"/>
            <w:vAlign w:val="center"/>
          </w:tcPr>
          <w:p w14:paraId="5437B20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数据库表信息展示</w:t>
            </w:r>
          </w:p>
        </w:tc>
        <w:tc>
          <w:tcPr>
            <w:tcW w:w="4392" w:type="dxa"/>
            <w:vAlign w:val="center"/>
          </w:tcPr>
          <w:p w14:paraId="62CA4D8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展示数据库表表名称、字段名称、字段描述、字段类型、字段长度、是否可为空、是否是主键以及数据格式等信息</w:t>
            </w:r>
          </w:p>
        </w:tc>
        <w:tc>
          <w:tcPr>
            <w:tcW w:w="733" w:type="dxa"/>
            <w:vMerge w:val="restart"/>
            <w:vAlign w:val="center"/>
          </w:tcPr>
          <w:p w14:paraId="08831B1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3B861B4D">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7BDE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4AA4FC7">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448</w:t>
            </w:r>
          </w:p>
        </w:tc>
        <w:tc>
          <w:tcPr>
            <w:tcW w:w="720" w:type="dxa"/>
            <w:vMerge w:val="continue"/>
            <w:vAlign w:val="center"/>
          </w:tcPr>
          <w:p w14:paraId="2CEFD378">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10708FE1">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6961003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数据库表管理</w:t>
            </w:r>
          </w:p>
        </w:tc>
        <w:tc>
          <w:tcPr>
            <w:tcW w:w="4392" w:type="dxa"/>
            <w:vAlign w:val="center"/>
          </w:tcPr>
          <w:p w14:paraId="1794B34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支持数据库表以及所属字段信息的新增、编辑和删除等操作。</w:t>
            </w:r>
          </w:p>
        </w:tc>
        <w:tc>
          <w:tcPr>
            <w:tcW w:w="733" w:type="dxa"/>
            <w:vMerge w:val="continue"/>
            <w:vAlign w:val="center"/>
          </w:tcPr>
          <w:p w14:paraId="708DBD8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209806D">
            <w:pPr>
              <w:jc w:val="center"/>
              <w:rPr>
                <w:rFonts w:hint="eastAsia" w:ascii="宋体" w:hAnsi="宋体" w:eastAsia="宋体" w:cs="宋体"/>
                <w:b w:val="0"/>
                <w:bCs w:val="0"/>
                <w:color w:val="auto"/>
                <w:kern w:val="0"/>
                <w:sz w:val="20"/>
                <w:szCs w:val="20"/>
                <w:highlight w:val="none"/>
                <w:lang w:val="en-US" w:eastAsia="zh-CN" w:bidi="ar-SA"/>
              </w:rPr>
            </w:pPr>
          </w:p>
        </w:tc>
      </w:tr>
      <w:tr w14:paraId="0266E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F17CAD9">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449</w:t>
            </w:r>
          </w:p>
        </w:tc>
        <w:tc>
          <w:tcPr>
            <w:tcW w:w="720" w:type="dxa"/>
            <w:vMerge w:val="continue"/>
            <w:vAlign w:val="center"/>
          </w:tcPr>
          <w:p w14:paraId="3345F26D">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6863B7C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全文检索</w:t>
            </w:r>
          </w:p>
        </w:tc>
        <w:tc>
          <w:tcPr>
            <w:tcW w:w="1900" w:type="dxa"/>
            <w:vAlign w:val="center"/>
          </w:tcPr>
          <w:p w14:paraId="20D09D7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全文信息检索</w:t>
            </w:r>
          </w:p>
        </w:tc>
        <w:tc>
          <w:tcPr>
            <w:tcW w:w="4392" w:type="dxa"/>
            <w:vAlign w:val="center"/>
          </w:tcPr>
          <w:p w14:paraId="69274999">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支持查询关键字通过模糊查询检索数据采集系统的元数据信息</w:t>
            </w:r>
          </w:p>
        </w:tc>
        <w:tc>
          <w:tcPr>
            <w:tcW w:w="733" w:type="dxa"/>
            <w:vAlign w:val="center"/>
          </w:tcPr>
          <w:p w14:paraId="2C2037D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2582506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29BA1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8AC5A46">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450</w:t>
            </w:r>
          </w:p>
        </w:tc>
        <w:tc>
          <w:tcPr>
            <w:tcW w:w="720" w:type="dxa"/>
            <w:vMerge w:val="continue"/>
            <w:vAlign w:val="center"/>
          </w:tcPr>
          <w:p w14:paraId="4F4ADF91">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65E67E5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标准管理</w:t>
            </w:r>
          </w:p>
        </w:tc>
        <w:tc>
          <w:tcPr>
            <w:tcW w:w="1900" w:type="dxa"/>
            <w:vAlign w:val="center"/>
          </w:tcPr>
          <w:p w14:paraId="71BFBE3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数据标准信息展示</w:t>
            </w:r>
          </w:p>
        </w:tc>
        <w:tc>
          <w:tcPr>
            <w:tcW w:w="4392" w:type="dxa"/>
            <w:vAlign w:val="center"/>
          </w:tcPr>
          <w:p w14:paraId="02C9F9E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展示数据标准名称及所包含标准项的基本信息</w:t>
            </w:r>
          </w:p>
        </w:tc>
        <w:tc>
          <w:tcPr>
            <w:tcW w:w="733" w:type="dxa"/>
            <w:vMerge w:val="restart"/>
            <w:vAlign w:val="center"/>
          </w:tcPr>
          <w:p w14:paraId="58E3AE1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32433DF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79E5E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1EADE42">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451</w:t>
            </w:r>
          </w:p>
        </w:tc>
        <w:tc>
          <w:tcPr>
            <w:tcW w:w="720" w:type="dxa"/>
            <w:vMerge w:val="continue"/>
            <w:vAlign w:val="center"/>
          </w:tcPr>
          <w:p w14:paraId="6C1D0FE8">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22AD4263">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6C872D5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数据标准管理</w:t>
            </w:r>
          </w:p>
        </w:tc>
        <w:tc>
          <w:tcPr>
            <w:tcW w:w="4392" w:type="dxa"/>
            <w:vAlign w:val="center"/>
          </w:tcPr>
          <w:p w14:paraId="3D8C588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支持数据标准及标准项的新增、修改和删除操作</w:t>
            </w:r>
          </w:p>
        </w:tc>
        <w:tc>
          <w:tcPr>
            <w:tcW w:w="733" w:type="dxa"/>
            <w:vMerge w:val="continue"/>
            <w:vAlign w:val="center"/>
          </w:tcPr>
          <w:p w14:paraId="41BFDD4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BCCC577">
            <w:pPr>
              <w:jc w:val="center"/>
              <w:rPr>
                <w:rFonts w:hint="eastAsia" w:ascii="宋体" w:hAnsi="宋体" w:eastAsia="宋体" w:cs="宋体"/>
                <w:b w:val="0"/>
                <w:bCs w:val="0"/>
                <w:color w:val="auto"/>
                <w:kern w:val="0"/>
                <w:sz w:val="20"/>
                <w:szCs w:val="20"/>
                <w:highlight w:val="none"/>
                <w:lang w:val="en-US" w:eastAsia="zh-CN" w:bidi="ar-SA"/>
              </w:rPr>
            </w:pPr>
          </w:p>
        </w:tc>
      </w:tr>
      <w:tr w14:paraId="3CDFF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9BBA754">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452</w:t>
            </w:r>
          </w:p>
        </w:tc>
        <w:tc>
          <w:tcPr>
            <w:tcW w:w="720" w:type="dxa"/>
            <w:vMerge w:val="continue"/>
            <w:vAlign w:val="center"/>
          </w:tcPr>
          <w:p w14:paraId="72B40FA3">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666FCB7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参照字段</w:t>
            </w:r>
          </w:p>
        </w:tc>
        <w:tc>
          <w:tcPr>
            <w:tcW w:w="1900" w:type="dxa"/>
            <w:vAlign w:val="center"/>
          </w:tcPr>
          <w:p w14:paraId="5B02D9F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参照字段信息展示</w:t>
            </w:r>
          </w:p>
        </w:tc>
        <w:tc>
          <w:tcPr>
            <w:tcW w:w="4392" w:type="dxa"/>
            <w:vAlign w:val="center"/>
          </w:tcPr>
          <w:p w14:paraId="4EA4F00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展示参照字段的基本信息，包括字段名称、字段类型、长度和字段描述等信息</w:t>
            </w:r>
          </w:p>
        </w:tc>
        <w:tc>
          <w:tcPr>
            <w:tcW w:w="733" w:type="dxa"/>
            <w:vAlign w:val="center"/>
          </w:tcPr>
          <w:p w14:paraId="0AEB073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52C7527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760FC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5317FCA">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453</w:t>
            </w:r>
          </w:p>
        </w:tc>
        <w:tc>
          <w:tcPr>
            <w:tcW w:w="720" w:type="dxa"/>
            <w:vMerge w:val="restart"/>
            <w:vAlign w:val="center"/>
          </w:tcPr>
          <w:p w14:paraId="7A1DE29F">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健康随访系统</w:t>
            </w:r>
          </w:p>
        </w:tc>
        <w:tc>
          <w:tcPr>
            <w:tcW w:w="1308" w:type="dxa"/>
            <w:vAlign w:val="center"/>
          </w:tcPr>
          <w:p w14:paraId="2EC7485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健康数据筛查功能</w:t>
            </w:r>
          </w:p>
        </w:tc>
        <w:tc>
          <w:tcPr>
            <w:tcW w:w="1900" w:type="dxa"/>
            <w:vAlign w:val="center"/>
          </w:tcPr>
          <w:p w14:paraId="7347C9A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慢病数据筛查</w:t>
            </w:r>
          </w:p>
        </w:tc>
        <w:tc>
          <w:tcPr>
            <w:tcW w:w="4392" w:type="dxa"/>
            <w:vAlign w:val="center"/>
          </w:tcPr>
          <w:p w14:paraId="689AECB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支持对上消化道肿瘤、前列腺肿瘤、肺结节、宫颈癌、乳腺癌筛查以及高血压、糖尿病靶器官，采集健康数据，按照不同的疾病特征分类到各个疾病管理模块中的未建档患者</w:t>
            </w:r>
          </w:p>
        </w:tc>
        <w:tc>
          <w:tcPr>
            <w:tcW w:w="733" w:type="dxa"/>
            <w:vAlign w:val="center"/>
          </w:tcPr>
          <w:p w14:paraId="49AEE73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7D70BE4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4F28C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6EEDBE2">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454</w:t>
            </w:r>
          </w:p>
        </w:tc>
        <w:tc>
          <w:tcPr>
            <w:tcW w:w="720" w:type="dxa"/>
            <w:vMerge w:val="continue"/>
            <w:vAlign w:val="center"/>
          </w:tcPr>
          <w:p w14:paraId="197E0E5D">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7DB100C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高血压患者管理</w:t>
            </w:r>
          </w:p>
        </w:tc>
        <w:tc>
          <w:tcPr>
            <w:tcW w:w="1900" w:type="dxa"/>
            <w:vAlign w:val="center"/>
          </w:tcPr>
          <w:p w14:paraId="6565A69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高血压患者档案信息</w:t>
            </w:r>
          </w:p>
        </w:tc>
        <w:tc>
          <w:tcPr>
            <w:tcW w:w="4392" w:type="dxa"/>
            <w:vAlign w:val="center"/>
          </w:tcPr>
          <w:p w14:paraId="498ECCD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管理高血压患者基本信息、高血压随访基本情况</w:t>
            </w:r>
          </w:p>
        </w:tc>
        <w:tc>
          <w:tcPr>
            <w:tcW w:w="733" w:type="dxa"/>
            <w:vMerge w:val="restart"/>
            <w:vAlign w:val="center"/>
          </w:tcPr>
          <w:p w14:paraId="56139B5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1E23063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2.5</w:t>
            </w:r>
          </w:p>
        </w:tc>
      </w:tr>
      <w:tr w14:paraId="568A6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74D1E22">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455</w:t>
            </w:r>
          </w:p>
        </w:tc>
        <w:tc>
          <w:tcPr>
            <w:tcW w:w="720" w:type="dxa"/>
            <w:vMerge w:val="continue"/>
            <w:vAlign w:val="center"/>
          </w:tcPr>
          <w:p w14:paraId="45C24640">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7D5D825F">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11C513A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高危状态患者档案信息</w:t>
            </w:r>
          </w:p>
        </w:tc>
        <w:tc>
          <w:tcPr>
            <w:tcW w:w="4392" w:type="dxa"/>
            <w:vAlign w:val="center"/>
          </w:tcPr>
          <w:p w14:paraId="482ABF8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管理高危高血压患者基本信息、高血压级别信息、高血压层级信息、高血压管随访基本情况</w:t>
            </w:r>
          </w:p>
        </w:tc>
        <w:tc>
          <w:tcPr>
            <w:tcW w:w="733" w:type="dxa"/>
            <w:vMerge w:val="continue"/>
            <w:vAlign w:val="center"/>
          </w:tcPr>
          <w:p w14:paraId="2F6954C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B3420F9">
            <w:pPr>
              <w:jc w:val="center"/>
              <w:rPr>
                <w:rFonts w:hint="eastAsia" w:ascii="宋体" w:hAnsi="宋体" w:eastAsia="宋体" w:cs="宋体"/>
                <w:b w:val="0"/>
                <w:bCs w:val="0"/>
                <w:color w:val="auto"/>
                <w:kern w:val="0"/>
                <w:sz w:val="20"/>
                <w:szCs w:val="20"/>
                <w:highlight w:val="none"/>
                <w:lang w:val="en-US" w:eastAsia="zh-CN" w:bidi="ar-SA"/>
              </w:rPr>
            </w:pPr>
          </w:p>
        </w:tc>
      </w:tr>
      <w:tr w14:paraId="1C509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1D704E8">
            <w:pPr>
              <w:keepNext w:val="0"/>
              <w:keepLines w:val="0"/>
              <w:widowControl/>
              <w:suppressLineNumbers w:val="0"/>
              <w:jc w:val="center"/>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456</w:t>
            </w:r>
          </w:p>
        </w:tc>
        <w:tc>
          <w:tcPr>
            <w:tcW w:w="720" w:type="dxa"/>
            <w:vMerge w:val="continue"/>
            <w:vAlign w:val="center"/>
          </w:tcPr>
          <w:p w14:paraId="15100415">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1ED2C05A">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0097D51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规范管理患者档案信息</w:t>
            </w:r>
          </w:p>
        </w:tc>
        <w:tc>
          <w:tcPr>
            <w:tcW w:w="4392" w:type="dxa"/>
            <w:vAlign w:val="center"/>
          </w:tcPr>
          <w:p w14:paraId="2ED1277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规范管理高血压患者基本信息、高血压管随访基本情况</w:t>
            </w:r>
          </w:p>
        </w:tc>
        <w:tc>
          <w:tcPr>
            <w:tcW w:w="733" w:type="dxa"/>
            <w:vMerge w:val="continue"/>
            <w:vAlign w:val="center"/>
          </w:tcPr>
          <w:p w14:paraId="6011610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EC91565">
            <w:pPr>
              <w:jc w:val="center"/>
              <w:rPr>
                <w:rFonts w:hint="eastAsia" w:ascii="宋体" w:hAnsi="宋体" w:eastAsia="宋体" w:cs="宋体"/>
                <w:b w:val="0"/>
                <w:bCs w:val="0"/>
                <w:color w:val="auto"/>
                <w:kern w:val="0"/>
                <w:sz w:val="20"/>
                <w:szCs w:val="20"/>
                <w:highlight w:val="none"/>
                <w:lang w:val="en-US" w:eastAsia="zh-CN" w:bidi="ar-SA"/>
              </w:rPr>
            </w:pPr>
          </w:p>
        </w:tc>
      </w:tr>
      <w:tr w14:paraId="65AD3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A4109C3">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457</w:t>
            </w:r>
          </w:p>
        </w:tc>
        <w:tc>
          <w:tcPr>
            <w:tcW w:w="720" w:type="dxa"/>
            <w:vMerge w:val="continue"/>
            <w:vAlign w:val="center"/>
          </w:tcPr>
          <w:p w14:paraId="37D74C03">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45224432">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4BA8913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疑似患者档案信息</w:t>
            </w:r>
          </w:p>
        </w:tc>
        <w:tc>
          <w:tcPr>
            <w:tcW w:w="4392" w:type="dxa"/>
            <w:vAlign w:val="center"/>
          </w:tcPr>
          <w:p w14:paraId="6FABFCA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管理疑似高血压患者的基本情况、高血压管随访基本情况</w:t>
            </w:r>
          </w:p>
        </w:tc>
        <w:tc>
          <w:tcPr>
            <w:tcW w:w="733" w:type="dxa"/>
            <w:vMerge w:val="continue"/>
            <w:vAlign w:val="center"/>
          </w:tcPr>
          <w:p w14:paraId="7A30ADF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7165CEC">
            <w:pPr>
              <w:jc w:val="center"/>
              <w:rPr>
                <w:rFonts w:hint="eastAsia" w:ascii="宋体" w:hAnsi="宋体" w:eastAsia="宋体" w:cs="宋体"/>
                <w:b w:val="0"/>
                <w:bCs w:val="0"/>
                <w:color w:val="auto"/>
                <w:kern w:val="0"/>
                <w:sz w:val="20"/>
                <w:szCs w:val="20"/>
                <w:highlight w:val="none"/>
                <w:lang w:val="en-US" w:eastAsia="zh-CN" w:bidi="ar-SA"/>
              </w:rPr>
            </w:pPr>
          </w:p>
        </w:tc>
      </w:tr>
      <w:tr w14:paraId="138AD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A54F3EA">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458</w:t>
            </w:r>
          </w:p>
        </w:tc>
        <w:tc>
          <w:tcPr>
            <w:tcW w:w="720" w:type="dxa"/>
            <w:vMerge w:val="continue"/>
            <w:vAlign w:val="center"/>
          </w:tcPr>
          <w:p w14:paraId="281DB271">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65FE350E">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5178BE3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未建档患者信息</w:t>
            </w:r>
          </w:p>
        </w:tc>
        <w:tc>
          <w:tcPr>
            <w:tcW w:w="4392" w:type="dxa"/>
            <w:vAlign w:val="center"/>
          </w:tcPr>
          <w:p w14:paraId="26EB654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管理高血压但未建档患者的基本信息，并提供高血压患者管理建档功能</w:t>
            </w:r>
          </w:p>
        </w:tc>
        <w:tc>
          <w:tcPr>
            <w:tcW w:w="733" w:type="dxa"/>
            <w:vMerge w:val="continue"/>
            <w:vAlign w:val="center"/>
          </w:tcPr>
          <w:p w14:paraId="4328FDC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7055FFA">
            <w:pPr>
              <w:jc w:val="center"/>
              <w:rPr>
                <w:rFonts w:hint="eastAsia" w:ascii="宋体" w:hAnsi="宋体" w:eastAsia="宋体" w:cs="宋体"/>
                <w:b w:val="0"/>
                <w:bCs w:val="0"/>
                <w:color w:val="auto"/>
                <w:kern w:val="0"/>
                <w:sz w:val="20"/>
                <w:szCs w:val="20"/>
                <w:highlight w:val="none"/>
                <w:lang w:val="en-US" w:eastAsia="zh-CN" w:bidi="ar-SA"/>
              </w:rPr>
            </w:pPr>
          </w:p>
        </w:tc>
      </w:tr>
      <w:tr w14:paraId="2920E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C894F6F">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459</w:t>
            </w:r>
          </w:p>
        </w:tc>
        <w:tc>
          <w:tcPr>
            <w:tcW w:w="720" w:type="dxa"/>
            <w:vMerge w:val="continue"/>
            <w:vAlign w:val="center"/>
          </w:tcPr>
          <w:p w14:paraId="13077BD1">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36A3B3B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糖尿病患者管理</w:t>
            </w:r>
          </w:p>
        </w:tc>
        <w:tc>
          <w:tcPr>
            <w:tcW w:w="1900" w:type="dxa"/>
            <w:vAlign w:val="center"/>
          </w:tcPr>
          <w:p w14:paraId="6425988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糖尿病患者档案信息</w:t>
            </w:r>
          </w:p>
        </w:tc>
        <w:tc>
          <w:tcPr>
            <w:tcW w:w="4392" w:type="dxa"/>
            <w:vAlign w:val="center"/>
          </w:tcPr>
          <w:p w14:paraId="3CD1CF3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管理糖尿病患者基本信息、糖尿病随访基本情况</w:t>
            </w:r>
          </w:p>
        </w:tc>
        <w:tc>
          <w:tcPr>
            <w:tcW w:w="733" w:type="dxa"/>
            <w:vMerge w:val="restart"/>
            <w:vAlign w:val="center"/>
          </w:tcPr>
          <w:p w14:paraId="4239367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75C36C0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488B4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E7CEF09">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460</w:t>
            </w:r>
          </w:p>
        </w:tc>
        <w:tc>
          <w:tcPr>
            <w:tcW w:w="720" w:type="dxa"/>
            <w:vMerge w:val="continue"/>
            <w:vAlign w:val="center"/>
          </w:tcPr>
          <w:p w14:paraId="30B17A45">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06E30209">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557F2D0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未建档患者信息</w:t>
            </w:r>
          </w:p>
        </w:tc>
        <w:tc>
          <w:tcPr>
            <w:tcW w:w="4392" w:type="dxa"/>
            <w:vAlign w:val="center"/>
          </w:tcPr>
          <w:p w14:paraId="00F38EB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管理糖尿病但未建档患者的基本信息，并提供糖尿病患者管理建档功能</w:t>
            </w:r>
          </w:p>
        </w:tc>
        <w:tc>
          <w:tcPr>
            <w:tcW w:w="733" w:type="dxa"/>
            <w:vMerge w:val="continue"/>
            <w:vAlign w:val="center"/>
          </w:tcPr>
          <w:p w14:paraId="62042D1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2C14903">
            <w:pPr>
              <w:jc w:val="center"/>
              <w:rPr>
                <w:rFonts w:hint="eastAsia" w:ascii="宋体" w:hAnsi="宋体" w:eastAsia="宋体" w:cs="宋体"/>
                <w:b w:val="0"/>
                <w:bCs w:val="0"/>
                <w:color w:val="auto"/>
                <w:kern w:val="0"/>
                <w:sz w:val="20"/>
                <w:szCs w:val="20"/>
                <w:highlight w:val="none"/>
                <w:lang w:val="en-US" w:eastAsia="zh-CN" w:bidi="ar-SA"/>
              </w:rPr>
            </w:pPr>
          </w:p>
        </w:tc>
      </w:tr>
      <w:tr w14:paraId="42DF0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83" w:type="dxa"/>
            <w:vAlign w:val="center"/>
          </w:tcPr>
          <w:p w14:paraId="0B19EFE6">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461</w:t>
            </w:r>
          </w:p>
        </w:tc>
        <w:tc>
          <w:tcPr>
            <w:tcW w:w="720" w:type="dxa"/>
            <w:vMerge w:val="continue"/>
            <w:vAlign w:val="center"/>
          </w:tcPr>
          <w:p w14:paraId="2D4D4891">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757D0AF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高血脂患者管理</w:t>
            </w:r>
          </w:p>
        </w:tc>
        <w:tc>
          <w:tcPr>
            <w:tcW w:w="1900" w:type="dxa"/>
            <w:vAlign w:val="center"/>
          </w:tcPr>
          <w:p w14:paraId="4398A6A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高血脂患者档案信息</w:t>
            </w:r>
          </w:p>
        </w:tc>
        <w:tc>
          <w:tcPr>
            <w:tcW w:w="4392" w:type="dxa"/>
            <w:vAlign w:val="center"/>
          </w:tcPr>
          <w:p w14:paraId="5804D17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管理高血脂患者基本信息、高血脂随访基本情况</w:t>
            </w:r>
          </w:p>
        </w:tc>
        <w:tc>
          <w:tcPr>
            <w:tcW w:w="733" w:type="dxa"/>
            <w:vMerge w:val="restart"/>
            <w:vAlign w:val="center"/>
          </w:tcPr>
          <w:p w14:paraId="3575A99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23C056C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D575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169ABEE">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462</w:t>
            </w:r>
          </w:p>
        </w:tc>
        <w:tc>
          <w:tcPr>
            <w:tcW w:w="720" w:type="dxa"/>
            <w:vMerge w:val="continue"/>
            <w:vAlign w:val="center"/>
          </w:tcPr>
          <w:p w14:paraId="548EB08F">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17EF09F1">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1DE6829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未建档患者信息</w:t>
            </w:r>
          </w:p>
        </w:tc>
        <w:tc>
          <w:tcPr>
            <w:tcW w:w="4392" w:type="dxa"/>
            <w:vAlign w:val="center"/>
          </w:tcPr>
          <w:p w14:paraId="5D12B76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管理高血脂但未建档患者的基本信息，并提供高血脂患者管理建档功能</w:t>
            </w:r>
          </w:p>
        </w:tc>
        <w:tc>
          <w:tcPr>
            <w:tcW w:w="733" w:type="dxa"/>
            <w:vMerge w:val="continue"/>
            <w:vAlign w:val="center"/>
          </w:tcPr>
          <w:p w14:paraId="3FC9842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5EDC62A">
            <w:pPr>
              <w:jc w:val="center"/>
              <w:rPr>
                <w:rFonts w:hint="eastAsia" w:ascii="宋体" w:hAnsi="宋体" w:eastAsia="宋体" w:cs="宋体"/>
                <w:b w:val="0"/>
                <w:bCs w:val="0"/>
                <w:color w:val="auto"/>
                <w:kern w:val="0"/>
                <w:sz w:val="20"/>
                <w:szCs w:val="20"/>
                <w:highlight w:val="none"/>
                <w:lang w:val="en-US" w:eastAsia="zh-CN" w:bidi="ar-SA"/>
              </w:rPr>
            </w:pPr>
          </w:p>
        </w:tc>
      </w:tr>
      <w:tr w14:paraId="19368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791747D">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463</w:t>
            </w:r>
          </w:p>
        </w:tc>
        <w:tc>
          <w:tcPr>
            <w:tcW w:w="720" w:type="dxa"/>
            <w:vMerge w:val="continue"/>
            <w:vAlign w:val="center"/>
          </w:tcPr>
          <w:p w14:paraId="5576CF0A">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4A6A650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肺结节患者管理</w:t>
            </w:r>
          </w:p>
        </w:tc>
        <w:tc>
          <w:tcPr>
            <w:tcW w:w="1900" w:type="dxa"/>
            <w:vAlign w:val="center"/>
          </w:tcPr>
          <w:p w14:paraId="4BA1EB3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肺结节患者档案信息</w:t>
            </w:r>
          </w:p>
        </w:tc>
        <w:tc>
          <w:tcPr>
            <w:tcW w:w="4392" w:type="dxa"/>
            <w:vAlign w:val="center"/>
          </w:tcPr>
          <w:p w14:paraId="1DD0090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管理肺结节患者基本信息、肺结节随访基本情况</w:t>
            </w:r>
          </w:p>
        </w:tc>
        <w:tc>
          <w:tcPr>
            <w:tcW w:w="733" w:type="dxa"/>
            <w:vMerge w:val="restart"/>
            <w:vAlign w:val="center"/>
          </w:tcPr>
          <w:p w14:paraId="2211006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72F9772A">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42C71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8468C3E">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464</w:t>
            </w:r>
          </w:p>
        </w:tc>
        <w:tc>
          <w:tcPr>
            <w:tcW w:w="720" w:type="dxa"/>
            <w:vMerge w:val="continue"/>
            <w:vAlign w:val="center"/>
          </w:tcPr>
          <w:p w14:paraId="1BDE71B8">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5809C8E0">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0373B22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未建档患者信息</w:t>
            </w:r>
          </w:p>
        </w:tc>
        <w:tc>
          <w:tcPr>
            <w:tcW w:w="4392" w:type="dxa"/>
            <w:vAlign w:val="center"/>
          </w:tcPr>
          <w:p w14:paraId="4E867AD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管理肺结节但未建档患者的基本信息，并提供肺结节患者管理建档功能</w:t>
            </w:r>
          </w:p>
        </w:tc>
        <w:tc>
          <w:tcPr>
            <w:tcW w:w="733" w:type="dxa"/>
            <w:vMerge w:val="continue"/>
            <w:vAlign w:val="center"/>
          </w:tcPr>
          <w:p w14:paraId="1B26DE1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47E765B">
            <w:pPr>
              <w:jc w:val="center"/>
              <w:rPr>
                <w:rFonts w:hint="eastAsia" w:ascii="宋体" w:hAnsi="宋体" w:eastAsia="宋体" w:cs="宋体"/>
                <w:b w:val="0"/>
                <w:bCs w:val="0"/>
                <w:color w:val="auto"/>
                <w:kern w:val="0"/>
                <w:sz w:val="20"/>
                <w:szCs w:val="20"/>
                <w:highlight w:val="none"/>
                <w:lang w:val="en-US" w:eastAsia="zh-CN" w:bidi="ar-SA"/>
              </w:rPr>
            </w:pPr>
          </w:p>
        </w:tc>
      </w:tr>
      <w:tr w14:paraId="325A5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8D58B59">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465</w:t>
            </w:r>
          </w:p>
        </w:tc>
        <w:tc>
          <w:tcPr>
            <w:tcW w:w="720" w:type="dxa"/>
            <w:vMerge w:val="continue"/>
            <w:vAlign w:val="center"/>
          </w:tcPr>
          <w:p w14:paraId="386E6B09">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1338B34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上消化道肿瘤管理</w:t>
            </w:r>
          </w:p>
        </w:tc>
        <w:tc>
          <w:tcPr>
            <w:tcW w:w="1900" w:type="dxa"/>
            <w:vAlign w:val="center"/>
          </w:tcPr>
          <w:p w14:paraId="7290EAF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上消化道肿瘤患者档案信息</w:t>
            </w:r>
          </w:p>
        </w:tc>
        <w:tc>
          <w:tcPr>
            <w:tcW w:w="4392" w:type="dxa"/>
            <w:vAlign w:val="center"/>
          </w:tcPr>
          <w:p w14:paraId="25EDD6F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管理上消化道肿瘤患者基本信息、上消化道肿瘤随访基本情况</w:t>
            </w:r>
          </w:p>
        </w:tc>
        <w:tc>
          <w:tcPr>
            <w:tcW w:w="733" w:type="dxa"/>
            <w:vMerge w:val="restart"/>
            <w:vAlign w:val="center"/>
          </w:tcPr>
          <w:p w14:paraId="12E95AB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5F5C6D7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096B5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86E7669">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466</w:t>
            </w:r>
          </w:p>
        </w:tc>
        <w:tc>
          <w:tcPr>
            <w:tcW w:w="720" w:type="dxa"/>
            <w:vMerge w:val="continue"/>
            <w:vAlign w:val="center"/>
          </w:tcPr>
          <w:p w14:paraId="46C7FE25">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1CB421CF">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084D7EA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未建档患者信息</w:t>
            </w:r>
          </w:p>
        </w:tc>
        <w:tc>
          <w:tcPr>
            <w:tcW w:w="4392" w:type="dxa"/>
            <w:vAlign w:val="center"/>
          </w:tcPr>
          <w:p w14:paraId="62D7FCC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管理上消化道肿瘤但未建档患者的基本信息，并提供上消化道肿瘤患者管理建档功能</w:t>
            </w:r>
          </w:p>
        </w:tc>
        <w:tc>
          <w:tcPr>
            <w:tcW w:w="733" w:type="dxa"/>
            <w:vMerge w:val="continue"/>
            <w:vAlign w:val="center"/>
          </w:tcPr>
          <w:p w14:paraId="07B7AFB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56C3329">
            <w:pPr>
              <w:jc w:val="center"/>
              <w:rPr>
                <w:rFonts w:hint="eastAsia" w:ascii="宋体" w:hAnsi="宋体" w:eastAsia="宋体" w:cs="宋体"/>
                <w:b w:val="0"/>
                <w:bCs w:val="0"/>
                <w:color w:val="auto"/>
                <w:kern w:val="0"/>
                <w:sz w:val="20"/>
                <w:szCs w:val="20"/>
                <w:highlight w:val="none"/>
                <w:lang w:val="en-US" w:eastAsia="zh-CN" w:bidi="ar-SA"/>
              </w:rPr>
            </w:pPr>
          </w:p>
        </w:tc>
      </w:tr>
      <w:tr w14:paraId="5BD52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83A50CC">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467</w:t>
            </w:r>
          </w:p>
        </w:tc>
        <w:tc>
          <w:tcPr>
            <w:tcW w:w="720" w:type="dxa"/>
            <w:vMerge w:val="continue"/>
            <w:vAlign w:val="center"/>
          </w:tcPr>
          <w:p w14:paraId="09B5E9C7">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283D246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前列腺肿瘤管理</w:t>
            </w:r>
          </w:p>
        </w:tc>
        <w:tc>
          <w:tcPr>
            <w:tcW w:w="1900" w:type="dxa"/>
            <w:vAlign w:val="center"/>
          </w:tcPr>
          <w:p w14:paraId="10B1869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前列腺肿瘤患者档案信息</w:t>
            </w:r>
          </w:p>
        </w:tc>
        <w:tc>
          <w:tcPr>
            <w:tcW w:w="4392" w:type="dxa"/>
            <w:vAlign w:val="center"/>
          </w:tcPr>
          <w:p w14:paraId="1F3B6E4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前列腺肿瘤患者基本信息、前列腺肿瘤随访基本情况</w:t>
            </w:r>
          </w:p>
        </w:tc>
        <w:tc>
          <w:tcPr>
            <w:tcW w:w="733" w:type="dxa"/>
            <w:vMerge w:val="restart"/>
            <w:vAlign w:val="center"/>
          </w:tcPr>
          <w:p w14:paraId="414316A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70CE493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5462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EFA6FBB">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468</w:t>
            </w:r>
          </w:p>
        </w:tc>
        <w:tc>
          <w:tcPr>
            <w:tcW w:w="720" w:type="dxa"/>
            <w:vMerge w:val="continue"/>
            <w:vAlign w:val="center"/>
          </w:tcPr>
          <w:p w14:paraId="6F43A6B4">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051177D2">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73ADBB2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未建档患者信息</w:t>
            </w:r>
          </w:p>
        </w:tc>
        <w:tc>
          <w:tcPr>
            <w:tcW w:w="4392" w:type="dxa"/>
            <w:vAlign w:val="center"/>
          </w:tcPr>
          <w:p w14:paraId="1CB3C31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管理前列腺肿瘤但未建档患者的基本信息，并提供前列腺肿瘤患者管理建档功能</w:t>
            </w:r>
          </w:p>
        </w:tc>
        <w:tc>
          <w:tcPr>
            <w:tcW w:w="733" w:type="dxa"/>
            <w:vMerge w:val="continue"/>
            <w:vAlign w:val="center"/>
          </w:tcPr>
          <w:p w14:paraId="4AEB4C7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E9395AB">
            <w:pPr>
              <w:jc w:val="center"/>
              <w:rPr>
                <w:rFonts w:hint="eastAsia" w:ascii="宋体" w:hAnsi="宋体" w:eastAsia="宋体" w:cs="宋体"/>
                <w:b w:val="0"/>
                <w:bCs w:val="0"/>
                <w:color w:val="auto"/>
                <w:kern w:val="0"/>
                <w:sz w:val="20"/>
                <w:szCs w:val="20"/>
                <w:highlight w:val="none"/>
                <w:lang w:val="en-US" w:eastAsia="zh-CN" w:bidi="ar-SA"/>
              </w:rPr>
            </w:pPr>
          </w:p>
        </w:tc>
      </w:tr>
      <w:tr w14:paraId="655B7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FAAD192">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469</w:t>
            </w:r>
          </w:p>
        </w:tc>
        <w:tc>
          <w:tcPr>
            <w:tcW w:w="720" w:type="dxa"/>
            <w:vMerge w:val="continue"/>
            <w:vAlign w:val="center"/>
          </w:tcPr>
          <w:p w14:paraId="0715C507">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302BBF1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宫颈癌管理</w:t>
            </w:r>
          </w:p>
        </w:tc>
        <w:tc>
          <w:tcPr>
            <w:tcW w:w="1900" w:type="dxa"/>
            <w:vAlign w:val="center"/>
          </w:tcPr>
          <w:p w14:paraId="0650FAA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宫颈癌患者档案信息</w:t>
            </w:r>
          </w:p>
        </w:tc>
        <w:tc>
          <w:tcPr>
            <w:tcW w:w="4392" w:type="dxa"/>
            <w:vAlign w:val="center"/>
          </w:tcPr>
          <w:p w14:paraId="00A607B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宫颈癌患者基本信息、宫颈癌随访基本情况</w:t>
            </w:r>
          </w:p>
        </w:tc>
        <w:tc>
          <w:tcPr>
            <w:tcW w:w="733" w:type="dxa"/>
            <w:vMerge w:val="restart"/>
            <w:vAlign w:val="center"/>
          </w:tcPr>
          <w:p w14:paraId="54FDBDD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2C35F73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48CE2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5284353">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470</w:t>
            </w:r>
          </w:p>
        </w:tc>
        <w:tc>
          <w:tcPr>
            <w:tcW w:w="720" w:type="dxa"/>
            <w:vMerge w:val="continue"/>
            <w:vAlign w:val="center"/>
          </w:tcPr>
          <w:p w14:paraId="634DB1A6">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6E4538BA">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6120909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未建档患者信息</w:t>
            </w:r>
          </w:p>
        </w:tc>
        <w:tc>
          <w:tcPr>
            <w:tcW w:w="4392" w:type="dxa"/>
            <w:vAlign w:val="center"/>
          </w:tcPr>
          <w:p w14:paraId="510927B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管理宫颈癌但未建档患者的基本信息，并提供宫颈癌患者管理建档功能</w:t>
            </w:r>
          </w:p>
        </w:tc>
        <w:tc>
          <w:tcPr>
            <w:tcW w:w="733" w:type="dxa"/>
            <w:vMerge w:val="continue"/>
            <w:vAlign w:val="center"/>
          </w:tcPr>
          <w:p w14:paraId="42756A6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7B13B95">
            <w:pPr>
              <w:jc w:val="center"/>
              <w:rPr>
                <w:rFonts w:hint="eastAsia" w:ascii="宋体" w:hAnsi="宋体" w:eastAsia="宋体" w:cs="宋体"/>
                <w:b w:val="0"/>
                <w:bCs w:val="0"/>
                <w:color w:val="auto"/>
                <w:kern w:val="0"/>
                <w:sz w:val="20"/>
                <w:szCs w:val="20"/>
                <w:highlight w:val="none"/>
                <w:lang w:val="en-US" w:eastAsia="zh-CN" w:bidi="ar-SA"/>
              </w:rPr>
            </w:pPr>
          </w:p>
        </w:tc>
      </w:tr>
      <w:tr w14:paraId="67AB4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7A5D83F">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471</w:t>
            </w:r>
          </w:p>
        </w:tc>
        <w:tc>
          <w:tcPr>
            <w:tcW w:w="720" w:type="dxa"/>
            <w:vMerge w:val="continue"/>
            <w:vAlign w:val="center"/>
          </w:tcPr>
          <w:p w14:paraId="571D7011">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496E974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乳腺癌管理</w:t>
            </w:r>
          </w:p>
        </w:tc>
        <w:tc>
          <w:tcPr>
            <w:tcW w:w="1900" w:type="dxa"/>
            <w:vAlign w:val="center"/>
          </w:tcPr>
          <w:p w14:paraId="696D03E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乳腺癌患者档案信息</w:t>
            </w:r>
          </w:p>
        </w:tc>
        <w:tc>
          <w:tcPr>
            <w:tcW w:w="4392" w:type="dxa"/>
            <w:vAlign w:val="center"/>
          </w:tcPr>
          <w:p w14:paraId="561CA21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乳腺癌患者基本信息、乳腺癌随访基本情况</w:t>
            </w:r>
          </w:p>
        </w:tc>
        <w:tc>
          <w:tcPr>
            <w:tcW w:w="733" w:type="dxa"/>
            <w:vMerge w:val="restart"/>
            <w:vAlign w:val="center"/>
          </w:tcPr>
          <w:p w14:paraId="665DE4B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59A6F35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14821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FD961A4">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472</w:t>
            </w:r>
          </w:p>
        </w:tc>
        <w:tc>
          <w:tcPr>
            <w:tcW w:w="720" w:type="dxa"/>
            <w:vMerge w:val="continue"/>
            <w:vAlign w:val="center"/>
          </w:tcPr>
          <w:p w14:paraId="24F0118E">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272A6B78">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3C71D3C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未建档患者信息</w:t>
            </w:r>
          </w:p>
        </w:tc>
        <w:tc>
          <w:tcPr>
            <w:tcW w:w="4392" w:type="dxa"/>
            <w:vAlign w:val="center"/>
          </w:tcPr>
          <w:p w14:paraId="0EB64C3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管理乳腺癌但未建档患者的基本信息，并提供乳腺癌患者管理建档功能</w:t>
            </w:r>
          </w:p>
        </w:tc>
        <w:tc>
          <w:tcPr>
            <w:tcW w:w="733" w:type="dxa"/>
            <w:vMerge w:val="continue"/>
            <w:vAlign w:val="center"/>
          </w:tcPr>
          <w:p w14:paraId="7B68041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555389E">
            <w:pPr>
              <w:jc w:val="center"/>
              <w:rPr>
                <w:rFonts w:hint="eastAsia" w:ascii="宋体" w:hAnsi="宋体" w:eastAsia="宋体" w:cs="宋体"/>
                <w:b w:val="0"/>
                <w:bCs w:val="0"/>
                <w:color w:val="auto"/>
                <w:kern w:val="0"/>
                <w:sz w:val="20"/>
                <w:szCs w:val="20"/>
                <w:highlight w:val="none"/>
                <w:lang w:val="en-US" w:eastAsia="zh-CN" w:bidi="ar-SA"/>
              </w:rPr>
            </w:pPr>
          </w:p>
        </w:tc>
      </w:tr>
      <w:tr w14:paraId="5BECC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8232053">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473</w:t>
            </w:r>
          </w:p>
        </w:tc>
        <w:tc>
          <w:tcPr>
            <w:tcW w:w="720" w:type="dxa"/>
            <w:vMerge w:val="continue"/>
            <w:vAlign w:val="center"/>
          </w:tcPr>
          <w:p w14:paraId="66865352">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5579BC7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慢阻肺管理</w:t>
            </w:r>
          </w:p>
        </w:tc>
        <w:tc>
          <w:tcPr>
            <w:tcW w:w="1900" w:type="dxa"/>
            <w:vAlign w:val="center"/>
          </w:tcPr>
          <w:p w14:paraId="1B20761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慢阻肺患者档案信息</w:t>
            </w:r>
          </w:p>
        </w:tc>
        <w:tc>
          <w:tcPr>
            <w:tcW w:w="4392" w:type="dxa"/>
            <w:vAlign w:val="center"/>
          </w:tcPr>
          <w:p w14:paraId="66170E6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慢阻肺患者基本信息、慢阻肺随访基本情况</w:t>
            </w:r>
          </w:p>
        </w:tc>
        <w:tc>
          <w:tcPr>
            <w:tcW w:w="733" w:type="dxa"/>
            <w:vMerge w:val="restart"/>
            <w:vAlign w:val="center"/>
          </w:tcPr>
          <w:p w14:paraId="718FE71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2937FA3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4FF2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509A787">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474</w:t>
            </w:r>
          </w:p>
        </w:tc>
        <w:tc>
          <w:tcPr>
            <w:tcW w:w="720" w:type="dxa"/>
            <w:vMerge w:val="continue"/>
            <w:vAlign w:val="center"/>
          </w:tcPr>
          <w:p w14:paraId="103E9519">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0F578CFD">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1A8B77D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未建档患者信息</w:t>
            </w:r>
          </w:p>
        </w:tc>
        <w:tc>
          <w:tcPr>
            <w:tcW w:w="4392" w:type="dxa"/>
            <w:vAlign w:val="center"/>
          </w:tcPr>
          <w:p w14:paraId="3FB6E4D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管理慢阻肺但未建档患者的基本信息，并提供慢阻肺患者管理建档功能</w:t>
            </w:r>
          </w:p>
        </w:tc>
        <w:tc>
          <w:tcPr>
            <w:tcW w:w="733" w:type="dxa"/>
            <w:vMerge w:val="continue"/>
            <w:vAlign w:val="center"/>
          </w:tcPr>
          <w:p w14:paraId="3CE36D8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4A0B647">
            <w:pPr>
              <w:jc w:val="center"/>
              <w:rPr>
                <w:rFonts w:hint="eastAsia" w:ascii="宋体" w:hAnsi="宋体" w:eastAsia="宋体" w:cs="宋体"/>
                <w:b w:val="0"/>
                <w:bCs w:val="0"/>
                <w:color w:val="auto"/>
                <w:kern w:val="0"/>
                <w:sz w:val="20"/>
                <w:szCs w:val="20"/>
                <w:highlight w:val="none"/>
                <w:lang w:val="en-US" w:eastAsia="zh-CN" w:bidi="ar-SA"/>
              </w:rPr>
            </w:pPr>
          </w:p>
        </w:tc>
      </w:tr>
      <w:tr w14:paraId="0CAEC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DA9D7C9">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475</w:t>
            </w:r>
          </w:p>
        </w:tc>
        <w:tc>
          <w:tcPr>
            <w:tcW w:w="720" w:type="dxa"/>
            <w:vMerge w:val="continue"/>
            <w:vAlign w:val="center"/>
          </w:tcPr>
          <w:p w14:paraId="6F98494A">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63505D1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脑卒中</w:t>
            </w:r>
          </w:p>
        </w:tc>
        <w:tc>
          <w:tcPr>
            <w:tcW w:w="1900" w:type="dxa"/>
            <w:vAlign w:val="center"/>
          </w:tcPr>
          <w:p w14:paraId="026F2D3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脑卒中患者档案信息</w:t>
            </w:r>
          </w:p>
        </w:tc>
        <w:tc>
          <w:tcPr>
            <w:tcW w:w="4392" w:type="dxa"/>
            <w:vAlign w:val="center"/>
          </w:tcPr>
          <w:p w14:paraId="4B2317E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脑卒中患者基本信息、脑卒中随访基本情况</w:t>
            </w:r>
          </w:p>
        </w:tc>
        <w:tc>
          <w:tcPr>
            <w:tcW w:w="733" w:type="dxa"/>
            <w:vMerge w:val="restart"/>
            <w:vAlign w:val="center"/>
          </w:tcPr>
          <w:p w14:paraId="3F66040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7563FCA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6FDE0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242A029">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476</w:t>
            </w:r>
          </w:p>
        </w:tc>
        <w:tc>
          <w:tcPr>
            <w:tcW w:w="720" w:type="dxa"/>
            <w:vMerge w:val="continue"/>
            <w:vAlign w:val="center"/>
          </w:tcPr>
          <w:p w14:paraId="69D79B27">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78D5DF54">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59F0959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未建档患者信息</w:t>
            </w:r>
          </w:p>
        </w:tc>
        <w:tc>
          <w:tcPr>
            <w:tcW w:w="4392" w:type="dxa"/>
            <w:vAlign w:val="center"/>
          </w:tcPr>
          <w:p w14:paraId="12DAF5C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管理脑卒中但未建档患者的基本信息，并提供脑卒中患者管理建档功能</w:t>
            </w:r>
          </w:p>
        </w:tc>
        <w:tc>
          <w:tcPr>
            <w:tcW w:w="733" w:type="dxa"/>
            <w:vMerge w:val="continue"/>
            <w:vAlign w:val="center"/>
          </w:tcPr>
          <w:p w14:paraId="347E4D2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53D10DA">
            <w:pPr>
              <w:jc w:val="center"/>
              <w:rPr>
                <w:rFonts w:hint="eastAsia" w:ascii="宋体" w:hAnsi="宋体" w:eastAsia="宋体" w:cs="宋体"/>
                <w:b w:val="0"/>
                <w:bCs w:val="0"/>
                <w:color w:val="auto"/>
                <w:kern w:val="0"/>
                <w:sz w:val="20"/>
                <w:szCs w:val="20"/>
                <w:highlight w:val="none"/>
                <w:lang w:val="en-US" w:eastAsia="zh-CN" w:bidi="ar-SA"/>
              </w:rPr>
            </w:pPr>
          </w:p>
        </w:tc>
      </w:tr>
      <w:tr w14:paraId="59C2D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D5280CF">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477</w:t>
            </w:r>
          </w:p>
        </w:tc>
        <w:tc>
          <w:tcPr>
            <w:tcW w:w="720" w:type="dxa"/>
            <w:vMerge w:val="continue"/>
            <w:vAlign w:val="center"/>
          </w:tcPr>
          <w:p w14:paraId="769E0937">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5A19497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冠心病</w:t>
            </w:r>
          </w:p>
        </w:tc>
        <w:tc>
          <w:tcPr>
            <w:tcW w:w="1900" w:type="dxa"/>
            <w:vAlign w:val="center"/>
          </w:tcPr>
          <w:p w14:paraId="5DB1E22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冠心病患者档案信息</w:t>
            </w:r>
          </w:p>
        </w:tc>
        <w:tc>
          <w:tcPr>
            <w:tcW w:w="4392" w:type="dxa"/>
            <w:vAlign w:val="center"/>
          </w:tcPr>
          <w:p w14:paraId="7DA1BC2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冠心病患者基本信息、冠心病随访基本情况</w:t>
            </w:r>
          </w:p>
        </w:tc>
        <w:tc>
          <w:tcPr>
            <w:tcW w:w="733" w:type="dxa"/>
            <w:vMerge w:val="restart"/>
            <w:vAlign w:val="center"/>
          </w:tcPr>
          <w:p w14:paraId="7F7296D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404012D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5CFC3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7110614">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478</w:t>
            </w:r>
          </w:p>
        </w:tc>
        <w:tc>
          <w:tcPr>
            <w:tcW w:w="720" w:type="dxa"/>
            <w:vMerge w:val="continue"/>
            <w:vAlign w:val="center"/>
          </w:tcPr>
          <w:p w14:paraId="1E6AA86F">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1DD701AD">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2CBF211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未建档患者信息</w:t>
            </w:r>
          </w:p>
        </w:tc>
        <w:tc>
          <w:tcPr>
            <w:tcW w:w="4392" w:type="dxa"/>
            <w:vAlign w:val="center"/>
          </w:tcPr>
          <w:p w14:paraId="14D5191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管理冠心病但未建档患者的基本信息，并提供冠心病患者管理建档功能</w:t>
            </w:r>
          </w:p>
        </w:tc>
        <w:tc>
          <w:tcPr>
            <w:tcW w:w="733" w:type="dxa"/>
            <w:vMerge w:val="continue"/>
            <w:vAlign w:val="center"/>
          </w:tcPr>
          <w:p w14:paraId="42F1E92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7C81B9C">
            <w:pPr>
              <w:jc w:val="center"/>
              <w:rPr>
                <w:rFonts w:hint="eastAsia" w:ascii="宋体" w:hAnsi="宋体" w:eastAsia="宋体" w:cs="宋体"/>
                <w:b w:val="0"/>
                <w:bCs w:val="0"/>
                <w:color w:val="auto"/>
                <w:kern w:val="0"/>
                <w:sz w:val="20"/>
                <w:szCs w:val="20"/>
                <w:highlight w:val="none"/>
                <w:lang w:val="en-US" w:eastAsia="zh-CN" w:bidi="ar-SA"/>
              </w:rPr>
            </w:pPr>
          </w:p>
        </w:tc>
      </w:tr>
      <w:tr w14:paraId="17FA6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1DF2C29">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479</w:t>
            </w:r>
          </w:p>
        </w:tc>
        <w:tc>
          <w:tcPr>
            <w:tcW w:w="720" w:type="dxa"/>
            <w:vMerge w:val="continue"/>
            <w:vAlign w:val="center"/>
          </w:tcPr>
          <w:p w14:paraId="41817FA4">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6F8434C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并发症查询</w:t>
            </w:r>
          </w:p>
        </w:tc>
        <w:tc>
          <w:tcPr>
            <w:tcW w:w="1900" w:type="dxa"/>
            <w:vAlign w:val="center"/>
          </w:tcPr>
          <w:p w14:paraId="028039B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并发症患者信息查询</w:t>
            </w:r>
          </w:p>
        </w:tc>
        <w:tc>
          <w:tcPr>
            <w:tcW w:w="4392" w:type="dxa"/>
            <w:vAlign w:val="center"/>
          </w:tcPr>
          <w:p w14:paraId="14FD8B9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管理具有多个慢病并发症患者的基本信息，并提供并发症患者随访功能</w:t>
            </w:r>
          </w:p>
        </w:tc>
        <w:tc>
          <w:tcPr>
            <w:tcW w:w="733" w:type="dxa"/>
            <w:vAlign w:val="center"/>
          </w:tcPr>
          <w:p w14:paraId="075A9FD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70038DA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06C9D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7211FD9">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480</w:t>
            </w:r>
          </w:p>
        </w:tc>
        <w:tc>
          <w:tcPr>
            <w:tcW w:w="720" w:type="dxa"/>
            <w:vMerge w:val="continue"/>
            <w:vAlign w:val="center"/>
          </w:tcPr>
          <w:p w14:paraId="77A39D30">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6B93B99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未建档患者识别</w:t>
            </w:r>
          </w:p>
        </w:tc>
        <w:tc>
          <w:tcPr>
            <w:tcW w:w="1900" w:type="dxa"/>
            <w:vAlign w:val="center"/>
          </w:tcPr>
          <w:p w14:paraId="3914ED0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识别未建档患者信息</w:t>
            </w:r>
          </w:p>
        </w:tc>
        <w:tc>
          <w:tcPr>
            <w:tcW w:w="4392" w:type="dxa"/>
            <w:vAlign w:val="center"/>
          </w:tcPr>
          <w:p w14:paraId="0ECC089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识别并未建立健康档案居民的基本信息</w:t>
            </w:r>
          </w:p>
        </w:tc>
        <w:tc>
          <w:tcPr>
            <w:tcW w:w="733" w:type="dxa"/>
            <w:vMerge w:val="restart"/>
            <w:vAlign w:val="center"/>
          </w:tcPr>
          <w:p w14:paraId="6D1C15F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082E7C0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48A2A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83" w:type="dxa"/>
            <w:vAlign w:val="center"/>
          </w:tcPr>
          <w:p w14:paraId="750185CF">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481</w:t>
            </w:r>
          </w:p>
        </w:tc>
        <w:tc>
          <w:tcPr>
            <w:tcW w:w="720" w:type="dxa"/>
            <w:vMerge w:val="continue"/>
            <w:vAlign w:val="center"/>
          </w:tcPr>
          <w:p w14:paraId="483B5310">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70763CDE">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0677F01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建立居民健康档案</w:t>
            </w:r>
          </w:p>
        </w:tc>
        <w:tc>
          <w:tcPr>
            <w:tcW w:w="4392" w:type="dxa"/>
            <w:vAlign w:val="center"/>
          </w:tcPr>
          <w:p w14:paraId="1307185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对已识别的未建档的居民建立健康档案</w:t>
            </w:r>
          </w:p>
        </w:tc>
        <w:tc>
          <w:tcPr>
            <w:tcW w:w="733" w:type="dxa"/>
            <w:vMerge w:val="continue"/>
            <w:vAlign w:val="center"/>
          </w:tcPr>
          <w:p w14:paraId="2CC9E81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0D149B4">
            <w:pPr>
              <w:jc w:val="center"/>
              <w:rPr>
                <w:rFonts w:hint="eastAsia" w:ascii="宋体" w:hAnsi="宋体" w:eastAsia="宋体" w:cs="宋体"/>
                <w:b w:val="0"/>
                <w:bCs w:val="0"/>
                <w:color w:val="auto"/>
                <w:kern w:val="0"/>
                <w:sz w:val="20"/>
                <w:szCs w:val="20"/>
                <w:highlight w:val="none"/>
                <w:lang w:val="en-US" w:eastAsia="zh-CN" w:bidi="ar-SA"/>
              </w:rPr>
            </w:pPr>
          </w:p>
        </w:tc>
      </w:tr>
      <w:tr w14:paraId="0C9FA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84DFF80">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482</w:t>
            </w:r>
          </w:p>
        </w:tc>
        <w:tc>
          <w:tcPr>
            <w:tcW w:w="720" w:type="dxa"/>
            <w:vMerge w:val="continue"/>
            <w:vAlign w:val="center"/>
          </w:tcPr>
          <w:p w14:paraId="15F825D6">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47004C4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高位状态识别</w:t>
            </w:r>
          </w:p>
        </w:tc>
        <w:tc>
          <w:tcPr>
            <w:tcW w:w="1900" w:type="dxa"/>
            <w:vAlign w:val="center"/>
          </w:tcPr>
          <w:p w14:paraId="2BF4510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高位状态识别信息</w:t>
            </w:r>
          </w:p>
        </w:tc>
        <w:tc>
          <w:tcPr>
            <w:tcW w:w="4392" w:type="dxa"/>
            <w:vAlign w:val="center"/>
          </w:tcPr>
          <w:p w14:paraId="5CF7EA1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识别慢病高危预警患者信息并展示</w:t>
            </w:r>
          </w:p>
        </w:tc>
        <w:tc>
          <w:tcPr>
            <w:tcW w:w="733" w:type="dxa"/>
            <w:vAlign w:val="center"/>
          </w:tcPr>
          <w:p w14:paraId="27CF938A">
            <w:pPr>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7A27B19A">
            <w:pPr>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1</w:t>
            </w:r>
          </w:p>
        </w:tc>
      </w:tr>
      <w:tr w14:paraId="62C62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4A196B2">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483</w:t>
            </w:r>
          </w:p>
        </w:tc>
        <w:tc>
          <w:tcPr>
            <w:tcW w:w="720" w:type="dxa"/>
            <w:vMerge w:val="continue"/>
            <w:vAlign w:val="center"/>
          </w:tcPr>
          <w:p w14:paraId="224ACC6C">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645A95A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随访流程</w:t>
            </w:r>
          </w:p>
        </w:tc>
        <w:tc>
          <w:tcPr>
            <w:tcW w:w="1900" w:type="dxa"/>
            <w:vAlign w:val="center"/>
          </w:tcPr>
          <w:p w14:paraId="2D618CF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随访流程信息展示</w:t>
            </w:r>
          </w:p>
        </w:tc>
        <w:tc>
          <w:tcPr>
            <w:tcW w:w="4392" w:type="dxa"/>
            <w:vAlign w:val="center"/>
          </w:tcPr>
          <w:p w14:paraId="3BAD5EF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支持查看患者历次随访信息和疾病分级信息，根据分级信息，查询该级别对应的随访流程。</w:t>
            </w:r>
          </w:p>
        </w:tc>
        <w:tc>
          <w:tcPr>
            <w:tcW w:w="733" w:type="dxa"/>
            <w:vAlign w:val="center"/>
          </w:tcPr>
          <w:p w14:paraId="3640BB8B">
            <w:pPr>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12AA41D7">
            <w:pPr>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1</w:t>
            </w:r>
          </w:p>
        </w:tc>
      </w:tr>
      <w:tr w14:paraId="615B1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2697CE4">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484</w:t>
            </w:r>
          </w:p>
        </w:tc>
        <w:tc>
          <w:tcPr>
            <w:tcW w:w="720" w:type="dxa"/>
            <w:vMerge w:val="continue"/>
            <w:vAlign w:val="center"/>
          </w:tcPr>
          <w:p w14:paraId="786CD341">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56F8A23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红黄绿患者标记</w:t>
            </w:r>
          </w:p>
        </w:tc>
        <w:tc>
          <w:tcPr>
            <w:tcW w:w="1900" w:type="dxa"/>
            <w:vAlign w:val="center"/>
          </w:tcPr>
          <w:p w14:paraId="3B4C950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红黄绿患者标记信息</w:t>
            </w:r>
          </w:p>
        </w:tc>
        <w:tc>
          <w:tcPr>
            <w:tcW w:w="4392" w:type="dxa"/>
            <w:vAlign w:val="center"/>
          </w:tcPr>
          <w:p w14:paraId="2F73BE9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支持根据慢性疾病设定的分级（红、黄、绿三色）信息。</w:t>
            </w:r>
          </w:p>
        </w:tc>
        <w:tc>
          <w:tcPr>
            <w:tcW w:w="733" w:type="dxa"/>
            <w:vMerge w:val="restart"/>
            <w:vAlign w:val="center"/>
          </w:tcPr>
          <w:p w14:paraId="038CEFC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3557B76C">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2.5</w:t>
            </w:r>
          </w:p>
        </w:tc>
      </w:tr>
      <w:tr w14:paraId="6FC74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9BC5188">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485</w:t>
            </w:r>
          </w:p>
        </w:tc>
        <w:tc>
          <w:tcPr>
            <w:tcW w:w="720" w:type="dxa"/>
            <w:vMerge w:val="continue"/>
            <w:vAlign w:val="center"/>
          </w:tcPr>
          <w:p w14:paraId="6D9A9952">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43E2D3C3">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4D7AAC0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患者转诊</w:t>
            </w:r>
          </w:p>
        </w:tc>
        <w:tc>
          <w:tcPr>
            <w:tcW w:w="4392" w:type="dxa"/>
            <w:vAlign w:val="center"/>
          </w:tcPr>
          <w:p w14:paraId="7ABA2B0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对于红色级别的患者，提供双向转诊管理功能。</w:t>
            </w:r>
          </w:p>
        </w:tc>
        <w:tc>
          <w:tcPr>
            <w:tcW w:w="733" w:type="dxa"/>
            <w:vMerge w:val="continue"/>
            <w:vAlign w:val="center"/>
          </w:tcPr>
          <w:p w14:paraId="25A4960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D7211D9">
            <w:pPr>
              <w:jc w:val="center"/>
              <w:rPr>
                <w:rFonts w:hint="eastAsia" w:ascii="宋体" w:hAnsi="宋体" w:eastAsia="宋体" w:cs="宋体"/>
                <w:b w:val="0"/>
                <w:bCs w:val="0"/>
                <w:color w:val="auto"/>
                <w:kern w:val="0"/>
                <w:sz w:val="20"/>
                <w:szCs w:val="20"/>
                <w:highlight w:val="none"/>
                <w:lang w:val="en-US" w:eastAsia="zh-CN" w:bidi="ar-SA"/>
              </w:rPr>
            </w:pPr>
          </w:p>
        </w:tc>
      </w:tr>
      <w:tr w14:paraId="72E54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583" w:type="dxa"/>
            <w:vAlign w:val="center"/>
          </w:tcPr>
          <w:p w14:paraId="09DBFDA9">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486</w:t>
            </w:r>
          </w:p>
        </w:tc>
        <w:tc>
          <w:tcPr>
            <w:tcW w:w="720" w:type="dxa"/>
            <w:vMerge w:val="continue"/>
            <w:vAlign w:val="center"/>
          </w:tcPr>
          <w:p w14:paraId="68B13A84">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21689BD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健康档案功能</w:t>
            </w:r>
          </w:p>
        </w:tc>
        <w:tc>
          <w:tcPr>
            <w:tcW w:w="1900" w:type="dxa"/>
            <w:vAlign w:val="center"/>
          </w:tcPr>
          <w:p w14:paraId="5383B3F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健康档案建档</w:t>
            </w:r>
          </w:p>
        </w:tc>
        <w:tc>
          <w:tcPr>
            <w:tcW w:w="4392" w:type="dxa"/>
            <w:vAlign w:val="center"/>
          </w:tcPr>
          <w:p w14:paraId="2704B46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支持首诊医生实时建立标准化、数字化的健康档案。并支持已建立档案和其他慢病专案的患者，合并档案，建立多疾病专案。</w:t>
            </w:r>
          </w:p>
        </w:tc>
        <w:tc>
          <w:tcPr>
            <w:tcW w:w="733" w:type="dxa"/>
            <w:vAlign w:val="center"/>
          </w:tcPr>
          <w:p w14:paraId="307A1D0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53B1B1C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43C6D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71B1B1D">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487</w:t>
            </w:r>
          </w:p>
        </w:tc>
        <w:tc>
          <w:tcPr>
            <w:tcW w:w="720" w:type="dxa"/>
            <w:vMerge w:val="continue"/>
            <w:vAlign w:val="center"/>
          </w:tcPr>
          <w:p w14:paraId="32AEC922">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104C1D3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人口画像自动识别</w:t>
            </w:r>
          </w:p>
        </w:tc>
        <w:tc>
          <w:tcPr>
            <w:tcW w:w="1900" w:type="dxa"/>
            <w:vAlign w:val="center"/>
          </w:tcPr>
          <w:p w14:paraId="6524497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人口画像自动识别</w:t>
            </w:r>
          </w:p>
        </w:tc>
        <w:tc>
          <w:tcPr>
            <w:tcW w:w="4392" w:type="dxa"/>
            <w:vAlign w:val="center"/>
          </w:tcPr>
          <w:p w14:paraId="16AD235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通过采集各类HIS的门诊电子病历和公卫平台数据或根据随访结果信息并结合相关疾病特征进行分析，对符合疾病特征的居民进行筛查并疾病人群分类</w:t>
            </w:r>
          </w:p>
        </w:tc>
        <w:tc>
          <w:tcPr>
            <w:tcW w:w="733" w:type="dxa"/>
            <w:vAlign w:val="center"/>
          </w:tcPr>
          <w:p w14:paraId="581628A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5A59CE0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46765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DC79DFC">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488</w:t>
            </w:r>
          </w:p>
        </w:tc>
        <w:tc>
          <w:tcPr>
            <w:tcW w:w="720" w:type="dxa"/>
            <w:vMerge w:val="continue"/>
            <w:vAlign w:val="center"/>
          </w:tcPr>
          <w:p w14:paraId="10CDF345">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6DA3FBE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死亡停管功能</w:t>
            </w:r>
          </w:p>
        </w:tc>
        <w:tc>
          <w:tcPr>
            <w:tcW w:w="1900" w:type="dxa"/>
            <w:vAlign w:val="center"/>
          </w:tcPr>
          <w:p w14:paraId="7A94378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死亡停管功能</w:t>
            </w:r>
          </w:p>
        </w:tc>
        <w:tc>
          <w:tcPr>
            <w:tcW w:w="4392" w:type="dxa"/>
            <w:vAlign w:val="center"/>
          </w:tcPr>
          <w:p w14:paraId="2D39705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标记已死亡的居民信息，并提供健康档案停管功能</w:t>
            </w:r>
          </w:p>
        </w:tc>
        <w:tc>
          <w:tcPr>
            <w:tcW w:w="733" w:type="dxa"/>
            <w:vAlign w:val="center"/>
          </w:tcPr>
          <w:p w14:paraId="076D8F4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54C7596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633E1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DB6F1E1">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489</w:t>
            </w:r>
          </w:p>
        </w:tc>
        <w:tc>
          <w:tcPr>
            <w:tcW w:w="720" w:type="dxa"/>
            <w:vMerge w:val="continue"/>
            <w:vAlign w:val="center"/>
          </w:tcPr>
          <w:p w14:paraId="03CC33B2">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41DAB39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档案手工维护</w:t>
            </w:r>
          </w:p>
        </w:tc>
        <w:tc>
          <w:tcPr>
            <w:tcW w:w="1900" w:type="dxa"/>
            <w:vAlign w:val="center"/>
          </w:tcPr>
          <w:p w14:paraId="2F3DE64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档案信息维护</w:t>
            </w:r>
          </w:p>
        </w:tc>
        <w:tc>
          <w:tcPr>
            <w:tcW w:w="4392" w:type="dxa"/>
            <w:vAlign w:val="center"/>
          </w:tcPr>
          <w:p w14:paraId="7E89DFB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提供上级管理用户可对居民的健康档案信息内容进行手工修改功能</w:t>
            </w:r>
          </w:p>
        </w:tc>
        <w:tc>
          <w:tcPr>
            <w:tcW w:w="733" w:type="dxa"/>
            <w:vAlign w:val="center"/>
          </w:tcPr>
          <w:p w14:paraId="77873B7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1F6EF97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09930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7B6494C">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490</w:t>
            </w:r>
          </w:p>
        </w:tc>
        <w:tc>
          <w:tcPr>
            <w:tcW w:w="720" w:type="dxa"/>
            <w:vMerge w:val="continue"/>
            <w:vAlign w:val="center"/>
          </w:tcPr>
          <w:p w14:paraId="63C1CA07">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5B3F862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机构列表导入</w:t>
            </w:r>
          </w:p>
        </w:tc>
        <w:tc>
          <w:tcPr>
            <w:tcW w:w="1900" w:type="dxa"/>
            <w:vAlign w:val="center"/>
          </w:tcPr>
          <w:p w14:paraId="513A206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机构列表信息导入</w:t>
            </w:r>
          </w:p>
        </w:tc>
        <w:tc>
          <w:tcPr>
            <w:tcW w:w="4392" w:type="dxa"/>
            <w:vAlign w:val="center"/>
          </w:tcPr>
          <w:p w14:paraId="1958360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可通过Excel格式文件对机构信息进行导入并维护</w:t>
            </w:r>
          </w:p>
        </w:tc>
        <w:tc>
          <w:tcPr>
            <w:tcW w:w="733" w:type="dxa"/>
            <w:vAlign w:val="center"/>
          </w:tcPr>
          <w:p w14:paraId="3F6B64B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7B41350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6FE9D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3AD5876">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491</w:t>
            </w:r>
          </w:p>
        </w:tc>
        <w:tc>
          <w:tcPr>
            <w:tcW w:w="720" w:type="dxa"/>
            <w:vMerge w:val="continue"/>
            <w:vAlign w:val="center"/>
          </w:tcPr>
          <w:p w14:paraId="4CED2B22">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0389C25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健康随访功能</w:t>
            </w:r>
          </w:p>
        </w:tc>
        <w:tc>
          <w:tcPr>
            <w:tcW w:w="1900" w:type="dxa"/>
            <w:vAlign w:val="center"/>
          </w:tcPr>
          <w:p w14:paraId="7CB4D8B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随访计划信息展示</w:t>
            </w:r>
          </w:p>
        </w:tc>
        <w:tc>
          <w:tcPr>
            <w:tcW w:w="4392" w:type="dxa"/>
            <w:vAlign w:val="center"/>
          </w:tcPr>
          <w:p w14:paraId="62F00AD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展示待随访、逾期随访计划信息；可新增、修改、查看详细和删除随访计划。</w:t>
            </w:r>
          </w:p>
        </w:tc>
        <w:tc>
          <w:tcPr>
            <w:tcW w:w="733" w:type="dxa"/>
            <w:vMerge w:val="restart"/>
            <w:vAlign w:val="center"/>
          </w:tcPr>
          <w:p w14:paraId="47579B3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7AFD3BE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2DBA0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DEB97CB">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492</w:t>
            </w:r>
          </w:p>
        </w:tc>
        <w:tc>
          <w:tcPr>
            <w:tcW w:w="720" w:type="dxa"/>
            <w:vMerge w:val="continue"/>
            <w:vAlign w:val="center"/>
          </w:tcPr>
          <w:p w14:paraId="724C7A6E">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7E86732D">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06462D8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执行随访</w:t>
            </w:r>
          </w:p>
        </w:tc>
        <w:tc>
          <w:tcPr>
            <w:tcW w:w="4392" w:type="dxa"/>
            <w:vAlign w:val="center"/>
          </w:tcPr>
          <w:p w14:paraId="62D45C9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随访人员执行随访计划中随访任务。并根据随访对象的实际情况填写随访记录表单内容，并且单次随访支持针对多个疾病同时随访</w:t>
            </w:r>
          </w:p>
        </w:tc>
        <w:tc>
          <w:tcPr>
            <w:tcW w:w="733" w:type="dxa"/>
            <w:vMerge w:val="continue"/>
            <w:vAlign w:val="center"/>
          </w:tcPr>
          <w:p w14:paraId="6E379CF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716FE3C">
            <w:pPr>
              <w:jc w:val="center"/>
              <w:rPr>
                <w:rFonts w:hint="eastAsia" w:ascii="宋体" w:hAnsi="宋体" w:eastAsia="宋体" w:cs="宋体"/>
                <w:b w:val="0"/>
                <w:bCs w:val="0"/>
                <w:color w:val="auto"/>
                <w:kern w:val="0"/>
                <w:sz w:val="20"/>
                <w:szCs w:val="20"/>
                <w:highlight w:val="none"/>
                <w:lang w:val="en-US" w:eastAsia="zh-CN" w:bidi="ar-SA"/>
              </w:rPr>
            </w:pPr>
          </w:p>
        </w:tc>
      </w:tr>
      <w:tr w14:paraId="0C78A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6FE0609">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493</w:t>
            </w:r>
          </w:p>
        </w:tc>
        <w:tc>
          <w:tcPr>
            <w:tcW w:w="720" w:type="dxa"/>
            <w:vMerge w:val="continue"/>
            <w:vAlign w:val="center"/>
          </w:tcPr>
          <w:p w14:paraId="22F4A2E9">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4941E65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随访提醒</w:t>
            </w:r>
          </w:p>
        </w:tc>
        <w:tc>
          <w:tcPr>
            <w:tcW w:w="1900" w:type="dxa"/>
            <w:vAlign w:val="center"/>
          </w:tcPr>
          <w:p w14:paraId="248677E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随访提醒</w:t>
            </w:r>
          </w:p>
        </w:tc>
        <w:tc>
          <w:tcPr>
            <w:tcW w:w="4392" w:type="dxa"/>
            <w:vAlign w:val="center"/>
          </w:tcPr>
          <w:p w14:paraId="57AB35E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根据制定的随访计划，可通过短信、微信和电话的形式对随访执行人员和随访对象进行通知提醒</w:t>
            </w:r>
          </w:p>
        </w:tc>
        <w:tc>
          <w:tcPr>
            <w:tcW w:w="733" w:type="dxa"/>
            <w:vAlign w:val="center"/>
          </w:tcPr>
          <w:p w14:paraId="38FE51C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29AAE0B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1F07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A86DBB6">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494</w:t>
            </w:r>
          </w:p>
        </w:tc>
        <w:tc>
          <w:tcPr>
            <w:tcW w:w="720" w:type="dxa"/>
            <w:vMerge w:val="continue"/>
            <w:vAlign w:val="center"/>
          </w:tcPr>
          <w:p w14:paraId="6C9ECA51">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5954C95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健康处方功能</w:t>
            </w:r>
          </w:p>
        </w:tc>
        <w:tc>
          <w:tcPr>
            <w:tcW w:w="1900" w:type="dxa"/>
            <w:vAlign w:val="center"/>
          </w:tcPr>
          <w:p w14:paraId="26E84C0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健康处方展示</w:t>
            </w:r>
          </w:p>
        </w:tc>
        <w:tc>
          <w:tcPr>
            <w:tcW w:w="4392" w:type="dxa"/>
            <w:vAlign w:val="center"/>
          </w:tcPr>
          <w:p w14:paraId="68EAB27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针对特殊疾病居民，结合各类HIS的门诊电子病历和公卫平台数据或根据随访结果信息展示响应的健康处方，并提供处方打印功能</w:t>
            </w:r>
          </w:p>
        </w:tc>
        <w:tc>
          <w:tcPr>
            <w:tcW w:w="733" w:type="dxa"/>
            <w:vMerge w:val="restart"/>
            <w:vAlign w:val="center"/>
          </w:tcPr>
          <w:p w14:paraId="66AFDF3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0E8DF43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274B0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C58F696">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495</w:t>
            </w:r>
          </w:p>
        </w:tc>
        <w:tc>
          <w:tcPr>
            <w:tcW w:w="720" w:type="dxa"/>
            <w:vMerge w:val="continue"/>
            <w:vAlign w:val="center"/>
          </w:tcPr>
          <w:p w14:paraId="53941ED7">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11D80DE1">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3061B56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处方模板</w:t>
            </w:r>
          </w:p>
        </w:tc>
        <w:tc>
          <w:tcPr>
            <w:tcW w:w="4392" w:type="dxa"/>
            <w:vAlign w:val="center"/>
          </w:tcPr>
          <w:p w14:paraId="724F05E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维护健康处方内容模板，可动态生成各类健康处方内容。并提供模板的新增、修改和删除功能</w:t>
            </w:r>
          </w:p>
        </w:tc>
        <w:tc>
          <w:tcPr>
            <w:tcW w:w="733" w:type="dxa"/>
            <w:vMerge w:val="continue"/>
            <w:vAlign w:val="center"/>
          </w:tcPr>
          <w:p w14:paraId="608CA28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C8E1E05">
            <w:pPr>
              <w:jc w:val="center"/>
              <w:rPr>
                <w:rFonts w:hint="eastAsia" w:ascii="宋体" w:hAnsi="宋体" w:eastAsia="宋体" w:cs="宋体"/>
                <w:b w:val="0"/>
                <w:bCs w:val="0"/>
                <w:color w:val="auto"/>
                <w:kern w:val="0"/>
                <w:sz w:val="20"/>
                <w:szCs w:val="20"/>
                <w:highlight w:val="none"/>
                <w:lang w:val="en-US" w:eastAsia="zh-CN" w:bidi="ar-SA"/>
              </w:rPr>
            </w:pPr>
          </w:p>
        </w:tc>
      </w:tr>
      <w:tr w14:paraId="09BD5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B4E6FA0">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496</w:t>
            </w:r>
          </w:p>
        </w:tc>
        <w:tc>
          <w:tcPr>
            <w:tcW w:w="720" w:type="dxa"/>
            <w:vMerge w:val="continue"/>
            <w:vAlign w:val="center"/>
          </w:tcPr>
          <w:p w14:paraId="1550BF21">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098E8B2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健康积分功能</w:t>
            </w:r>
          </w:p>
        </w:tc>
        <w:tc>
          <w:tcPr>
            <w:tcW w:w="1900" w:type="dxa"/>
            <w:vAlign w:val="center"/>
          </w:tcPr>
          <w:p w14:paraId="7E2F3F8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居民积分管理</w:t>
            </w:r>
          </w:p>
        </w:tc>
        <w:tc>
          <w:tcPr>
            <w:tcW w:w="4392" w:type="dxa"/>
            <w:vAlign w:val="center"/>
          </w:tcPr>
          <w:p w14:paraId="7FFD928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根据居民的健康行为（参加健康知识讲座、健康体检、慢病患者自我管理、更新居民健康档案）为居民进行积分管理</w:t>
            </w:r>
          </w:p>
        </w:tc>
        <w:tc>
          <w:tcPr>
            <w:tcW w:w="733" w:type="dxa"/>
            <w:vMerge w:val="restart"/>
            <w:vAlign w:val="center"/>
          </w:tcPr>
          <w:p w14:paraId="154DC05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7B7633F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65F7E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16AED99">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497</w:t>
            </w:r>
          </w:p>
        </w:tc>
        <w:tc>
          <w:tcPr>
            <w:tcW w:w="720" w:type="dxa"/>
            <w:vMerge w:val="continue"/>
            <w:vAlign w:val="center"/>
          </w:tcPr>
          <w:p w14:paraId="658D9558">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127A5C3B">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5AC7584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健康积分项目管理</w:t>
            </w:r>
          </w:p>
        </w:tc>
        <w:tc>
          <w:tcPr>
            <w:tcW w:w="4392" w:type="dxa"/>
            <w:vAlign w:val="center"/>
          </w:tcPr>
          <w:p w14:paraId="2E78237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可动态维护健康积分项目（积分项目、积分周期等）内容</w:t>
            </w:r>
          </w:p>
        </w:tc>
        <w:tc>
          <w:tcPr>
            <w:tcW w:w="733" w:type="dxa"/>
            <w:vMerge w:val="continue"/>
            <w:vAlign w:val="center"/>
          </w:tcPr>
          <w:p w14:paraId="3F26D13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D557E94">
            <w:pPr>
              <w:jc w:val="center"/>
              <w:rPr>
                <w:rFonts w:hint="eastAsia" w:ascii="宋体" w:hAnsi="宋体" w:eastAsia="宋体" w:cs="宋体"/>
                <w:b w:val="0"/>
                <w:bCs w:val="0"/>
                <w:color w:val="auto"/>
                <w:kern w:val="0"/>
                <w:sz w:val="20"/>
                <w:szCs w:val="20"/>
                <w:highlight w:val="none"/>
                <w:lang w:val="en-US" w:eastAsia="zh-CN" w:bidi="ar-SA"/>
              </w:rPr>
            </w:pPr>
          </w:p>
        </w:tc>
      </w:tr>
      <w:tr w14:paraId="7930C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AEAAD3A">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498</w:t>
            </w:r>
          </w:p>
        </w:tc>
        <w:tc>
          <w:tcPr>
            <w:tcW w:w="720" w:type="dxa"/>
            <w:vMerge w:val="continue"/>
            <w:vAlign w:val="center"/>
          </w:tcPr>
          <w:p w14:paraId="4CC0243B">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40B28E9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健康穿戴设备对接接口</w:t>
            </w:r>
          </w:p>
        </w:tc>
        <w:tc>
          <w:tcPr>
            <w:tcW w:w="1900" w:type="dxa"/>
            <w:vAlign w:val="center"/>
          </w:tcPr>
          <w:p w14:paraId="15FA69B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健康指标数据</w:t>
            </w:r>
          </w:p>
        </w:tc>
        <w:tc>
          <w:tcPr>
            <w:tcW w:w="4392" w:type="dxa"/>
            <w:vAlign w:val="center"/>
          </w:tcPr>
          <w:p w14:paraId="48A1E05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系统通过穿戴设备数据接口获取居民的健康数据，对获取到的数据进行展示。方便医生了解居民的健康状况，以便及时进行干预。</w:t>
            </w:r>
          </w:p>
        </w:tc>
        <w:tc>
          <w:tcPr>
            <w:tcW w:w="733" w:type="dxa"/>
            <w:vMerge w:val="restart"/>
            <w:vAlign w:val="center"/>
          </w:tcPr>
          <w:p w14:paraId="279ABCF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2AA243C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000E7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4D6E3D9">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499</w:t>
            </w:r>
          </w:p>
        </w:tc>
        <w:tc>
          <w:tcPr>
            <w:tcW w:w="720" w:type="dxa"/>
            <w:vMerge w:val="continue"/>
            <w:vAlign w:val="center"/>
          </w:tcPr>
          <w:p w14:paraId="6CE4714A">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286685AD">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37F9915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健康指标预警</w:t>
            </w:r>
          </w:p>
        </w:tc>
        <w:tc>
          <w:tcPr>
            <w:tcW w:w="4392" w:type="dxa"/>
            <w:vAlign w:val="center"/>
          </w:tcPr>
          <w:p w14:paraId="1362CEE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对于中老年人系统通过穿戴设备数据接口监测到心率异常或血压升高时，可以自动发送警报提醒。</w:t>
            </w:r>
          </w:p>
        </w:tc>
        <w:tc>
          <w:tcPr>
            <w:tcW w:w="733" w:type="dxa"/>
            <w:vMerge w:val="continue"/>
            <w:vAlign w:val="center"/>
          </w:tcPr>
          <w:p w14:paraId="323CD57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EBBFBD5">
            <w:pPr>
              <w:jc w:val="center"/>
              <w:rPr>
                <w:rFonts w:hint="eastAsia" w:ascii="宋体" w:hAnsi="宋体" w:eastAsia="宋体" w:cs="宋体"/>
                <w:b w:val="0"/>
                <w:bCs w:val="0"/>
                <w:color w:val="auto"/>
                <w:kern w:val="0"/>
                <w:sz w:val="20"/>
                <w:szCs w:val="20"/>
                <w:highlight w:val="none"/>
                <w:lang w:val="en-US" w:eastAsia="zh-CN" w:bidi="ar-SA"/>
              </w:rPr>
            </w:pPr>
          </w:p>
        </w:tc>
      </w:tr>
      <w:tr w14:paraId="2643E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901987D">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500</w:t>
            </w:r>
          </w:p>
        </w:tc>
        <w:tc>
          <w:tcPr>
            <w:tcW w:w="720" w:type="dxa"/>
            <w:vMerge w:val="continue"/>
            <w:vAlign w:val="center"/>
          </w:tcPr>
          <w:p w14:paraId="6D2DAE36">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27056DA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健康随访质量控制</w:t>
            </w:r>
          </w:p>
        </w:tc>
        <w:tc>
          <w:tcPr>
            <w:tcW w:w="1900" w:type="dxa"/>
            <w:vAlign w:val="center"/>
          </w:tcPr>
          <w:p w14:paraId="39AB0F0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质量控制核查项目管理</w:t>
            </w:r>
          </w:p>
        </w:tc>
        <w:tc>
          <w:tcPr>
            <w:tcW w:w="4392" w:type="dxa"/>
            <w:vAlign w:val="center"/>
          </w:tcPr>
          <w:p w14:paraId="3270856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基本信息，包括：核查点名称、核查标准、完整性判断等信息。</w:t>
            </w:r>
          </w:p>
        </w:tc>
        <w:tc>
          <w:tcPr>
            <w:tcW w:w="733" w:type="dxa"/>
            <w:vMerge w:val="restart"/>
            <w:vAlign w:val="center"/>
          </w:tcPr>
          <w:p w14:paraId="0439249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44B1086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5F198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A0C679A">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501</w:t>
            </w:r>
          </w:p>
        </w:tc>
        <w:tc>
          <w:tcPr>
            <w:tcW w:w="720" w:type="dxa"/>
            <w:vMerge w:val="continue"/>
            <w:vAlign w:val="center"/>
          </w:tcPr>
          <w:p w14:paraId="22D688EE">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5D563E44">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4B46A24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随访记录质控</w:t>
            </w:r>
          </w:p>
        </w:tc>
        <w:tc>
          <w:tcPr>
            <w:tcW w:w="4392" w:type="dxa"/>
            <w:vAlign w:val="center"/>
          </w:tcPr>
          <w:p w14:paraId="4F1C087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根据系统配置的核查项目信息，对已随访的记录信息进行质控处理，并展示相关质控结果。</w:t>
            </w:r>
          </w:p>
        </w:tc>
        <w:tc>
          <w:tcPr>
            <w:tcW w:w="733" w:type="dxa"/>
            <w:vMerge w:val="continue"/>
            <w:vAlign w:val="center"/>
          </w:tcPr>
          <w:p w14:paraId="3715993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85313EE">
            <w:pPr>
              <w:jc w:val="center"/>
              <w:rPr>
                <w:rFonts w:hint="eastAsia" w:ascii="宋体" w:hAnsi="宋体" w:eastAsia="宋体" w:cs="宋体"/>
                <w:b w:val="0"/>
                <w:bCs w:val="0"/>
                <w:color w:val="auto"/>
                <w:kern w:val="0"/>
                <w:sz w:val="20"/>
                <w:szCs w:val="20"/>
                <w:highlight w:val="none"/>
                <w:lang w:val="en-US" w:eastAsia="zh-CN" w:bidi="ar-SA"/>
              </w:rPr>
            </w:pPr>
          </w:p>
        </w:tc>
      </w:tr>
      <w:tr w14:paraId="48BB5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FB2BDC1">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502</w:t>
            </w:r>
          </w:p>
        </w:tc>
        <w:tc>
          <w:tcPr>
            <w:tcW w:w="720" w:type="dxa"/>
            <w:vMerge w:val="continue"/>
            <w:vAlign w:val="center"/>
          </w:tcPr>
          <w:p w14:paraId="74B6ECB8">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6FB7E3D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上转管理</w:t>
            </w:r>
          </w:p>
        </w:tc>
        <w:tc>
          <w:tcPr>
            <w:tcW w:w="1900" w:type="dxa"/>
            <w:vAlign w:val="center"/>
          </w:tcPr>
          <w:p w14:paraId="2508EBE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上转申请单</w:t>
            </w:r>
          </w:p>
        </w:tc>
        <w:tc>
          <w:tcPr>
            <w:tcW w:w="4392" w:type="dxa"/>
            <w:vAlign w:val="center"/>
          </w:tcPr>
          <w:p w14:paraId="42F08E3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向上级机构进行转诊时支持填写转诊申请单</w:t>
            </w:r>
          </w:p>
        </w:tc>
        <w:tc>
          <w:tcPr>
            <w:tcW w:w="733" w:type="dxa"/>
            <w:vMerge w:val="restart"/>
            <w:vAlign w:val="center"/>
          </w:tcPr>
          <w:p w14:paraId="23A15D1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00DCA21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DA28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8C0A48C">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503</w:t>
            </w:r>
          </w:p>
        </w:tc>
        <w:tc>
          <w:tcPr>
            <w:tcW w:w="720" w:type="dxa"/>
            <w:vMerge w:val="continue"/>
            <w:vAlign w:val="center"/>
          </w:tcPr>
          <w:p w14:paraId="35924FBF">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68008173">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1024EAA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执行上转</w:t>
            </w:r>
          </w:p>
        </w:tc>
        <w:tc>
          <w:tcPr>
            <w:tcW w:w="4392" w:type="dxa"/>
            <w:vAlign w:val="center"/>
          </w:tcPr>
          <w:p w14:paraId="7E984D6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执行向上级机构进行转诊处理流程</w:t>
            </w:r>
          </w:p>
        </w:tc>
        <w:tc>
          <w:tcPr>
            <w:tcW w:w="733" w:type="dxa"/>
            <w:vMerge w:val="continue"/>
            <w:vAlign w:val="center"/>
          </w:tcPr>
          <w:p w14:paraId="2C08B56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24C220B">
            <w:pPr>
              <w:jc w:val="center"/>
              <w:rPr>
                <w:rFonts w:hint="eastAsia" w:ascii="宋体" w:hAnsi="宋体" w:eastAsia="宋体" w:cs="宋体"/>
                <w:b w:val="0"/>
                <w:bCs w:val="0"/>
                <w:color w:val="auto"/>
                <w:kern w:val="0"/>
                <w:sz w:val="20"/>
                <w:szCs w:val="20"/>
                <w:highlight w:val="none"/>
                <w:lang w:val="en-US" w:eastAsia="zh-CN" w:bidi="ar-SA"/>
              </w:rPr>
            </w:pPr>
          </w:p>
        </w:tc>
      </w:tr>
      <w:tr w14:paraId="44CB9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9D7181F">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504</w:t>
            </w:r>
          </w:p>
        </w:tc>
        <w:tc>
          <w:tcPr>
            <w:tcW w:w="720" w:type="dxa"/>
            <w:vMerge w:val="continue"/>
            <w:vAlign w:val="center"/>
          </w:tcPr>
          <w:p w14:paraId="6B4F0A93">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64CDB00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下转管理</w:t>
            </w:r>
          </w:p>
        </w:tc>
        <w:tc>
          <w:tcPr>
            <w:tcW w:w="1900" w:type="dxa"/>
            <w:vAlign w:val="center"/>
          </w:tcPr>
          <w:p w14:paraId="29A98C4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转入接收单</w:t>
            </w:r>
          </w:p>
        </w:tc>
        <w:tc>
          <w:tcPr>
            <w:tcW w:w="4392" w:type="dxa"/>
            <w:vAlign w:val="center"/>
          </w:tcPr>
          <w:p w14:paraId="3FFDB68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下级机构进行转入时支持填写转入接收单</w:t>
            </w:r>
          </w:p>
        </w:tc>
        <w:tc>
          <w:tcPr>
            <w:tcW w:w="733" w:type="dxa"/>
            <w:vAlign w:val="center"/>
          </w:tcPr>
          <w:p w14:paraId="00FE336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35A7B12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0.5</w:t>
            </w:r>
          </w:p>
        </w:tc>
      </w:tr>
      <w:tr w14:paraId="129EA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583" w:type="dxa"/>
            <w:vAlign w:val="center"/>
          </w:tcPr>
          <w:p w14:paraId="34F831CF">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505</w:t>
            </w:r>
          </w:p>
        </w:tc>
        <w:tc>
          <w:tcPr>
            <w:tcW w:w="720" w:type="dxa"/>
            <w:vMerge w:val="continue"/>
            <w:vAlign w:val="center"/>
          </w:tcPr>
          <w:p w14:paraId="5DF1193C">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6460218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转入管理</w:t>
            </w:r>
          </w:p>
        </w:tc>
        <w:tc>
          <w:tcPr>
            <w:tcW w:w="1900" w:type="dxa"/>
            <w:vAlign w:val="center"/>
          </w:tcPr>
          <w:p w14:paraId="460A881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转入管理</w:t>
            </w:r>
          </w:p>
        </w:tc>
        <w:tc>
          <w:tcPr>
            <w:tcW w:w="4392" w:type="dxa"/>
            <w:vAlign w:val="center"/>
          </w:tcPr>
          <w:p w14:paraId="732C5F0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执行病人转入处理流程</w:t>
            </w:r>
          </w:p>
        </w:tc>
        <w:tc>
          <w:tcPr>
            <w:tcW w:w="733" w:type="dxa"/>
            <w:vAlign w:val="center"/>
          </w:tcPr>
          <w:p w14:paraId="72A2D72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16A3BBE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0.5</w:t>
            </w:r>
          </w:p>
        </w:tc>
      </w:tr>
      <w:tr w14:paraId="6E5A5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0B6CCAF">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506</w:t>
            </w:r>
          </w:p>
        </w:tc>
        <w:tc>
          <w:tcPr>
            <w:tcW w:w="720" w:type="dxa"/>
            <w:vMerge w:val="continue"/>
            <w:vAlign w:val="center"/>
          </w:tcPr>
          <w:p w14:paraId="5A0527BA">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0B6E31D0">
            <w:pPr>
              <w:tabs>
                <w:tab w:val="left" w:pos="316"/>
              </w:tabs>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转诊统计</w:t>
            </w:r>
          </w:p>
        </w:tc>
        <w:tc>
          <w:tcPr>
            <w:tcW w:w="1900" w:type="dxa"/>
            <w:vAlign w:val="center"/>
          </w:tcPr>
          <w:p w14:paraId="4C11CE3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转出统计</w:t>
            </w:r>
          </w:p>
        </w:tc>
        <w:tc>
          <w:tcPr>
            <w:tcW w:w="4392" w:type="dxa"/>
            <w:vAlign w:val="center"/>
          </w:tcPr>
          <w:p w14:paraId="55954DD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统计并展示下级机构转出的患者及转诊基本信息</w:t>
            </w:r>
          </w:p>
        </w:tc>
        <w:tc>
          <w:tcPr>
            <w:tcW w:w="733" w:type="dxa"/>
            <w:vMerge w:val="restart"/>
            <w:vAlign w:val="center"/>
          </w:tcPr>
          <w:p w14:paraId="22EF9AD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037A63A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55E80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E85773D">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507</w:t>
            </w:r>
          </w:p>
        </w:tc>
        <w:tc>
          <w:tcPr>
            <w:tcW w:w="720" w:type="dxa"/>
            <w:vMerge w:val="continue"/>
            <w:vAlign w:val="center"/>
          </w:tcPr>
          <w:p w14:paraId="2CA064AE">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7D79AD5B">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72F2D40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转入统计</w:t>
            </w:r>
          </w:p>
        </w:tc>
        <w:tc>
          <w:tcPr>
            <w:tcW w:w="4392" w:type="dxa"/>
            <w:vAlign w:val="center"/>
          </w:tcPr>
          <w:p w14:paraId="27ABEAC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统计并展示转入的患者及转诊基本信息</w:t>
            </w:r>
          </w:p>
        </w:tc>
        <w:tc>
          <w:tcPr>
            <w:tcW w:w="733" w:type="dxa"/>
            <w:vMerge w:val="continue"/>
            <w:vAlign w:val="center"/>
          </w:tcPr>
          <w:p w14:paraId="76579E0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0966932">
            <w:pPr>
              <w:jc w:val="center"/>
              <w:rPr>
                <w:rFonts w:hint="eastAsia" w:ascii="宋体" w:hAnsi="宋体" w:eastAsia="宋体" w:cs="宋体"/>
                <w:b w:val="0"/>
                <w:bCs w:val="0"/>
                <w:color w:val="auto"/>
                <w:kern w:val="0"/>
                <w:sz w:val="20"/>
                <w:szCs w:val="20"/>
                <w:highlight w:val="none"/>
                <w:lang w:val="en-US" w:eastAsia="zh-CN" w:bidi="ar-SA"/>
              </w:rPr>
            </w:pPr>
          </w:p>
        </w:tc>
      </w:tr>
      <w:tr w14:paraId="7060F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6827196">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508</w:t>
            </w:r>
          </w:p>
        </w:tc>
        <w:tc>
          <w:tcPr>
            <w:tcW w:w="720" w:type="dxa"/>
            <w:vMerge w:val="continue"/>
            <w:vAlign w:val="center"/>
          </w:tcPr>
          <w:p w14:paraId="5966EB15">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27A9C13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健康宣教</w:t>
            </w:r>
          </w:p>
        </w:tc>
        <w:tc>
          <w:tcPr>
            <w:tcW w:w="1900" w:type="dxa"/>
            <w:vAlign w:val="center"/>
          </w:tcPr>
          <w:p w14:paraId="67457A1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健康宣教信息维护</w:t>
            </w:r>
          </w:p>
        </w:tc>
        <w:tc>
          <w:tcPr>
            <w:tcW w:w="4392" w:type="dxa"/>
            <w:vAlign w:val="center"/>
          </w:tcPr>
          <w:p w14:paraId="5A053C9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支持健康宣教信息的新增、修改和删除等功能。</w:t>
            </w:r>
          </w:p>
        </w:tc>
        <w:tc>
          <w:tcPr>
            <w:tcW w:w="733" w:type="dxa"/>
            <w:vMerge w:val="restart"/>
            <w:vAlign w:val="center"/>
          </w:tcPr>
          <w:p w14:paraId="1869CA4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6E7BF5B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31E0D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B1BC028">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509</w:t>
            </w:r>
          </w:p>
        </w:tc>
        <w:tc>
          <w:tcPr>
            <w:tcW w:w="720" w:type="dxa"/>
            <w:vMerge w:val="continue"/>
            <w:vAlign w:val="center"/>
          </w:tcPr>
          <w:p w14:paraId="1D4C04AE">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55581F4B">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547D4F3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健康宣教信息展示</w:t>
            </w:r>
          </w:p>
        </w:tc>
        <w:tc>
          <w:tcPr>
            <w:tcW w:w="4392" w:type="dxa"/>
            <w:vAlign w:val="center"/>
          </w:tcPr>
          <w:p w14:paraId="13F1230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支持为慢病患者提供以健康处方为核心的健康宣教服务</w:t>
            </w:r>
          </w:p>
        </w:tc>
        <w:tc>
          <w:tcPr>
            <w:tcW w:w="733" w:type="dxa"/>
            <w:vMerge w:val="continue"/>
            <w:vAlign w:val="center"/>
          </w:tcPr>
          <w:p w14:paraId="2AFA61F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A601DD4">
            <w:pPr>
              <w:jc w:val="center"/>
              <w:rPr>
                <w:rFonts w:hint="eastAsia" w:ascii="宋体" w:hAnsi="宋体" w:eastAsia="宋体" w:cs="宋体"/>
                <w:b w:val="0"/>
                <w:bCs w:val="0"/>
                <w:color w:val="auto"/>
                <w:kern w:val="0"/>
                <w:sz w:val="20"/>
                <w:szCs w:val="20"/>
                <w:highlight w:val="none"/>
                <w:lang w:val="en-US" w:eastAsia="zh-CN" w:bidi="ar-SA"/>
              </w:rPr>
            </w:pPr>
          </w:p>
        </w:tc>
      </w:tr>
      <w:tr w14:paraId="65BA7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B4D586D">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510</w:t>
            </w:r>
          </w:p>
        </w:tc>
        <w:tc>
          <w:tcPr>
            <w:tcW w:w="720" w:type="dxa"/>
            <w:vMerge w:val="continue"/>
            <w:vAlign w:val="center"/>
          </w:tcPr>
          <w:p w14:paraId="14E4331C">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58FBA70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健康咨询</w:t>
            </w:r>
          </w:p>
        </w:tc>
        <w:tc>
          <w:tcPr>
            <w:tcW w:w="1900" w:type="dxa"/>
            <w:vAlign w:val="center"/>
          </w:tcPr>
          <w:p w14:paraId="393F9CB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健康咨询信息维护</w:t>
            </w:r>
          </w:p>
        </w:tc>
        <w:tc>
          <w:tcPr>
            <w:tcW w:w="4392" w:type="dxa"/>
            <w:vAlign w:val="center"/>
          </w:tcPr>
          <w:p w14:paraId="24E9607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支持健康咨询信息的新增、修改和删除等功能。</w:t>
            </w:r>
          </w:p>
        </w:tc>
        <w:tc>
          <w:tcPr>
            <w:tcW w:w="733" w:type="dxa"/>
            <w:vMerge w:val="restart"/>
            <w:vAlign w:val="center"/>
          </w:tcPr>
          <w:p w14:paraId="1A96D1F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16A9090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70D65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95511FA">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511</w:t>
            </w:r>
          </w:p>
        </w:tc>
        <w:tc>
          <w:tcPr>
            <w:tcW w:w="720" w:type="dxa"/>
            <w:vMerge w:val="continue"/>
            <w:vAlign w:val="center"/>
          </w:tcPr>
          <w:p w14:paraId="7F025CAF">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0E9F2654">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6859B02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健康咨询信息展示</w:t>
            </w:r>
          </w:p>
        </w:tc>
        <w:tc>
          <w:tcPr>
            <w:tcW w:w="4392" w:type="dxa"/>
            <w:vAlign w:val="center"/>
          </w:tcPr>
          <w:p w14:paraId="59F74AC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支持健康咨询信息对外展示功能</w:t>
            </w:r>
          </w:p>
        </w:tc>
        <w:tc>
          <w:tcPr>
            <w:tcW w:w="733" w:type="dxa"/>
            <w:vMerge w:val="continue"/>
            <w:vAlign w:val="center"/>
          </w:tcPr>
          <w:p w14:paraId="549B8DD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175723B">
            <w:pPr>
              <w:jc w:val="center"/>
              <w:rPr>
                <w:rFonts w:hint="eastAsia" w:ascii="宋体" w:hAnsi="宋体" w:eastAsia="宋体" w:cs="宋体"/>
                <w:b w:val="0"/>
                <w:bCs w:val="0"/>
                <w:color w:val="auto"/>
                <w:kern w:val="0"/>
                <w:sz w:val="20"/>
                <w:szCs w:val="20"/>
                <w:highlight w:val="none"/>
                <w:lang w:val="en-US" w:eastAsia="zh-CN" w:bidi="ar-SA"/>
              </w:rPr>
            </w:pPr>
          </w:p>
        </w:tc>
      </w:tr>
      <w:tr w14:paraId="0FB99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C4C3BDF">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512</w:t>
            </w:r>
          </w:p>
        </w:tc>
        <w:tc>
          <w:tcPr>
            <w:tcW w:w="720" w:type="dxa"/>
            <w:vMerge w:val="restart"/>
            <w:vAlign w:val="center"/>
          </w:tcPr>
          <w:p w14:paraId="240A5F69">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采集实施</w:t>
            </w:r>
          </w:p>
        </w:tc>
        <w:tc>
          <w:tcPr>
            <w:tcW w:w="1308" w:type="dxa"/>
            <w:vAlign w:val="center"/>
          </w:tcPr>
          <w:p w14:paraId="60391BC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健康档案与电子病历数据库</w:t>
            </w:r>
          </w:p>
        </w:tc>
        <w:tc>
          <w:tcPr>
            <w:tcW w:w="1900" w:type="dxa"/>
            <w:vAlign w:val="center"/>
          </w:tcPr>
          <w:p w14:paraId="2BBE776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健康档案与电子病历数据库</w:t>
            </w:r>
          </w:p>
        </w:tc>
        <w:tc>
          <w:tcPr>
            <w:tcW w:w="4392" w:type="dxa"/>
            <w:vAlign w:val="center"/>
          </w:tcPr>
          <w:p w14:paraId="4B13D2E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建立标准化的健康档案与电子病历数据库，制定数据采集标准，抽取医共体内医疗、公卫等数据。</w:t>
            </w:r>
          </w:p>
        </w:tc>
        <w:tc>
          <w:tcPr>
            <w:tcW w:w="733" w:type="dxa"/>
            <w:vAlign w:val="center"/>
          </w:tcPr>
          <w:p w14:paraId="2089940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080402E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0.5</w:t>
            </w:r>
          </w:p>
        </w:tc>
      </w:tr>
      <w:tr w14:paraId="5B753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0331586">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513</w:t>
            </w:r>
          </w:p>
        </w:tc>
        <w:tc>
          <w:tcPr>
            <w:tcW w:w="720" w:type="dxa"/>
            <w:vMerge w:val="continue"/>
            <w:vAlign w:val="center"/>
          </w:tcPr>
          <w:p w14:paraId="2D8E2301">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78BDBA4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基层公卫健康档案、慢病、体检数据采集与分析</w:t>
            </w:r>
          </w:p>
        </w:tc>
        <w:tc>
          <w:tcPr>
            <w:tcW w:w="1900" w:type="dxa"/>
            <w:vAlign w:val="center"/>
          </w:tcPr>
          <w:p w14:paraId="367DEC7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基层公卫健康档案、慢病、体检数据采集与分析</w:t>
            </w:r>
          </w:p>
        </w:tc>
        <w:tc>
          <w:tcPr>
            <w:tcW w:w="4392" w:type="dxa"/>
            <w:vAlign w:val="center"/>
          </w:tcPr>
          <w:p w14:paraId="06BD77F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支持对基层公卫健康档案、慢病、体检数据采集与分析。</w:t>
            </w:r>
          </w:p>
        </w:tc>
        <w:tc>
          <w:tcPr>
            <w:tcW w:w="733" w:type="dxa"/>
            <w:vAlign w:val="center"/>
          </w:tcPr>
          <w:p w14:paraId="29D2536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561565F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12839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3493DB3">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514</w:t>
            </w:r>
          </w:p>
        </w:tc>
        <w:tc>
          <w:tcPr>
            <w:tcW w:w="720" w:type="dxa"/>
            <w:vMerge w:val="continue"/>
            <w:vAlign w:val="center"/>
          </w:tcPr>
          <w:p w14:paraId="68E6DE0E">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70ABF83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人民医院门诊、住院、体检数据采集与分析</w:t>
            </w:r>
          </w:p>
        </w:tc>
        <w:tc>
          <w:tcPr>
            <w:tcW w:w="1900" w:type="dxa"/>
            <w:vAlign w:val="center"/>
          </w:tcPr>
          <w:p w14:paraId="1BD663C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人民医院门诊、住院、体检数据采集与分析</w:t>
            </w:r>
          </w:p>
        </w:tc>
        <w:tc>
          <w:tcPr>
            <w:tcW w:w="4392" w:type="dxa"/>
            <w:vAlign w:val="center"/>
          </w:tcPr>
          <w:p w14:paraId="1A77580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支持对接人民医院的HIS、病案系统，采集医院的门诊、住院、体检数据。</w:t>
            </w:r>
          </w:p>
        </w:tc>
        <w:tc>
          <w:tcPr>
            <w:tcW w:w="733" w:type="dxa"/>
            <w:vAlign w:val="center"/>
          </w:tcPr>
          <w:p w14:paraId="1015BF9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2265B41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2AA8A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19F3E89">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515</w:t>
            </w:r>
          </w:p>
        </w:tc>
        <w:tc>
          <w:tcPr>
            <w:tcW w:w="720" w:type="dxa"/>
            <w:vMerge w:val="continue"/>
            <w:vAlign w:val="center"/>
          </w:tcPr>
          <w:p w14:paraId="3FB62D0F">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24E6806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微信服务号随访提醒服务对接</w:t>
            </w:r>
          </w:p>
        </w:tc>
        <w:tc>
          <w:tcPr>
            <w:tcW w:w="1900" w:type="dxa"/>
            <w:vAlign w:val="center"/>
          </w:tcPr>
          <w:p w14:paraId="6D1BED9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微信服务号随访提醒服务对接</w:t>
            </w:r>
          </w:p>
        </w:tc>
        <w:tc>
          <w:tcPr>
            <w:tcW w:w="4392" w:type="dxa"/>
            <w:vAlign w:val="center"/>
          </w:tcPr>
          <w:p w14:paraId="61624B2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支持对接微信消息发送接口。</w:t>
            </w:r>
          </w:p>
        </w:tc>
        <w:tc>
          <w:tcPr>
            <w:tcW w:w="733" w:type="dxa"/>
            <w:vAlign w:val="center"/>
          </w:tcPr>
          <w:p w14:paraId="590AE1E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09540CF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0.5</w:t>
            </w:r>
          </w:p>
        </w:tc>
      </w:tr>
      <w:tr w14:paraId="72256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6E78550">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516</w:t>
            </w:r>
          </w:p>
        </w:tc>
        <w:tc>
          <w:tcPr>
            <w:tcW w:w="720" w:type="dxa"/>
            <w:vMerge w:val="restart"/>
            <w:vAlign w:val="center"/>
          </w:tcPr>
          <w:p w14:paraId="3F45774E">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数据大屏</w:t>
            </w:r>
          </w:p>
        </w:tc>
        <w:tc>
          <w:tcPr>
            <w:tcW w:w="3208" w:type="dxa"/>
            <w:gridSpan w:val="2"/>
            <w:vMerge w:val="restart"/>
            <w:vAlign w:val="center"/>
          </w:tcPr>
          <w:p w14:paraId="3015AA5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健康随访中心</w:t>
            </w:r>
          </w:p>
        </w:tc>
        <w:tc>
          <w:tcPr>
            <w:tcW w:w="4392" w:type="dxa"/>
            <w:vAlign w:val="center"/>
          </w:tcPr>
          <w:p w14:paraId="65EFC3F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展示疾病筛查人数、发现人数、建档人数、随访总人次和人数、随访率等关键指标，可按年度进行筛选</w:t>
            </w:r>
          </w:p>
        </w:tc>
        <w:tc>
          <w:tcPr>
            <w:tcW w:w="733" w:type="dxa"/>
            <w:vMerge w:val="restart"/>
            <w:vAlign w:val="center"/>
          </w:tcPr>
          <w:p w14:paraId="1E5459A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7F97C9C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w:t>
            </w:r>
          </w:p>
        </w:tc>
      </w:tr>
      <w:tr w14:paraId="7CC7A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933C6A6">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517</w:t>
            </w:r>
          </w:p>
        </w:tc>
        <w:tc>
          <w:tcPr>
            <w:tcW w:w="720" w:type="dxa"/>
            <w:vMerge w:val="continue"/>
            <w:vAlign w:val="center"/>
          </w:tcPr>
          <w:p w14:paraId="1280E358">
            <w:pPr>
              <w:jc w:val="center"/>
              <w:rPr>
                <w:rFonts w:hint="eastAsia" w:ascii="宋体" w:hAnsi="宋体" w:eastAsia="宋体" w:cs="宋体"/>
                <w:b/>
                <w:color w:val="auto"/>
                <w:sz w:val="24"/>
                <w:szCs w:val="24"/>
                <w:highlight w:val="none"/>
                <w:vertAlign w:val="baseline"/>
                <w:lang w:eastAsia="zh-CN"/>
              </w:rPr>
            </w:pPr>
          </w:p>
        </w:tc>
        <w:tc>
          <w:tcPr>
            <w:tcW w:w="3208" w:type="dxa"/>
            <w:gridSpan w:val="2"/>
            <w:vMerge w:val="continue"/>
            <w:vAlign w:val="center"/>
          </w:tcPr>
          <w:p w14:paraId="5B97ABC7">
            <w:pPr>
              <w:jc w:val="center"/>
              <w:rPr>
                <w:rFonts w:hint="eastAsia" w:ascii="宋体" w:hAnsi="宋体" w:eastAsia="宋体" w:cs="宋体"/>
                <w:b w:val="0"/>
                <w:bCs w:val="0"/>
                <w:color w:val="auto"/>
                <w:kern w:val="0"/>
                <w:sz w:val="20"/>
                <w:szCs w:val="20"/>
                <w:highlight w:val="none"/>
                <w:lang w:val="en-US" w:eastAsia="zh-CN" w:bidi="ar-SA"/>
              </w:rPr>
            </w:pPr>
          </w:p>
        </w:tc>
        <w:tc>
          <w:tcPr>
            <w:tcW w:w="4392" w:type="dxa"/>
            <w:vAlign w:val="center"/>
          </w:tcPr>
          <w:p w14:paraId="497F45B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通过地图展示不同机构疾发现人数和随访人次</w:t>
            </w:r>
          </w:p>
        </w:tc>
        <w:tc>
          <w:tcPr>
            <w:tcW w:w="733" w:type="dxa"/>
            <w:vMerge w:val="continue"/>
            <w:vAlign w:val="center"/>
          </w:tcPr>
          <w:p w14:paraId="39A3ED6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33C5B7A">
            <w:pPr>
              <w:jc w:val="center"/>
              <w:rPr>
                <w:rFonts w:hint="eastAsia" w:ascii="宋体" w:hAnsi="宋体" w:eastAsia="宋体" w:cs="宋体"/>
                <w:b w:val="0"/>
                <w:bCs w:val="0"/>
                <w:color w:val="auto"/>
                <w:kern w:val="0"/>
                <w:sz w:val="20"/>
                <w:szCs w:val="20"/>
                <w:highlight w:val="none"/>
                <w:lang w:val="en-US" w:eastAsia="zh-CN" w:bidi="ar-SA"/>
              </w:rPr>
            </w:pPr>
          </w:p>
        </w:tc>
      </w:tr>
      <w:tr w14:paraId="7A827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C2FE5BB">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518</w:t>
            </w:r>
          </w:p>
        </w:tc>
        <w:tc>
          <w:tcPr>
            <w:tcW w:w="720" w:type="dxa"/>
            <w:vMerge w:val="continue"/>
            <w:vAlign w:val="center"/>
          </w:tcPr>
          <w:p w14:paraId="35ED729F">
            <w:pPr>
              <w:jc w:val="center"/>
              <w:rPr>
                <w:rFonts w:hint="eastAsia" w:ascii="宋体" w:hAnsi="宋体" w:eastAsia="宋体" w:cs="宋体"/>
                <w:b/>
                <w:color w:val="auto"/>
                <w:sz w:val="24"/>
                <w:szCs w:val="24"/>
                <w:highlight w:val="none"/>
                <w:vertAlign w:val="baseline"/>
                <w:lang w:eastAsia="zh-CN"/>
              </w:rPr>
            </w:pPr>
          </w:p>
        </w:tc>
        <w:tc>
          <w:tcPr>
            <w:tcW w:w="3208" w:type="dxa"/>
            <w:gridSpan w:val="2"/>
            <w:vMerge w:val="continue"/>
            <w:vAlign w:val="center"/>
          </w:tcPr>
          <w:p w14:paraId="7A064B93">
            <w:pPr>
              <w:jc w:val="center"/>
              <w:rPr>
                <w:rFonts w:hint="eastAsia" w:ascii="宋体" w:hAnsi="宋体" w:eastAsia="宋体" w:cs="宋体"/>
                <w:b w:val="0"/>
                <w:bCs w:val="0"/>
                <w:color w:val="auto"/>
                <w:kern w:val="0"/>
                <w:sz w:val="20"/>
                <w:szCs w:val="20"/>
                <w:highlight w:val="none"/>
                <w:lang w:val="en-US" w:eastAsia="zh-CN" w:bidi="ar-SA"/>
              </w:rPr>
            </w:pPr>
          </w:p>
        </w:tc>
        <w:tc>
          <w:tcPr>
            <w:tcW w:w="4392" w:type="dxa"/>
            <w:vAlign w:val="center"/>
          </w:tcPr>
          <w:p w14:paraId="16B897C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对发现人数按疾病类别进行对比，分析不同疾病的建档人数和随访人次</w:t>
            </w:r>
          </w:p>
        </w:tc>
        <w:tc>
          <w:tcPr>
            <w:tcW w:w="733" w:type="dxa"/>
            <w:vMerge w:val="continue"/>
            <w:vAlign w:val="center"/>
          </w:tcPr>
          <w:p w14:paraId="68C8617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AB7504A">
            <w:pPr>
              <w:jc w:val="center"/>
              <w:rPr>
                <w:rFonts w:hint="eastAsia" w:ascii="宋体" w:hAnsi="宋体" w:eastAsia="宋体" w:cs="宋体"/>
                <w:b w:val="0"/>
                <w:bCs w:val="0"/>
                <w:color w:val="auto"/>
                <w:kern w:val="0"/>
                <w:sz w:val="20"/>
                <w:szCs w:val="20"/>
                <w:highlight w:val="none"/>
                <w:lang w:val="en-US" w:eastAsia="zh-CN" w:bidi="ar-SA"/>
              </w:rPr>
            </w:pPr>
          </w:p>
        </w:tc>
      </w:tr>
      <w:tr w14:paraId="0E069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ED53FB9">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519</w:t>
            </w:r>
          </w:p>
        </w:tc>
        <w:tc>
          <w:tcPr>
            <w:tcW w:w="720" w:type="dxa"/>
            <w:vMerge w:val="continue"/>
            <w:vAlign w:val="center"/>
          </w:tcPr>
          <w:p w14:paraId="08E44603">
            <w:pPr>
              <w:jc w:val="center"/>
              <w:rPr>
                <w:rFonts w:hint="eastAsia" w:ascii="宋体" w:hAnsi="宋体" w:eastAsia="宋体" w:cs="宋体"/>
                <w:b/>
                <w:color w:val="auto"/>
                <w:sz w:val="24"/>
                <w:szCs w:val="24"/>
                <w:highlight w:val="none"/>
                <w:vertAlign w:val="baseline"/>
                <w:lang w:eastAsia="zh-CN"/>
              </w:rPr>
            </w:pPr>
          </w:p>
        </w:tc>
        <w:tc>
          <w:tcPr>
            <w:tcW w:w="3208" w:type="dxa"/>
            <w:gridSpan w:val="2"/>
            <w:vMerge w:val="continue"/>
            <w:vAlign w:val="center"/>
          </w:tcPr>
          <w:p w14:paraId="46417D74">
            <w:pPr>
              <w:jc w:val="center"/>
              <w:rPr>
                <w:rFonts w:hint="eastAsia" w:ascii="宋体" w:hAnsi="宋体" w:eastAsia="宋体" w:cs="宋体"/>
                <w:b w:val="0"/>
                <w:bCs w:val="0"/>
                <w:color w:val="auto"/>
                <w:kern w:val="0"/>
                <w:sz w:val="20"/>
                <w:szCs w:val="20"/>
                <w:highlight w:val="none"/>
                <w:lang w:val="en-US" w:eastAsia="zh-CN" w:bidi="ar-SA"/>
              </w:rPr>
            </w:pPr>
          </w:p>
        </w:tc>
        <w:tc>
          <w:tcPr>
            <w:tcW w:w="4392" w:type="dxa"/>
            <w:vAlign w:val="center"/>
          </w:tcPr>
          <w:p w14:paraId="6420D50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对随访人次进行月度趋势分析</w:t>
            </w:r>
          </w:p>
        </w:tc>
        <w:tc>
          <w:tcPr>
            <w:tcW w:w="733" w:type="dxa"/>
            <w:vMerge w:val="continue"/>
            <w:vAlign w:val="center"/>
          </w:tcPr>
          <w:p w14:paraId="7EDF08A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6A1CF70">
            <w:pPr>
              <w:jc w:val="center"/>
              <w:rPr>
                <w:rFonts w:hint="eastAsia" w:ascii="宋体" w:hAnsi="宋体" w:eastAsia="宋体" w:cs="宋体"/>
                <w:b w:val="0"/>
                <w:bCs w:val="0"/>
                <w:color w:val="auto"/>
                <w:kern w:val="0"/>
                <w:sz w:val="20"/>
                <w:szCs w:val="20"/>
                <w:highlight w:val="none"/>
                <w:lang w:val="en-US" w:eastAsia="zh-CN" w:bidi="ar-SA"/>
              </w:rPr>
            </w:pPr>
          </w:p>
        </w:tc>
      </w:tr>
      <w:tr w14:paraId="39816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016977C">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520</w:t>
            </w:r>
          </w:p>
        </w:tc>
        <w:tc>
          <w:tcPr>
            <w:tcW w:w="720" w:type="dxa"/>
            <w:vMerge w:val="continue"/>
            <w:vAlign w:val="center"/>
          </w:tcPr>
          <w:p w14:paraId="525E334B">
            <w:pPr>
              <w:jc w:val="center"/>
              <w:rPr>
                <w:rFonts w:hint="eastAsia" w:ascii="宋体" w:hAnsi="宋体" w:eastAsia="宋体" w:cs="宋体"/>
                <w:b/>
                <w:color w:val="auto"/>
                <w:sz w:val="24"/>
                <w:szCs w:val="24"/>
                <w:highlight w:val="none"/>
                <w:vertAlign w:val="baseline"/>
                <w:lang w:eastAsia="zh-CN"/>
              </w:rPr>
            </w:pPr>
          </w:p>
        </w:tc>
        <w:tc>
          <w:tcPr>
            <w:tcW w:w="3208" w:type="dxa"/>
            <w:gridSpan w:val="2"/>
            <w:vMerge w:val="continue"/>
            <w:vAlign w:val="center"/>
          </w:tcPr>
          <w:p w14:paraId="2D0C5E29">
            <w:pPr>
              <w:jc w:val="center"/>
              <w:rPr>
                <w:rFonts w:hint="eastAsia" w:ascii="宋体" w:hAnsi="宋体" w:eastAsia="宋体" w:cs="宋体"/>
                <w:b w:val="0"/>
                <w:bCs w:val="0"/>
                <w:color w:val="auto"/>
                <w:kern w:val="0"/>
                <w:sz w:val="20"/>
                <w:szCs w:val="20"/>
                <w:highlight w:val="none"/>
                <w:lang w:val="en-US" w:eastAsia="zh-CN" w:bidi="ar-SA"/>
              </w:rPr>
            </w:pPr>
          </w:p>
        </w:tc>
        <w:tc>
          <w:tcPr>
            <w:tcW w:w="4392" w:type="dxa"/>
            <w:vAlign w:val="center"/>
          </w:tcPr>
          <w:p w14:paraId="6C0F577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按疾病统计开具的健康处方数量，并对一周内患者返院情况进行分析展示</w:t>
            </w:r>
          </w:p>
        </w:tc>
        <w:tc>
          <w:tcPr>
            <w:tcW w:w="733" w:type="dxa"/>
            <w:vMerge w:val="continue"/>
            <w:vAlign w:val="center"/>
          </w:tcPr>
          <w:p w14:paraId="013E35E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37B9A1D">
            <w:pPr>
              <w:jc w:val="center"/>
              <w:rPr>
                <w:rFonts w:hint="eastAsia" w:ascii="宋体" w:hAnsi="宋体" w:eastAsia="宋体" w:cs="宋体"/>
                <w:b w:val="0"/>
                <w:bCs w:val="0"/>
                <w:color w:val="auto"/>
                <w:kern w:val="0"/>
                <w:sz w:val="20"/>
                <w:szCs w:val="20"/>
                <w:highlight w:val="none"/>
                <w:lang w:val="en-US" w:eastAsia="zh-CN" w:bidi="ar-SA"/>
              </w:rPr>
            </w:pPr>
          </w:p>
        </w:tc>
      </w:tr>
    </w:tbl>
    <w:p w14:paraId="4999206D">
      <w:pPr>
        <w:pStyle w:val="2"/>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both"/>
        <w:textAlignment w:val="auto"/>
        <w:rPr>
          <w:rFonts w:hint="eastAsia" w:ascii="宋体" w:hAnsi="宋体" w:eastAsia="宋体" w:cs="宋体"/>
          <w:highlight w:val="yellow"/>
          <w:lang w:val="en-US" w:eastAsia="zh-CN"/>
        </w:rPr>
      </w:pPr>
      <w:r>
        <w:rPr>
          <w:rFonts w:hint="eastAsia" w:ascii="宋体" w:hAnsi="宋体" w:eastAsia="宋体" w:cs="宋体"/>
          <w:highlight w:val="yellow"/>
          <w:lang w:val="en-US" w:eastAsia="zh-CN"/>
        </w:rPr>
        <w:t>（二）-8：医护调度中心</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875"/>
        <w:gridCol w:w="966"/>
        <w:gridCol w:w="1117"/>
        <w:gridCol w:w="4642"/>
        <w:gridCol w:w="733"/>
        <w:gridCol w:w="714"/>
      </w:tblGrid>
      <w:tr w14:paraId="00C48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9B30F8E">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序号</w:t>
            </w:r>
          </w:p>
        </w:tc>
        <w:tc>
          <w:tcPr>
            <w:tcW w:w="720" w:type="dxa"/>
            <w:vAlign w:val="center"/>
          </w:tcPr>
          <w:p w14:paraId="6482F033">
            <w:pPr>
              <w:widowControl/>
              <w:jc w:val="center"/>
              <w:rPr>
                <w:rFonts w:hint="eastAsia" w:ascii="宋体" w:hAnsi="宋体" w:cs="宋体"/>
                <w:b/>
                <w:bCs/>
                <w:color w:val="auto"/>
                <w:kern w:val="0"/>
                <w:sz w:val="20"/>
                <w:szCs w:val="20"/>
                <w:highlight w:val="none"/>
                <w:lang w:eastAsia="zh-CN"/>
              </w:rPr>
            </w:pPr>
            <w:r>
              <w:rPr>
                <w:rFonts w:hint="eastAsia" w:ascii="宋体" w:hAnsi="宋体" w:cs="宋体"/>
                <w:b/>
                <w:bCs/>
                <w:color w:val="auto"/>
                <w:kern w:val="0"/>
                <w:sz w:val="20"/>
                <w:szCs w:val="20"/>
                <w:highlight w:val="none"/>
                <w:lang w:eastAsia="zh-CN"/>
              </w:rPr>
              <w:t>系统名称</w:t>
            </w:r>
          </w:p>
        </w:tc>
        <w:tc>
          <w:tcPr>
            <w:tcW w:w="875" w:type="dxa"/>
            <w:vAlign w:val="center"/>
          </w:tcPr>
          <w:p w14:paraId="3E05FB26">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一级子系统</w:t>
            </w:r>
          </w:p>
        </w:tc>
        <w:tc>
          <w:tcPr>
            <w:tcW w:w="966" w:type="dxa"/>
            <w:vAlign w:val="center"/>
          </w:tcPr>
          <w:p w14:paraId="1EFD820B">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二级子系统</w:t>
            </w:r>
          </w:p>
        </w:tc>
        <w:tc>
          <w:tcPr>
            <w:tcW w:w="1117" w:type="dxa"/>
            <w:vAlign w:val="center"/>
          </w:tcPr>
          <w:p w14:paraId="41926430">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 xml:space="preserve">三级子系统 </w:t>
            </w:r>
          </w:p>
        </w:tc>
        <w:tc>
          <w:tcPr>
            <w:tcW w:w="4642" w:type="dxa"/>
            <w:vAlign w:val="center"/>
          </w:tcPr>
          <w:p w14:paraId="00299853">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 xml:space="preserve"> </w:t>
            </w: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45EFFFCF">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单位</w:t>
            </w:r>
          </w:p>
        </w:tc>
        <w:tc>
          <w:tcPr>
            <w:tcW w:w="714" w:type="dxa"/>
            <w:vAlign w:val="center"/>
          </w:tcPr>
          <w:p w14:paraId="112B5531">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数量</w:t>
            </w:r>
          </w:p>
        </w:tc>
      </w:tr>
      <w:tr w14:paraId="24F43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3" w:type="dxa"/>
            <w:vAlign w:val="center"/>
          </w:tcPr>
          <w:p w14:paraId="35F88EB6">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521</w:t>
            </w:r>
          </w:p>
        </w:tc>
        <w:tc>
          <w:tcPr>
            <w:tcW w:w="720" w:type="dxa"/>
            <w:vMerge w:val="restart"/>
            <w:vAlign w:val="center"/>
          </w:tcPr>
          <w:p w14:paraId="79EC4F56">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医护调度系统</w:t>
            </w:r>
          </w:p>
        </w:tc>
        <w:tc>
          <w:tcPr>
            <w:tcW w:w="875" w:type="dxa"/>
            <w:vMerge w:val="restart"/>
            <w:vAlign w:val="center"/>
          </w:tcPr>
          <w:p w14:paraId="0D9A0F3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居家医疗服</w:t>
            </w:r>
          </w:p>
        </w:tc>
        <w:tc>
          <w:tcPr>
            <w:tcW w:w="966" w:type="dxa"/>
            <w:vMerge w:val="restart"/>
            <w:vAlign w:val="center"/>
          </w:tcPr>
          <w:p w14:paraId="1C8BBF8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患者端</w:t>
            </w:r>
          </w:p>
        </w:tc>
        <w:tc>
          <w:tcPr>
            <w:tcW w:w="1117" w:type="dxa"/>
            <w:vAlign w:val="center"/>
          </w:tcPr>
          <w:p w14:paraId="07C1F0A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预约挂号</w:t>
            </w:r>
          </w:p>
        </w:tc>
        <w:tc>
          <w:tcPr>
            <w:tcW w:w="4642" w:type="dxa"/>
            <w:vAlign w:val="center"/>
          </w:tcPr>
          <w:p w14:paraId="68F045F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支持患者在线预约挂号</w:t>
            </w:r>
          </w:p>
        </w:tc>
        <w:tc>
          <w:tcPr>
            <w:tcW w:w="733" w:type="dxa"/>
            <w:vMerge w:val="restart"/>
            <w:vAlign w:val="center"/>
          </w:tcPr>
          <w:p w14:paraId="14AC97D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7E7EC7A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7</w:t>
            </w:r>
          </w:p>
        </w:tc>
      </w:tr>
      <w:tr w14:paraId="2FF7E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FE7C5D6">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522</w:t>
            </w:r>
          </w:p>
        </w:tc>
        <w:tc>
          <w:tcPr>
            <w:tcW w:w="720" w:type="dxa"/>
            <w:vMerge w:val="continue"/>
            <w:vAlign w:val="center"/>
          </w:tcPr>
          <w:p w14:paraId="7A1D495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CDB66CA">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79B4E6F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7574DC2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线上咨询</w:t>
            </w:r>
          </w:p>
        </w:tc>
        <w:tc>
          <w:tcPr>
            <w:tcW w:w="4642" w:type="dxa"/>
            <w:vAlign w:val="center"/>
          </w:tcPr>
          <w:p w14:paraId="33439CB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由患者在线申请，医生在线为患者提供医疗健康咨询服务，该服务中医生不可以为患者开立处方</w:t>
            </w:r>
          </w:p>
        </w:tc>
        <w:tc>
          <w:tcPr>
            <w:tcW w:w="733" w:type="dxa"/>
            <w:vMerge w:val="continue"/>
            <w:vAlign w:val="center"/>
          </w:tcPr>
          <w:p w14:paraId="74728F3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52542B6">
            <w:pPr>
              <w:jc w:val="center"/>
              <w:rPr>
                <w:rFonts w:hint="eastAsia" w:ascii="宋体" w:hAnsi="宋体" w:eastAsia="宋体" w:cs="宋体"/>
                <w:b w:val="0"/>
                <w:bCs w:val="0"/>
                <w:color w:val="auto"/>
                <w:kern w:val="0"/>
                <w:sz w:val="20"/>
                <w:szCs w:val="20"/>
                <w:highlight w:val="none"/>
                <w:lang w:val="en-US" w:eastAsia="zh-CN" w:bidi="ar-SA"/>
              </w:rPr>
            </w:pPr>
          </w:p>
        </w:tc>
      </w:tr>
      <w:tr w14:paraId="04DBB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65AAE75">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523</w:t>
            </w:r>
          </w:p>
        </w:tc>
        <w:tc>
          <w:tcPr>
            <w:tcW w:w="720" w:type="dxa"/>
            <w:vMerge w:val="continue"/>
            <w:vAlign w:val="center"/>
          </w:tcPr>
          <w:p w14:paraId="26472AE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98D69A1">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0EB35EE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0812C5A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线上复诊</w:t>
            </w:r>
          </w:p>
        </w:tc>
        <w:tc>
          <w:tcPr>
            <w:tcW w:w="4642" w:type="dxa"/>
            <w:vAlign w:val="center"/>
          </w:tcPr>
          <w:p w14:paraId="4A4D957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由患者在线申请，医生在线为患者提供复诊诊察服务，该服务中医生可以为患者开立处方。</w:t>
            </w:r>
          </w:p>
        </w:tc>
        <w:tc>
          <w:tcPr>
            <w:tcW w:w="733" w:type="dxa"/>
            <w:vMerge w:val="continue"/>
            <w:vAlign w:val="center"/>
          </w:tcPr>
          <w:p w14:paraId="758D551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D75B82A">
            <w:pPr>
              <w:jc w:val="center"/>
              <w:rPr>
                <w:rFonts w:hint="eastAsia" w:ascii="宋体" w:hAnsi="宋体" w:eastAsia="宋体" w:cs="宋体"/>
                <w:b w:val="0"/>
                <w:bCs w:val="0"/>
                <w:color w:val="auto"/>
                <w:kern w:val="0"/>
                <w:sz w:val="20"/>
                <w:szCs w:val="20"/>
                <w:highlight w:val="none"/>
                <w:lang w:val="en-US" w:eastAsia="zh-CN" w:bidi="ar-SA"/>
              </w:rPr>
            </w:pPr>
          </w:p>
        </w:tc>
      </w:tr>
      <w:tr w14:paraId="4E005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EEADF11">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524</w:t>
            </w:r>
          </w:p>
        </w:tc>
        <w:tc>
          <w:tcPr>
            <w:tcW w:w="720" w:type="dxa"/>
            <w:vMerge w:val="continue"/>
            <w:vAlign w:val="center"/>
          </w:tcPr>
          <w:p w14:paraId="55A6DE3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891BDCF">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088AA9A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7AC4BB8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报告查询</w:t>
            </w:r>
          </w:p>
        </w:tc>
        <w:tc>
          <w:tcPr>
            <w:tcW w:w="4642" w:type="dxa"/>
            <w:vAlign w:val="center"/>
          </w:tcPr>
          <w:p w14:paraId="7FCB032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支持患者在线查阅院内报告。</w:t>
            </w:r>
          </w:p>
        </w:tc>
        <w:tc>
          <w:tcPr>
            <w:tcW w:w="733" w:type="dxa"/>
            <w:vMerge w:val="continue"/>
            <w:vAlign w:val="center"/>
          </w:tcPr>
          <w:p w14:paraId="6A1E500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ABA0753">
            <w:pPr>
              <w:jc w:val="center"/>
              <w:rPr>
                <w:rFonts w:hint="eastAsia" w:ascii="宋体" w:hAnsi="宋体" w:eastAsia="宋体" w:cs="宋体"/>
                <w:b w:val="0"/>
                <w:bCs w:val="0"/>
                <w:color w:val="auto"/>
                <w:kern w:val="0"/>
                <w:sz w:val="20"/>
                <w:szCs w:val="20"/>
                <w:highlight w:val="none"/>
                <w:lang w:val="en-US" w:eastAsia="zh-CN" w:bidi="ar-SA"/>
              </w:rPr>
            </w:pPr>
          </w:p>
        </w:tc>
      </w:tr>
      <w:tr w14:paraId="2AF6F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0E9D810">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525</w:t>
            </w:r>
          </w:p>
        </w:tc>
        <w:tc>
          <w:tcPr>
            <w:tcW w:w="720" w:type="dxa"/>
            <w:vMerge w:val="continue"/>
            <w:vAlign w:val="center"/>
          </w:tcPr>
          <w:p w14:paraId="2D282DD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FE36CBA">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39DE761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60ADD5F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自费支付</w:t>
            </w:r>
          </w:p>
        </w:tc>
        <w:tc>
          <w:tcPr>
            <w:tcW w:w="4642" w:type="dxa"/>
            <w:vAlign w:val="center"/>
          </w:tcPr>
          <w:p w14:paraId="7F3B413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支持患者在线支付挂号费用、线上复诊费用、药品费用、病案复印费用。</w:t>
            </w:r>
          </w:p>
        </w:tc>
        <w:tc>
          <w:tcPr>
            <w:tcW w:w="733" w:type="dxa"/>
            <w:vMerge w:val="continue"/>
            <w:vAlign w:val="center"/>
          </w:tcPr>
          <w:p w14:paraId="0B386E0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FCD65F5">
            <w:pPr>
              <w:jc w:val="center"/>
              <w:rPr>
                <w:rFonts w:hint="eastAsia" w:ascii="宋体" w:hAnsi="宋体" w:eastAsia="宋体" w:cs="宋体"/>
                <w:b w:val="0"/>
                <w:bCs w:val="0"/>
                <w:color w:val="auto"/>
                <w:kern w:val="0"/>
                <w:sz w:val="20"/>
                <w:szCs w:val="20"/>
                <w:highlight w:val="none"/>
                <w:lang w:val="en-US" w:eastAsia="zh-CN" w:bidi="ar-SA"/>
              </w:rPr>
            </w:pPr>
          </w:p>
        </w:tc>
      </w:tr>
      <w:tr w14:paraId="43AE5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0575A10">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526</w:t>
            </w:r>
          </w:p>
        </w:tc>
        <w:tc>
          <w:tcPr>
            <w:tcW w:w="720" w:type="dxa"/>
            <w:vMerge w:val="continue"/>
            <w:vAlign w:val="center"/>
          </w:tcPr>
          <w:p w14:paraId="425E51E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D98DA8F">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restart"/>
            <w:vAlign w:val="center"/>
          </w:tcPr>
          <w:p w14:paraId="5F5B2A9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医生端</w:t>
            </w:r>
          </w:p>
        </w:tc>
        <w:tc>
          <w:tcPr>
            <w:tcW w:w="1117" w:type="dxa"/>
            <w:vAlign w:val="center"/>
          </w:tcPr>
          <w:p w14:paraId="1CA3AD3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CA签名</w:t>
            </w:r>
          </w:p>
        </w:tc>
        <w:tc>
          <w:tcPr>
            <w:tcW w:w="4642" w:type="dxa"/>
            <w:vAlign w:val="center"/>
          </w:tcPr>
          <w:p w14:paraId="00CF15C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为医生提供CA签名功能。</w:t>
            </w:r>
          </w:p>
        </w:tc>
        <w:tc>
          <w:tcPr>
            <w:tcW w:w="733" w:type="dxa"/>
            <w:vMerge w:val="restart"/>
            <w:vAlign w:val="center"/>
          </w:tcPr>
          <w:p w14:paraId="5B28C0D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348F0F9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8</w:t>
            </w:r>
          </w:p>
        </w:tc>
      </w:tr>
      <w:tr w14:paraId="19B33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1690E4E">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527</w:t>
            </w:r>
          </w:p>
        </w:tc>
        <w:tc>
          <w:tcPr>
            <w:tcW w:w="720" w:type="dxa"/>
            <w:vMerge w:val="continue"/>
            <w:vAlign w:val="center"/>
          </w:tcPr>
          <w:p w14:paraId="28A8220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CBEBF98">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630C14A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2CFE146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线上门诊</w:t>
            </w:r>
          </w:p>
        </w:tc>
        <w:tc>
          <w:tcPr>
            <w:tcW w:w="4642" w:type="dxa"/>
            <w:vAlign w:val="center"/>
          </w:tcPr>
          <w:p w14:paraId="237F219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支持在工作站中查看候诊中、服务中和已关闭的线上问诊概况，并可以进入服务，选择提供接诊服务、服务沟通或服务结束。</w:t>
            </w:r>
          </w:p>
        </w:tc>
        <w:tc>
          <w:tcPr>
            <w:tcW w:w="733" w:type="dxa"/>
            <w:vMerge w:val="continue"/>
            <w:vAlign w:val="center"/>
          </w:tcPr>
          <w:p w14:paraId="3AC4728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B78BD65">
            <w:pPr>
              <w:jc w:val="center"/>
              <w:rPr>
                <w:rFonts w:hint="eastAsia" w:ascii="宋体" w:hAnsi="宋体" w:eastAsia="宋体" w:cs="宋体"/>
                <w:b w:val="0"/>
                <w:bCs w:val="0"/>
                <w:color w:val="auto"/>
                <w:kern w:val="0"/>
                <w:sz w:val="20"/>
                <w:szCs w:val="20"/>
                <w:highlight w:val="none"/>
                <w:lang w:val="en-US" w:eastAsia="zh-CN" w:bidi="ar-SA"/>
              </w:rPr>
            </w:pPr>
          </w:p>
        </w:tc>
      </w:tr>
      <w:tr w14:paraId="7D1EF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B7F0642">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528</w:t>
            </w:r>
          </w:p>
        </w:tc>
        <w:tc>
          <w:tcPr>
            <w:tcW w:w="720" w:type="dxa"/>
            <w:vMerge w:val="continue"/>
            <w:vAlign w:val="center"/>
          </w:tcPr>
          <w:p w14:paraId="7ACF8BC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40176E9">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6D43682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3C0ACC0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电子病历</w:t>
            </w:r>
          </w:p>
        </w:tc>
        <w:tc>
          <w:tcPr>
            <w:tcW w:w="4642" w:type="dxa"/>
            <w:vAlign w:val="center"/>
          </w:tcPr>
          <w:p w14:paraId="594C21C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支持医生为线上复诊患者填写线上病历。</w:t>
            </w:r>
          </w:p>
        </w:tc>
        <w:tc>
          <w:tcPr>
            <w:tcW w:w="733" w:type="dxa"/>
            <w:vMerge w:val="continue"/>
            <w:vAlign w:val="center"/>
          </w:tcPr>
          <w:p w14:paraId="67AAE76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A69366B">
            <w:pPr>
              <w:jc w:val="center"/>
              <w:rPr>
                <w:rFonts w:hint="eastAsia" w:ascii="宋体" w:hAnsi="宋体" w:eastAsia="宋体" w:cs="宋体"/>
                <w:b w:val="0"/>
                <w:bCs w:val="0"/>
                <w:color w:val="auto"/>
                <w:kern w:val="0"/>
                <w:sz w:val="20"/>
                <w:szCs w:val="20"/>
                <w:highlight w:val="none"/>
                <w:lang w:val="en-US" w:eastAsia="zh-CN" w:bidi="ar-SA"/>
              </w:rPr>
            </w:pPr>
          </w:p>
        </w:tc>
      </w:tr>
      <w:tr w14:paraId="192C6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6C32E5B">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529</w:t>
            </w:r>
          </w:p>
        </w:tc>
        <w:tc>
          <w:tcPr>
            <w:tcW w:w="720" w:type="dxa"/>
            <w:vMerge w:val="continue"/>
            <w:vAlign w:val="center"/>
          </w:tcPr>
          <w:p w14:paraId="4956A44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4A21BDF">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1710A40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14697D5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电子处方开立</w:t>
            </w:r>
          </w:p>
        </w:tc>
        <w:tc>
          <w:tcPr>
            <w:tcW w:w="4642" w:type="dxa"/>
            <w:vAlign w:val="center"/>
          </w:tcPr>
          <w:p w14:paraId="5981A73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支持医生为线上复诊的患者下诊断并开立电子处方。</w:t>
            </w:r>
          </w:p>
        </w:tc>
        <w:tc>
          <w:tcPr>
            <w:tcW w:w="733" w:type="dxa"/>
            <w:vMerge w:val="continue"/>
            <w:vAlign w:val="center"/>
          </w:tcPr>
          <w:p w14:paraId="7926FB0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EA6E2D9">
            <w:pPr>
              <w:jc w:val="center"/>
              <w:rPr>
                <w:rFonts w:hint="eastAsia" w:ascii="宋体" w:hAnsi="宋体" w:eastAsia="宋体" w:cs="宋体"/>
                <w:b w:val="0"/>
                <w:bCs w:val="0"/>
                <w:color w:val="auto"/>
                <w:kern w:val="0"/>
                <w:sz w:val="20"/>
                <w:szCs w:val="20"/>
                <w:highlight w:val="none"/>
                <w:lang w:val="en-US" w:eastAsia="zh-CN" w:bidi="ar-SA"/>
              </w:rPr>
            </w:pPr>
          </w:p>
        </w:tc>
      </w:tr>
      <w:tr w14:paraId="3DAB4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22A8811">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530</w:t>
            </w:r>
          </w:p>
        </w:tc>
        <w:tc>
          <w:tcPr>
            <w:tcW w:w="720" w:type="dxa"/>
            <w:vMerge w:val="continue"/>
            <w:vAlign w:val="center"/>
          </w:tcPr>
          <w:p w14:paraId="50B0FF4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EB96D8D">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6F03597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57A0966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药品查询</w:t>
            </w:r>
          </w:p>
        </w:tc>
        <w:tc>
          <w:tcPr>
            <w:tcW w:w="4642" w:type="dxa"/>
            <w:vAlign w:val="center"/>
          </w:tcPr>
          <w:p w14:paraId="53D49BD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支持医生在线查询药品的基本信息和药品说明书。</w:t>
            </w:r>
          </w:p>
        </w:tc>
        <w:tc>
          <w:tcPr>
            <w:tcW w:w="733" w:type="dxa"/>
            <w:vMerge w:val="continue"/>
            <w:vAlign w:val="center"/>
          </w:tcPr>
          <w:p w14:paraId="68D75C4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F7D2322">
            <w:pPr>
              <w:jc w:val="center"/>
              <w:rPr>
                <w:rFonts w:hint="eastAsia" w:ascii="宋体" w:hAnsi="宋体" w:eastAsia="宋体" w:cs="宋体"/>
                <w:b w:val="0"/>
                <w:bCs w:val="0"/>
                <w:color w:val="auto"/>
                <w:kern w:val="0"/>
                <w:sz w:val="20"/>
                <w:szCs w:val="20"/>
                <w:highlight w:val="none"/>
                <w:lang w:val="en-US" w:eastAsia="zh-CN" w:bidi="ar-SA"/>
              </w:rPr>
            </w:pPr>
          </w:p>
        </w:tc>
      </w:tr>
      <w:tr w14:paraId="788A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1A13005">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531</w:t>
            </w:r>
          </w:p>
        </w:tc>
        <w:tc>
          <w:tcPr>
            <w:tcW w:w="720" w:type="dxa"/>
            <w:vMerge w:val="continue"/>
            <w:vAlign w:val="center"/>
          </w:tcPr>
          <w:p w14:paraId="610A60F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23ACA50">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270AFFC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2D0B492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今日班次</w:t>
            </w:r>
          </w:p>
        </w:tc>
        <w:tc>
          <w:tcPr>
            <w:tcW w:w="4642" w:type="dxa"/>
            <w:vAlign w:val="center"/>
          </w:tcPr>
          <w:p w14:paraId="6652393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医生可以查看当日服务排班及服务情况。</w:t>
            </w:r>
          </w:p>
        </w:tc>
        <w:tc>
          <w:tcPr>
            <w:tcW w:w="733" w:type="dxa"/>
            <w:vMerge w:val="continue"/>
            <w:vAlign w:val="center"/>
          </w:tcPr>
          <w:p w14:paraId="30C2A2E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F948413">
            <w:pPr>
              <w:jc w:val="center"/>
              <w:rPr>
                <w:rFonts w:hint="eastAsia" w:ascii="宋体" w:hAnsi="宋体" w:eastAsia="宋体" w:cs="宋体"/>
                <w:b w:val="0"/>
                <w:bCs w:val="0"/>
                <w:color w:val="auto"/>
                <w:kern w:val="0"/>
                <w:sz w:val="20"/>
                <w:szCs w:val="20"/>
                <w:highlight w:val="none"/>
                <w:lang w:val="en-US" w:eastAsia="zh-CN" w:bidi="ar-SA"/>
              </w:rPr>
            </w:pPr>
          </w:p>
        </w:tc>
      </w:tr>
      <w:tr w14:paraId="3611C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1EAA506">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532</w:t>
            </w:r>
          </w:p>
        </w:tc>
        <w:tc>
          <w:tcPr>
            <w:tcW w:w="720" w:type="dxa"/>
            <w:vMerge w:val="continue"/>
            <w:vAlign w:val="center"/>
          </w:tcPr>
          <w:p w14:paraId="674B356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29974B2">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25B7D5F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587B8A9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消息通知</w:t>
            </w:r>
          </w:p>
        </w:tc>
        <w:tc>
          <w:tcPr>
            <w:tcW w:w="4642" w:type="dxa"/>
            <w:vAlign w:val="center"/>
          </w:tcPr>
          <w:p w14:paraId="0B165A2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医生可以收到服务消息通知，并在消息中心查看通知。</w:t>
            </w:r>
          </w:p>
        </w:tc>
        <w:tc>
          <w:tcPr>
            <w:tcW w:w="733" w:type="dxa"/>
            <w:vMerge w:val="continue"/>
            <w:vAlign w:val="center"/>
          </w:tcPr>
          <w:p w14:paraId="4C43A1D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4A8B557">
            <w:pPr>
              <w:jc w:val="center"/>
              <w:rPr>
                <w:rFonts w:hint="eastAsia" w:ascii="宋体" w:hAnsi="宋体" w:eastAsia="宋体" w:cs="宋体"/>
                <w:b w:val="0"/>
                <w:bCs w:val="0"/>
                <w:color w:val="auto"/>
                <w:kern w:val="0"/>
                <w:sz w:val="20"/>
                <w:szCs w:val="20"/>
                <w:highlight w:val="none"/>
                <w:lang w:val="en-US" w:eastAsia="zh-CN" w:bidi="ar-SA"/>
              </w:rPr>
            </w:pPr>
          </w:p>
        </w:tc>
      </w:tr>
      <w:tr w14:paraId="446DC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78ADB72">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533</w:t>
            </w:r>
          </w:p>
        </w:tc>
        <w:tc>
          <w:tcPr>
            <w:tcW w:w="720" w:type="dxa"/>
            <w:vMerge w:val="continue"/>
            <w:vAlign w:val="center"/>
          </w:tcPr>
          <w:p w14:paraId="4CE3C726">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7ED354B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护理上门服务</w:t>
            </w:r>
          </w:p>
        </w:tc>
        <w:tc>
          <w:tcPr>
            <w:tcW w:w="966" w:type="dxa"/>
            <w:vMerge w:val="restart"/>
            <w:vAlign w:val="center"/>
          </w:tcPr>
          <w:p w14:paraId="61D0271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患者端</w:t>
            </w:r>
          </w:p>
        </w:tc>
        <w:tc>
          <w:tcPr>
            <w:tcW w:w="1117" w:type="dxa"/>
            <w:vAlign w:val="center"/>
          </w:tcPr>
          <w:p w14:paraId="62BCF21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热门服务</w:t>
            </w:r>
          </w:p>
        </w:tc>
        <w:tc>
          <w:tcPr>
            <w:tcW w:w="4642" w:type="dxa"/>
            <w:vAlign w:val="center"/>
          </w:tcPr>
          <w:p w14:paraId="16FEDD9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显示热门服务及服务分类信</w:t>
            </w:r>
          </w:p>
        </w:tc>
        <w:tc>
          <w:tcPr>
            <w:tcW w:w="733" w:type="dxa"/>
            <w:vMerge w:val="restart"/>
            <w:vAlign w:val="center"/>
          </w:tcPr>
          <w:p w14:paraId="444F942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36456F1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w:t>
            </w:r>
          </w:p>
        </w:tc>
      </w:tr>
      <w:tr w14:paraId="34252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4FE0CB2">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534</w:t>
            </w:r>
          </w:p>
        </w:tc>
        <w:tc>
          <w:tcPr>
            <w:tcW w:w="720" w:type="dxa"/>
            <w:vMerge w:val="continue"/>
            <w:vAlign w:val="center"/>
          </w:tcPr>
          <w:p w14:paraId="1FA7554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170694D">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285487B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1331597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服务种类</w:t>
            </w:r>
          </w:p>
        </w:tc>
        <w:tc>
          <w:tcPr>
            <w:tcW w:w="4642" w:type="dxa"/>
            <w:vAlign w:val="center"/>
          </w:tcPr>
          <w:p w14:paraId="3BC047E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可根据服务种类查看各种类下提供的服务项</w:t>
            </w:r>
          </w:p>
        </w:tc>
        <w:tc>
          <w:tcPr>
            <w:tcW w:w="733" w:type="dxa"/>
            <w:vMerge w:val="continue"/>
            <w:vAlign w:val="center"/>
          </w:tcPr>
          <w:p w14:paraId="7CD9F51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6888BDB">
            <w:pPr>
              <w:jc w:val="center"/>
              <w:rPr>
                <w:rFonts w:hint="eastAsia" w:ascii="宋体" w:hAnsi="宋体" w:eastAsia="宋体" w:cs="宋体"/>
                <w:b w:val="0"/>
                <w:bCs w:val="0"/>
                <w:color w:val="auto"/>
                <w:kern w:val="0"/>
                <w:sz w:val="20"/>
                <w:szCs w:val="20"/>
                <w:highlight w:val="none"/>
                <w:lang w:val="en-US" w:eastAsia="zh-CN" w:bidi="ar-SA"/>
              </w:rPr>
            </w:pPr>
          </w:p>
        </w:tc>
      </w:tr>
      <w:tr w14:paraId="3CCB4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1E92B79">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535</w:t>
            </w:r>
          </w:p>
        </w:tc>
        <w:tc>
          <w:tcPr>
            <w:tcW w:w="720" w:type="dxa"/>
            <w:vMerge w:val="continue"/>
            <w:vAlign w:val="center"/>
          </w:tcPr>
          <w:p w14:paraId="4E542BE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7B9A865">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5B888DE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4E0CEE4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定位</w:t>
            </w:r>
          </w:p>
        </w:tc>
        <w:tc>
          <w:tcPr>
            <w:tcW w:w="4642" w:type="dxa"/>
            <w:vAlign w:val="center"/>
          </w:tcPr>
          <w:p w14:paraId="382CE16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自动获取用户当前的定位信息，根据地理位置展示可提供的服务项目。</w:t>
            </w:r>
          </w:p>
        </w:tc>
        <w:tc>
          <w:tcPr>
            <w:tcW w:w="733" w:type="dxa"/>
            <w:vMerge w:val="continue"/>
            <w:vAlign w:val="center"/>
          </w:tcPr>
          <w:p w14:paraId="6A36813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5CED861">
            <w:pPr>
              <w:jc w:val="center"/>
              <w:rPr>
                <w:rFonts w:hint="eastAsia" w:ascii="宋体" w:hAnsi="宋体" w:eastAsia="宋体" w:cs="宋体"/>
                <w:b w:val="0"/>
                <w:bCs w:val="0"/>
                <w:color w:val="auto"/>
                <w:kern w:val="0"/>
                <w:sz w:val="20"/>
                <w:szCs w:val="20"/>
                <w:highlight w:val="none"/>
                <w:lang w:val="en-US" w:eastAsia="zh-CN" w:bidi="ar-SA"/>
              </w:rPr>
            </w:pPr>
          </w:p>
        </w:tc>
      </w:tr>
      <w:tr w14:paraId="2A6BC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53F01C9">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536</w:t>
            </w:r>
          </w:p>
        </w:tc>
        <w:tc>
          <w:tcPr>
            <w:tcW w:w="720" w:type="dxa"/>
            <w:vMerge w:val="continue"/>
            <w:vAlign w:val="center"/>
          </w:tcPr>
          <w:p w14:paraId="647683E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2D78695">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0E624A3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663C81D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服务项目详情</w:t>
            </w:r>
          </w:p>
        </w:tc>
        <w:tc>
          <w:tcPr>
            <w:tcW w:w="4642" w:type="dxa"/>
            <w:vAlign w:val="center"/>
          </w:tcPr>
          <w:p w14:paraId="037164B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介绍服务项目的详情、须知、价格、相关耗材信息</w:t>
            </w:r>
          </w:p>
        </w:tc>
        <w:tc>
          <w:tcPr>
            <w:tcW w:w="733" w:type="dxa"/>
            <w:vMerge w:val="continue"/>
            <w:vAlign w:val="center"/>
          </w:tcPr>
          <w:p w14:paraId="3C00029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713A393">
            <w:pPr>
              <w:jc w:val="center"/>
              <w:rPr>
                <w:rFonts w:hint="eastAsia" w:ascii="宋体" w:hAnsi="宋体" w:eastAsia="宋体" w:cs="宋体"/>
                <w:b w:val="0"/>
                <w:bCs w:val="0"/>
                <w:color w:val="auto"/>
                <w:kern w:val="0"/>
                <w:sz w:val="20"/>
                <w:szCs w:val="20"/>
                <w:highlight w:val="none"/>
                <w:lang w:val="en-US" w:eastAsia="zh-CN" w:bidi="ar-SA"/>
              </w:rPr>
            </w:pPr>
          </w:p>
        </w:tc>
      </w:tr>
      <w:tr w14:paraId="5BF3B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4EDB31D">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537</w:t>
            </w:r>
          </w:p>
        </w:tc>
        <w:tc>
          <w:tcPr>
            <w:tcW w:w="720" w:type="dxa"/>
            <w:vMerge w:val="continue"/>
            <w:vAlign w:val="center"/>
          </w:tcPr>
          <w:p w14:paraId="49731B0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A4957DC">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5603D2D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6A7E034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服务项目购买</w:t>
            </w:r>
          </w:p>
        </w:tc>
        <w:tc>
          <w:tcPr>
            <w:tcW w:w="4642" w:type="dxa"/>
            <w:vAlign w:val="center"/>
          </w:tcPr>
          <w:p w14:paraId="3E7D246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患者填写服务地址、预约服务时间、相关申请信息并确认查看知情告知书后可进行服务购买；可禁止患者预约时间选择在深夜。</w:t>
            </w:r>
          </w:p>
        </w:tc>
        <w:tc>
          <w:tcPr>
            <w:tcW w:w="733" w:type="dxa"/>
            <w:vMerge w:val="restart"/>
            <w:vAlign w:val="center"/>
          </w:tcPr>
          <w:p w14:paraId="0D6F0E2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51A1A2C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5</w:t>
            </w:r>
          </w:p>
        </w:tc>
      </w:tr>
      <w:tr w14:paraId="51722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06E8D24">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538</w:t>
            </w:r>
          </w:p>
        </w:tc>
        <w:tc>
          <w:tcPr>
            <w:tcW w:w="720" w:type="dxa"/>
            <w:vMerge w:val="continue"/>
            <w:vAlign w:val="center"/>
          </w:tcPr>
          <w:p w14:paraId="47579F5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98916F6">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58E9CDA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7F72188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服务订单</w:t>
            </w:r>
          </w:p>
        </w:tc>
        <w:tc>
          <w:tcPr>
            <w:tcW w:w="4642" w:type="dxa"/>
            <w:vAlign w:val="center"/>
          </w:tcPr>
          <w:p w14:paraId="6F56CEE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服务单详情包括服务对象、服务单信息、服务项目、服务申请信息、备注、服务单跟踪、服务耗材、签字确认、服务评价等信息。</w:t>
            </w:r>
          </w:p>
        </w:tc>
        <w:tc>
          <w:tcPr>
            <w:tcW w:w="733" w:type="dxa"/>
            <w:vMerge w:val="continue"/>
            <w:vAlign w:val="center"/>
          </w:tcPr>
          <w:p w14:paraId="34E7D55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7E0A4A7">
            <w:pPr>
              <w:jc w:val="center"/>
              <w:rPr>
                <w:rFonts w:hint="eastAsia" w:ascii="宋体" w:hAnsi="宋体" w:eastAsia="宋体" w:cs="宋体"/>
                <w:b w:val="0"/>
                <w:bCs w:val="0"/>
                <w:color w:val="auto"/>
                <w:kern w:val="0"/>
                <w:sz w:val="20"/>
                <w:szCs w:val="20"/>
                <w:highlight w:val="none"/>
                <w:lang w:val="en-US" w:eastAsia="zh-CN" w:bidi="ar-SA"/>
              </w:rPr>
            </w:pPr>
          </w:p>
        </w:tc>
      </w:tr>
      <w:tr w14:paraId="24865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F5299F8">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539</w:t>
            </w:r>
          </w:p>
        </w:tc>
        <w:tc>
          <w:tcPr>
            <w:tcW w:w="720" w:type="dxa"/>
            <w:vMerge w:val="continue"/>
            <w:vAlign w:val="center"/>
          </w:tcPr>
          <w:p w14:paraId="1994F2F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A9AE311">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2AAEE93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27042FB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线上咨询</w:t>
            </w:r>
          </w:p>
        </w:tc>
        <w:tc>
          <w:tcPr>
            <w:tcW w:w="4642" w:type="dxa"/>
            <w:vAlign w:val="center"/>
          </w:tcPr>
          <w:p w14:paraId="16EF67A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展示开展咨询项目的机构名称、项目名称、服务人员。</w:t>
            </w:r>
          </w:p>
        </w:tc>
        <w:tc>
          <w:tcPr>
            <w:tcW w:w="733" w:type="dxa"/>
            <w:vMerge w:val="continue"/>
            <w:vAlign w:val="center"/>
          </w:tcPr>
          <w:p w14:paraId="0312899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24C47C9">
            <w:pPr>
              <w:jc w:val="center"/>
              <w:rPr>
                <w:rFonts w:hint="eastAsia" w:ascii="宋体" w:hAnsi="宋体" w:eastAsia="宋体" w:cs="宋体"/>
                <w:b w:val="0"/>
                <w:bCs w:val="0"/>
                <w:color w:val="auto"/>
                <w:kern w:val="0"/>
                <w:sz w:val="20"/>
                <w:szCs w:val="20"/>
                <w:highlight w:val="none"/>
                <w:lang w:val="en-US" w:eastAsia="zh-CN" w:bidi="ar-SA"/>
              </w:rPr>
            </w:pPr>
          </w:p>
        </w:tc>
      </w:tr>
      <w:tr w14:paraId="14A1D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3C089B4">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540</w:t>
            </w:r>
          </w:p>
        </w:tc>
        <w:tc>
          <w:tcPr>
            <w:tcW w:w="720" w:type="dxa"/>
            <w:vMerge w:val="continue"/>
            <w:vAlign w:val="center"/>
          </w:tcPr>
          <w:p w14:paraId="4C5D693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E888F21">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0491ADD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2676C39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常用服务</w:t>
            </w:r>
          </w:p>
        </w:tc>
        <w:tc>
          <w:tcPr>
            <w:tcW w:w="4642" w:type="dxa"/>
            <w:vAlign w:val="center"/>
          </w:tcPr>
          <w:p w14:paraId="33452EE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根据用户经常购买及浏览的服务项目进行展示。</w:t>
            </w:r>
          </w:p>
        </w:tc>
        <w:tc>
          <w:tcPr>
            <w:tcW w:w="733" w:type="dxa"/>
            <w:vMerge w:val="continue"/>
            <w:vAlign w:val="center"/>
          </w:tcPr>
          <w:p w14:paraId="0514660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4F82CAE">
            <w:pPr>
              <w:jc w:val="center"/>
              <w:rPr>
                <w:rFonts w:hint="eastAsia" w:ascii="宋体" w:hAnsi="宋体" w:eastAsia="宋体" w:cs="宋体"/>
                <w:b w:val="0"/>
                <w:bCs w:val="0"/>
                <w:color w:val="auto"/>
                <w:kern w:val="0"/>
                <w:sz w:val="20"/>
                <w:szCs w:val="20"/>
                <w:highlight w:val="none"/>
                <w:lang w:val="en-US" w:eastAsia="zh-CN" w:bidi="ar-SA"/>
              </w:rPr>
            </w:pPr>
          </w:p>
        </w:tc>
      </w:tr>
      <w:tr w14:paraId="7377B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13D14F2">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541</w:t>
            </w:r>
          </w:p>
        </w:tc>
        <w:tc>
          <w:tcPr>
            <w:tcW w:w="720" w:type="dxa"/>
            <w:vMerge w:val="continue"/>
            <w:vAlign w:val="center"/>
          </w:tcPr>
          <w:p w14:paraId="5B78045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0F8A88F">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518AB03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73BF4D9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客服咨询</w:t>
            </w:r>
          </w:p>
        </w:tc>
        <w:tc>
          <w:tcPr>
            <w:tcW w:w="4642" w:type="dxa"/>
            <w:vAlign w:val="center"/>
          </w:tcPr>
          <w:p w14:paraId="2D4D9DC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显示预设的问题及答案，用户也可呼叫人工进行线上咨询。</w:t>
            </w:r>
          </w:p>
        </w:tc>
        <w:tc>
          <w:tcPr>
            <w:tcW w:w="733" w:type="dxa"/>
            <w:vMerge w:val="continue"/>
            <w:vAlign w:val="center"/>
          </w:tcPr>
          <w:p w14:paraId="7967B38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56A7489">
            <w:pPr>
              <w:jc w:val="center"/>
              <w:rPr>
                <w:rFonts w:hint="eastAsia" w:ascii="宋体" w:hAnsi="宋体" w:eastAsia="宋体" w:cs="宋体"/>
                <w:b w:val="0"/>
                <w:bCs w:val="0"/>
                <w:color w:val="auto"/>
                <w:kern w:val="0"/>
                <w:sz w:val="20"/>
                <w:szCs w:val="20"/>
                <w:highlight w:val="none"/>
                <w:lang w:val="en-US" w:eastAsia="zh-CN" w:bidi="ar-SA"/>
              </w:rPr>
            </w:pPr>
          </w:p>
        </w:tc>
      </w:tr>
      <w:tr w14:paraId="11B8A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E1C0884">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542</w:t>
            </w:r>
          </w:p>
        </w:tc>
        <w:tc>
          <w:tcPr>
            <w:tcW w:w="720" w:type="dxa"/>
            <w:vMerge w:val="continue"/>
            <w:vAlign w:val="center"/>
          </w:tcPr>
          <w:p w14:paraId="2CD27BC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F8F2014">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restart"/>
            <w:vAlign w:val="center"/>
          </w:tcPr>
          <w:p w14:paraId="78AC6E3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护士端</w:t>
            </w:r>
          </w:p>
        </w:tc>
        <w:tc>
          <w:tcPr>
            <w:tcW w:w="1117" w:type="dxa"/>
            <w:vAlign w:val="center"/>
          </w:tcPr>
          <w:p w14:paraId="4BB77A8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抢/接单</w:t>
            </w:r>
          </w:p>
        </w:tc>
        <w:tc>
          <w:tcPr>
            <w:tcW w:w="4642" w:type="dxa"/>
            <w:vAlign w:val="center"/>
          </w:tcPr>
          <w:p w14:paraId="5A18270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支持服务人员对订单进行抢单或者接受管理人员派发的订单。</w:t>
            </w:r>
          </w:p>
        </w:tc>
        <w:tc>
          <w:tcPr>
            <w:tcW w:w="733" w:type="dxa"/>
            <w:vMerge w:val="restart"/>
            <w:vAlign w:val="center"/>
          </w:tcPr>
          <w:p w14:paraId="7640DE9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3DA8DF36">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10</w:t>
            </w:r>
          </w:p>
        </w:tc>
      </w:tr>
      <w:tr w14:paraId="695FE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66E8129">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543</w:t>
            </w:r>
          </w:p>
        </w:tc>
        <w:tc>
          <w:tcPr>
            <w:tcW w:w="720" w:type="dxa"/>
            <w:vMerge w:val="continue"/>
            <w:vAlign w:val="center"/>
          </w:tcPr>
          <w:p w14:paraId="0CCCC30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3C39AD4">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5E55D3A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7854C3B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查询</w:t>
            </w:r>
          </w:p>
        </w:tc>
        <w:tc>
          <w:tcPr>
            <w:tcW w:w="4642" w:type="dxa"/>
            <w:vAlign w:val="center"/>
          </w:tcPr>
          <w:p w14:paraId="7C089E0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支持特定时间内的工单查询，如按星期数进行查询</w:t>
            </w:r>
          </w:p>
        </w:tc>
        <w:tc>
          <w:tcPr>
            <w:tcW w:w="733" w:type="dxa"/>
            <w:vMerge w:val="continue"/>
            <w:vAlign w:val="center"/>
          </w:tcPr>
          <w:p w14:paraId="7129B99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CF86A74">
            <w:pPr>
              <w:jc w:val="center"/>
              <w:rPr>
                <w:rFonts w:hint="eastAsia" w:ascii="宋体" w:hAnsi="宋体" w:eastAsia="宋体" w:cs="宋体"/>
                <w:b w:val="0"/>
                <w:bCs w:val="0"/>
                <w:color w:val="auto"/>
                <w:kern w:val="0"/>
                <w:sz w:val="20"/>
                <w:szCs w:val="20"/>
                <w:highlight w:val="none"/>
                <w:lang w:val="en-US" w:eastAsia="zh-CN" w:bidi="ar-SA"/>
              </w:rPr>
            </w:pPr>
          </w:p>
        </w:tc>
      </w:tr>
      <w:tr w14:paraId="7499A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0E924C3">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544</w:t>
            </w:r>
          </w:p>
        </w:tc>
        <w:tc>
          <w:tcPr>
            <w:tcW w:w="720" w:type="dxa"/>
            <w:vMerge w:val="continue"/>
            <w:vAlign w:val="center"/>
          </w:tcPr>
          <w:p w14:paraId="6CA2726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FEFC33B">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768FBA8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7F10D07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服务单详情</w:t>
            </w:r>
          </w:p>
        </w:tc>
        <w:tc>
          <w:tcPr>
            <w:tcW w:w="4642" w:type="dxa"/>
            <w:vAlign w:val="center"/>
          </w:tcPr>
          <w:p w14:paraId="328CBD6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服务单详情包括服务对象、服务单信息、服务项目、服务申请信息、备注、服务单跟踪、服务耗材、签字确认、服务评价等信息。</w:t>
            </w:r>
          </w:p>
        </w:tc>
        <w:tc>
          <w:tcPr>
            <w:tcW w:w="733" w:type="dxa"/>
            <w:vMerge w:val="continue"/>
            <w:vAlign w:val="center"/>
          </w:tcPr>
          <w:p w14:paraId="15593B3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09516DE">
            <w:pPr>
              <w:jc w:val="center"/>
              <w:rPr>
                <w:rFonts w:hint="eastAsia" w:ascii="宋体" w:hAnsi="宋体" w:eastAsia="宋体" w:cs="宋体"/>
                <w:b w:val="0"/>
                <w:bCs w:val="0"/>
                <w:color w:val="auto"/>
                <w:kern w:val="0"/>
                <w:sz w:val="20"/>
                <w:szCs w:val="20"/>
                <w:highlight w:val="none"/>
                <w:lang w:val="en-US" w:eastAsia="zh-CN" w:bidi="ar-SA"/>
              </w:rPr>
            </w:pPr>
          </w:p>
        </w:tc>
      </w:tr>
      <w:tr w14:paraId="4FD0E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E967092">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545</w:t>
            </w:r>
          </w:p>
        </w:tc>
        <w:tc>
          <w:tcPr>
            <w:tcW w:w="720" w:type="dxa"/>
            <w:vMerge w:val="continue"/>
            <w:vAlign w:val="center"/>
          </w:tcPr>
          <w:p w14:paraId="3D21C41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53B3D87">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0C45609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6261062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一键报警</w:t>
            </w:r>
          </w:p>
        </w:tc>
        <w:tc>
          <w:tcPr>
            <w:tcW w:w="4642" w:type="dxa"/>
            <w:vAlign w:val="center"/>
          </w:tcPr>
          <w:p w14:paraId="7970533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护士可在APP上进行一键报警操作，及时拨打110、120与运营电话</w:t>
            </w:r>
          </w:p>
        </w:tc>
        <w:tc>
          <w:tcPr>
            <w:tcW w:w="733" w:type="dxa"/>
            <w:vMerge w:val="continue"/>
            <w:vAlign w:val="center"/>
          </w:tcPr>
          <w:p w14:paraId="2445060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4C84C28">
            <w:pPr>
              <w:jc w:val="center"/>
              <w:rPr>
                <w:rFonts w:hint="eastAsia" w:ascii="宋体" w:hAnsi="宋体" w:eastAsia="宋体" w:cs="宋体"/>
                <w:b w:val="0"/>
                <w:bCs w:val="0"/>
                <w:color w:val="auto"/>
                <w:kern w:val="0"/>
                <w:sz w:val="20"/>
                <w:szCs w:val="20"/>
                <w:highlight w:val="none"/>
                <w:lang w:val="en-US" w:eastAsia="zh-CN" w:bidi="ar-SA"/>
              </w:rPr>
            </w:pPr>
          </w:p>
        </w:tc>
      </w:tr>
      <w:tr w14:paraId="3BC1D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4027769">
            <w:pPr>
              <w:keepNext w:val="0"/>
              <w:keepLines w:val="0"/>
              <w:widowControl/>
              <w:suppressLineNumbers w:val="0"/>
              <w:jc w:val="center"/>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546</w:t>
            </w:r>
          </w:p>
        </w:tc>
        <w:tc>
          <w:tcPr>
            <w:tcW w:w="720" w:type="dxa"/>
            <w:vMerge w:val="continue"/>
            <w:vAlign w:val="center"/>
          </w:tcPr>
          <w:p w14:paraId="6802EAB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93419DF">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464A866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3BA6D09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出门</w:t>
            </w:r>
          </w:p>
        </w:tc>
        <w:tc>
          <w:tcPr>
            <w:tcW w:w="4642" w:type="dxa"/>
            <w:vAlign w:val="center"/>
          </w:tcPr>
          <w:p w14:paraId="0750F4B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对于已抢工单，在出门服务时可点击出门按钮，系统自动获取护士点击出门至点击开始之间的路程信息。点击出门按钮，保险自动生效，直到完成服务后两小时。</w:t>
            </w:r>
          </w:p>
        </w:tc>
        <w:tc>
          <w:tcPr>
            <w:tcW w:w="733" w:type="dxa"/>
            <w:vMerge w:val="continue"/>
            <w:vAlign w:val="center"/>
          </w:tcPr>
          <w:p w14:paraId="23DB8A6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A4FCC69">
            <w:pPr>
              <w:jc w:val="center"/>
              <w:rPr>
                <w:rFonts w:hint="eastAsia" w:ascii="宋体" w:hAnsi="宋体" w:eastAsia="宋体" w:cs="宋体"/>
                <w:b w:val="0"/>
                <w:bCs w:val="0"/>
                <w:color w:val="auto"/>
                <w:kern w:val="0"/>
                <w:sz w:val="20"/>
                <w:szCs w:val="20"/>
                <w:highlight w:val="none"/>
                <w:lang w:val="en-US" w:eastAsia="zh-CN" w:bidi="ar-SA"/>
              </w:rPr>
            </w:pPr>
          </w:p>
        </w:tc>
      </w:tr>
      <w:tr w14:paraId="63756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D6EE417">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547</w:t>
            </w:r>
          </w:p>
        </w:tc>
        <w:tc>
          <w:tcPr>
            <w:tcW w:w="720" w:type="dxa"/>
            <w:vMerge w:val="continue"/>
            <w:vAlign w:val="center"/>
          </w:tcPr>
          <w:p w14:paraId="764AE4E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61DDB47">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57480A4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035D909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服务开始</w:t>
            </w:r>
          </w:p>
        </w:tc>
        <w:tc>
          <w:tcPr>
            <w:tcW w:w="4642" w:type="dxa"/>
            <w:vAlign w:val="center"/>
          </w:tcPr>
          <w:p w14:paraId="64521AF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护士到达患者处，点击开始按钮，开始服务。若所处位置与患者下单地址不同，则弹出警告。</w:t>
            </w:r>
          </w:p>
        </w:tc>
        <w:tc>
          <w:tcPr>
            <w:tcW w:w="733" w:type="dxa"/>
            <w:vMerge w:val="continue"/>
            <w:vAlign w:val="center"/>
          </w:tcPr>
          <w:p w14:paraId="5822404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EB289E5">
            <w:pPr>
              <w:jc w:val="center"/>
              <w:rPr>
                <w:rFonts w:hint="eastAsia" w:ascii="宋体" w:hAnsi="宋体" w:eastAsia="宋体" w:cs="宋体"/>
                <w:b w:val="0"/>
                <w:bCs w:val="0"/>
                <w:color w:val="auto"/>
                <w:kern w:val="0"/>
                <w:sz w:val="20"/>
                <w:szCs w:val="20"/>
                <w:highlight w:val="none"/>
                <w:lang w:val="en-US" w:eastAsia="zh-CN" w:bidi="ar-SA"/>
              </w:rPr>
            </w:pPr>
          </w:p>
        </w:tc>
      </w:tr>
      <w:tr w14:paraId="574CE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13309D7">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548</w:t>
            </w:r>
          </w:p>
        </w:tc>
        <w:tc>
          <w:tcPr>
            <w:tcW w:w="720" w:type="dxa"/>
            <w:vMerge w:val="continue"/>
            <w:vAlign w:val="center"/>
          </w:tcPr>
          <w:p w14:paraId="4740AD5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F3FD6F1">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00416DD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13B645C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评估</w:t>
            </w:r>
          </w:p>
        </w:tc>
        <w:tc>
          <w:tcPr>
            <w:tcW w:w="4642" w:type="dxa"/>
            <w:vAlign w:val="center"/>
          </w:tcPr>
          <w:p w14:paraId="3695DA1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护士对需要进行评估的患者进行二次评估，具体评估量表可根据服务项目进行配置。</w:t>
            </w:r>
          </w:p>
        </w:tc>
        <w:tc>
          <w:tcPr>
            <w:tcW w:w="733" w:type="dxa"/>
            <w:vMerge w:val="continue"/>
            <w:vAlign w:val="center"/>
          </w:tcPr>
          <w:p w14:paraId="75C09E0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EE3E2AC">
            <w:pPr>
              <w:jc w:val="center"/>
              <w:rPr>
                <w:rFonts w:hint="eastAsia" w:ascii="宋体" w:hAnsi="宋体" w:eastAsia="宋体" w:cs="宋体"/>
                <w:b w:val="0"/>
                <w:bCs w:val="0"/>
                <w:color w:val="auto"/>
                <w:kern w:val="0"/>
                <w:sz w:val="20"/>
                <w:szCs w:val="20"/>
                <w:highlight w:val="none"/>
                <w:lang w:val="en-US" w:eastAsia="zh-CN" w:bidi="ar-SA"/>
              </w:rPr>
            </w:pPr>
          </w:p>
        </w:tc>
      </w:tr>
      <w:tr w14:paraId="687BE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1ECF424">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549</w:t>
            </w:r>
          </w:p>
        </w:tc>
        <w:tc>
          <w:tcPr>
            <w:tcW w:w="720" w:type="dxa"/>
            <w:vMerge w:val="continue"/>
            <w:vAlign w:val="center"/>
          </w:tcPr>
          <w:p w14:paraId="0075ECC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3C00820">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5B2AD3B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7235087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服务完成</w:t>
            </w:r>
          </w:p>
        </w:tc>
        <w:tc>
          <w:tcPr>
            <w:tcW w:w="4642" w:type="dxa"/>
            <w:vAlign w:val="center"/>
          </w:tcPr>
          <w:p w14:paraId="07E4F68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护士在完成服务后，可填写使用耗材，生成耗材订单供患者支付，可填写服务记录信息，使医疗服务留痕。在护士手机APP端确认完成服务。</w:t>
            </w:r>
          </w:p>
        </w:tc>
        <w:tc>
          <w:tcPr>
            <w:tcW w:w="733" w:type="dxa"/>
            <w:vMerge w:val="continue"/>
            <w:vAlign w:val="center"/>
          </w:tcPr>
          <w:p w14:paraId="74D7523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F6139EE">
            <w:pPr>
              <w:jc w:val="center"/>
              <w:rPr>
                <w:rFonts w:hint="eastAsia" w:ascii="宋体" w:hAnsi="宋体" w:eastAsia="宋体" w:cs="宋体"/>
                <w:b w:val="0"/>
                <w:bCs w:val="0"/>
                <w:color w:val="auto"/>
                <w:kern w:val="0"/>
                <w:sz w:val="20"/>
                <w:szCs w:val="20"/>
                <w:highlight w:val="none"/>
                <w:lang w:val="en-US" w:eastAsia="zh-CN" w:bidi="ar-SA"/>
              </w:rPr>
            </w:pPr>
          </w:p>
        </w:tc>
      </w:tr>
      <w:tr w14:paraId="581B5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B30D1C2">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550</w:t>
            </w:r>
          </w:p>
        </w:tc>
        <w:tc>
          <w:tcPr>
            <w:tcW w:w="720" w:type="dxa"/>
            <w:vMerge w:val="continue"/>
            <w:vAlign w:val="center"/>
          </w:tcPr>
          <w:p w14:paraId="0F6F1BE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8B50551">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0700648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6A557A0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医疗废物处置</w:t>
            </w:r>
          </w:p>
        </w:tc>
        <w:tc>
          <w:tcPr>
            <w:tcW w:w="4642" w:type="dxa"/>
            <w:vAlign w:val="center"/>
          </w:tcPr>
          <w:p w14:paraId="4BAB5A2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订单完成页面，可点击“垃圾投放”按钮，投放医疗废弃物，同时自动记录投放地点和内容。</w:t>
            </w:r>
          </w:p>
        </w:tc>
        <w:tc>
          <w:tcPr>
            <w:tcW w:w="733" w:type="dxa"/>
            <w:vMerge w:val="continue"/>
            <w:vAlign w:val="center"/>
          </w:tcPr>
          <w:p w14:paraId="4560465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436889E">
            <w:pPr>
              <w:jc w:val="center"/>
              <w:rPr>
                <w:rFonts w:hint="eastAsia" w:ascii="宋体" w:hAnsi="宋体" w:eastAsia="宋体" w:cs="宋体"/>
                <w:b w:val="0"/>
                <w:bCs w:val="0"/>
                <w:color w:val="auto"/>
                <w:kern w:val="0"/>
                <w:sz w:val="20"/>
                <w:szCs w:val="20"/>
                <w:highlight w:val="none"/>
                <w:lang w:val="en-US" w:eastAsia="zh-CN" w:bidi="ar-SA"/>
              </w:rPr>
            </w:pPr>
          </w:p>
        </w:tc>
      </w:tr>
      <w:tr w14:paraId="19CD2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AA4282F">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551</w:t>
            </w:r>
          </w:p>
        </w:tc>
        <w:tc>
          <w:tcPr>
            <w:tcW w:w="720" w:type="dxa"/>
            <w:vMerge w:val="continue"/>
            <w:vAlign w:val="center"/>
          </w:tcPr>
          <w:p w14:paraId="5D02DC2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5AB237F">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2836148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5441BD2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咨询项目</w:t>
            </w:r>
          </w:p>
        </w:tc>
        <w:tc>
          <w:tcPr>
            <w:tcW w:w="4642" w:type="dxa"/>
            <w:vAlign w:val="center"/>
          </w:tcPr>
          <w:p w14:paraId="434FB70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支持服务人员对咨询项目查看、回复信息。</w:t>
            </w:r>
          </w:p>
        </w:tc>
        <w:tc>
          <w:tcPr>
            <w:tcW w:w="733" w:type="dxa"/>
            <w:vMerge w:val="continue"/>
            <w:vAlign w:val="center"/>
          </w:tcPr>
          <w:p w14:paraId="5BA45F4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0F1E281">
            <w:pPr>
              <w:jc w:val="center"/>
              <w:rPr>
                <w:rFonts w:hint="eastAsia" w:ascii="宋体" w:hAnsi="宋体" w:eastAsia="宋体" w:cs="宋体"/>
                <w:b w:val="0"/>
                <w:bCs w:val="0"/>
                <w:color w:val="auto"/>
                <w:kern w:val="0"/>
                <w:sz w:val="20"/>
                <w:szCs w:val="20"/>
                <w:highlight w:val="none"/>
                <w:lang w:val="en-US" w:eastAsia="zh-CN" w:bidi="ar-SA"/>
              </w:rPr>
            </w:pPr>
          </w:p>
        </w:tc>
      </w:tr>
      <w:tr w14:paraId="4381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B5F268B">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552</w:t>
            </w:r>
          </w:p>
        </w:tc>
        <w:tc>
          <w:tcPr>
            <w:tcW w:w="720" w:type="dxa"/>
            <w:vMerge w:val="continue"/>
            <w:vAlign w:val="center"/>
          </w:tcPr>
          <w:p w14:paraId="051AA1BD">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39E6874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健康促进服务</w:t>
            </w:r>
          </w:p>
        </w:tc>
        <w:tc>
          <w:tcPr>
            <w:tcW w:w="966" w:type="dxa"/>
            <w:vMerge w:val="restart"/>
            <w:vAlign w:val="center"/>
          </w:tcPr>
          <w:p w14:paraId="3D08CB1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患者端</w:t>
            </w:r>
          </w:p>
        </w:tc>
        <w:tc>
          <w:tcPr>
            <w:tcW w:w="1117" w:type="dxa"/>
            <w:vAlign w:val="center"/>
          </w:tcPr>
          <w:p w14:paraId="7D65F77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专属首页</w:t>
            </w:r>
          </w:p>
        </w:tc>
        <w:tc>
          <w:tcPr>
            <w:tcW w:w="4642" w:type="dxa"/>
            <w:vAlign w:val="center"/>
          </w:tcPr>
          <w:p w14:paraId="4E76B60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支持根据医院需求，设计互联网医院首页。</w:t>
            </w:r>
          </w:p>
        </w:tc>
        <w:tc>
          <w:tcPr>
            <w:tcW w:w="733" w:type="dxa"/>
            <w:vMerge w:val="restart"/>
            <w:vAlign w:val="center"/>
          </w:tcPr>
          <w:p w14:paraId="5CD7972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5893896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6</w:t>
            </w:r>
          </w:p>
        </w:tc>
      </w:tr>
      <w:tr w14:paraId="42F60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8AFDB87">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553</w:t>
            </w:r>
          </w:p>
        </w:tc>
        <w:tc>
          <w:tcPr>
            <w:tcW w:w="720" w:type="dxa"/>
            <w:vMerge w:val="continue"/>
            <w:vAlign w:val="center"/>
          </w:tcPr>
          <w:p w14:paraId="5DBE3E5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A103A6C">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6AF35D3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272485A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基础信息</w:t>
            </w:r>
          </w:p>
        </w:tc>
        <w:tc>
          <w:tcPr>
            <w:tcW w:w="4642" w:type="dxa"/>
            <w:vAlign w:val="center"/>
          </w:tcPr>
          <w:p w14:paraId="0DA27ED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支持医院介绍、联系电话、详细地址及来院路线等基本信息的展示。</w:t>
            </w:r>
          </w:p>
        </w:tc>
        <w:tc>
          <w:tcPr>
            <w:tcW w:w="733" w:type="dxa"/>
            <w:vMerge w:val="continue"/>
            <w:vAlign w:val="center"/>
          </w:tcPr>
          <w:p w14:paraId="2DEAC47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79F29CE">
            <w:pPr>
              <w:jc w:val="center"/>
              <w:rPr>
                <w:rFonts w:hint="eastAsia" w:ascii="宋体" w:hAnsi="宋体" w:eastAsia="宋体" w:cs="宋体"/>
                <w:b w:val="0"/>
                <w:bCs w:val="0"/>
                <w:color w:val="auto"/>
                <w:kern w:val="0"/>
                <w:sz w:val="20"/>
                <w:szCs w:val="20"/>
                <w:highlight w:val="none"/>
                <w:lang w:val="en-US" w:eastAsia="zh-CN" w:bidi="ar-SA"/>
              </w:rPr>
            </w:pPr>
          </w:p>
        </w:tc>
      </w:tr>
      <w:tr w14:paraId="717F2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11D933A">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554</w:t>
            </w:r>
          </w:p>
        </w:tc>
        <w:tc>
          <w:tcPr>
            <w:tcW w:w="720" w:type="dxa"/>
            <w:vMerge w:val="continue"/>
            <w:vAlign w:val="center"/>
          </w:tcPr>
          <w:p w14:paraId="4D21A20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8E757AC">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3E4DBA4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4D178CE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医院公告</w:t>
            </w:r>
          </w:p>
        </w:tc>
        <w:tc>
          <w:tcPr>
            <w:tcW w:w="4642" w:type="dxa"/>
            <w:vAlign w:val="center"/>
          </w:tcPr>
          <w:p w14:paraId="07227AF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支持医院公告的展示，患者可以在首页查看医院最新的公告。</w:t>
            </w:r>
          </w:p>
        </w:tc>
        <w:tc>
          <w:tcPr>
            <w:tcW w:w="733" w:type="dxa"/>
            <w:vMerge w:val="continue"/>
            <w:vAlign w:val="center"/>
          </w:tcPr>
          <w:p w14:paraId="637DF35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754DFA4">
            <w:pPr>
              <w:jc w:val="center"/>
              <w:rPr>
                <w:rFonts w:hint="eastAsia" w:ascii="宋体" w:hAnsi="宋体" w:eastAsia="宋体" w:cs="宋体"/>
                <w:b w:val="0"/>
                <w:bCs w:val="0"/>
                <w:color w:val="auto"/>
                <w:kern w:val="0"/>
                <w:sz w:val="20"/>
                <w:szCs w:val="20"/>
                <w:highlight w:val="none"/>
                <w:lang w:val="en-US" w:eastAsia="zh-CN" w:bidi="ar-SA"/>
              </w:rPr>
            </w:pPr>
          </w:p>
        </w:tc>
      </w:tr>
      <w:tr w14:paraId="27E7F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C94F08D">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555</w:t>
            </w:r>
          </w:p>
        </w:tc>
        <w:tc>
          <w:tcPr>
            <w:tcW w:w="720" w:type="dxa"/>
            <w:vMerge w:val="continue"/>
            <w:vAlign w:val="center"/>
          </w:tcPr>
          <w:p w14:paraId="4C36EB5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8FA233A">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458B79D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53C3BE8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服务入口</w:t>
            </w:r>
          </w:p>
        </w:tc>
        <w:tc>
          <w:tcPr>
            <w:tcW w:w="4642" w:type="dxa"/>
            <w:vAlign w:val="center"/>
          </w:tcPr>
          <w:p w14:paraId="3C3021D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服务入口可以以专科列表、医生列表形式提供服务。包括：在线咨询、在线复诊、移动护理等。</w:t>
            </w:r>
          </w:p>
        </w:tc>
        <w:tc>
          <w:tcPr>
            <w:tcW w:w="733" w:type="dxa"/>
            <w:vMerge w:val="continue"/>
            <w:vAlign w:val="center"/>
          </w:tcPr>
          <w:p w14:paraId="1933522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58B9387">
            <w:pPr>
              <w:jc w:val="center"/>
              <w:rPr>
                <w:rFonts w:hint="eastAsia" w:ascii="宋体" w:hAnsi="宋体" w:eastAsia="宋体" w:cs="宋体"/>
                <w:b w:val="0"/>
                <w:bCs w:val="0"/>
                <w:color w:val="auto"/>
                <w:kern w:val="0"/>
                <w:sz w:val="20"/>
                <w:szCs w:val="20"/>
                <w:highlight w:val="none"/>
                <w:lang w:val="en-US" w:eastAsia="zh-CN" w:bidi="ar-SA"/>
              </w:rPr>
            </w:pPr>
          </w:p>
        </w:tc>
      </w:tr>
      <w:tr w14:paraId="25A6F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AC4ED4D">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556</w:t>
            </w:r>
          </w:p>
        </w:tc>
        <w:tc>
          <w:tcPr>
            <w:tcW w:w="720" w:type="dxa"/>
            <w:vMerge w:val="continue"/>
            <w:vAlign w:val="center"/>
          </w:tcPr>
          <w:p w14:paraId="14FAAB8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E9B37A1">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7F9E3EB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7104A0B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健康资讯</w:t>
            </w:r>
          </w:p>
        </w:tc>
        <w:tc>
          <w:tcPr>
            <w:tcW w:w="4642" w:type="dxa"/>
            <w:vAlign w:val="center"/>
          </w:tcPr>
          <w:p w14:paraId="729B3F9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支持以图文形式展示各类健康知识、科普文章等。</w:t>
            </w:r>
          </w:p>
        </w:tc>
        <w:tc>
          <w:tcPr>
            <w:tcW w:w="733" w:type="dxa"/>
            <w:vMerge w:val="continue"/>
            <w:vAlign w:val="center"/>
          </w:tcPr>
          <w:p w14:paraId="3ACC7A4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97DE132">
            <w:pPr>
              <w:jc w:val="center"/>
              <w:rPr>
                <w:rFonts w:hint="eastAsia" w:ascii="宋体" w:hAnsi="宋体" w:eastAsia="宋体" w:cs="宋体"/>
                <w:b w:val="0"/>
                <w:bCs w:val="0"/>
                <w:color w:val="auto"/>
                <w:kern w:val="0"/>
                <w:sz w:val="20"/>
                <w:szCs w:val="20"/>
                <w:highlight w:val="none"/>
                <w:lang w:val="en-US" w:eastAsia="zh-CN" w:bidi="ar-SA"/>
              </w:rPr>
            </w:pPr>
          </w:p>
        </w:tc>
      </w:tr>
      <w:tr w14:paraId="2F1DB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97708F5">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557</w:t>
            </w:r>
          </w:p>
        </w:tc>
        <w:tc>
          <w:tcPr>
            <w:tcW w:w="720" w:type="dxa"/>
            <w:vMerge w:val="continue"/>
            <w:vAlign w:val="center"/>
          </w:tcPr>
          <w:p w14:paraId="2281A26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4BE93DD">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restart"/>
            <w:vAlign w:val="center"/>
          </w:tcPr>
          <w:p w14:paraId="5C5057A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医生端</w:t>
            </w:r>
          </w:p>
        </w:tc>
        <w:tc>
          <w:tcPr>
            <w:tcW w:w="1117" w:type="dxa"/>
            <w:vAlign w:val="center"/>
          </w:tcPr>
          <w:p w14:paraId="7D7AD06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我的诊室</w:t>
            </w:r>
          </w:p>
        </w:tc>
        <w:tc>
          <w:tcPr>
            <w:tcW w:w="4642" w:type="dxa"/>
            <w:vAlign w:val="center"/>
          </w:tcPr>
          <w:p w14:paraId="6918EB0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待接诊，展示待接诊患者服务列表。问诊中，展示问诊中患者服务列表。</w:t>
            </w:r>
          </w:p>
        </w:tc>
        <w:tc>
          <w:tcPr>
            <w:tcW w:w="733" w:type="dxa"/>
            <w:vMerge w:val="restart"/>
            <w:vAlign w:val="center"/>
          </w:tcPr>
          <w:p w14:paraId="130ED62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181F919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w:t>
            </w:r>
          </w:p>
        </w:tc>
      </w:tr>
      <w:tr w14:paraId="52241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CECBE55">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558</w:t>
            </w:r>
          </w:p>
        </w:tc>
        <w:tc>
          <w:tcPr>
            <w:tcW w:w="720" w:type="dxa"/>
            <w:vMerge w:val="continue"/>
            <w:vAlign w:val="center"/>
          </w:tcPr>
          <w:p w14:paraId="4B5D820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8A4A476">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7D5065C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22DF78A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患者列表</w:t>
            </w:r>
          </w:p>
        </w:tc>
        <w:tc>
          <w:tcPr>
            <w:tcW w:w="4642" w:type="dxa"/>
            <w:vAlign w:val="center"/>
          </w:tcPr>
          <w:p w14:paraId="00B0916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患者列表，支持列表形式查看服务患者信息。患者详细资料，支持查看患者的基本信息、健康档案、历史处方等资料。</w:t>
            </w:r>
          </w:p>
        </w:tc>
        <w:tc>
          <w:tcPr>
            <w:tcW w:w="733" w:type="dxa"/>
            <w:vMerge w:val="continue"/>
            <w:vAlign w:val="center"/>
          </w:tcPr>
          <w:p w14:paraId="3A71A56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5610E6A">
            <w:pPr>
              <w:jc w:val="center"/>
              <w:rPr>
                <w:rFonts w:hint="eastAsia" w:ascii="宋体" w:hAnsi="宋体" w:eastAsia="宋体" w:cs="宋体"/>
                <w:b w:val="0"/>
                <w:bCs w:val="0"/>
                <w:color w:val="auto"/>
                <w:kern w:val="0"/>
                <w:sz w:val="20"/>
                <w:szCs w:val="20"/>
                <w:highlight w:val="none"/>
                <w:lang w:val="en-US" w:eastAsia="zh-CN" w:bidi="ar-SA"/>
              </w:rPr>
            </w:pPr>
          </w:p>
        </w:tc>
      </w:tr>
      <w:tr w14:paraId="16DBA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A0D5183">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559</w:t>
            </w:r>
          </w:p>
        </w:tc>
        <w:tc>
          <w:tcPr>
            <w:tcW w:w="720" w:type="dxa"/>
            <w:vMerge w:val="continue"/>
            <w:vAlign w:val="center"/>
          </w:tcPr>
          <w:p w14:paraId="559EFB4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CFA9006">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71C99FA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2B3538B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IM问诊服务</w:t>
            </w:r>
          </w:p>
        </w:tc>
        <w:tc>
          <w:tcPr>
            <w:tcW w:w="4642" w:type="dxa"/>
            <w:vAlign w:val="center"/>
          </w:tcPr>
          <w:p w14:paraId="465D63E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图文问诊/咨询，医生可以为患者提供图文咨询或问诊服务；视频问诊/咨询，医生可以为患者提供视频咨询或问诊服务；限制挂号，支持限制患者用户在本院预约挂号。</w:t>
            </w:r>
          </w:p>
        </w:tc>
        <w:tc>
          <w:tcPr>
            <w:tcW w:w="733" w:type="dxa"/>
            <w:vMerge w:val="continue"/>
            <w:vAlign w:val="center"/>
          </w:tcPr>
          <w:p w14:paraId="467AE84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10DEBE7">
            <w:pPr>
              <w:jc w:val="center"/>
              <w:rPr>
                <w:rFonts w:hint="eastAsia" w:ascii="宋体" w:hAnsi="宋体" w:eastAsia="宋体" w:cs="宋体"/>
                <w:b w:val="0"/>
                <w:bCs w:val="0"/>
                <w:color w:val="auto"/>
                <w:kern w:val="0"/>
                <w:sz w:val="20"/>
                <w:szCs w:val="20"/>
                <w:highlight w:val="none"/>
                <w:lang w:val="en-US" w:eastAsia="zh-CN" w:bidi="ar-SA"/>
              </w:rPr>
            </w:pPr>
          </w:p>
        </w:tc>
      </w:tr>
      <w:tr w14:paraId="4C6DF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309114B">
            <w:pPr>
              <w:keepNext w:val="0"/>
              <w:keepLines w:val="0"/>
              <w:widowControl/>
              <w:suppressLineNumbers w:val="0"/>
              <w:jc w:val="center"/>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560</w:t>
            </w:r>
          </w:p>
        </w:tc>
        <w:tc>
          <w:tcPr>
            <w:tcW w:w="720" w:type="dxa"/>
            <w:vMerge w:val="restart"/>
            <w:vAlign w:val="center"/>
          </w:tcPr>
          <w:p w14:paraId="557A7665">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数据大屏</w:t>
            </w:r>
          </w:p>
        </w:tc>
        <w:tc>
          <w:tcPr>
            <w:tcW w:w="2958" w:type="dxa"/>
            <w:gridSpan w:val="3"/>
            <w:vMerge w:val="restart"/>
            <w:vAlign w:val="center"/>
          </w:tcPr>
          <w:p w14:paraId="0FAB596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医护调度中心</w:t>
            </w:r>
          </w:p>
        </w:tc>
        <w:tc>
          <w:tcPr>
            <w:tcW w:w="4642" w:type="dxa"/>
            <w:vAlign w:val="center"/>
          </w:tcPr>
          <w:p w14:paraId="37EAABB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展示在线问诊人次、电子处方开立张数，并可按年度进行筛选</w:t>
            </w:r>
          </w:p>
        </w:tc>
        <w:tc>
          <w:tcPr>
            <w:tcW w:w="733" w:type="dxa"/>
            <w:vMerge w:val="restart"/>
            <w:vAlign w:val="center"/>
          </w:tcPr>
          <w:p w14:paraId="5EC540A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5161052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10.5</w:t>
            </w:r>
          </w:p>
        </w:tc>
      </w:tr>
      <w:tr w14:paraId="4001C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4B0D0B6">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561</w:t>
            </w:r>
          </w:p>
        </w:tc>
        <w:tc>
          <w:tcPr>
            <w:tcW w:w="720" w:type="dxa"/>
            <w:vMerge w:val="continue"/>
            <w:vAlign w:val="center"/>
          </w:tcPr>
          <w:p w14:paraId="3ED1289E">
            <w:pPr>
              <w:jc w:val="center"/>
              <w:rPr>
                <w:rFonts w:hint="eastAsia" w:ascii="宋体" w:hAnsi="宋体" w:eastAsia="宋体" w:cs="宋体"/>
                <w:b/>
                <w:color w:val="auto"/>
                <w:sz w:val="24"/>
                <w:szCs w:val="24"/>
                <w:highlight w:val="none"/>
                <w:vertAlign w:val="baseline"/>
                <w:lang w:eastAsia="zh-CN"/>
              </w:rPr>
            </w:pPr>
          </w:p>
        </w:tc>
        <w:tc>
          <w:tcPr>
            <w:tcW w:w="2958" w:type="dxa"/>
            <w:gridSpan w:val="3"/>
            <w:vMerge w:val="continue"/>
            <w:vAlign w:val="center"/>
          </w:tcPr>
          <w:p w14:paraId="3898DA97">
            <w:pPr>
              <w:jc w:val="center"/>
              <w:rPr>
                <w:rFonts w:hint="eastAsia" w:ascii="宋体" w:hAnsi="宋体" w:eastAsia="宋体" w:cs="宋体"/>
                <w:b w:val="0"/>
                <w:bCs w:val="0"/>
                <w:color w:val="auto"/>
                <w:kern w:val="0"/>
                <w:sz w:val="20"/>
                <w:szCs w:val="20"/>
                <w:highlight w:val="none"/>
                <w:lang w:val="en-US" w:eastAsia="zh-CN" w:bidi="ar-SA"/>
              </w:rPr>
            </w:pPr>
          </w:p>
        </w:tc>
        <w:tc>
          <w:tcPr>
            <w:tcW w:w="4642" w:type="dxa"/>
            <w:vAlign w:val="center"/>
          </w:tcPr>
          <w:p w14:paraId="1FB35CD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通过地图展示各地区医护调度服务人次数</w:t>
            </w:r>
          </w:p>
        </w:tc>
        <w:tc>
          <w:tcPr>
            <w:tcW w:w="733" w:type="dxa"/>
            <w:vMerge w:val="continue"/>
            <w:vAlign w:val="center"/>
          </w:tcPr>
          <w:p w14:paraId="5828E1A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1A05C92">
            <w:pPr>
              <w:jc w:val="center"/>
              <w:rPr>
                <w:rFonts w:hint="eastAsia" w:ascii="宋体" w:hAnsi="宋体" w:eastAsia="宋体" w:cs="宋体"/>
                <w:b w:val="0"/>
                <w:bCs w:val="0"/>
                <w:color w:val="auto"/>
                <w:kern w:val="0"/>
                <w:sz w:val="20"/>
                <w:szCs w:val="20"/>
                <w:highlight w:val="none"/>
                <w:lang w:val="en-US" w:eastAsia="zh-CN" w:bidi="ar-SA"/>
              </w:rPr>
            </w:pPr>
          </w:p>
        </w:tc>
      </w:tr>
      <w:tr w14:paraId="06895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647D7D1">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562</w:t>
            </w:r>
          </w:p>
        </w:tc>
        <w:tc>
          <w:tcPr>
            <w:tcW w:w="720" w:type="dxa"/>
            <w:vMerge w:val="continue"/>
            <w:vAlign w:val="center"/>
          </w:tcPr>
          <w:p w14:paraId="5CA3A751">
            <w:pPr>
              <w:jc w:val="center"/>
              <w:rPr>
                <w:rFonts w:hint="eastAsia" w:ascii="宋体" w:hAnsi="宋体" w:eastAsia="宋体" w:cs="宋体"/>
                <w:b/>
                <w:color w:val="auto"/>
                <w:sz w:val="24"/>
                <w:szCs w:val="24"/>
                <w:highlight w:val="none"/>
                <w:vertAlign w:val="baseline"/>
                <w:lang w:eastAsia="zh-CN"/>
              </w:rPr>
            </w:pPr>
          </w:p>
        </w:tc>
        <w:tc>
          <w:tcPr>
            <w:tcW w:w="2958" w:type="dxa"/>
            <w:gridSpan w:val="3"/>
            <w:vMerge w:val="continue"/>
            <w:vAlign w:val="center"/>
          </w:tcPr>
          <w:p w14:paraId="5E9668ED">
            <w:pPr>
              <w:jc w:val="center"/>
              <w:rPr>
                <w:rFonts w:hint="eastAsia" w:ascii="宋体" w:hAnsi="宋体" w:eastAsia="宋体" w:cs="宋体"/>
                <w:b w:val="0"/>
                <w:bCs w:val="0"/>
                <w:color w:val="auto"/>
                <w:kern w:val="0"/>
                <w:sz w:val="20"/>
                <w:szCs w:val="20"/>
                <w:highlight w:val="none"/>
                <w:lang w:val="en-US" w:eastAsia="zh-CN" w:bidi="ar-SA"/>
              </w:rPr>
            </w:pPr>
          </w:p>
        </w:tc>
        <w:tc>
          <w:tcPr>
            <w:tcW w:w="4642" w:type="dxa"/>
            <w:vAlign w:val="center"/>
          </w:tcPr>
          <w:p w14:paraId="7E71C6E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展示区域内注册机构数，并按二级及以上医院、基层医疗机构进行对比</w:t>
            </w:r>
          </w:p>
        </w:tc>
        <w:tc>
          <w:tcPr>
            <w:tcW w:w="733" w:type="dxa"/>
            <w:vMerge w:val="continue"/>
            <w:vAlign w:val="center"/>
          </w:tcPr>
          <w:p w14:paraId="0E526CE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6F8C096">
            <w:pPr>
              <w:jc w:val="center"/>
              <w:rPr>
                <w:rFonts w:hint="eastAsia" w:ascii="宋体" w:hAnsi="宋体" w:eastAsia="宋体" w:cs="宋体"/>
                <w:b w:val="0"/>
                <w:bCs w:val="0"/>
                <w:color w:val="auto"/>
                <w:kern w:val="0"/>
                <w:sz w:val="20"/>
                <w:szCs w:val="20"/>
                <w:highlight w:val="none"/>
                <w:lang w:val="en-US" w:eastAsia="zh-CN" w:bidi="ar-SA"/>
              </w:rPr>
            </w:pPr>
          </w:p>
        </w:tc>
      </w:tr>
      <w:tr w14:paraId="5F2EB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A2251B5">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563</w:t>
            </w:r>
          </w:p>
        </w:tc>
        <w:tc>
          <w:tcPr>
            <w:tcW w:w="720" w:type="dxa"/>
            <w:vMerge w:val="continue"/>
            <w:vAlign w:val="center"/>
          </w:tcPr>
          <w:p w14:paraId="5518F0D4">
            <w:pPr>
              <w:jc w:val="center"/>
              <w:rPr>
                <w:rFonts w:hint="eastAsia" w:ascii="宋体" w:hAnsi="宋体" w:eastAsia="宋体" w:cs="宋体"/>
                <w:b/>
                <w:color w:val="auto"/>
                <w:sz w:val="24"/>
                <w:szCs w:val="24"/>
                <w:highlight w:val="none"/>
                <w:vertAlign w:val="baseline"/>
                <w:lang w:eastAsia="zh-CN"/>
              </w:rPr>
            </w:pPr>
          </w:p>
        </w:tc>
        <w:tc>
          <w:tcPr>
            <w:tcW w:w="2958" w:type="dxa"/>
            <w:gridSpan w:val="3"/>
            <w:vMerge w:val="continue"/>
            <w:vAlign w:val="center"/>
          </w:tcPr>
          <w:p w14:paraId="1A4EDC64">
            <w:pPr>
              <w:jc w:val="center"/>
              <w:rPr>
                <w:rFonts w:hint="eastAsia" w:ascii="宋体" w:hAnsi="宋体" w:eastAsia="宋体" w:cs="宋体"/>
                <w:b w:val="0"/>
                <w:bCs w:val="0"/>
                <w:color w:val="auto"/>
                <w:kern w:val="0"/>
                <w:sz w:val="20"/>
                <w:szCs w:val="20"/>
                <w:highlight w:val="none"/>
                <w:lang w:val="en-US" w:eastAsia="zh-CN" w:bidi="ar-SA"/>
              </w:rPr>
            </w:pPr>
          </w:p>
        </w:tc>
        <w:tc>
          <w:tcPr>
            <w:tcW w:w="4642" w:type="dxa"/>
            <w:vAlign w:val="center"/>
          </w:tcPr>
          <w:p w14:paraId="73E83A5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展示注册医生和护士的总数</w:t>
            </w:r>
          </w:p>
        </w:tc>
        <w:tc>
          <w:tcPr>
            <w:tcW w:w="733" w:type="dxa"/>
            <w:vMerge w:val="continue"/>
            <w:vAlign w:val="center"/>
          </w:tcPr>
          <w:p w14:paraId="4A01F28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7D2D6E0">
            <w:pPr>
              <w:jc w:val="center"/>
              <w:rPr>
                <w:rFonts w:hint="eastAsia" w:ascii="宋体" w:hAnsi="宋体" w:eastAsia="宋体" w:cs="宋体"/>
                <w:b w:val="0"/>
                <w:bCs w:val="0"/>
                <w:color w:val="auto"/>
                <w:kern w:val="0"/>
                <w:sz w:val="20"/>
                <w:szCs w:val="20"/>
                <w:highlight w:val="none"/>
                <w:lang w:val="en-US" w:eastAsia="zh-CN" w:bidi="ar-SA"/>
              </w:rPr>
            </w:pPr>
          </w:p>
        </w:tc>
      </w:tr>
      <w:tr w14:paraId="7F3C2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80C1346">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564</w:t>
            </w:r>
          </w:p>
        </w:tc>
        <w:tc>
          <w:tcPr>
            <w:tcW w:w="720" w:type="dxa"/>
            <w:vMerge w:val="continue"/>
            <w:vAlign w:val="center"/>
          </w:tcPr>
          <w:p w14:paraId="0B2C457F">
            <w:pPr>
              <w:jc w:val="center"/>
              <w:rPr>
                <w:rFonts w:hint="eastAsia" w:ascii="宋体" w:hAnsi="宋体" w:eastAsia="宋体" w:cs="宋体"/>
                <w:b/>
                <w:color w:val="auto"/>
                <w:sz w:val="24"/>
                <w:szCs w:val="24"/>
                <w:highlight w:val="none"/>
                <w:vertAlign w:val="baseline"/>
                <w:lang w:eastAsia="zh-CN"/>
              </w:rPr>
            </w:pPr>
          </w:p>
        </w:tc>
        <w:tc>
          <w:tcPr>
            <w:tcW w:w="2958" w:type="dxa"/>
            <w:gridSpan w:val="3"/>
            <w:vMerge w:val="continue"/>
            <w:vAlign w:val="center"/>
          </w:tcPr>
          <w:p w14:paraId="24A4008B">
            <w:pPr>
              <w:jc w:val="center"/>
              <w:rPr>
                <w:rFonts w:hint="eastAsia" w:ascii="宋体" w:hAnsi="宋体" w:eastAsia="宋体" w:cs="宋体"/>
                <w:b w:val="0"/>
                <w:bCs w:val="0"/>
                <w:color w:val="auto"/>
                <w:kern w:val="0"/>
                <w:sz w:val="20"/>
                <w:szCs w:val="20"/>
                <w:highlight w:val="none"/>
                <w:lang w:val="en-US" w:eastAsia="zh-CN" w:bidi="ar-SA"/>
              </w:rPr>
            </w:pPr>
          </w:p>
        </w:tc>
        <w:tc>
          <w:tcPr>
            <w:tcW w:w="4642" w:type="dxa"/>
            <w:vAlign w:val="center"/>
          </w:tcPr>
          <w:p w14:paraId="3B62AD0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对建档率和档案规范管理率进行质控</w:t>
            </w:r>
          </w:p>
        </w:tc>
        <w:tc>
          <w:tcPr>
            <w:tcW w:w="733" w:type="dxa"/>
            <w:vMerge w:val="continue"/>
            <w:vAlign w:val="center"/>
          </w:tcPr>
          <w:p w14:paraId="6A3F737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9BF81D4">
            <w:pPr>
              <w:jc w:val="center"/>
              <w:rPr>
                <w:rFonts w:hint="eastAsia" w:ascii="宋体" w:hAnsi="宋体" w:eastAsia="宋体" w:cs="宋体"/>
                <w:b w:val="0"/>
                <w:bCs w:val="0"/>
                <w:color w:val="auto"/>
                <w:kern w:val="0"/>
                <w:sz w:val="20"/>
                <w:szCs w:val="20"/>
                <w:highlight w:val="none"/>
                <w:lang w:val="en-US" w:eastAsia="zh-CN" w:bidi="ar-SA"/>
              </w:rPr>
            </w:pPr>
          </w:p>
        </w:tc>
      </w:tr>
      <w:tr w14:paraId="4920F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B49843D">
            <w:pPr>
              <w:keepNext w:val="0"/>
              <w:keepLines w:val="0"/>
              <w:widowControl/>
              <w:suppressLineNumbers w:val="0"/>
              <w:jc w:val="center"/>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565</w:t>
            </w:r>
          </w:p>
        </w:tc>
        <w:tc>
          <w:tcPr>
            <w:tcW w:w="720" w:type="dxa"/>
            <w:vMerge w:val="continue"/>
            <w:vAlign w:val="center"/>
          </w:tcPr>
          <w:p w14:paraId="3DD9A7A2">
            <w:pPr>
              <w:jc w:val="center"/>
              <w:rPr>
                <w:rFonts w:hint="eastAsia" w:ascii="宋体" w:hAnsi="宋体" w:eastAsia="宋体" w:cs="宋体"/>
                <w:b/>
                <w:color w:val="auto"/>
                <w:sz w:val="24"/>
                <w:szCs w:val="24"/>
                <w:highlight w:val="none"/>
                <w:vertAlign w:val="baseline"/>
                <w:lang w:eastAsia="zh-CN"/>
              </w:rPr>
            </w:pPr>
          </w:p>
        </w:tc>
        <w:tc>
          <w:tcPr>
            <w:tcW w:w="2958" w:type="dxa"/>
            <w:gridSpan w:val="3"/>
            <w:vMerge w:val="continue"/>
            <w:vAlign w:val="center"/>
          </w:tcPr>
          <w:p w14:paraId="764DA777">
            <w:pPr>
              <w:jc w:val="center"/>
              <w:rPr>
                <w:rFonts w:hint="eastAsia" w:ascii="宋体" w:hAnsi="宋体" w:eastAsia="宋体" w:cs="宋体"/>
                <w:b w:val="0"/>
                <w:bCs w:val="0"/>
                <w:color w:val="auto"/>
                <w:kern w:val="0"/>
                <w:sz w:val="20"/>
                <w:szCs w:val="20"/>
                <w:highlight w:val="none"/>
                <w:lang w:val="en-US" w:eastAsia="zh-CN" w:bidi="ar-SA"/>
              </w:rPr>
            </w:pPr>
          </w:p>
        </w:tc>
        <w:tc>
          <w:tcPr>
            <w:tcW w:w="4642" w:type="dxa"/>
            <w:vAlign w:val="center"/>
          </w:tcPr>
          <w:p w14:paraId="5C2C9CA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对“四送”服务量类别和趋势进行分析</w:t>
            </w:r>
          </w:p>
        </w:tc>
        <w:tc>
          <w:tcPr>
            <w:tcW w:w="733" w:type="dxa"/>
            <w:vMerge w:val="continue"/>
            <w:vAlign w:val="center"/>
          </w:tcPr>
          <w:p w14:paraId="5AB38CF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853B5D9">
            <w:pPr>
              <w:jc w:val="center"/>
              <w:rPr>
                <w:rFonts w:hint="eastAsia" w:ascii="宋体" w:hAnsi="宋体" w:eastAsia="宋体" w:cs="宋体"/>
                <w:b w:val="0"/>
                <w:bCs w:val="0"/>
                <w:color w:val="auto"/>
                <w:kern w:val="0"/>
                <w:sz w:val="20"/>
                <w:szCs w:val="20"/>
                <w:highlight w:val="none"/>
                <w:lang w:val="en-US" w:eastAsia="zh-CN" w:bidi="ar-SA"/>
              </w:rPr>
            </w:pPr>
          </w:p>
        </w:tc>
      </w:tr>
      <w:tr w14:paraId="30B52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AE035A3">
            <w:pPr>
              <w:keepNext w:val="0"/>
              <w:keepLines w:val="0"/>
              <w:widowControl/>
              <w:suppressLineNumbers w:val="0"/>
              <w:jc w:val="center"/>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566</w:t>
            </w:r>
          </w:p>
        </w:tc>
        <w:tc>
          <w:tcPr>
            <w:tcW w:w="720" w:type="dxa"/>
            <w:vMerge w:val="continue"/>
            <w:vAlign w:val="center"/>
          </w:tcPr>
          <w:p w14:paraId="642970BA">
            <w:pPr>
              <w:jc w:val="center"/>
              <w:rPr>
                <w:rFonts w:hint="eastAsia" w:ascii="宋体" w:hAnsi="宋体" w:eastAsia="宋体" w:cs="宋体"/>
                <w:b/>
                <w:color w:val="auto"/>
                <w:sz w:val="24"/>
                <w:szCs w:val="24"/>
                <w:highlight w:val="none"/>
                <w:vertAlign w:val="baseline"/>
                <w:lang w:eastAsia="zh-CN"/>
              </w:rPr>
            </w:pPr>
          </w:p>
        </w:tc>
        <w:tc>
          <w:tcPr>
            <w:tcW w:w="2958" w:type="dxa"/>
            <w:gridSpan w:val="3"/>
            <w:vMerge w:val="continue"/>
            <w:vAlign w:val="center"/>
          </w:tcPr>
          <w:p w14:paraId="5ED1B52E">
            <w:pPr>
              <w:jc w:val="center"/>
              <w:rPr>
                <w:rFonts w:hint="eastAsia" w:ascii="宋体" w:hAnsi="宋体" w:eastAsia="宋体" w:cs="宋体"/>
                <w:b w:val="0"/>
                <w:bCs w:val="0"/>
                <w:color w:val="auto"/>
                <w:kern w:val="0"/>
                <w:sz w:val="20"/>
                <w:szCs w:val="20"/>
                <w:highlight w:val="none"/>
                <w:lang w:val="en-US" w:eastAsia="zh-CN" w:bidi="ar-SA"/>
              </w:rPr>
            </w:pPr>
          </w:p>
        </w:tc>
        <w:tc>
          <w:tcPr>
            <w:tcW w:w="4642" w:type="dxa"/>
            <w:vAlign w:val="center"/>
          </w:tcPr>
          <w:p w14:paraId="35FE077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按居家医疗服务、护理上门服务、健康促进服务、药学上门分析、家庭医生服务进行分类对比展示</w:t>
            </w:r>
          </w:p>
        </w:tc>
        <w:tc>
          <w:tcPr>
            <w:tcW w:w="733" w:type="dxa"/>
            <w:vMerge w:val="continue"/>
            <w:vAlign w:val="center"/>
          </w:tcPr>
          <w:p w14:paraId="5731165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6E5A5A5">
            <w:pPr>
              <w:jc w:val="center"/>
              <w:rPr>
                <w:rFonts w:hint="eastAsia" w:ascii="宋体" w:hAnsi="宋体" w:eastAsia="宋体" w:cs="宋体"/>
                <w:b w:val="0"/>
                <w:bCs w:val="0"/>
                <w:color w:val="auto"/>
                <w:kern w:val="0"/>
                <w:sz w:val="20"/>
                <w:szCs w:val="20"/>
                <w:highlight w:val="none"/>
                <w:lang w:val="en-US" w:eastAsia="zh-CN" w:bidi="ar-SA"/>
              </w:rPr>
            </w:pPr>
          </w:p>
        </w:tc>
      </w:tr>
      <w:tr w14:paraId="703F6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4859FF3">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567</w:t>
            </w:r>
          </w:p>
        </w:tc>
        <w:tc>
          <w:tcPr>
            <w:tcW w:w="720" w:type="dxa"/>
            <w:vMerge w:val="continue"/>
            <w:vAlign w:val="center"/>
          </w:tcPr>
          <w:p w14:paraId="5253815D">
            <w:pPr>
              <w:jc w:val="center"/>
              <w:rPr>
                <w:rFonts w:hint="eastAsia" w:ascii="宋体" w:hAnsi="宋体" w:eastAsia="宋体" w:cs="宋体"/>
                <w:b/>
                <w:color w:val="auto"/>
                <w:sz w:val="24"/>
                <w:szCs w:val="24"/>
                <w:highlight w:val="none"/>
                <w:vertAlign w:val="baseline"/>
                <w:lang w:eastAsia="zh-CN"/>
              </w:rPr>
            </w:pPr>
          </w:p>
        </w:tc>
        <w:tc>
          <w:tcPr>
            <w:tcW w:w="2958" w:type="dxa"/>
            <w:gridSpan w:val="3"/>
            <w:vAlign w:val="center"/>
          </w:tcPr>
          <w:p w14:paraId="355F78B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家医服务中心</w:t>
            </w:r>
          </w:p>
        </w:tc>
        <w:tc>
          <w:tcPr>
            <w:tcW w:w="4642" w:type="dxa"/>
            <w:vAlign w:val="center"/>
          </w:tcPr>
          <w:p w14:paraId="79D3A51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展示区域内辖区人数、已签约人数、未签约人数，团队数、人群分布情况、履约情况、未完成任务提醒等功能</w:t>
            </w:r>
          </w:p>
        </w:tc>
        <w:tc>
          <w:tcPr>
            <w:tcW w:w="733" w:type="dxa"/>
            <w:vAlign w:val="center"/>
          </w:tcPr>
          <w:p w14:paraId="78F0095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2C439EF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bl>
    <w:p w14:paraId="04F64D1D">
      <w:pPr>
        <w:pStyle w:val="2"/>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both"/>
        <w:textAlignment w:val="auto"/>
        <w:rPr>
          <w:rFonts w:hint="eastAsia" w:ascii="宋体" w:hAnsi="宋体" w:eastAsia="宋体" w:cs="宋体"/>
          <w:highlight w:val="yellow"/>
          <w:lang w:val="en-US" w:eastAsia="zh-CN"/>
        </w:rPr>
      </w:pPr>
      <w:r>
        <w:rPr>
          <w:rFonts w:hint="eastAsia" w:ascii="宋体" w:hAnsi="宋体" w:eastAsia="宋体" w:cs="宋体"/>
          <w:highlight w:val="yellow"/>
          <w:lang w:val="en-US" w:eastAsia="zh-CN"/>
        </w:rPr>
        <w:t>（二）-9：药物配送中心</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875"/>
        <w:gridCol w:w="966"/>
        <w:gridCol w:w="5759"/>
        <w:gridCol w:w="733"/>
        <w:gridCol w:w="714"/>
      </w:tblGrid>
      <w:tr w14:paraId="077B8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01AEA82">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序号</w:t>
            </w:r>
          </w:p>
        </w:tc>
        <w:tc>
          <w:tcPr>
            <w:tcW w:w="720" w:type="dxa"/>
            <w:vAlign w:val="center"/>
          </w:tcPr>
          <w:p w14:paraId="27E24053">
            <w:pPr>
              <w:widowControl/>
              <w:jc w:val="center"/>
              <w:rPr>
                <w:rFonts w:hint="eastAsia" w:ascii="宋体" w:hAnsi="宋体" w:cs="宋体"/>
                <w:b/>
                <w:bCs/>
                <w:color w:val="auto"/>
                <w:kern w:val="0"/>
                <w:sz w:val="20"/>
                <w:szCs w:val="20"/>
                <w:highlight w:val="none"/>
                <w:lang w:eastAsia="zh-CN"/>
              </w:rPr>
            </w:pPr>
            <w:r>
              <w:rPr>
                <w:rFonts w:hint="eastAsia" w:ascii="宋体" w:hAnsi="宋体" w:cs="宋体"/>
                <w:b/>
                <w:bCs/>
                <w:color w:val="auto"/>
                <w:kern w:val="0"/>
                <w:sz w:val="20"/>
                <w:szCs w:val="20"/>
                <w:highlight w:val="none"/>
                <w:lang w:eastAsia="zh-CN"/>
              </w:rPr>
              <w:t>系统名称</w:t>
            </w:r>
          </w:p>
        </w:tc>
        <w:tc>
          <w:tcPr>
            <w:tcW w:w="875" w:type="dxa"/>
            <w:vAlign w:val="center"/>
          </w:tcPr>
          <w:p w14:paraId="2D032616">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一级子系统</w:t>
            </w:r>
          </w:p>
        </w:tc>
        <w:tc>
          <w:tcPr>
            <w:tcW w:w="966" w:type="dxa"/>
            <w:vAlign w:val="center"/>
          </w:tcPr>
          <w:p w14:paraId="44F52D95">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二级子系统</w:t>
            </w:r>
          </w:p>
        </w:tc>
        <w:tc>
          <w:tcPr>
            <w:tcW w:w="5759" w:type="dxa"/>
            <w:vAlign w:val="center"/>
          </w:tcPr>
          <w:p w14:paraId="4CEA65DD">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 xml:space="preserve"> </w:t>
            </w: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55896F69">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单位</w:t>
            </w:r>
          </w:p>
        </w:tc>
        <w:tc>
          <w:tcPr>
            <w:tcW w:w="714" w:type="dxa"/>
            <w:vAlign w:val="center"/>
          </w:tcPr>
          <w:p w14:paraId="4EB39FE1">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数量</w:t>
            </w:r>
          </w:p>
        </w:tc>
      </w:tr>
      <w:tr w14:paraId="772DF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B31BF5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568</w:t>
            </w:r>
          </w:p>
        </w:tc>
        <w:tc>
          <w:tcPr>
            <w:tcW w:w="720" w:type="dxa"/>
            <w:vMerge w:val="restart"/>
            <w:vAlign w:val="center"/>
          </w:tcPr>
          <w:p w14:paraId="0DC2EC24">
            <w:pPr>
              <w:widowControl/>
              <w:jc w:val="center"/>
              <w:rPr>
                <w:rFonts w:hint="eastAsia" w:ascii="宋体" w:hAnsi="宋体" w:cs="宋体"/>
                <w:b/>
                <w:bCs/>
                <w:color w:val="auto"/>
                <w:kern w:val="0"/>
                <w:sz w:val="20"/>
                <w:szCs w:val="20"/>
                <w:highlight w:val="none"/>
                <w:lang w:eastAsia="zh-CN"/>
              </w:rPr>
            </w:pPr>
            <w:r>
              <w:rPr>
                <w:rFonts w:hint="eastAsia" w:ascii="宋体" w:hAnsi="宋体" w:cs="宋体"/>
                <w:b w:val="0"/>
                <w:bCs w:val="0"/>
                <w:color w:val="auto"/>
                <w:kern w:val="0"/>
                <w:sz w:val="20"/>
                <w:szCs w:val="20"/>
                <w:highlight w:val="none"/>
                <w:lang w:eastAsia="zh-CN"/>
              </w:rPr>
              <w:t>药物配送中心系统</w:t>
            </w:r>
          </w:p>
        </w:tc>
        <w:tc>
          <w:tcPr>
            <w:tcW w:w="875" w:type="dxa"/>
            <w:vAlign w:val="center"/>
          </w:tcPr>
          <w:p w14:paraId="7C525D5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患者端</w:t>
            </w:r>
          </w:p>
        </w:tc>
        <w:tc>
          <w:tcPr>
            <w:tcW w:w="966" w:type="dxa"/>
            <w:vAlign w:val="center"/>
          </w:tcPr>
          <w:p w14:paraId="3F0CD3E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线上处方</w:t>
            </w:r>
          </w:p>
        </w:tc>
        <w:tc>
          <w:tcPr>
            <w:tcW w:w="5759" w:type="dxa"/>
            <w:vAlign w:val="center"/>
          </w:tcPr>
          <w:p w14:paraId="472643E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提供线上处方功能，包括线上处方支付、线下自取、邮寄申请、药品配送、物流信息查询等</w:t>
            </w:r>
          </w:p>
        </w:tc>
        <w:tc>
          <w:tcPr>
            <w:tcW w:w="733" w:type="dxa"/>
            <w:vAlign w:val="center"/>
          </w:tcPr>
          <w:p w14:paraId="3FC989E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1EFE6A7D">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1B31A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A34AA7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569</w:t>
            </w:r>
          </w:p>
        </w:tc>
        <w:tc>
          <w:tcPr>
            <w:tcW w:w="720" w:type="dxa"/>
            <w:vMerge w:val="continue"/>
            <w:vAlign w:val="center"/>
          </w:tcPr>
          <w:p w14:paraId="456C89B7">
            <w:pPr>
              <w:widowControl/>
              <w:jc w:val="center"/>
              <w:rPr>
                <w:rFonts w:hint="eastAsia" w:ascii="宋体" w:hAnsi="宋体" w:cs="宋体"/>
                <w:b/>
                <w:bCs/>
                <w:color w:val="auto"/>
                <w:kern w:val="0"/>
                <w:sz w:val="20"/>
                <w:szCs w:val="20"/>
                <w:highlight w:val="none"/>
                <w:lang w:eastAsia="zh-CN"/>
              </w:rPr>
            </w:pPr>
          </w:p>
        </w:tc>
        <w:tc>
          <w:tcPr>
            <w:tcW w:w="875" w:type="dxa"/>
            <w:vMerge w:val="restart"/>
            <w:vAlign w:val="center"/>
          </w:tcPr>
          <w:p w14:paraId="30A37CF8">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val="0"/>
                <w:bCs w:val="0"/>
                <w:color w:val="auto"/>
                <w:kern w:val="0"/>
                <w:sz w:val="20"/>
                <w:szCs w:val="20"/>
                <w:highlight w:val="none"/>
                <w:lang w:val="en-US" w:eastAsia="zh-CN"/>
              </w:rPr>
              <w:t>药师审方端</w:t>
            </w:r>
          </w:p>
        </w:tc>
        <w:tc>
          <w:tcPr>
            <w:tcW w:w="966" w:type="dxa"/>
            <w:vAlign w:val="center"/>
          </w:tcPr>
          <w:p w14:paraId="199BAEA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线上处方</w:t>
            </w:r>
          </w:p>
        </w:tc>
        <w:tc>
          <w:tcPr>
            <w:tcW w:w="5759" w:type="dxa"/>
            <w:vAlign w:val="center"/>
          </w:tcPr>
          <w:p w14:paraId="7D65A97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提供医生在线开具网络处方功能，包括常用药箱、合理用药对接、药师审方查询、处方修改、处方双签等，支持对接CA签名</w:t>
            </w:r>
          </w:p>
        </w:tc>
        <w:tc>
          <w:tcPr>
            <w:tcW w:w="733" w:type="dxa"/>
            <w:vAlign w:val="center"/>
          </w:tcPr>
          <w:p w14:paraId="1F840E5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78803F1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28166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A2527E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570</w:t>
            </w:r>
          </w:p>
        </w:tc>
        <w:tc>
          <w:tcPr>
            <w:tcW w:w="720" w:type="dxa"/>
            <w:vMerge w:val="continue"/>
            <w:vAlign w:val="center"/>
          </w:tcPr>
          <w:p w14:paraId="62BACAF1">
            <w:pPr>
              <w:widowControl/>
              <w:jc w:val="center"/>
              <w:rPr>
                <w:rFonts w:hint="eastAsia" w:ascii="宋体" w:hAnsi="宋体" w:cs="宋体"/>
                <w:b/>
                <w:bCs/>
                <w:color w:val="auto"/>
                <w:kern w:val="0"/>
                <w:sz w:val="20"/>
                <w:szCs w:val="20"/>
                <w:highlight w:val="none"/>
                <w:lang w:eastAsia="zh-CN"/>
              </w:rPr>
            </w:pPr>
          </w:p>
        </w:tc>
        <w:tc>
          <w:tcPr>
            <w:tcW w:w="875" w:type="dxa"/>
            <w:vMerge w:val="continue"/>
            <w:vAlign w:val="center"/>
          </w:tcPr>
          <w:p w14:paraId="5CA569A0">
            <w:pPr>
              <w:widowControl/>
              <w:jc w:val="center"/>
              <w:rPr>
                <w:rFonts w:hint="eastAsia" w:ascii="宋体" w:hAnsi="宋体" w:cs="宋体"/>
                <w:b/>
                <w:bCs/>
                <w:color w:val="auto"/>
                <w:kern w:val="0"/>
                <w:sz w:val="20"/>
                <w:szCs w:val="20"/>
                <w:highlight w:val="none"/>
                <w:lang w:val="en-US" w:eastAsia="zh-CN"/>
              </w:rPr>
            </w:pPr>
          </w:p>
        </w:tc>
        <w:tc>
          <w:tcPr>
            <w:tcW w:w="966" w:type="dxa"/>
            <w:vAlign w:val="center"/>
          </w:tcPr>
          <w:p w14:paraId="7D598BF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审核处方</w:t>
            </w:r>
          </w:p>
        </w:tc>
        <w:tc>
          <w:tcPr>
            <w:tcW w:w="5759" w:type="dxa"/>
            <w:vAlign w:val="center"/>
          </w:tcPr>
          <w:p w14:paraId="298766B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药师可以对处方进行审核，支持“审核通过”、“审核不通过”两种审核结果，不通过药师可以填写理由。</w:t>
            </w:r>
          </w:p>
        </w:tc>
        <w:tc>
          <w:tcPr>
            <w:tcW w:w="733" w:type="dxa"/>
            <w:vAlign w:val="center"/>
          </w:tcPr>
          <w:p w14:paraId="3236A5B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0814F5D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D6F0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A8B465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571</w:t>
            </w:r>
          </w:p>
        </w:tc>
        <w:tc>
          <w:tcPr>
            <w:tcW w:w="720" w:type="dxa"/>
            <w:vMerge w:val="continue"/>
            <w:vAlign w:val="center"/>
          </w:tcPr>
          <w:p w14:paraId="0764EFFA">
            <w:pPr>
              <w:widowControl/>
              <w:jc w:val="center"/>
              <w:rPr>
                <w:rFonts w:hint="eastAsia" w:ascii="宋体" w:hAnsi="宋体" w:cs="宋体"/>
                <w:b/>
                <w:bCs/>
                <w:color w:val="auto"/>
                <w:kern w:val="0"/>
                <w:sz w:val="20"/>
                <w:szCs w:val="20"/>
                <w:highlight w:val="none"/>
                <w:lang w:eastAsia="zh-CN"/>
              </w:rPr>
            </w:pPr>
          </w:p>
        </w:tc>
        <w:tc>
          <w:tcPr>
            <w:tcW w:w="875" w:type="dxa"/>
            <w:vMerge w:val="continue"/>
            <w:vAlign w:val="center"/>
          </w:tcPr>
          <w:p w14:paraId="10EDFD31">
            <w:pPr>
              <w:widowControl/>
              <w:jc w:val="center"/>
              <w:rPr>
                <w:rFonts w:hint="eastAsia" w:ascii="宋体" w:hAnsi="宋体" w:cs="宋体"/>
                <w:b/>
                <w:bCs/>
                <w:color w:val="auto"/>
                <w:kern w:val="0"/>
                <w:sz w:val="20"/>
                <w:szCs w:val="20"/>
                <w:highlight w:val="none"/>
                <w:lang w:val="en-US" w:eastAsia="zh-CN"/>
              </w:rPr>
            </w:pPr>
          </w:p>
        </w:tc>
        <w:tc>
          <w:tcPr>
            <w:tcW w:w="966" w:type="dxa"/>
            <w:vAlign w:val="center"/>
          </w:tcPr>
          <w:p w14:paraId="5038ABB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处方查询</w:t>
            </w:r>
          </w:p>
        </w:tc>
        <w:tc>
          <w:tcPr>
            <w:tcW w:w="5759" w:type="dxa"/>
            <w:vAlign w:val="center"/>
          </w:tcPr>
          <w:p w14:paraId="76CB740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支持查询处方并查看详情。</w:t>
            </w:r>
          </w:p>
        </w:tc>
        <w:tc>
          <w:tcPr>
            <w:tcW w:w="733" w:type="dxa"/>
            <w:vAlign w:val="center"/>
          </w:tcPr>
          <w:p w14:paraId="7BA1FE1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6A8E9E3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076D2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BAEC1A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572</w:t>
            </w:r>
          </w:p>
        </w:tc>
        <w:tc>
          <w:tcPr>
            <w:tcW w:w="720" w:type="dxa"/>
            <w:vMerge w:val="continue"/>
            <w:vAlign w:val="center"/>
          </w:tcPr>
          <w:p w14:paraId="15F5B44E">
            <w:pPr>
              <w:widowControl/>
              <w:jc w:val="center"/>
              <w:rPr>
                <w:rFonts w:hint="eastAsia" w:ascii="宋体" w:hAnsi="宋体" w:cs="宋体"/>
                <w:b/>
                <w:bCs/>
                <w:color w:val="auto"/>
                <w:kern w:val="0"/>
                <w:sz w:val="20"/>
                <w:szCs w:val="20"/>
                <w:highlight w:val="none"/>
                <w:lang w:eastAsia="zh-CN"/>
              </w:rPr>
            </w:pPr>
          </w:p>
        </w:tc>
        <w:tc>
          <w:tcPr>
            <w:tcW w:w="875" w:type="dxa"/>
            <w:vMerge w:val="continue"/>
            <w:vAlign w:val="center"/>
          </w:tcPr>
          <w:p w14:paraId="501BE409">
            <w:pPr>
              <w:widowControl/>
              <w:jc w:val="center"/>
              <w:rPr>
                <w:rFonts w:hint="eastAsia" w:ascii="宋体" w:hAnsi="宋体" w:cs="宋体"/>
                <w:b/>
                <w:bCs/>
                <w:color w:val="auto"/>
                <w:kern w:val="0"/>
                <w:sz w:val="20"/>
                <w:szCs w:val="20"/>
                <w:highlight w:val="none"/>
                <w:lang w:val="en-US" w:eastAsia="zh-CN"/>
              </w:rPr>
            </w:pPr>
          </w:p>
        </w:tc>
        <w:tc>
          <w:tcPr>
            <w:tcW w:w="966" w:type="dxa"/>
            <w:vAlign w:val="center"/>
          </w:tcPr>
          <w:p w14:paraId="16F90D1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订单查询</w:t>
            </w:r>
          </w:p>
        </w:tc>
        <w:tc>
          <w:tcPr>
            <w:tcW w:w="5759" w:type="dxa"/>
            <w:vAlign w:val="center"/>
          </w:tcPr>
          <w:p w14:paraId="34BCDF3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支持订单查询并查看详情。</w:t>
            </w:r>
          </w:p>
        </w:tc>
        <w:tc>
          <w:tcPr>
            <w:tcW w:w="733" w:type="dxa"/>
            <w:vAlign w:val="center"/>
          </w:tcPr>
          <w:p w14:paraId="43588A4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58382E1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28527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CCC0EA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573</w:t>
            </w:r>
          </w:p>
        </w:tc>
        <w:tc>
          <w:tcPr>
            <w:tcW w:w="720" w:type="dxa"/>
            <w:vMerge w:val="continue"/>
            <w:vAlign w:val="center"/>
          </w:tcPr>
          <w:p w14:paraId="664F86C0">
            <w:pPr>
              <w:widowControl/>
              <w:jc w:val="center"/>
              <w:rPr>
                <w:rFonts w:hint="eastAsia" w:ascii="宋体" w:hAnsi="宋体" w:cs="宋体"/>
                <w:b/>
                <w:bCs/>
                <w:color w:val="auto"/>
                <w:kern w:val="0"/>
                <w:sz w:val="20"/>
                <w:szCs w:val="20"/>
                <w:highlight w:val="none"/>
                <w:lang w:eastAsia="zh-CN"/>
              </w:rPr>
            </w:pPr>
          </w:p>
        </w:tc>
        <w:tc>
          <w:tcPr>
            <w:tcW w:w="875" w:type="dxa"/>
            <w:vMerge w:val="restart"/>
            <w:vAlign w:val="center"/>
          </w:tcPr>
          <w:p w14:paraId="0ECFF35A">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val="0"/>
                <w:bCs w:val="0"/>
                <w:color w:val="auto"/>
                <w:kern w:val="0"/>
                <w:sz w:val="20"/>
                <w:szCs w:val="20"/>
                <w:highlight w:val="none"/>
                <w:lang w:val="en-US" w:eastAsia="zh-CN"/>
              </w:rPr>
              <w:t>药房发药端</w:t>
            </w:r>
          </w:p>
        </w:tc>
        <w:tc>
          <w:tcPr>
            <w:tcW w:w="966" w:type="dxa"/>
            <w:vAlign w:val="center"/>
          </w:tcPr>
          <w:p w14:paraId="3DAA6AA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自提订单管理</w:t>
            </w:r>
          </w:p>
        </w:tc>
        <w:tc>
          <w:tcPr>
            <w:tcW w:w="5759" w:type="dxa"/>
            <w:vAlign w:val="center"/>
          </w:tcPr>
          <w:p w14:paraId="1F097A9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订单查询，支持查询自提患者订单，配货单，支持配货单打印，取药，支持取药状态调整，确认取药，完成购药订单。</w:t>
            </w:r>
          </w:p>
        </w:tc>
        <w:tc>
          <w:tcPr>
            <w:tcW w:w="733" w:type="dxa"/>
            <w:vAlign w:val="center"/>
          </w:tcPr>
          <w:p w14:paraId="31FBD7B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496DC39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6A479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52B547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574</w:t>
            </w:r>
          </w:p>
        </w:tc>
        <w:tc>
          <w:tcPr>
            <w:tcW w:w="720" w:type="dxa"/>
            <w:vMerge w:val="continue"/>
            <w:vAlign w:val="center"/>
          </w:tcPr>
          <w:p w14:paraId="14083B9A">
            <w:pPr>
              <w:widowControl/>
              <w:jc w:val="center"/>
              <w:rPr>
                <w:rFonts w:hint="eastAsia" w:ascii="宋体" w:hAnsi="宋体" w:cs="宋体"/>
                <w:b/>
                <w:bCs/>
                <w:color w:val="auto"/>
                <w:kern w:val="0"/>
                <w:sz w:val="20"/>
                <w:szCs w:val="20"/>
                <w:highlight w:val="none"/>
                <w:lang w:eastAsia="zh-CN"/>
              </w:rPr>
            </w:pPr>
          </w:p>
        </w:tc>
        <w:tc>
          <w:tcPr>
            <w:tcW w:w="875" w:type="dxa"/>
            <w:vMerge w:val="continue"/>
            <w:vAlign w:val="center"/>
          </w:tcPr>
          <w:p w14:paraId="77A332F1">
            <w:pPr>
              <w:widowControl/>
              <w:jc w:val="center"/>
              <w:rPr>
                <w:rFonts w:hint="eastAsia" w:ascii="宋体" w:hAnsi="宋体" w:cs="宋体"/>
                <w:b/>
                <w:bCs/>
                <w:color w:val="auto"/>
                <w:kern w:val="0"/>
                <w:sz w:val="20"/>
                <w:szCs w:val="20"/>
                <w:highlight w:val="none"/>
                <w:lang w:val="en-US" w:eastAsia="zh-CN"/>
              </w:rPr>
            </w:pPr>
          </w:p>
        </w:tc>
        <w:tc>
          <w:tcPr>
            <w:tcW w:w="966" w:type="dxa"/>
            <w:vAlign w:val="center"/>
          </w:tcPr>
          <w:p w14:paraId="0BF613D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配送订单管理</w:t>
            </w:r>
          </w:p>
        </w:tc>
        <w:tc>
          <w:tcPr>
            <w:tcW w:w="5759" w:type="dxa"/>
            <w:vAlign w:val="center"/>
          </w:tcPr>
          <w:p w14:paraId="21F0236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订单查询，支持查询待配送订单，配送单，支持订单配送单打印，签收，支持进行签收/拒签操作。</w:t>
            </w:r>
          </w:p>
        </w:tc>
        <w:tc>
          <w:tcPr>
            <w:tcW w:w="733" w:type="dxa"/>
            <w:vAlign w:val="center"/>
          </w:tcPr>
          <w:p w14:paraId="01BE946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6A27206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68241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D1E8A2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575</w:t>
            </w:r>
          </w:p>
        </w:tc>
        <w:tc>
          <w:tcPr>
            <w:tcW w:w="720" w:type="dxa"/>
            <w:vMerge w:val="continue"/>
            <w:vAlign w:val="center"/>
          </w:tcPr>
          <w:p w14:paraId="54CA7CAF">
            <w:pPr>
              <w:widowControl/>
              <w:jc w:val="center"/>
              <w:rPr>
                <w:rFonts w:hint="eastAsia" w:ascii="宋体" w:hAnsi="宋体" w:cs="宋体"/>
                <w:b/>
                <w:bCs/>
                <w:color w:val="auto"/>
                <w:kern w:val="0"/>
                <w:sz w:val="20"/>
                <w:szCs w:val="20"/>
                <w:highlight w:val="none"/>
                <w:lang w:eastAsia="zh-CN"/>
              </w:rPr>
            </w:pPr>
          </w:p>
        </w:tc>
        <w:tc>
          <w:tcPr>
            <w:tcW w:w="875" w:type="dxa"/>
            <w:vMerge w:val="continue"/>
            <w:vAlign w:val="center"/>
          </w:tcPr>
          <w:p w14:paraId="3AC33C2E">
            <w:pPr>
              <w:widowControl/>
              <w:jc w:val="center"/>
              <w:rPr>
                <w:rFonts w:hint="eastAsia" w:ascii="宋体" w:hAnsi="宋体" w:cs="宋体"/>
                <w:b/>
                <w:bCs/>
                <w:color w:val="auto"/>
                <w:kern w:val="0"/>
                <w:sz w:val="20"/>
                <w:szCs w:val="20"/>
                <w:highlight w:val="none"/>
                <w:lang w:val="en-US" w:eastAsia="zh-CN"/>
              </w:rPr>
            </w:pPr>
          </w:p>
        </w:tc>
        <w:tc>
          <w:tcPr>
            <w:tcW w:w="966" w:type="dxa"/>
            <w:vAlign w:val="center"/>
          </w:tcPr>
          <w:p w14:paraId="3B6356C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商品维护管理</w:t>
            </w:r>
          </w:p>
        </w:tc>
        <w:tc>
          <w:tcPr>
            <w:tcW w:w="5759" w:type="dxa"/>
            <w:vAlign w:val="center"/>
          </w:tcPr>
          <w:p w14:paraId="4244504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支持西药/中草药药品信息维护，包括修改药品编码、价格等。</w:t>
            </w:r>
          </w:p>
        </w:tc>
        <w:tc>
          <w:tcPr>
            <w:tcW w:w="733" w:type="dxa"/>
            <w:vAlign w:val="center"/>
          </w:tcPr>
          <w:p w14:paraId="2212E13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5CA60D1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4C752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8513BA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576</w:t>
            </w:r>
          </w:p>
        </w:tc>
        <w:tc>
          <w:tcPr>
            <w:tcW w:w="720" w:type="dxa"/>
            <w:vMerge w:val="continue"/>
            <w:vAlign w:val="center"/>
          </w:tcPr>
          <w:p w14:paraId="67B2F10B">
            <w:pPr>
              <w:widowControl/>
              <w:jc w:val="center"/>
              <w:rPr>
                <w:rFonts w:hint="eastAsia" w:ascii="宋体" w:hAnsi="宋体" w:cs="宋体"/>
                <w:b/>
                <w:bCs/>
                <w:color w:val="auto"/>
                <w:kern w:val="0"/>
                <w:sz w:val="20"/>
                <w:szCs w:val="20"/>
                <w:highlight w:val="none"/>
                <w:lang w:eastAsia="zh-CN"/>
              </w:rPr>
            </w:pPr>
          </w:p>
        </w:tc>
        <w:tc>
          <w:tcPr>
            <w:tcW w:w="875" w:type="dxa"/>
            <w:vMerge w:val="continue"/>
            <w:vAlign w:val="center"/>
          </w:tcPr>
          <w:p w14:paraId="3EC50DDC">
            <w:pPr>
              <w:widowControl/>
              <w:jc w:val="center"/>
              <w:rPr>
                <w:rFonts w:hint="eastAsia" w:ascii="宋体" w:hAnsi="宋体" w:cs="宋体"/>
                <w:b/>
                <w:bCs/>
                <w:color w:val="auto"/>
                <w:kern w:val="0"/>
                <w:sz w:val="20"/>
                <w:szCs w:val="20"/>
                <w:highlight w:val="none"/>
                <w:lang w:val="en-US" w:eastAsia="zh-CN"/>
              </w:rPr>
            </w:pPr>
          </w:p>
        </w:tc>
        <w:tc>
          <w:tcPr>
            <w:tcW w:w="966" w:type="dxa"/>
            <w:vAlign w:val="center"/>
          </w:tcPr>
          <w:p w14:paraId="6C2AAD1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快递对接</w:t>
            </w:r>
          </w:p>
        </w:tc>
        <w:tc>
          <w:tcPr>
            <w:tcW w:w="5759" w:type="dxa"/>
            <w:vAlign w:val="center"/>
          </w:tcPr>
          <w:p w14:paraId="67BBA2B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支持根据快递公司及快递单生效时间进行查询快递单。</w:t>
            </w:r>
          </w:p>
        </w:tc>
        <w:tc>
          <w:tcPr>
            <w:tcW w:w="733" w:type="dxa"/>
            <w:vAlign w:val="center"/>
          </w:tcPr>
          <w:p w14:paraId="10F153E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2AEE353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0F760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6E4002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577</w:t>
            </w:r>
          </w:p>
        </w:tc>
        <w:tc>
          <w:tcPr>
            <w:tcW w:w="720" w:type="dxa"/>
            <w:vMerge w:val="continue"/>
            <w:vAlign w:val="center"/>
          </w:tcPr>
          <w:p w14:paraId="36AC5DA0">
            <w:pPr>
              <w:widowControl/>
              <w:jc w:val="center"/>
              <w:rPr>
                <w:rFonts w:hint="eastAsia" w:ascii="宋体" w:hAnsi="宋体" w:cs="宋体"/>
                <w:b/>
                <w:bCs/>
                <w:color w:val="auto"/>
                <w:kern w:val="0"/>
                <w:sz w:val="20"/>
                <w:szCs w:val="20"/>
                <w:highlight w:val="none"/>
                <w:lang w:eastAsia="zh-CN"/>
              </w:rPr>
            </w:pPr>
          </w:p>
        </w:tc>
        <w:tc>
          <w:tcPr>
            <w:tcW w:w="875" w:type="dxa"/>
            <w:vMerge w:val="continue"/>
            <w:vAlign w:val="center"/>
          </w:tcPr>
          <w:p w14:paraId="7E440BF9">
            <w:pPr>
              <w:widowControl/>
              <w:jc w:val="center"/>
              <w:rPr>
                <w:rFonts w:hint="eastAsia" w:ascii="宋体" w:hAnsi="宋体" w:cs="宋体"/>
                <w:b/>
                <w:bCs/>
                <w:color w:val="auto"/>
                <w:kern w:val="0"/>
                <w:sz w:val="20"/>
                <w:szCs w:val="20"/>
                <w:highlight w:val="none"/>
                <w:lang w:val="en-US" w:eastAsia="zh-CN"/>
              </w:rPr>
            </w:pPr>
          </w:p>
        </w:tc>
        <w:tc>
          <w:tcPr>
            <w:tcW w:w="966" w:type="dxa"/>
            <w:vAlign w:val="center"/>
          </w:tcPr>
          <w:p w14:paraId="2CFAB69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订单查询</w:t>
            </w:r>
          </w:p>
        </w:tc>
        <w:tc>
          <w:tcPr>
            <w:tcW w:w="5759" w:type="dxa"/>
            <w:vAlign w:val="center"/>
          </w:tcPr>
          <w:p w14:paraId="098F2D4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支持查看订单详情、处方详情、打印配送单及查看物流信息。</w:t>
            </w:r>
          </w:p>
        </w:tc>
        <w:tc>
          <w:tcPr>
            <w:tcW w:w="733" w:type="dxa"/>
            <w:vAlign w:val="center"/>
          </w:tcPr>
          <w:p w14:paraId="41CF5DE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76DF5C1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72F7C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EFC323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578</w:t>
            </w:r>
          </w:p>
        </w:tc>
        <w:tc>
          <w:tcPr>
            <w:tcW w:w="720" w:type="dxa"/>
            <w:vMerge w:val="continue"/>
            <w:vAlign w:val="center"/>
          </w:tcPr>
          <w:p w14:paraId="55A90AAA">
            <w:pPr>
              <w:widowControl/>
              <w:jc w:val="center"/>
              <w:rPr>
                <w:rFonts w:hint="eastAsia" w:ascii="宋体" w:hAnsi="宋体" w:cs="宋体"/>
                <w:b/>
                <w:bCs/>
                <w:color w:val="auto"/>
                <w:kern w:val="0"/>
                <w:sz w:val="20"/>
                <w:szCs w:val="20"/>
                <w:highlight w:val="none"/>
                <w:lang w:eastAsia="zh-CN"/>
              </w:rPr>
            </w:pPr>
          </w:p>
        </w:tc>
        <w:tc>
          <w:tcPr>
            <w:tcW w:w="875" w:type="dxa"/>
            <w:vMerge w:val="continue"/>
            <w:vAlign w:val="center"/>
          </w:tcPr>
          <w:p w14:paraId="60C773C3">
            <w:pPr>
              <w:widowControl/>
              <w:jc w:val="center"/>
              <w:rPr>
                <w:rFonts w:hint="eastAsia" w:ascii="宋体" w:hAnsi="宋体" w:cs="宋体"/>
                <w:b/>
                <w:bCs/>
                <w:color w:val="auto"/>
                <w:kern w:val="0"/>
                <w:sz w:val="20"/>
                <w:szCs w:val="20"/>
                <w:highlight w:val="none"/>
                <w:lang w:val="en-US" w:eastAsia="zh-CN"/>
              </w:rPr>
            </w:pPr>
          </w:p>
        </w:tc>
        <w:tc>
          <w:tcPr>
            <w:tcW w:w="966" w:type="dxa"/>
            <w:vAlign w:val="center"/>
          </w:tcPr>
          <w:p w14:paraId="6D56B3D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退款管理</w:t>
            </w:r>
          </w:p>
        </w:tc>
        <w:tc>
          <w:tcPr>
            <w:tcW w:w="5759" w:type="dxa"/>
            <w:vAlign w:val="center"/>
          </w:tcPr>
          <w:p w14:paraId="5E62A54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支持按照订单申请退款。</w:t>
            </w:r>
          </w:p>
        </w:tc>
        <w:tc>
          <w:tcPr>
            <w:tcW w:w="733" w:type="dxa"/>
            <w:vAlign w:val="center"/>
          </w:tcPr>
          <w:p w14:paraId="29420E5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61820BD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617E5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F7FA0A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579</w:t>
            </w:r>
          </w:p>
        </w:tc>
        <w:tc>
          <w:tcPr>
            <w:tcW w:w="720" w:type="dxa"/>
            <w:vMerge w:val="continue"/>
            <w:vAlign w:val="center"/>
          </w:tcPr>
          <w:p w14:paraId="40EF8094">
            <w:pPr>
              <w:widowControl/>
              <w:jc w:val="center"/>
              <w:rPr>
                <w:rFonts w:hint="eastAsia" w:ascii="宋体" w:hAnsi="宋体" w:cs="宋体"/>
                <w:b/>
                <w:bCs/>
                <w:color w:val="auto"/>
                <w:kern w:val="0"/>
                <w:sz w:val="20"/>
                <w:szCs w:val="20"/>
                <w:highlight w:val="none"/>
                <w:lang w:eastAsia="zh-CN"/>
              </w:rPr>
            </w:pPr>
          </w:p>
        </w:tc>
        <w:tc>
          <w:tcPr>
            <w:tcW w:w="875" w:type="dxa"/>
            <w:vMerge w:val="continue"/>
            <w:vAlign w:val="center"/>
          </w:tcPr>
          <w:p w14:paraId="1C8FD606">
            <w:pPr>
              <w:widowControl/>
              <w:jc w:val="center"/>
              <w:rPr>
                <w:rFonts w:hint="eastAsia" w:ascii="宋体" w:hAnsi="宋体" w:cs="宋体"/>
                <w:b/>
                <w:bCs/>
                <w:color w:val="auto"/>
                <w:kern w:val="0"/>
                <w:sz w:val="20"/>
                <w:szCs w:val="20"/>
                <w:highlight w:val="none"/>
                <w:lang w:val="en-US" w:eastAsia="zh-CN"/>
              </w:rPr>
            </w:pPr>
          </w:p>
        </w:tc>
        <w:tc>
          <w:tcPr>
            <w:tcW w:w="966" w:type="dxa"/>
            <w:vAlign w:val="center"/>
          </w:tcPr>
          <w:p w14:paraId="30EBCA3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统计分析</w:t>
            </w:r>
          </w:p>
        </w:tc>
        <w:tc>
          <w:tcPr>
            <w:tcW w:w="5759" w:type="dxa"/>
            <w:vAlign w:val="center"/>
          </w:tcPr>
          <w:p w14:paraId="24B0509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支持药品销售数量、销售金额统计。</w:t>
            </w:r>
          </w:p>
        </w:tc>
        <w:tc>
          <w:tcPr>
            <w:tcW w:w="733" w:type="dxa"/>
            <w:vAlign w:val="center"/>
          </w:tcPr>
          <w:p w14:paraId="57AD1EA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1D77043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18704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3" w:type="dxa"/>
            <w:vAlign w:val="center"/>
          </w:tcPr>
          <w:p w14:paraId="18EC2B1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580</w:t>
            </w:r>
          </w:p>
        </w:tc>
        <w:tc>
          <w:tcPr>
            <w:tcW w:w="720" w:type="dxa"/>
            <w:vMerge w:val="continue"/>
            <w:vAlign w:val="center"/>
          </w:tcPr>
          <w:p w14:paraId="54E17BD5">
            <w:pPr>
              <w:widowControl/>
              <w:jc w:val="center"/>
              <w:rPr>
                <w:rFonts w:hint="eastAsia" w:ascii="宋体" w:hAnsi="宋体" w:cs="宋体"/>
                <w:b/>
                <w:bCs/>
                <w:color w:val="auto"/>
                <w:kern w:val="0"/>
                <w:sz w:val="20"/>
                <w:szCs w:val="20"/>
                <w:highlight w:val="none"/>
                <w:lang w:eastAsia="zh-CN"/>
              </w:rPr>
            </w:pPr>
          </w:p>
        </w:tc>
        <w:tc>
          <w:tcPr>
            <w:tcW w:w="875" w:type="dxa"/>
            <w:vMerge w:val="continue"/>
            <w:vAlign w:val="center"/>
          </w:tcPr>
          <w:p w14:paraId="3B3B1942">
            <w:pPr>
              <w:widowControl/>
              <w:jc w:val="center"/>
              <w:rPr>
                <w:rFonts w:hint="eastAsia" w:ascii="宋体" w:hAnsi="宋体" w:cs="宋体"/>
                <w:b/>
                <w:bCs/>
                <w:color w:val="auto"/>
                <w:kern w:val="0"/>
                <w:sz w:val="20"/>
                <w:szCs w:val="20"/>
                <w:highlight w:val="none"/>
                <w:lang w:val="en-US" w:eastAsia="zh-CN"/>
              </w:rPr>
            </w:pPr>
          </w:p>
        </w:tc>
        <w:tc>
          <w:tcPr>
            <w:tcW w:w="966" w:type="dxa"/>
            <w:vAlign w:val="center"/>
          </w:tcPr>
          <w:p w14:paraId="7EA5CD9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药师工作量</w:t>
            </w:r>
          </w:p>
        </w:tc>
        <w:tc>
          <w:tcPr>
            <w:tcW w:w="5759" w:type="dxa"/>
            <w:vAlign w:val="center"/>
          </w:tcPr>
          <w:p w14:paraId="3C309F9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支持根据操作时间统计药剂师工作量。</w:t>
            </w:r>
          </w:p>
        </w:tc>
        <w:tc>
          <w:tcPr>
            <w:tcW w:w="733" w:type="dxa"/>
            <w:vAlign w:val="center"/>
          </w:tcPr>
          <w:p w14:paraId="1FD3724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72513A2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06E1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0A3D55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581</w:t>
            </w:r>
          </w:p>
        </w:tc>
        <w:tc>
          <w:tcPr>
            <w:tcW w:w="720" w:type="dxa"/>
            <w:vMerge w:val="restart"/>
            <w:vAlign w:val="center"/>
          </w:tcPr>
          <w:p w14:paraId="520FE5A6">
            <w:pPr>
              <w:widowControl/>
              <w:jc w:val="center"/>
              <w:rPr>
                <w:rFonts w:hint="eastAsia" w:ascii="宋体" w:hAnsi="宋体" w:cs="宋体"/>
                <w:b/>
                <w:bCs/>
                <w:color w:val="auto"/>
                <w:kern w:val="0"/>
                <w:sz w:val="20"/>
                <w:szCs w:val="20"/>
                <w:highlight w:val="none"/>
                <w:lang w:eastAsia="zh-CN"/>
              </w:rPr>
            </w:pPr>
            <w:r>
              <w:rPr>
                <w:rFonts w:hint="eastAsia" w:ascii="宋体" w:hAnsi="宋体" w:eastAsia="宋体" w:cs="宋体"/>
                <w:b w:val="0"/>
                <w:bCs w:val="0"/>
                <w:color w:val="auto"/>
                <w:kern w:val="0"/>
                <w:sz w:val="20"/>
                <w:szCs w:val="20"/>
                <w:highlight w:val="none"/>
                <w:lang w:val="en-US" w:eastAsia="zh-CN" w:bidi="ar-SA"/>
              </w:rPr>
              <w:t>数据大屏</w:t>
            </w:r>
          </w:p>
        </w:tc>
        <w:tc>
          <w:tcPr>
            <w:tcW w:w="1841" w:type="dxa"/>
            <w:gridSpan w:val="2"/>
            <w:vMerge w:val="restart"/>
            <w:vAlign w:val="center"/>
          </w:tcPr>
          <w:p w14:paraId="1559E8F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药物配供中心</w:t>
            </w:r>
          </w:p>
        </w:tc>
        <w:tc>
          <w:tcPr>
            <w:tcW w:w="5759" w:type="dxa"/>
            <w:vAlign w:val="center"/>
          </w:tcPr>
          <w:p w14:paraId="3BE6695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展示区域内处方流转总量、药物配供总次数、配供总金等信息，并可以按年度进行筛选</w:t>
            </w:r>
          </w:p>
        </w:tc>
        <w:tc>
          <w:tcPr>
            <w:tcW w:w="733" w:type="dxa"/>
            <w:vMerge w:val="restart"/>
            <w:vAlign w:val="center"/>
          </w:tcPr>
          <w:p w14:paraId="536C8A4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54F0BF8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w:t>
            </w:r>
          </w:p>
        </w:tc>
      </w:tr>
      <w:tr w14:paraId="69E32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8E58A5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582</w:t>
            </w:r>
          </w:p>
        </w:tc>
        <w:tc>
          <w:tcPr>
            <w:tcW w:w="720" w:type="dxa"/>
            <w:vMerge w:val="continue"/>
            <w:vAlign w:val="center"/>
          </w:tcPr>
          <w:p w14:paraId="13A4E922">
            <w:pPr>
              <w:widowControl/>
              <w:jc w:val="center"/>
              <w:rPr>
                <w:rFonts w:hint="eastAsia" w:ascii="宋体" w:hAnsi="宋体" w:cs="宋体"/>
                <w:b/>
                <w:bCs/>
                <w:color w:val="auto"/>
                <w:kern w:val="0"/>
                <w:sz w:val="20"/>
                <w:szCs w:val="20"/>
                <w:highlight w:val="none"/>
                <w:lang w:eastAsia="zh-CN"/>
              </w:rPr>
            </w:pPr>
          </w:p>
        </w:tc>
        <w:tc>
          <w:tcPr>
            <w:tcW w:w="1841" w:type="dxa"/>
            <w:gridSpan w:val="2"/>
            <w:vMerge w:val="continue"/>
            <w:vAlign w:val="center"/>
          </w:tcPr>
          <w:p w14:paraId="372162B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5759" w:type="dxa"/>
            <w:vAlign w:val="center"/>
          </w:tcPr>
          <w:p w14:paraId="7A6D6D4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通过地图展示各区域药物配供次数；对医护调度中心可配送药品数量进行展示，并按药品类别进行对比</w:t>
            </w:r>
          </w:p>
        </w:tc>
        <w:tc>
          <w:tcPr>
            <w:tcW w:w="733" w:type="dxa"/>
            <w:vMerge w:val="continue"/>
            <w:vAlign w:val="center"/>
          </w:tcPr>
          <w:p w14:paraId="35A7F9A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3261C8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r>
      <w:tr w14:paraId="3BDF1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9FC24F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583</w:t>
            </w:r>
          </w:p>
        </w:tc>
        <w:tc>
          <w:tcPr>
            <w:tcW w:w="720" w:type="dxa"/>
            <w:vMerge w:val="continue"/>
            <w:vAlign w:val="center"/>
          </w:tcPr>
          <w:p w14:paraId="4E18CE9C">
            <w:pPr>
              <w:widowControl/>
              <w:jc w:val="center"/>
              <w:rPr>
                <w:rFonts w:hint="eastAsia" w:ascii="宋体" w:hAnsi="宋体" w:cs="宋体"/>
                <w:b/>
                <w:bCs/>
                <w:color w:val="auto"/>
                <w:kern w:val="0"/>
                <w:sz w:val="20"/>
                <w:szCs w:val="20"/>
                <w:highlight w:val="none"/>
                <w:lang w:eastAsia="zh-CN"/>
              </w:rPr>
            </w:pPr>
          </w:p>
        </w:tc>
        <w:tc>
          <w:tcPr>
            <w:tcW w:w="1841" w:type="dxa"/>
            <w:gridSpan w:val="2"/>
            <w:vMerge w:val="continue"/>
            <w:vAlign w:val="center"/>
          </w:tcPr>
          <w:p w14:paraId="17BD29C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5759" w:type="dxa"/>
            <w:vAlign w:val="center"/>
          </w:tcPr>
          <w:p w14:paraId="7400C94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按配供机构对配供次数进行对比，以及药物配供次数的月度趋势</w:t>
            </w:r>
          </w:p>
        </w:tc>
        <w:tc>
          <w:tcPr>
            <w:tcW w:w="733" w:type="dxa"/>
            <w:vMerge w:val="continue"/>
            <w:vAlign w:val="center"/>
          </w:tcPr>
          <w:p w14:paraId="57AAAAE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597400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r>
      <w:tr w14:paraId="2DF74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F3D79A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584</w:t>
            </w:r>
          </w:p>
        </w:tc>
        <w:tc>
          <w:tcPr>
            <w:tcW w:w="720" w:type="dxa"/>
            <w:vMerge w:val="continue"/>
            <w:vAlign w:val="center"/>
          </w:tcPr>
          <w:p w14:paraId="748C55FC">
            <w:pPr>
              <w:widowControl/>
              <w:jc w:val="center"/>
              <w:rPr>
                <w:rFonts w:hint="eastAsia" w:ascii="宋体" w:hAnsi="宋体" w:cs="宋体"/>
                <w:b/>
                <w:bCs/>
                <w:color w:val="auto"/>
                <w:kern w:val="0"/>
                <w:sz w:val="20"/>
                <w:szCs w:val="20"/>
                <w:highlight w:val="none"/>
                <w:lang w:eastAsia="zh-CN"/>
              </w:rPr>
            </w:pPr>
          </w:p>
        </w:tc>
        <w:tc>
          <w:tcPr>
            <w:tcW w:w="1841" w:type="dxa"/>
            <w:gridSpan w:val="2"/>
            <w:vMerge w:val="continue"/>
            <w:vAlign w:val="center"/>
          </w:tcPr>
          <w:p w14:paraId="7E951D3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5759" w:type="dxa"/>
            <w:vAlign w:val="center"/>
          </w:tcPr>
          <w:p w14:paraId="316FFBA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统计分析配供药品top5，以及配供药品的类别</w:t>
            </w:r>
          </w:p>
        </w:tc>
        <w:tc>
          <w:tcPr>
            <w:tcW w:w="733" w:type="dxa"/>
            <w:vMerge w:val="continue"/>
            <w:vAlign w:val="center"/>
          </w:tcPr>
          <w:p w14:paraId="6CE96BF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9BBB0F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r>
      <w:tr w14:paraId="19905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73B63F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585</w:t>
            </w:r>
          </w:p>
        </w:tc>
        <w:tc>
          <w:tcPr>
            <w:tcW w:w="720" w:type="dxa"/>
            <w:vMerge w:val="continue"/>
            <w:vAlign w:val="center"/>
          </w:tcPr>
          <w:p w14:paraId="11F3F26F">
            <w:pPr>
              <w:widowControl/>
              <w:jc w:val="center"/>
              <w:rPr>
                <w:rFonts w:hint="eastAsia" w:ascii="宋体" w:hAnsi="宋体" w:cs="宋体"/>
                <w:b/>
                <w:bCs/>
                <w:color w:val="auto"/>
                <w:kern w:val="0"/>
                <w:sz w:val="20"/>
                <w:szCs w:val="20"/>
                <w:highlight w:val="none"/>
                <w:lang w:eastAsia="zh-CN"/>
              </w:rPr>
            </w:pPr>
          </w:p>
        </w:tc>
        <w:tc>
          <w:tcPr>
            <w:tcW w:w="1841" w:type="dxa"/>
            <w:gridSpan w:val="2"/>
            <w:vMerge w:val="continue"/>
            <w:vAlign w:val="center"/>
          </w:tcPr>
          <w:p w14:paraId="6DC9A1F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5759" w:type="dxa"/>
            <w:vAlign w:val="center"/>
          </w:tcPr>
          <w:p w14:paraId="4239F56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对配送等待和实际配送的平均时长进行质控</w:t>
            </w:r>
          </w:p>
        </w:tc>
        <w:tc>
          <w:tcPr>
            <w:tcW w:w="733" w:type="dxa"/>
            <w:vMerge w:val="continue"/>
            <w:vAlign w:val="center"/>
          </w:tcPr>
          <w:p w14:paraId="7331D50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A4F7AE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r>
    </w:tbl>
    <w:p w14:paraId="559943F9">
      <w:pPr>
        <w:pStyle w:val="2"/>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both"/>
        <w:textAlignment w:val="auto"/>
        <w:rPr>
          <w:rFonts w:hint="eastAsia" w:ascii="宋体" w:hAnsi="宋体" w:eastAsia="宋体" w:cs="宋体"/>
          <w:highlight w:val="yellow"/>
          <w:lang w:val="en-US" w:eastAsia="zh-CN"/>
        </w:rPr>
      </w:pPr>
      <w:r>
        <w:rPr>
          <w:rFonts w:hint="eastAsia" w:ascii="宋体" w:hAnsi="宋体" w:eastAsia="宋体" w:cs="宋体"/>
          <w:highlight w:val="yellow"/>
          <w:lang w:val="en-US" w:eastAsia="zh-CN"/>
        </w:rPr>
        <w:t>（二）-10：消毒供应中心</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875"/>
        <w:gridCol w:w="2058"/>
        <w:gridCol w:w="4667"/>
        <w:gridCol w:w="733"/>
        <w:gridCol w:w="714"/>
      </w:tblGrid>
      <w:tr w14:paraId="419AB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E559A62">
            <w:pPr>
              <w:widowControl/>
              <w:jc w:val="center"/>
              <w:rPr>
                <w:rFonts w:hint="eastAsia" w:ascii="仿宋" w:hAnsi="仿宋" w:eastAsia="仿宋" w:cs="宋体"/>
                <w:color w:val="auto"/>
                <w:sz w:val="22"/>
                <w:szCs w:val="22"/>
                <w:highlight w:val="none"/>
                <w:lang w:val="en-US" w:eastAsia="zh-CN"/>
              </w:rPr>
            </w:pPr>
            <w:r>
              <w:rPr>
                <w:rFonts w:hint="eastAsia" w:ascii="宋体" w:hAnsi="宋体" w:cs="宋体"/>
                <w:b/>
                <w:bCs/>
                <w:color w:val="auto"/>
                <w:kern w:val="0"/>
                <w:sz w:val="20"/>
                <w:szCs w:val="20"/>
                <w:highlight w:val="none"/>
              </w:rPr>
              <w:t>序号</w:t>
            </w:r>
          </w:p>
        </w:tc>
        <w:tc>
          <w:tcPr>
            <w:tcW w:w="3653" w:type="dxa"/>
            <w:gridSpan w:val="3"/>
            <w:vAlign w:val="center"/>
          </w:tcPr>
          <w:p w14:paraId="6254B66C">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建设内容</w:t>
            </w:r>
          </w:p>
        </w:tc>
        <w:tc>
          <w:tcPr>
            <w:tcW w:w="4667" w:type="dxa"/>
            <w:vAlign w:val="center"/>
          </w:tcPr>
          <w:p w14:paraId="08DCB66C">
            <w:pPr>
              <w:widowControl/>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7D0EF5A2">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单位</w:t>
            </w:r>
          </w:p>
        </w:tc>
        <w:tc>
          <w:tcPr>
            <w:tcW w:w="714" w:type="dxa"/>
            <w:vAlign w:val="center"/>
          </w:tcPr>
          <w:p w14:paraId="35CE42E6">
            <w:pPr>
              <w:spacing w:line="240" w:lineRule="exact"/>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Cs w:val="21"/>
                <w:highlight w:val="none"/>
                <w:lang w:eastAsia="zh-CN"/>
              </w:rPr>
              <w:t>数量</w:t>
            </w:r>
          </w:p>
        </w:tc>
      </w:tr>
      <w:tr w14:paraId="0761E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F5D277B">
            <w:pPr>
              <w:keepNext w:val="0"/>
              <w:keepLines w:val="0"/>
              <w:widowControl/>
              <w:suppressLineNumbers w:val="0"/>
              <w:jc w:val="center"/>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586</w:t>
            </w:r>
          </w:p>
        </w:tc>
        <w:tc>
          <w:tcPr>
            <w:tcW w:w="720" w:type="dxa"/>
            <w:vMerge w:val="restart"/>
            <w:vAlign w:val="center"/>
          </w:tcPr>
          <w:p w14:paraId="22959C50">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消毒供应中心追溯管理系统</w:t>
            </w:r>
          </w:p>
        </w:tc>
        <w:tc>
          <w:tcPr>
            <w:tcW w:w="875" w:type="dxa"/>
            <w:vMerge w:val="restart"/>
            <w:vAlign w:val="center"/>
          </w:tcPr>
          <w:p w14:paraId="25ED403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清洗、消毒、包装、灭菌过程记录</w:t>
            </w:r>
          </w:p>
        </w:tc>
        <w:tc>
          <w:tcPr>
            <w:tcW w:w="2058" w:type="dxa"/>
            <w:vAlign w:val="center"/>
          </w:tcPr>
          <w:p w14:paraId="6393BE8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清洗过程记录功能</w:t>
            </w:r>
          </w:p>
        </w:tc>
        <w:tc>
          <w:tcPr>
            <w:tcW w:w="4667" w:type="dxa"/>
            <w:vAlign w:val="center"/>
          </w:tcPr>
          <w:p w14:paraId="2DBFB7A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记录物品的清洗全过程，包括清洗机和批次、清洗篮网标牌绑定方式、人员和时间。清洗开始、结束时间不能对接时需手动输入，每一清洗审核批次必须和机器清洗码一致</w:t>
            </w:r>
          </w:p>
        </w:tc>
        <w:tc>
          <w:tcPr>
            <w:tcW w:w="733" w:type="dxa"/>
            <w:vMerge w:val="restart"/>
            <w:vAlign w:val="center"/>
          </w:tcPr>
          <w:p w14:paraId="084BE7B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0BA3903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8</w:t>
            </w:r>
          </w:p>
        </w:tc>
      </w:tr>
      <w:tr w14:paraId="3C58E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928B621">
            <w:pPr>
              <w:keepNext w:val="0"/>
              <w:keepLines w:val="0"/>
              <w:widowControl/>
              <w:suppressLineNumbers w:val="0"/>
              <w:jc w:val="center"/>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587</w:t>
            </w:r>
          </w:p>
        </w:tc>
        <w:tc>
          <w:tcPr>
            <w:tcW w:w="720" w:type="dxa"/>
            <w:vMerge w:val="continue"/>
            <w:vAlign w:val="center"/>
          </w:tcPr>
          <w:p w14:paraId="3E67043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5E7BE0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B37A81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消毒过程记录功能</w:t>
            </w:r>
          </w:p>
        </w:tc>
        <w:tc>
          <w:tcPr>
            <w:tcW w:w="4667" w:type="dxa"/>
            <w:vAlign w:val="center"/>
          </w:tcPr>
          <w:p w14:paraId="4634A3F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消毒物品的发放，可记录发放人员、领用科室信息，发放时系统可自动校对数量和有效日期。</w:t>
            </w:r>
          </w:p>
        </w:tc>
        <w:tc>
          <w:tcPr>
            <w:tcW w:w="733" w:type="dxa"/>
            <w:vMerge w:val="continue"/>
            <w:vAlign w:val="center"/>
          </w:tcPr>
          <w:p w14:paraId="1957174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414A1FC">
            <w:pPr>
              <w:jc w:val="center"/>
              <w:rPr>
                <w:rFonts w:hint="eastAsia" w:ascii="宋体" w:hAnsi="宋体" w:eastAsia="宋体" w:cs="宋体"/>
                <w:b w:val="0"/>
                <w:bCs w:val="0"/>
                <w:color w:val="auto"/>
                <w:kern w:val="0"/>
                <w:sz w:val="20"/>
                <w:szCs w:val="20"/>
                <w:highlight w:val="none"/>
                <w:lang w:val="en-US" w:eastAsia="zh-CN" w:bidi="ar-SA"/>
              </w:rPr>
            </w:pPr>
          </w:p>
        </w:tc>
      </w:tr>
      <w:tr w14:paraId="2AF28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FEBA7D9">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588</w:t>
            </w:r>
          </w:p>
        </w:tc>
        <w:tc>
          <w:tcPr>
            <w:tcW w:w="720" w:type="dxa"/>
            <w:vMerge w:val="continue"/>
            <w:vAlign w:val="center"/>
          </w:tcPr>
          <w:p w14:paraId="2451BA5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50AF0A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D066C8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包装过程记录功能</w:t>
            </w:r>
          </w:p>
        </w:tc>
        <w:tc>
          <w:tcPr>
            <w:tcW w:w="4667" w:type="dxa"/>
            <w:vAlign w:val="center"/>
          </w:tcPr>
          <w:p w14:paraId="48047A0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实时记录包装人员、包装日期和时间</w:t>
            </w:r>
          </w:p>
        </w:tc>
        <w:tc>
          <w:tcPr>
            <w:tcW w:w="733" w:type="dxa"/>
            <w:vMerge w:val="continue"/>
            <w:vAlign w:val="center"/>
          </w:tcPr>
          <w:p w14:paraId="1064B9B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7FB853F">
            <w:pPr>
              <w:jc w:val="center"/>
              <w:rPr>
                <w:rFonts w:hint="eastAsia" w:ascii="宋体" w:hAnsi="宋体" w:eastAsia="宋体" w:cs="宋体"/>
                <w:b w:val="0"/>
                <w:bCs w:val="0"/>
                <w:color w:val="auto"/>
                <w:kern w:val="0"/>
                <w:sz w:val="20"/>
                <w:szCs w:val="20"/>
                <w:highlight w:val="none"/>
                <w:lang w:val="en-US" w:eastAsia="zh-CN" w:bidi="ar-SA"/>
              </w:rPr>
            </w:pPr>
          </w:p>
        </w:tc>
      </w:tr>
      <w:tr w14:paraId="19CAF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1414D7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589</w:t>
            </w:r>
          </w:p>
        </w:tc>
        <w:tc>
          <w:tcPr>
            <w:tcW w:w="720" w:type="dxa"/>
            <w:vMerge w:val="continue"/>
            <w:vAlign w:val="center"/>
          </w:tcPr>
          <w:p w14:paraId="1B14121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31B786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7EB947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灭菌过程记录功能</w:t>
            </w:r>
          </w:p>
        </w:tc>
        <w:tc>
          <w:tcPr>
            <w:tcW w:w="4667" w:type="dxa"/>
            <w:vAlign w:val="center"/>
          </w:tcPr>
          <w:p w14:paraId="73E4889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在硬件设备开放端口前提下，实时记录灭菌时间、灭菌温度、灭菌压力、灭菌人员、治疗包等信息。如不能对接支持手动输入灭菌完成唯一批次号手动输入，每一灭菌审核批次必须和灭菌机唯一生成码一致</w:t>
            </w:r>
          </w:p>
        </w:tc>
        <w:tc>
          <w:tcPr>
            <w:tcW w:w="733" w:type="dxa"/>
            <w:vMerge w:val="continue"/>
            <w:vAlign w:val="center"/>
          </w:tcPr>
          <w:p w14:paraId="6787A62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DCF7D8B">
            <w:pPr>
              <w:jc w:val="center"/>
              <w:rPr>
                <w:rFonts w:hint="eastAsia" w:ascii="宋体" w:hAnsi="宋体" w:eastAsia="宋体" w:cs="宋体"/>
                <w:b w:val="0"/>
                <w:bCs w:val="0"/>
                <w:color w:val="auto"/>
                <w:kern w:val="0"/>
                <w:sz w:val="20"/>
                <w:szCs w:val="20"/>
                <w:highlight w:val="none"/>
                <w:lang w:val="en-US" w:eastAsia="zh-CN" w:bidi="ar-SA"/>
              </w:rPr>
            </w:pPr>
          </w:p>
        </w:tc>
      </w:tr>
      <w:tr w14:paraId="4352B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C5C0B2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590</w:t>
            </w:r>
          </w:p>
        </w:tc>
        <w:tc>
          <w:tcPr>
            <w:tcW w:w="720" w:type="dxa"/>
            <w:vMerge w:val="continue"/>
            <w:vAlign w:val="center"/>
          </w:tcPr>
          <w:p w14:paraId="3B22463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EAB4B7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44BF98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手工清洗过程的记录</w:t>
            </w:r>
          </w:p>
        </w:tc>
        <w:tc>
          <w:tcPr>
            <w:tcW w:w="4667" w:type="dxa"/>
            <w:vAlign w:val="center"/>
          </w:tcPr>
          <w:p w14:paraId="6F592B9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支持手工清洗过程的记录</w:t>
            </w:r>
          </w:p>
        </w:tc>
        <w:tc>
          <w:tcPr>
            <w:tcW w:w="733" w:type="dxa"/>
            <w:vMerge w:val="continue"/>
            <w:vAlign w:val="center"/>
          </w:tcPr>
          <w:p w14:paraId="6796BD1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797E82D">
            <w:pPr>
              <w:jc w:val="center"/>
              <w:rPr>
                <w:rFonts w:hint="eastAsia" w:ascii="宋体" w:hAnsi="宋体" w:eastAsia="宋体" w:cs="宋体"/>
                <w:b w:val="0"/>
                <w:bCs w:val="0"/>
                <w:color w:val="auto"/>
                <w:kern w:val="0"/>
                <w:sz w:val="20"/>
                <w:szCs w:val="20"/>
                <w:highlight w:val="none"/>
                <w:lang w:val="en-US" w:eastAsia="zh-CN" w:bidi="ar-SA"/>
              </w:rPr>
            </w:pPr>
          </w:p>
        </w:tc>
      </w:tr>
      <w:tr w14:paraId="517E5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72BECE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591</w:t>
            </w:r>
          </w:p>
        </w:tc>
        <w:tc>
          <w:tcPr>
            <w:tcW w:w="720" w:type="dxa"/>
            <w:vMerge w:val="continue"/>
            <w:vAlign w:val="center"/>
          </w:tcPr>
          <w:p w14:paraId="5EFE2A0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EA0728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CAEF2A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打包物品图片显示</w:t>
            </w:r>
          </w:p>
        </w:tc>
        <w:tc>
          <w:tcPr>
            <w:tcW w:w="4667" w:type="dxa"/>
            <w:vAlign w:val="center"/>
          </w:tcPr>
          <w:p w14:paraId="2FEBFAC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支持打包物品图片显示：应显示该诊疗包中应包含的物品种类、数量、器械图片</w:t>
            </w:r>
          </w:p>
        </w:tc>
        <w:tc>
          <w:tcPr>
            <w:tcW w:w="733" w:type="dxa"/>
            <w:vMerge w:val="continue"/>
            <w:vAlign w:val="center"/>
          </w:tcPr>
          <w:p w14:paraId="3587EB2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53F690B">
            <w:pPr>
              <w:jc w:val="center"/>
              <w:rPr>
                <w:rFonts w:hint="eastAsia" w:ascii="宋体" w:hAnsi="宋体" w:eastAsia="宋体" w:cs="宋体"/>
                <w:b w:val="0"/>
                <w:bCs w:val="0"/>
                <w:color w:val="auto"/>
                <w:kern w:val="0"/>
                <w:sz w:val="20"/>
                <w:szCs w:val="20"/>
                <w:highlight w:val="none"/>
                <w:lang w:val="en-US" w:eastAsia="zh-CN" w:bidi="ar-SA"/>
              </w:rPr>
            </w:pPr>
          </w:p>
        </w:tc>
      </w:tr>
      <w:tr w14:paraId="33812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F2385F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592</w:t>
            </w:r>
          </w:p>
        </w:tc>
        <w:tc>
          <w:tcPr>
            <w:tcW w:w="720" w:type="dxa"/>
            <w:vMerge w:val="continue"/>
            <w:vAlign w:val="center"/>
          </w:tcPr>
          <w:p w14:paraId="66B6DF1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D6DEFB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8D433F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自动打印条形码标签</w:t>
            </w:r>
          </w:p>
        </w:tc>
        <w:tc>
          <w:tcPr>
            <w:tcW w:w="4667" w:type="dxa"/>
            <w:vAlign w:val="center"/>
          </w:tcPr>
          <w:p w14:paraId="16B2643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自动打印条形码标签，包含物品名称规格、包装人员、灭菌日期、有效日期。</w:t>
            </w:r>
          </w:p>
        </w:tc>
        <w:tc>
          <w:tcPr>
            <w:tcW w:w="733" w:type="dxa"/>
            <w:vMerge w:val="continue"/>
            <w:vAlign w:val="center"/>
          </w:tcPr>
          <w:p w14:paraId="212EDD5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26C7045">
            <w:pPr>
              <w:jc w:val="center"/>
              <w:rPr>
                <w:rFonts w:hint="eastAsia" w:ascii="宋体" w:hAnsi="宋体" w:eastAsia="宋体" w:cs="宋体"/>
                <w:b w:val="0"/>
                <w:bCs w:val="0"/>
                <w:color w:val="auto"/>
                <w:kern w:val="0"/>
                <w:sz w:val="20"/>
                <w:szCs w:val="20"/>
                <w:highlight w:val="none"/>
                <w:lang w:val="en-US" w:eastAsia="zh-CN" w:bidi="ar-SA"/>
              </w:rPr>
            </w:pPr>
          </w:p>
        </w:tc>
      </w:tr>
      <w:tr w14:paraId="5DBF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234D4B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593</w:t>
            </w:r>
          </w:p>
        </w:tc>
        <w:tc>
          <w:tcPr>
            <w:tcW w:w="720" w:type="dxa"/>
            <w:vMerge w:val="continue"/>
            <w:vAlign w:val="center"/>
          </w:tcPr>
          <w:p w14:paraId="78D878C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BBF034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58B180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自动校对数量和有效日期</w:t>
            </w:r>
          </w:p>
        </w:tc>
        <w:tc>
          <w:tcPr>
            <w:tcW w:w="4667" w:type="dxa"/>
            <w:vAlign w:val="center"/>
          </w:tcPr>
          <w:p w14:paraId="62AF424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记录物品回收、清洗、消毒、包装、灭菌、发放全过程，支持每一环节数字化提醒</w:t>
            </w:r>
          </w:p>
        </w:tc>
        <w:tc>
          <w:tcPr>
            <w:tcW w:w="733" w:type="dxa"/>
            <w:vMerge w:val="continue"/>
            <w:vAlign w:val="center"/>
          </w:tcPr>
          <w:p w14:paraId="3C96C3A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5552E12">
            <w:pPr>
              <w:jc w:val="center"/>
              <w:rPr>
                <w:rFonts w:hint="eastAsia" w:ascii="宋体" w:hAnsi="宋体" w:eastAsia="宋体" w:cs="宋体"/>
                <w:b w:val="0"/>
                <w:bCs w:val="0"/>
                <w:color w:val="auto"/>
                <w:kern w:val="0"/>
                <w:sz w:val="20"/>
                <w:szCs w:val="20"/>
                <w:highlight w:val="none"/>
                <w:lang w:val="en-US" w:eastAsia="zh-CN" w:bidi="ar-SA"/>
              </w:rPr>
            </w:pPr>
          </w:p>
        </w:tc>
      </w:tr>
      <w:tr w14:paraId="71321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74B462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594</w:t>
            </w:r>
          </w:p>
        </w:tc>
        <w:tc>
          <w:tcPr>
            <w:tcW w:w="720" w:type="dxa"/>
            <w:vMerge w:val="continue"/>
            <w:vAlign w:val="center"/>
          </w:tcPr>
          <w:p w14:paraId="4EE78AA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ECB73A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5C227C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物品包的回收功能</w:t>
            </w:r>
          </w:p>
        </w:tc>
        <w:tc>
          <w:tcPr>
            <w:tcW w:w="4667" w:type="dxa"/>
            <w:vAlign w:val="center"/>
          </w:tcPr>
          <w:p w14:paraId="16EDD72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支持物品包的回收，部分贵重器械回收，外来器械的登记，无条码包的回收登记，丢失器械的登记以及回收数据采集。支持回收任务列表展示；支持回收查询。</w:t>
            </w:r>
          </w:p>
        </w:tc>
        <w:tc>
          <w:tcPr>
            <w:tcW w:w="733" w:type="dxa"/>
            <w:vMerge w:val="continue"/>
            <w:vAlign w:val="center"/>
          </w:tcPr>
          <w:p w14:paraId="7AB9FE2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7CC3B58">
            <w:pPr>
              <w:jc w:val="center"/>
              <w:rPr>
                <w:rFonts w:hint="eastAsia" w:ascii="宋体" w:hAnsi="宋体" w:eastAsia="宋体" w:cs="宋体"/>
                <w:b w:val="0"/>
                <w:bCs w:val="0"/>
                <w:color w:val="auto"/>
                <w:kern w:val="0"/>
                <w:sz w:val="20"/>
                <w:szCs w:val="20"/>
                <w:highlight w:val="none"/>
                <w:lang w:val="en-US" w:eastAsia="zh-CN" w:bidi="ar-SA"/>
              </w:rPr>
            </w:pPr>
          </w:p>
        </w:tc>
      </w:tr>
      <w:tr w14:paraId="2BE13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FAEC22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595</w:t>
            </w:r>
          </w:p>
        </w:tc>
        <w:tc>
          <w:tcPr>
            <w:tcW w:w="720" w:type="dxa"/>
            <w:vMerge w:val="continue"/>
            <w:vAlign w:val="center"/>
          </w:tcPr>
          <w:p w14:paraId="47EF7CCA">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2040B05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B31351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物品请领功能</w:t>
            </w:r>
          </w:p>
        </w:tc>
        <w:tc>
          <w:tcPr>
            <w:tcW w:w="4667" w:type="dxa"/>
            <w:vAlign w:val="center"/>
          </w:tcPr>
          <w:p w14:paraId="01643FF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全院各科室请领物品，支持申请模式。实现无纸化申领机制。提供手术器械包申请功能，并可对申请做加急处理。可实现对无菌包发放信息的记录，可按时间段按科室统计发放情况。对加急功能模块、全院功能模块请截图，并告知在使用此模块用户名单</w:t>
            </w:r>
          </w:p>
        </w:tc>
        <w:tc>
          <w:tcPr>
            <w:tcW w:w="733" w:type="dxa"/>
            <w:vMerge w:val="restart"/>
            <w:vAlign w:val="center"/>
          </w:tcPr>
          <w:p w14:paraId="3440972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02A4E72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w:t>
            </w:r>
          </w:p>
        </w:tc>
      </w:tr>
      <w:tr w14:paraId="6EADF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979FE9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596</w:t>
            </w:r>
          </w:p>
        </w:tc>
        <w:tc>
          <w:tcPr>
            <w:tcW w:w="720" w:type="dxa"/>
            <w:vMerge w:val="continue"/>
            <w:vAlign w:val="center"/>
          </w:tcPr>
          <w:p w14:paraId="366BC19D">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0E757E1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7486ED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自备物品登记功能</w:t>
            </w:r>
          </w:p>
        </w:tc>
        <w:tc>
          <w:tcPr>
            <w:tcW w:w="4667" w:type="dxa"/>
            <w:vAlign w:val="center"/>
          </w:tcPr>
          <w:p w14:paraId="49831F1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自备物品登记，打印条形码码标签，便于记录科室自备物品送供应室灭菌的情况</w:t>
            </w:r>
          </w:p>
        </w:tc>
        <w:tc>
          <w:tcPr>
            <w:tcW w:w="733" w:type="dxa"/>
            <w:vMerge w:val="continue"/>
            <w:vAlign w:val="center"/>
          </w:tcPr>
          <w:p w14:paraId="27B53EA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8DFDA17">
            <w:pPr>
              <w:jc w:val="center"/>
              <w:rPr>
                <w:rFonts w:hint="eastAsia" w:ascii="宋体" w:hAnsi="宋体" w:eastAsia="宋体" w:cs="宋体"/>
                <w:b w:val="0"/>
                <w:bCs w:val="0"/>
                <w:color w:val="auto"/>
                <w:kern w:val="0"/>
                <w:sz w:val="20"/>
                <w:szCs w:val="20"/>
                <w:highlight w:val="none"/>
                <w:lang w:val="en-US" w:eastAsia="zh-CN" w:bidi="ar-SA"/>
              </w:rPr>
            </w:pPr>
          </w:p>
        </w:tc>
      </w:tr>
      <w:tr w14:paraId="236FE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035715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597</w:t>
            </w:r>
          </w:p>
        </w:tc>
        <w:tc>
          <w:tcPr>
            <w:tcW w:w="720" w:type="dxa"/>
            <w:vMerge w:val="continue"/>
            <w:vAlign w:val="center"/>
          </w:tcPr>
          <w:p w14:paraId="07CD348E">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2A8A16D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追溯查询统计</w:t>
            </w:r>
          </w:p>
        </w:tc>
        <w:tc>
          <w:tcPr>
            <w:tcW w:w="2058" w:type="dxa"/>
            <w:vAlign w:val="center"/>
          </w:tcPr>
          <w:p w14:paraId="006C7BA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发放过程中追溯查询统计功能</w:t>
            </w:r>
          </w:p>
        </w:tc>
        <w:tc>
          <w:tcPr>
            <w:tcW w:w="4667" w:type="dxa"/>
            <w:vAlign w:val="center"/>
          </w:tcPr>
          <w:p w14:paraId="4678D7A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可完整追溯器械回收、清洗、消毒、包装、灭菌、发放过程中的所有信息。自动生成追溯报表并打印。支持包条码缺失情况下模糊查询。</w:t>
            </w:r>
          </w:p>
        </w:tc>
        <w:tc>
          <w:tcPr>
            <w:tcW w:w="733" w:type="dxa"/>
            <w:vMerge w:val="restart"/>
            <w:vAlign w:val="center"/>
          </w:tcPr>
          <w:p w14:paraId="558630E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6FE2A1C7">
            <w:pPr>
              <w:keepNext w:val="0"/>
              <w:keepLines w:val="0"/>
              <w:widowControl/>
              <w:suppressLineNumbers w:val="0"/>
              <w:jc w:val="center"/>
              <w:textAlignment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3.5</w:t>
            </w:r>
          </w:p>
        </w:tc>
      </w:tr>
      <w:tr w14:paraId="076A6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EAE83F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598</w:t>
            </w:r>
          </w:p>
        </w:tc>
        <w:tc>
          <w:tcPr>
            <w:tcW w:w="720" w:type="dxa"/>
            <w:vMerge w:val="continue"/>
            <w:vAlign w:val="center"/>
          </w:tcPr>
          <w:p w14:paraId="49AE939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EC1436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7C2B46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时追踪治疗包查询</w:t>
            </w:r>
          </w:p>
        </w:tc>
        <w:tc>
          <w:tcPr>
            <w:tcW w:w="4667" w:type="dxa"/>
            <w:vAlign w:val="center"/>
          </w:tcPr>
          <w:p w14:paraId="300864C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实时追踪治疗包的当前处理状态，以及历史处理信息</w:t>
            </w:r>
          </w:p>
        </w:tc>
        <w:tc>
          <w:tcPr>
            <w:tcW w:w="733" w:type="dxa"/>
            <w:vMerge w:val="continue"/>
            <w:vAlign w:val="center"/>
          </w:tcPr>
          <w:p w14:paraId="151322E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31527C0">
            <w:pPr>
              <w:jc w:val="center"/>
              <w:rPr>
                <w:rFonts w:hint="eastAsia" w:ascii="宋体" w:hAnsi="宋体" w:eastAsia="宋体" w:cs="宋体"/>
                <w:b w:val="0"/>
                <w:bCs w:val="0"/>
                <w:color w:val="auto"/>
                <w:kern w:val="0"/>
                <w:sz w:val="20"/>
                <w:szCs w:val="20"/>
                <w:highlight w:val="none"/>
                <w:lang w:val="en-US" w:eastAsia="zh-CN" w:bidi="ar-SA"/>
              </w:rPr>
            </w:pPr>
          </w:p>
        </w:tc>
      </w:tr>
      <w:tr w14:paraId="0BFEB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D23344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599</w:t>
            </w:r>
          </w:p>
        </w:tc>
        <w:tc>
          <w:tcPr>
            <w:tcW w:w="720" w:type="dxa"/>
            <w:vMerge w:val="continue"/>
            <w:vAlign w:val="center"/>
          </w:tcPr>
          <w:p w14:paraId="54BAA4D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136462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EED031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洗过程查询</w:t>
            </w:r>
          </w:p>
        </w:tc>
        <w:tc>
          <w:tcPr>
            <w:tcW w:w="4667" w:type="dxa"/>
            <w:vAlign w:val="center"/>
          </w:tcPr>
          <w:p w14:paraId="7DE932C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清洗过程、灭菌过程查询</w:t>
            </w:r>
          </w:p>
        </w:tc>
        <w:tc>
          <w:tcPr>
            <w:tcW w:w="733" w:type="dxa"/>
            <w:vMerge w:val="continue"/>
            <w:vAlign w:val="center"/>
          </w:tcPr>
          <w:p w14:paraId="3C0BCF5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DE9327E">
            <w:pPr>
              <w:jc w:val="center"/>
              <w:rPr>
                <w:rFonts w:hint="eastAsia" w:ascii="宋体" w:hAnsi="宋体" w:eastAsia="宋体" w:cs="宋体"/>
                <w:b w:val="0"/>
                <w:bCs w:val="0"/>
                <w:color w:val="auto"/>
                <w:kern w:val="0"/>
                <w:sz w:val="20"/>
                <w:szCs w:val="20"/>
                <w:highlight w:val="none"/>
                <w:lang w:val="en-US" w:eastAsia="zh-CN" w:bidi="ar-SA"/>
              </w:rPr>
            </w:pPr>
          </w:p>
        </w:tc>
      </w:tr>
      <w:tr w14:paraId="7B239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D1A03E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600</w:t>
            </w:r>
          </w:p>
        </w:tc>
        <w:tc>
          <w:tcPr>
            <w:tcW w:w="720" w:type="dxa"/>
            <w:vMerge w:val="continue"/>
            <w:vAlign w:val="center"/>
          </w:tcPr>
          <w:p w14:paraId="4F984EA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93C380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C51B96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灭菌过程查询</w:t>
            </w:r>
          </w:p>
        </w:tc>
        <w:tc>
          <w:tcPr>
            <w:tcW w:w="4667" w:type="dxa"/>
            <w:vAlign w:val="center"/>
          </w:tcPr>
          <w:p w14:paraId="7760668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追溯同一批次灭菌的所有物品所在科室</w:t>
            </w:r>
          </w:p>
        </w:tc>
        <w:tc>
          <w:tcPr>
            <w:tcW w:w="733" w:type="dxa"/>
            <w:vMerge w:val="continue"/>
            <w:vAlign w:val="center"/>
          </w:tcPr>
          <w:p w14:paraId="51FB6BF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C20B0C8">
            <w:pPr>
              <w:jc w:val="center"/>
              <w:rPr>
                <w:rFonts w:hint="eastAsia" w:ascii="宋体" w:hAnsi="宋体" w:eastAsia="宋体" w:cs="宋体"/>
                <w:b w:val="0"/>
                <w:bCs w:val="0"/>
                <w:color w:val="auto"/>
                <w:kern w:val="0"/>
                <w:sz w:val="20"/>
                <w:szCs w:val="20"/>
                <w:highlight w:val="none"/>
                <w:lang w:val="en-US" w:eastAsia="zh-CN" w:bidi="ar-SA"/>
              </w:rPr>
            </w:pPr>
          </w:p>
        </w:tc>
      </w:tr>
      <w:tr w14:paraId="50B94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469A75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601</w:t>
            </w:r>
          </w:p>
        </w:tc>
        <w:tc>
          <w:tcPr>
            <w:tcW w:w="720" w:type="dxa"/>
            <w:vMerge w:val="continue"/>
            <w:vAlign w:val="center"/>
          </w:tcPr>
          <w:p w14:paraId="19A1E1F5">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6C047FA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管理、统计模块</w:t>
            </w:r>
          </w:p>
        </w:tc>
        <w:tc>
          <w:tcPr>
            <w:tcW w:w="2058" w:type="dxa"/>
            <w:vAlign w:val="center"/>
          </w:tcPr>
          <w:p w14:paraId="7746F48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科室申领单统计</w:t>
            </w:r>
          </w:p>
        </w:tc>
        <w:tc>
          <w:tcPr>
            <w:tcW w:w="4667" w:type="dxa"/>
            <w:vAlign w:val="center"/>
          </w:tcPr>
          <w:p w14:paraId="0B9B953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科室申领单统计、使用量统计</w:t>
            </w:r>
          </w:p>
        </w:tc>
        <w:tc>
          <w:tcPr>
            <w:tcW w:w="733" w:type="dxa"/>
            <w:vMerge w:val="restart"/>
            <w:vAlign w:val="center"/>
          </w:tcPr>
          <w:p w14:paraId="24C2324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3380CE8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12.5</w:t>
            </w:r>
          </w:p>
        </w:tc>
      </w:tr>
      <w:tr w14:paraId="4AB33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E7A2D9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602</w:t>
            </w:r>
          </w:p>
        </w:tc>
        <w:tc>
          <w:tcPr>
            <w:tcW w:w="720" w:type="dxa"/>
            <w:vMerge w:val="continue"/>
            <w:vAlign w:val="center"/>
          </w:tcPr>
          <w:p w14:paraId="2272505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FBA513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112168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工作量管理</w:t>
            </w:r>
          </w:p>
        </w:tc>
        <w:tc>
          <w:tcPr>
            <w:tcW w:w="4667" w:type="dxa"/>
            <w:vAlign w:val="center"/>
          </w:tcPr>
          <w:p w14:paraId="54A8F7E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将工作量统计细化到个人，包括回收、清</w:t>
            </w:r>
            <w:r>
              <w:rPr>
                <w:rFonts w:hint="eastAsia" w:ascii="宋体" w:hAnsi="宋体" w:eastAsia="宋体" w:cs="宋体"/>
                <w:b w:val="0"/>
                <w:bCs w:val="0"/>
                <w:color w:val="auto"/>
                <w:kern w:val="0"/>
                <w:sz w:val="20"/>
                <w:szCs w:val="20"/>
                <w:highlight w:val="none"/>
                <w:lang w:val="en-US" w:eastAsia="zh-CN"/>
              </w:rPr>
              <w:br w:type="textWrapping"/>
            </w:r>
            <w:r>
              <w:rPr>
                <w:rFonts w:hint="eastAsia" w:ascii="宋体" w:hAnsi="宋体" w:eastAsia="宋体" w:cs="宋体"/>
                <w:b w:val="0"/>
                <w:bCs w:val="0"/>
                <w:color w:val="auto"/>
                <w:kern w:val="0"/>
                <w:sz w:val="20"/>
                <w:szCs w:val="20"/>
                <w:highlight w:val="none"/>
                <w:lang w:val="en-US" w:eastAsia="zh-CN"/>
              </w:rPr>
              <w:t>洗、包装、灭菌、发放等环节</w:t>
            </w:r>
          </w:p>
        </w:tc>
        <w:tc>
          <w:tcPr>
            <w:tcW w:w="733" w:type="dxa"/>
            <w:vMerge w:val="continue"/>
            <w:vAlign w:val="center"/>
          </w:tcPr>
          <w:p w14:paraId="4643C16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CD48EE0">
            <w:pPr>
              <w:jc w:val="center"/>
              <w:rPr>
                <w:rFonts w:hint="eastAsia" w:ascii="宋体" w:hAnsi="宋体" w:eastAsia="宋体" w:cs="宋体"/>
                <w:b w:val="0"/>
                <w:bCs w:val="0"/>
                <w:color w:val="auto"/>
                <w:kern w:val="0"/>
                <w:sz w:val="20"/>
                <w:szCs w:val="20"/>
                <w:highlight w:val="none"/>
                <w:lang w:val="en-US" w:eastAsia="zh-CN" w:bidi="ar-SA"/>
              </w:rPr>
            </w:pPr>
          </w:p>
        </w:tc>
      </w:tr>
      <w:tr w14:paraId="24A2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438398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603</w:t>
            </w:r>
          </w:p>
        </w:tc>
        <w:tc>
          <w:tcPr>
            <w:tcW w:w="720" w:type="dxa"/>
            <w:vMerge w:val="continue"/>
            <w:vAlign w:val="center"/>
          </w:tcPr>
          <w:p w14:paraId="059FC76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AFDBA7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62BC6D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绩效考核管理</w:t>
            </w:r>
          </w:p>
        </w:tc>
        <w:tc>
          <w:tcPr>
            <w:tcW w:w="4667" w:type="dxa"/>
            <w:vAlign w:val="center"/>
          </w:tcPr>
          <w:p w14:paraId="72DD327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辅以绩效因子，对每个人的工作量进行量化考核。并支持对CSSD总工作量的统计与分析，并提供分析图表</w:t>
            </w:r>
          </w:p>
        </w:tc>
        <w:tc>
          <w:tcPr>
            <w:tcW w:w="733" w:type="dxa"/>
            <w:vMerge w:val="continue"/>
            <w:vAlign w:val="center"/>
          </w:tcPr>
          <w:p w14:paraId="3E70CEC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12AB7AF">
            <w:pPr>
              <w:jc w:val="center"/>
              <w:rPr>
                <w:rFonts w:hint="eastAsia" w:ascii="宋体" w:hAnsi="宋体" w:eastAsia="宋体" w:cs="宋体"/>
                <w:b w:val="0"/>
                <w:bCs w:val="0"/>
                <w:color w:val="auto"/>
                <w:kern w:val="0"/>
                <w:sz w:val="20"/>
                <w:szCs w:val="20"/>
                <w:highlight w:val="none"/>
                <w:lang w:val="en-US" w:eastAsia="zh-CN" w:bidi="ar-SA"/>
              </w:rPr>
            </w:pPr>
          </w:p>
        </w:tc>
      </w:tr>
      <w:tr w14:paraId="31D5F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0AF489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604</w:t>
            </w:r>
          </w:p>
        </w:tc>
        <w:tc>
          <w:tcPr>
            <w:tcW w:w="720" w:type="dxa"/>
            <w:vMerge w:val="continue"/>
            <w:vAlign w:val="center"/>
          </w:tcPr>
          <w:p w14:paraId="6C432B8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584A97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A172BF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物品召回管理</w:t>
            </w:r>
          </w:p>
        </w:tc>
        <w:tc>
          <w:tcPr>
            <w:tcW w:w="4667" w:type="dxa"/>
            <w:vAlign w:val="center"/>
          </w:tcPr>
          <w:p w14:paraId="1C7378F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物品包召回及预警对可能存在异常的物品包进行追溯，预警并召回同一批次的无菌包，并对异常流程进行追溯与预警</w:t>
            </w:r>
          </w:p>
        </w:tc>
        <w:tc>
          <w:tcPr>
            <w:tcW w:w="733" w:type="dxa"/>
            <w:vMerge w:val="continue"/>
            <w:vAlign w:val="center"/>
          </w:tcPr>
          <w:p w14:paraId="7690AEE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8F02A78">
            <w:pPr>
              <w:jc w:val="center"/>
              <w:rPr>
                <w:rFonts w:hint="eastAsia" w:ascii="宋体" w:hAnsi="宋体" w:eastAsia="宋体" w:cs="宋体"/>
                <w:b w:val="0"/>
                <w:bCs w:val="0"/>
                <w:color w:val="auto"/>
                <w:kern w:val="0"/>
                <w:sz w:val="20"/>
                <w:szCs w:val="20"/>
                <w:highlight w:val="none"/>
                <w:lang w:val="en-US" w:eastAsia="zh-CN" w:bidi="ar-SA"/>
              </w:rPr>
            </w:pPr>
          </w:p>
        </w:tc>
      </w:tr>
      <w:tr w14:paraId="6B7E2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AC30183">
            <w:pPr>
              <w:keepNext w:val="0"/>
              <w:keepLines w:val="0"/>
              <w:widowControl/>
              <w:suppressLineNumbers w:val="0"/>
              <w:jc w:val="center"/>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605</w:t>
            </w:r>
          </w:p>
        </w:tc>
        <w:tc>
          <w:tcPr>
            <w:tcW w:w="720" w:type="dxa"/>
            <w:vMerge w:val="continue"/>
            <w:vAlign w:val="center"/>
          </w:tcPr>
          <w:p w14:paraId="128A436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953BE0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79BE01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成本核算管理</w:t>
            </w:r>
          </w:p>
        </w:tc>
        <w:tc>
          <w:tcPr>
            <w:tcW w:w="4667" w:type="dxa"/>
            <w:vAlign w:val="center"/>
          </w:tcPr>
          <w:p w14:paraId="6AB4BCD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可以分类计算消毒供应中心内各项作业成本及消耗，并汇总统计。成本核算包含：人力成本；耗材；设备维修和损耗等模块</w:t>
            </w:r>
          </w:p>
        </w:tc>
        <w:tc>
          <w:tcPr>
            <w:tcW w:w="733" w:type="dxa"/>
            <w:vMerge w:val="continue"/>
            <w:vAlign w:val="center"/>
          </w:tcPr>
          <w:p w14:paraId="6D5D011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104D54C">
            <w:pPr>
              <w:jc w:val="center"/>
              <w:rPr>
                <w:rFonts w:hint="eastAsia" w:ascii="宋体" w:hAnsi="宋体" w:eastAsia="宋体" w:cs="宋体"/>
                <w:b w:val="0"/>
                <w:bCs w:val="0"/>
                <w:color w:val="auto"/>
                <w:kern w:val="0"/>
                <w:sz w:val="20"/>
                <w:szCs w:val="20"/>
                <w:highlight w:val="none"/>
                <w:lang w:val="en-US" w:eastAsia="zh-CN" w:bidi="ar-SA"/>
              </w:rPr>
            </w:pPr>
          </w:p>
        </w:tc>
      </w:tr>
      <w:tr w14:paraId="6C235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3051CB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606</w:t>
            </w:r>
          </w:p>
        </w:tc>
        <w:tc>
          <w:tcPr>
            <w:tcW w:w="720" w:type="dxa"/>
            <w:vMerge w:val="continue"/>
            <w:vAlign w:val="center"/>
          </w:tcPr>
          <w:p w14:paraId="417EE5E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F861F6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1CAC23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人力资源管理</w:t>
            </w:r>
          </w:p>
        </w:tc>
        <w:tc>
          <w:tcPr>
            <w:tcW w:w="4667" w:type="dxa"/>
            <w:vAlign w:val="center"/>
          </w:tcPr>
          <w:p w14:paraId="5C375BE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支持员工档案管理，权限分配</w:t>
            </w:r>
          </w:p>
        </w:tc>
        <w:tc>
          <w:tcPr>
            <w:tcW w:w="733" w:type="dxa"/>
            <w:vMerge w:val="continue"/>
            <w:vAlign w:val="center"/>
          </w:tcPr>
          <w:p w14:paraId="5362217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A9E0F58">
            <w:pPr>
              <w:jc w:val="center"/>
              <w:rPr>
                <w:rFonts w:hint="eastAsia" w:ascii="宋体" w:hAnsi="宋体" w:eastAsia="宋体" w:cs="宋体"/>
                <w:b w:val="0"/>
                <w:bCs w:val="0"/>
                <w:color w:val="auto"/>
                <w:kern w:val="0"/>
                <w:sz w:val="20"/>
                <w:szCs w:val="20"/>
                <w:highlight w:val="none"/>
                <w:lang w:val="en-US" w:eastAsia="zh-CN" w:bidi="ar-SA"/>
              </w:rPr>
            </w:pPr>
          </w:p>
        </w:tc>
      </w:tr>
      <w:tr w14:paraId="18202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46D303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607</w:t>
            </w:r>
          </w:p>
        </w:tc>
        <w:tc>
          <w:tcPr>
            <w:tcW w:w="720" w:type="dxa"/>
            <w:vMerge w:val="continue"/>
            <w:vAlign w:val="center"/>
          </w:tcPr>
          <w:p w14:paraId="6A315E4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B5C96D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56BDC0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高温灭菌日常监测记录</w:t>
            </w:r>
          </w:p>
        </w:tc>
        <w:tc>
          <w:tcPr>
            <w:tcW w:w="4667" w:type="dxa"/>
            <w:vAlign w:val="center"/>
          </w:tcPr>
          <w:p w14:paraId="6C840A7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包括物理监测、生物监测</w:t>
            </w:r>
          </w:p>
        </w:tc>
        <w:tc>
          <w:tcPr>
            <w:tcW w:w="733" w:type="dxa"/>
            <w:vMerge w:val="continue"/>
            <w:vAlign w:val="center"/>
          </w:tcPr>
          <w:p w14:paraId="65FF2F7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62A1B30">
            <w:pPr>
              <w:jc w:val="center"/>
              <w:rPr>
                <w:rFonts w:hint="eastAsia" w:ascii="宋体" w:hAnsi="宋体" w:eastAsia="宋体" w:cs="宋体"/>
                <w:b w:val="0"/>
                <w:bCs w:val="0"/>
                <w:color w:val="auto"/>
                <w:kern w:val="0"/>
                <w:sz w:val="20"/>
                <w:szCs w:val="20"/>
                <w:highlight w:val="none"/>
                <w:lang w:val="en-US" w:eastAsia="zh-CN" w:bidi="ar-SA"/>
              </w:rPr>
            </w:pPr>
          </w:p>
        </w:tc>
      </w:tr>
      <w:tr w14:paraId="2B03C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45CF27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608</w:t>
            </w:r>
          </w:p>
        </w:tc>
        <w:tc>
          <w:tcPr>
            <w:tcW w:w="720" w:type="dxa"/>
            <w:vMerge w:val="continue"/>
            <w:vAlign w:val="center"/>
          </w:tcPr>
          <w:p w14:paraId="6AC60D3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2495DD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8F420C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低温灭菌监测记录</w:t>
            </w:r>
          </w:p>
        </w:tc>
        <w:tc>
          <w:tcPr>
            <w:tcW w:w="4667" w:type="dxa"/>
            <w:vAlign w:val="center"/>
          </w:tcPr>
          <w:p w14:paraId="023CE18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低温灭菌监测记录</w:t>
            </w:r>
          </w:p>
        </w:tc>
        <w:tc>
          <w:tcPr>
            <w:tcW w:w="733" w:type="dxa"/>
            <w:vMerge w:val="continue"/>
            <w:vAlign w:val="center"/>
          </w:tcPr>
          <w:p w14:paraId="4C7E620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A8B8F22">
            <w:pPr>
              <w:jc w:val="center"/>
              <w:rPr>
                <w:rFonts w:hint="eastAsia" w:ascii="宋体" w:hAnsi="宋体" w:eastAsia="宋体" w:cs="宋体"/>
                <w:b w:val="0"/>
                <w:bCs w:val="0"/>
                <w:color w:val="auto"/>
                <w:kern w:val="0"/>
                <w:sz w:val="20"/>
                <w:szCs w:val="20"/>
                <w:highlight w:val="none"/>
                <w:lang w:val="en-US" w:eastAsia="zh-CN" w:bidi="ar-SA"/>
              </w:rPr>
            </w:pPr>
          </w:p>
        </w:tc>
      </w:tr>
      <w:tr w14:paraId="23AFA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78517D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609</w:t>
            </w:r>
          </w:p>
        </w:tc>
        <w:tc>
          <w:tcPr>
            <w:tcW w:w="720" w:type="dxa"/>
            <w:vMerge w:val="continue"/>
            <w:vAlign w:val="center"/>
          </w:tcPr>
          <w:p w14:paraId="38B34DF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D6F6EC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924C44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清洗质量监测记录管理</w:t>
            </w:r>
          </w:p>
        </w:tc>
        <w:tc>
          <w:tcPr>
            <w:tcW w:w="4667" w:type="dxa"/>
            <w:vAlign w:val="center"/>
          </w:tcPr>
          <w:p w14:paraId="4EFB82F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包括记录、查询、打印。监测应覆盖物理监测、生物监测</w:t>
            </w:r>
          </w:p>
        </w:tc>
        <w:tc>
          <w:tcPr>
            <w:tcW w:w="733" w:type="dxa"/>
            <w:vMerge w:val="continue"/>
            <w:vAlign w:val="center"/>
          </w:tcPr>
          <w:p w14:paraId="7098A83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C711533">
            <w:pPr>
              <w:jc w:val="center"/>
              <w:rPr>
                <w:rFonts w:hint="eastAsia" w:ascii="宋体" w:hAnsi="宋体" w:eastAsia="宋体" w:cs="宋体"/>
                <w:b w:val="0"/>
                <w:bCs w:val="0"/>
                <w:color w:val="auto"/>
                <w:kern w:val="0"/>
                <w:sz w:val="20"/>
                <w:szCs w:val="20"/>
                <w:highlight w:val="none"/>
                <w:lang w:val="en-US" w:eastAsia="zh-CN" w:bidi="ar-SA"/>
              </w:rPr>
            </w:pPr>
          </w:p>
        </w:tc>
      </w:tr>
      <w:tr w14:paraId="44663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AB4BC6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610</w:t>
            </w:r>
          </w:p>
        </w:tc>
        <w:tc>
          <w:tcPr>
            <w:tcW w:w="720" w:type="dxa"/>
            <w:vMerge w:val="continue"/>
            <w:vAlign w:val="center"/>
          </w:tcPr>
          <w:p w14:paraId="11BEB6B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6E7EEC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E321C8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消毒质量监测记录管理</w:t>
            </w:r>
          </w:p>
        </w:tc>
        <w:tc>
          <w:tcPr>
            <w:tcW w:w="4667" w:type="dxa"/>
            <w:vAlign w:val="center"/>
          </w:tcPr>
          <w:p w14:paraId="17CEC14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包括记录、查询、打印。监测应覆盖物理监测、生物监测</w:t>
            </w:r>
          </w:p>
        </w:tc>
        <w:tc>
          <w:tcPr>
            <w:tcW w:w="733" w:type="dxa"/>
            <w:vMerge w:val="continue"/>
            <w:vAlign w:val="center"/>
          </w:tcPr>
          <w:p w14:paraId="4A81C22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6069B70">
            <w:pPr>
              <w:jc w:val="center"/>
              <w:rPr>
                <w:rFonts w:hint="eastAsia" w:ascii="宋体" w:hAnsi="宋体" w:eastAsia="宋体" w:cs="宋体"/>
                <w:b w:val="0"/>
                <w:bCs w:val="0"/>
                <w:color w:val="auto"/>
                <w:kern w:val="0"/>
                <w:sz w:val="20"/>
                <w:szCs w:val="20"/>
                <w:highlight w:val="none"/>
                <w:lang w:val="en-US" w:eastAsia="zh-CN" w:bidi="ar-SA"/>
              </w:rPr>
            </w:pPr>
          </w:p>
        </w:tc>
      </w:tr>
      <w:tr w14:paraId="0129D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E265DE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611</w:t>
            </w:r>
          </w:p>
        </w:tc>
        <w:tc>
          <w:tcPr>
            <w:tcW w:w="720" w:type="dxa"/>
            <w:vMerge w:val="continue"/>
            <w:vAlign w:val="center"/>
          </w:tcPr>
          <w:p w14:paraId="5830520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C5C527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7493E2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灭菌质量监测记录管理</w:t>
            </w:r>
          </w:p>
        </w:tc>
        <w:tc>
          <w:tcPr>
            <w:tcW w:w="4667" w:type="dxa"/>
            <w:vAlign w:val="center"/>
          </w:tcPr>
          <w:p w14:paraId="6846CC4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包括记录、查询、打印。监测应覆盖物理监测、生物监测</w:t>
            </w:r>
          </w:p>
        </w:tc>
        <w:tc>
          <w:tcPr>
            <w:tcW w:w="733" w:type="dxa"/>
            <w:vMerge w:val="continue"/>
            <w:vAlign w:val="center"/>
          </w:tcPr>
          <w:p w14:paraId="6755C83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DBF7C95">
            <w:pPr>
              <w:jc w:val="center"/>
              <w:rPr>
                <w:rFonts w:hint="eastAsia" w:ascii="宋体" w:hAnsi="宋体" w:eastAsia="宋体" w:cs="宋体"/>
                <w:b w:val="0"/>
                <w:bCs w:val="0"/>
                <w:color w:val="auto"/>
                <w:kern w:val="0"/>
                <w:sz w:val="20"/>
                <w:szCs w:val="20"/>
                <w:highlight w:val="none"/>
                <w:lang w:val="en-US" w:eastAsia="zh-CN" w:bidi="ar-SA"/>
              </w:rPr>
            </w:pPr>
          </w:p>
        </w:tc>
      </w:tr>
      <w:tr w14:paraId="7358B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56F917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612</w:t>
            </w:r>
          </w:p>
        </w:tc>
        <w:tc>
          <w:tcPr>
            <w:tcW w:w="720" w:type="dxa"/>
            <w:vMerge w:val="continue"/>
            <w:vAlign w:val="center"/>
          </w:tcPr>
          <w:p w14:paraId="343D61AD">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16CB5D6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采集实施服务</w:t>
            </w:r>
          </w:p>
        </w:tc>
        <w:tc>
          <w:tcPr>
            <w:tcW w:w="2058" w:type="dxa"/>
            <w:vAlign w:val="center"/>
          </w:tcPr>
          <w:p w14:paraId="182215E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区域平台对接调试</w:t>
            </w:r>
          </w:p>
        </w:tc>
        <w:tc>
          <w:tcPr>
            <w:tcW w:w="4667" w:type="dxa"/>
            <w:vAlign w:val="center"/>
          </w:tcPr>
          <w:p w14:paraId="4755A4B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区域平台相关接口对接</w:t>
            </w:r>
          </w:p>
        </w:tc>
        <w:tc>
          <w:tcPr>
            <w:tcW w:w="733" w:type="dxa"/>
            <w:vAlign w:val="center"/>
          </w:tcPr>
          <w:p w14:paraId="000EAE8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260019C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3</w:t>
            </w:r>
          </w:p>
        </w:tc>
      </w:tr>
      <w:tr w14:paraId="34BA9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754EC2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613</w:t>
            </w:r>
          </w:p>
        </w:tc>
        <w:tc>
          <w:tcPr>
            <w:tcW w:w="720" w:type="dxa"/>
            <w:vMerge w:val="restart"/>
            <w:vAlign w:val="center"/>
          </w:tcPr>
          <w:p w14:paraId="45046C50">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数据大屏</w:t>
            </w:r>
          </w:p>
        </w:tc>
        <w:tc>
          <w:tcPr>
            <w:tcW w:w="2933" w:type="dxa"/>
            <w:gridSpan w:val="2"/>
            <w:vMerge w:val="restart"/>
            <w:vAlign w:val="center"/>
          </w:tcPr>
          <w:p w14:paraId="128EB57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消毒供应中心</w:t>
            </w:r>
          </w:p>
        </w:tc>
        <w:tc>
          <w:tcPr>
            <w:tcW w:w="4667" w:type="dxa"/>
            <w:vAlign w:val="center"/>
          </w:tcPr>
          <w:p w14:paraId="1B3AC19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展示区域内基层机构对无菌物品的申请总量、发送总量、回收总量信息，并可按年度进行筛选</w:t>
            </w:r>
          </w:p>
        </w:tc>
        <w:tc>
          <w:tcPr>
            <w:tcW w:w="733" w:type="dxa"/>
            <w:vMerge w:val="restart"/>
            <w:vAlign w:val="center"/>
          </w:tcPr>
          <w:p w14:paraId="6BC366F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68B0B81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4</w:t>
            </w:r>
          </w:p>
        </w:tc>
      </w:tr>
      <w:tr w14:paraId="041B2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47B1F0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614</w:t>
            </w:r>
          </w:p>
        </w:tc>
        <w:tc>
          <w:tcPr>
            <w:tcW w:w="720" w:type="dxa"/>
            <w:vMerge w:val="continue"/>
            <w:vAlign w:val="center"/>
          </w:tcPr>
          <w:p w14:paraId="26D754C4">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6E0F92A3">
            <w:pPr>
              <w:jc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059FACE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通过地图展示各机构对无菌物品的申请、发送量</w:t>
            </w:r>
          </w:p>
        </w:tc>
        <w:tc>
          <w:tcPr>
            <w:tcW w:w="733" w:type="dxa"/>
            <w:vMerge w:val="continue"/>
            <w:vAlign w:val="center"/>
          </w:tcPr>
          <w:p w14:paraId="646FE69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4C6639C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r w14:paraId="56E4F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B5E712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615</w:t>
            </w:r>
          </w:p>
        </w:tc>
        <w:tc>
          <w:tcPr>
            <w:tcW w:w="720" w:type="dxa"/>
            <w:vMerge w:val="continue"/>
            <w:vAlign w:val="center"/>
          </w:tcPr>
          <w:p w14:paraId="0384F4A1">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64E8E507">
            <w:pPr>
              <w:jc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7C2B31A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展示中心人力资源和设备设施信息，并按设备类别进行对比</w:t>
            </w:r>
          </w:p>
        </w:tc>
        <w:tc>
          <w:tcPr>
            <w:tcW w:w="733" w:type="dxa"/>
            <w:vMerge w:val="continue"/>
            <w:vAlign w:val="center"/>
          </w:tcPr>
          <w:p w14:paraId="3C661F6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29911A8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r w14:paraId="6A35C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B4EB6C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616</w:t>
            </w:r>
          </w:p>
        </w:tc>
        <w:tc>
          <w:tcPr>
            <w:tcW w:w="720" w:type="dxa"/>
            <w:vMerge w:val="continue"/>
            <w:vAlign w:val="center"/>
          </w:tcPr>
          <w:p w14:paraId="53FA303F">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6C5C113C">
            <w:pPr>
              <w:jc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4CAA2C7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对无菌物品的使用按类别和近一周趋势进行分析</w:t>
            </w:r>
          </w:p>
        </w:tc>
        <w:tc>
          <w:tcPr>
            <w:tcW w:w="733" w:type="dxa"/>
            <w:vMerge w:val="continue"/>
            <w:vAlign w:val="center"/>
          </w:tcPr>
          <w:p w14:paraId="00C7427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1A63D51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r w14:paraId="6BBCE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07856C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617</w:t>
            </w:r>
          </w:p>
        </w:tc>
        <w:tc>
          <w:tcPr>
            <w:tcW w:w="720" w:type="dxa"/>
            <w:vMerge w:val="continue"/>
            <w:vAlign w:val="center"/>
          </w:tcPr>
          <w:p w14:paraId="75BCB387">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123C79DD">
            <w:pPr>
              <w:jc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059D14F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对消毒、供应闭环流程的效率进行质控；统计中心工作人员的工作量，进行排名展示</w:t>
            </w:r>
          </w:p>
        </w:tc>
        <w:tc>
          <w:tcPr>
            <w:tcW w:w="733" w:type="dxa"/>
            <w:vMerge w:val="continue"/>
            <w:vAlign w:val="center"/>
          </w:tcPr>
          <w:p w14:paraId="4FE8A79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60C589F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r w14:paraId="662D3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5D5513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618</w:t>
            </w:r>
          </w:p>
        </w:tc>
        <w:tc>
          <w:tcPr>
            <w:tcW w:w="720" w:type="dxa"/>
            <w:vMerge w:val="continue"/>
            <w:vAlign w:val="center"/>
          </w:tcPr>
          <w:p w14:paraId="3CFE2B00">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7E9BD0A0">
            <w:pPr>
              <w:jc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229EA4B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分析消毒物品的top5，进行表格展示；对各机构当日无菌物品申请数量进行对比</w:t>
            </w:r>
          </w:p>
        </w:tc>
        <w:tc>
          <w:tcPr>
            <w:tcW w:w="733" w:type="dxa"/>
            <w:vMerge w:val="continue"/>
            <w:vAlign w:val="center"/>
          </w:tcPr>
          <w:p w14:paraId="3C4FD0D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05AA147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bl>
    <w:p w14:paraId="4C396352">
      <w:pPr>
        <w:pStyle w:val="2"/>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both"/>
        <w:textAlignment w:val="auto"/>
        <w:rPr>
          <w:rFonts w:hint="eastAsia" w:ascii="宋体" w:hAnsi="宋体" w:eastAsia="宋体" w:cs="宋体"/>
          <w:highlight w:val="yellow"/>
          <w:lang w:val="en-US" w:eastAsia="zh-CN"/>
        </w:rPr>
      </w:pPr>
      <w:r>
        <w:rPr>
          <w:rFonts w:hint="eastAsia" w:ascii="宋体" w:hAnsi="宋体" w:eastAsia="宋体" w:cs="宋体"/>
          <w:highlight w:val="yellow"/>
          <w:lang w:val="en-US" w:eastAsia="zh-CN"/>
        </w:rPr>
        <w:t>（二）-11：医疗质控中心</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875"/>
        <w:gridCol w:w="2058"/>
        <w:gridCol w:w="4667"/>
        <w:gridCol w:w="733"/>
        <w:gridCol w:w="714"/>
      </w:tblGrid>
      <w:tr w14:paraId="75AF7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E7F85D8">
            <w:pPr>
              <w:widowControl/>
              <w:jc w:val="center"/>
              <w:rPr>
                <w:rFonts w:hint="eastAsia" w:ascii="仿宋" w:hAnsi="仿宋" w:eastAsia="仿宋" w:cs="宋体"/>
                <w:color w:val="auto"/>
                <w:sz w:val="22"/>
                <w:szCs w:val="22"/>
                <w:highlight w:val="none"/>
                <w:lang w:val="en-US" w:eastAsia="zh-CN"/>
              </w:rPr>
            </w:pPr>
            <w:r>
              <w:rPr>
                <w:rFonts w:hint="eastAsia" w:ascii="宋体" w:hAnsi="宋体" w:cs="宋体"/>
                <w:b/>
                <w:bCs/>
                <w:color w:val="auto"/>
                <w:kern w:val="0"/>
                <w:sz w:val="20"/>
                <w:szCs w:val="20"/>
                <w:highlight w:val="none"/>
              </w:rPr>
              <w:t>序号</w:t>
            </w:r>
          </w:p>
        </w:tc>
        <w:tc>
          <w:tcPr>
            <w:tcW w:w="3653" w:type="dxa"/>
            <w:gridSpan w:val="3"/>
            <w:vAlign w:val="center"/>
          </w:tcPr>
          <w:p w14:paraId="5FDC6C3E">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建设内容</w:t>
            </w:r>
          </w:p>
        </w:tc>
        <w:tc>
          <w:tcPr>
            <w:tcW w:w="4667" w:type="dxa"/>
            <w:vAlign w:val="center"/>
          </w:tcPr>
          <w:p w14:paraId="43CE7C74">
            <w:pPr>
              <w:widowControl/>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1D242A93">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单位</w:t>
            </w:r>
          </w:p>
        </w:tc>
        <w:tc>
          <w:tcPr>
            <w:tcW w:w="714" w:type="dxa"/>
            <w:vAlign w:val="center"/>
          </w:tcPr>
          <w:p w14:paraId="4B99D4AB">
            <w:pPr>
              <w:spacing w:line="240" w:lineRule="exact"/>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Cs w:val="21"/>
                <w:highlight w:val="none"/>
                <w:lang w:eastAsia="zh-CN"/>
              </w:rPr>
              <w:t>数量</w:t>
            </w:r>
          </w:p>
        </w:tc>
      </w:tr>
      <w:tr w14:paraId="45D00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843C977">
            <w:pPr>
              <w:numPr>
                <w:ilvl w:val="0"/>
                <w:numId w:val="12"/>
              </w:numPr>
              <w:spacing w:line="300" w:lineRule="exact"/>
              <w:ind w:left="454" w:leftChars="0" w:hanging="454" w:firstLineChars="0"/>
              <w:jc w:val="center"/>
              <w:rPr>
                <w:rFonts w:hint="default" w:ascii="仿宋" w:hAnsi="仿宋" w:eastAsia="仿宋" w:cs="宋体"/>
                <w:color w:val="auto"/>
                <w:sz w:val="22"/>
                <w:szCs w:val="22"/>
                <w:highlight w:val="none"/>
                <w:lang w:val="en-US" w:eastAsia="zh-CN"/>
              </w:rPr>
            </w:pPr>
          </w:p>
        </w:tc>
        <w:tc>
          <w:tcPr>
            <w:tcW w:w="720" w:type="dxa"/>
            <w:vMerge w:val="restart"/>
            <w:vAlign w:val="center"/>
          </w:tcPr>
          <w:p w14:paraId="2DEA65E3">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医疗服务质量监控系统</w:t>
            </w:r>
          </w:p>
        </w:tc>
        <w:tc>
          <w:tcPr>
            <w:tcW w:w="875" w:type="dxa"/>
            <w:vAlign w:val="center"/>
          </w:tcPr>
          <w:p w14:paraId="5988295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数据采集</w:t>
            </w:r>
          </w:p>
        </w:tc>
        <w:tc>
          <w:tcPr>
            <w:tcW w:w="2058" w:type="dxa"/>
            <w:vAlign w:val="center"/>
          </w:tcPr>
          <w:p w14:paraId="4049D23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医疗机构数据采集</w:t>
            </w:r>
          </w:p>
        </w:tc>
        <w:tc>
          <w:tcPr>
            <w:tcW w:w="4667" w:type="dxa"/>
            <w:vAlign w:val="center"/>
          </w:tcPr>
          <w:p w14:paraId="4D1293C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ETL可视化图形配置主，指定数据源，对危急值和医技效率数据进行采集汇聚。通过数据智能采集提供实时、非实时以及增量数据的自动数据采集。形成危急值和医技效率专题库，为医疗质量监控提供数据支撑。</w:t>
            </w:r>
          </w:p>
        </w:tc>
        <w:tc>
          <w:tcPr>
            <w:tcW w:w="733" w:type="dxa"/>
            <w:vAlign w:val="center"/>
          </w:tcPr>
          <w:p w14:paraId="2D38137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706BA20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3</w:t>
            </w:r>
          </w:p>
        </w:tc>
      </w:tr>
      <w:tr w14:paraId="4A208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583" w:type="dxa"/>
            <w:vAlign w:val="center"/>
          </w:tcPr>
          <w:p w14:paraId="6E265253">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720" w:type="dxa"/>
            <w:vMerge w:val="continue"/>
            <w:vAlign w:val="center"/>
          </w:tcPr>
          <w:p w14:paraId="21284B91">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7DB60B6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医技闭环效率监控</w:t>
            </w:r>
          </w:p>
        </w:tc>
        <w:tc>
          <w:tcPr>
            <w:tcW w:w="2058" w:type="dxa"/>
            <w:vAlign w:val="center"/>
          </w:tcPr>
          <w:p w14:paraId="4C0F856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检验消息数据管理</w:t>
            </w:r>
          </w:p>
        </w:tc>
        <w:tc>
          <w:tcPr>
            <w:tcW w:w="4667" w:type="dxa"/>
            <w:vAlign w:val="center"/>
          </w:tcPr>
          <w:p w14:paraId="0731DC0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支持对接ESB获取检验申请和检验报告XML消息，并解析为关系型数据。</w:t>
            </w:r>
          </w:p>
        </w:tc>
        <w:tc>
          <w:tcPr>
            <w:tcW w:w="733" w:type="dxa"/>
            <w:vMerge w:val="restart"/>
            <w:vAlign w:val="center"/>
          </w:tcPr>
          <w:p w14:paraId="2E754B2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5317FFB8">
            <w:pPr>
              <w:keepNext w:val="0"/>
              <w:keepLines w:val="0"/>
              <w:widowControl/>
              <w:suppressLineNumbers w:val="0"/>
              <w:jc w:val="center"/>
              <w:textAlignment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12.5</w:t>
            </w:r>
          </w:p>
        </w:tc>
      </w:tr>
      <w:tr w14:paraId="3C058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3E65DAE">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720" w:type="dxa"/>
            <w:vMerge w:val="continue"/>
            <w:vAlign w:val="center"/>
          </w:tcPr>
          <w:p w14:paraId="219FD19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AF486E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B4BAA6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检查消息数据管理</w:t>
            </w:r>
          </w:p>
        </w:tc>
        <w:tc>
          <w:tcPr>
            <w:tcW w:w="4667" w:type="dxa"/>
            <w:vAlign w:val="center"/>
          </w:tcPr>
          <w:p w14:paraId="5F32503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支持对接ESB获取检查申请和检查报告XML消息，并解析为关系型数据。</w:t>
            </w:r>
          </w:p>
        </w:tc>
        <w:tc>
          <w:tcPr>
            <w:tcW w:w="733" w:type="dxa"/>
            <w:vMerge w:val="continue"/>
            <w:vAlign w:val="center"/>
          </w:tcPr>
          <w:p w14:paraId="720A6D2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9297392">
            <w:pPr>
              <w:jc w:val="center"/>
              <w:rPr>
                <w:rFonts w:hint="eastAsia" w:ascii="宋体" w:hAnsi="宋体" w:eastAsia="宋体" w:cs="宋体"/>
                <w:b w:val="0"/>
                <w:bCs w:val="0"/>
                <w:color w:val="auto"/>
                <w:kern w:val="0"/>
                <w:sz w:val="20"/>
                <w:szCs w:val="20"/>
                <w:highlight w:val="none"/>
                <w:lang w:val="en-US" w:eastAsia="zh-CN" w:bidi="ar-SA"/>
              </w:rPr>
            </w:pPr>
          </w:p>
        </w:tc>
      </w:tr>
      <w:tr w14:paraId="59F6A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3234CD3">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720" w:type="dxa"/>
            <w:vMerge w:val="continue"/>
            <w:vAlign w:val="center"/>
          </w:tcPr>
          <w:p w14:paraId="5FC886A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A9485C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B98072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检验闭环数据查询</w:t>
            </w:r>
          </w:p>
        </w:tc>
        <w:tc>
          <w:tcPr>
            <w:tcW w:w="4667" w:type="dxa"/>
            <w:vMerge w:val="restart"/>
            <w:vAlign w:val="center"/>
          </w:tcPr>
          <w:p w14:paraId="6E285335">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检验数据建模，将多个消息合并为一条闭环数据，直观查看患者在医院就诊过程中各个环节等待的时间，同时针对该患者存在的有申请无报告、报告超时等异常状态进行颜色标注，辅助医师自己以及医院管理者快速识别医技运行情况，整体提升服务效率。</w:t>
            </w:r>
          </w:p>
        </w:tc>
        <w:tc>
          <w:tcPr>
            <w:tcW w:w="733" w:type="dxa"/>
            <w:vMerge w:val="continue"/>
            <w:vAlign w:val="center"/>
          </w:tcPr>
          <w:p w14:paraId="71512FD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A8CDF00">
            <w:pPr>
              <w:jc w:val="center"/>
              <w:rPr>
                <w:rFonts w:hint="eastAsia" w:ascii="宋体" w:hAnsi="宋体" w:eastAsia="宋体" w:cs="宋体"/>
                <w:b w:val="0"/>
                <w:bCs w:val="0"/>
                <w:color w:val="auto"/>
                <w:kern w:val="0"/>
                <w:sz w:val="20"/>
                <w:szCs w:val="20"/>
                <w:highlight w:val="none"/>
                <w:lang w:val="en-US" w:eastAsia="zh-CN" w:bidi="ar-SA"/>
              </w:rPr>
            </w:pPr>
          </w:p>
        </w:tc>
      </w:tr>
      <w:tr w14:paraId="3D3CA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7CA3D39">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720" w:type="dxa"/>
            <w:vMerge w:val="continue"/>
            <w:vAlign w:val="center"/>
          </w:tcPr>
          <w:p w14:paraId="409405F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9E0BFF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37A92F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检查闭环数据查询</w:t>
            </w:r>
          </w:p>
        </w:tc>
        <w:tc>
          <w:tcPr>
            <w:tcW w:w="4667" w:type="dxa"/>
            <w:vMerge w:val="continue"/>
            <w:vAlign w:val="center"/>
          </w:tcPr>
          <w:p w14:paraId="495A1D4B">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p>
        </w:tc>
        <w:tc>
          <w:tcPr>
            <w:tcW w:w="733" w:type="dxa"/>
            <w:vMerge w:val="continue"/>
            <w:vAlign w:val="center"/>
          </w:tcPr>
          <w:p w14:paraId="206DFDB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6DFE43D">
            <w:pPr>
              <w:jc w:val="center"/>
              <w:rPr>
                <w:rFonts w:hint="eastAsia" w:ascii="宋体" w:hAnsi="宋体" w:eastAsia="宋体" w:cs="宋体"/>
                <w:b w:val="0"/>
                <w:bCs w:val="0"/>
                <w:color w:val="auto"/>
                <w:kern w:val="0"/>
                <w:sz w:val="20"/>
                <w:szCs w:val="20"/>
                <w:highlight w:val="none"/>
                <w:lang w:val="en-US" w:eastAsia="zh-CN" w:bidi="ar-SA"/>
              </w:rPr>
            </w:pPr>
          </w:p>
        </w:tc>
      </w:tr>
      <w:tr w14:paraId="2E62D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2B17DE4">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720" w:type="dxa"/>
            <w:vMerge w:val="continue"/>
            <w:vAlign w:val="center"/>
          </w:tcPr>
          <w:p w14:paraId="102EA07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23B915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BA4B8A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转诊闭环数据查询</w:t>
            </w:r>
          </w:p>
        </w:tc>
        <w:tc>
          <w:tcPr>
            <w:tcW w:w="4667" w:type="dxa"/>
            <w:vMerge w:val="continue"/>
            <w:vAlign w:val="center"/>
          </w:tcPr>
          <w:p w14:paraId="177B315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p>
        </w:tc>
        <w:tc>
          <w:tcPr>
            <w:tcW w:w="733" w:type="dxa"/>
            <w:vMerge w:val="continue"/>
            <w:vAlign w:val="center"/>
          </w:tcPr>
          <w:p w14:paraId="2FD0257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892348F">
            <w:pPr>
              <w:jc w:val="center"/>
              <w:rPr>
                <w:rFonts w:hint="eastAsia" w:ascii="宋体" w:hAnsi="宋体" w:eastAsia="宋体" w:cs="宋体"/>
                <w:b w:val="0"/>
                <w:bCs w:val="0"/>
                <w:color w:val="auto"/>
                <w:kern w:val="0"/>
                <w:sz w:val="20"/>
                <w:szCs w:val="20"/>
                <w:highlight w:val="none"/>
                <w:lang w:val="en-US" w:eastAsia="zh-CN" w:bidi="ar-SA"/>
              </w:rPr>
            </w:pPr>
          </w:p>
        </w:tc>
      </w:tr>
      <w:tr w14:paraId="30A20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99D8FA4">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720" w:type="dxa"/>
            <w:vMerge w:val="continue"/>
            <w:vAlign w:val="center"/>
          </w:tcPr>
          <w:p w14:paraId="0281689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458E2B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DEC371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检验数据闭环效率</w:t>
            </w:r>
          </w:p>
        </w:tc>
        <w:tc>
          <w:tcPr>
            <w:tcW w:w="4667" w:type="dxa"/>
            <w:vMerge w:val="restart"/>
            <w:vAlign w:val="center"/>
          </w:tcPr>
          <w:p w14:paraId="744A8C85">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为更加便于医师自己以及医院管理者直观了解医技整体运行效率，将海量医技闭环数据进行分析统计，便于直观解读数据含义辅助管理。同时基于科室、设备、检查部位等多个维度垂直钻取，辅助医师识别耗时部位，针对性的完善该部位的检查流程，一点一滴的完善服务质量。</w:t>
            </w:r>
          </w:p>
        </w:tc>
        <w:tc>
          <w:tcPr>
            <w:tcW w:w="733" w:type="dxa"/>
            <w:vMerge w:val="continue"/>
            <w:vAlign w:val="center"/>
          </w:tcPr>
          <w:p w14:paraId="7EC22B5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6B3A402">
            <w:pPr>
              <w:jc w:val="center"/>
              <w:rPr>
                <w:rFonts w:hint="eastAsia" w:ascii="宋体" w:hAnsi="宋体" w:eastAsia="宋体" w:cs="宋体"/>
                <w:b w:val="0"/>
                <w:bCs w:val="0"/>
                <w:color w:val="auto"/>
                <w:kern w:val="0"/>
                <w:sz w:val="20"/>
                <w:szCs w:val="20"/>
                <w:highlight w:val="none"/>
                <w:lang w:val="en-US" w:eastAsia="zh-CN" w:bidi="ar-SA"/>
              </w:rPr>
            </w:pPr>
          </w:p>
        </w:tc>
      </w:tr>
      <w:tr w14:paraId="1C909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C5E0AE3">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720" w:type="dxa"/>
            <w:vMerge w:val="continue"/>
            <w:vAlign w:val="center"/>
          </w:tcPr>
          <w:p w14:paraId="6600545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59FBA1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2C898A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检查数据闭环效率</w:t>
            </w:r>
          </w:p>
        </w:tc>
        <w:tc>
          <w:tcPr>
            <w:tcW w:w="4667" w:type="dxa"/>
            <w:vMerge w:val="continue"/>
            <w:vAlign w:val="center"/>
          </w:tcPr>
          <w:p w14:paraId="32E69B0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p>
        </w:tc>
        <w:tc>
          <w:tcPr>
            <w:tcW w:w="733" w:type="dxa"/>
            <w:vMerge w:val="continue"/>
            <w:vAlign w:val="center"/>
          </w:tcPr>
          <w:p w14:paraId="5AB386C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432F4DE">
            <w:pPr>
              <w:jc w:val="center"/>
              <w:rPr>
                <w:rFonts w:hint="eastAsia" w:ascii="宋体" w:hAnsi="宋体" w:eastAsia="宋体" w:cs="宋体"/>
                <w:b w:val="0"/>
                <w:bCs w:val="0"/>
                <w:color w:val="auto"/>
                <w:kern w:val="0"/>
                <w:sz w:val="20"/>
                <w:szCs w:val="20"/>
                <w:highlight w:val="none"/>
                <w:lang w:val="en-US" w:eastAsia="zh-CN" w:bidi="ar-SA"/>
              </w:rPr>
            </w:pPr>
          </w:p>
        </w:tc>
      </w:tr>
      <w:tr w14:paraId="5B81A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A4017A4">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720" w:type="dxa"/>
            <w:vMerge w:val="continue"/>
            <w:vAlign w:val="center"/>
          </w:tcPr>
          <w:p w14:paraId="4308464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7B6E91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537AB4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科室维度散点图</w:t>
            </w:r>
          </w:p>
        </w:tc>
        <w:tc>
          <w:tcPr>
            <w:tcW w:w="4667" w:type="dxa"/>
            <w:vMerge w:val="continue"/>
            <w:vAlign w:val="center"/>
          </w:tcPr>
          <w:p w14:paraId="1A4D8F8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p>
        </w:tc>
        <w:tc>
          <w:tcPr>
            <w:tcW w:w="733" w:type="dxa"/>
            <w:vMerge w:val="continue"/>
            <w:vAlign w:val="center"/>
          </w:tcPr>
          <w:p w14:paraId="0EE6290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9705EA8">
            <w:pPr>
              <w:jc w:val="center"/>
              <w:rPr>
                <w:rFonts w:hint="eastAsia" w:ascii="宋体" w:hAnsi="宋体" w:eastAsia="宋体" w:cs="宋体"/>
                <w:b w:val="0"/>
                <w:bCs w:val="0"/>
                <w:color w:val="auto"/>
                <w:kern w:val="0"/>
                <w:sz w:val="20"/>
                <w:szCs w:val="20"/>
                <w:highlight w:val="none"/>
                <w:lang w:val="en-US" w:eastAsia="zh-CN" w:bidi="ar-SA"/>
              </w:rPr>
            </w:pPr>
          </w:p>
        </w:tc>
      </w:tr>
      <w:tr w14:paraId="0D7C0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4D1A57E">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720" w:type="dxa"/>
            <w:vMerge w:val="continue"/>
            <w:vAlign w:val="center"/>
          </w:tcPr>
          <w:p w14:paraId="138AC95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9F045E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A7C3D6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患者维度散点图</w:t>
            </w:r>
          </w:p>
        </w:tc>
        <w:tc>
          <w:tcPr>
            <w:tcW w:w="4667" w:type="dxa"/>
            <w:vMerge w:val="continue"/>
            <w:vAlign w:val="center"/>
          </w:tcPr>
          <w:p w14:paraId="630DFC0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p>
        </w:tc>
        <w:tc>
          <w:tcPr>
            <w:tcW w:w="733" w:type="dxa"/>
            <w:vMerge w:val="continue"/>
            <w:vAlign w:val="center"/>
          </w:tcPr>
          <w:p w14:paraId="4889249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C37F8CF">
            <w:pPr>
              <w:jc w:val="center"/>
              <w:rPr>
                <w:rFonts w:hint="eastAsia" w:ascii="宋体" w:hAnsi="宋体" w:eastAsia="宋体" w:cs="宋体"/>
                <w:b w:val="0"/>
                <w:bCs w:val="0"/>
                <w:color w:val="auto"/>
                <w:kern w:val="0"/>
                <w:sz w:val="20"/>
                <w:szCs w:val="20"/>
                <w:highlight w:val="none"/>
                <w:lang w:val="en-US" w:eastAsia="zh-CN" w:bidi="ar-SA"/>
              </w:rPr>
            </w:pPr>
          </w:p>
        </w:tc>
      </w:tr>
      <w:tr w14:paraId="7F7A5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09A26D4">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720" w:type="dxa"/>
            <w:vMerge w:val="continue"/>
            <w:vAlign w:val="center"/>
          </w:tcPr>
          <w:p w14:paraId="0A03F07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EEED3BF">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148128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机构件闭环对比</w:t>
            </w:r>
          </w:p>
        </w:tc>
        <w:tc>
          <w:tcPr>
            <w:tcW w:w="4667" w:type="dxa"/>
            <w:vMerge w:val="continue"/>
            <w:vAlign w:val="center"/>
          </w:tcPr>
          <w:p w14:paraId="4F7862D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p>
        </w:tc>
        <w:tc>
          <w:tcPr>
            <w:tcW w:w="733" w:type="dxa"/>
            <w:vMerge w:val="continue"/>
            <w:vAlign w:val="center"/>
          </w:tcPr>
          <w:p w14:paraId="026DE4F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09004C6">
            <w:pPr>
              <w:jc w:val="center"/>
              <w:rPr>
                <w:rFonts w:hint="eastAsia" w:ascii="宋体" w:hAnsi="宋体" w:eastAsia="宋体" w:cs="宋体"/>
                <w:b w:val="0"/>
                <w:bCs w:val="0"/>
                <w:color w:val="auto"/>
                <w:kern w:val="0"/>
                <w:sz w:val="20"/>
                <w:szCs w:val="20"/>
                <w:highlight w:val="none"/>
                <w:lang w:val="en-US" w:eastAsia="zh-CN" w:bidi="ar-SA"/>
              </w:rPr>
            </w:pPr>
          </w:p>
        </w:tc>
      </w:tr>
      <w:tr w14:paraId="1E7B6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ADA1ACB">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720" w:type="dxa"/>
            <w:vMerge w:val="continue"/>
            <w:vAlign w:val="center"/>
          </w:tcPr>
          <w:p w14:paraId="4AF71C0F">
            <w:pPr>
              <w:jc w:val="center"/>
              <w:rPr>
                <w:rFonts w:hint="eastAsia" w:ascii="宋体" w:hAnsi="宋体" w:eastAsia="宋体" w:cs="宋体"/>
                <w:b/>
                <w:color w:val="auto"/>
                <w:sz w:val="24"/>
                <w:szCs w:val="24"/>
                <w:highlight w:val="none"/>
                <w:vertAlign w:val="baseline"/>
                <w:lang w:eastAsia="zh-CN"/>
              </w:rPr>
            </w:pPr>
          </w:p>
        </w:tc>
        <w:tc>
          <w:tcPr>
            <w:tcW w:w="2933" w:type="dxa"/>
            <w:gridSpan w:val="2"/>
            <w:vAlign w:val="center"/>
          </w:tcPr>
          <w:p w14:paraId="77EE631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病案质量监控</w:t>
            </w:r>
          </w:p>
        </w:tc>
        <w:tc>
          <w:tcPr>
            <w:tcW w:w="4667" w:type="dxa"/>
            <w:vAlign w:val="center"/>
          </w:tcPr>
          <w:p w14:paraId="77C5892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对基层医疗机构以上报HQMS平台的提交数据为基础，分析病案数据，关注数据质量。提供病案质量监控引擎库，针对数据完整性、逻辑性进行校验。</w:t>
            </w:r>
          </w:p>
        </w:tc>
        <w:tc>
          <w:tcPr>
            <w:tcW w:w="733" w:type="dxa"/>
            <w:vAlign w:val="center"/>
          </w:tcPr>
          <w:p w14:paraId="3B53A25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2FACC47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13.5</w:t>
            </w:r>
          </w:p>
        </w:tc>
      </w:tr>
      <w:tr w14:paraId="6C4F5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D629973">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720" w:type="dxa"/>
            <w:vMerge w:val="continue"/>
            <w:vAlign w:val="center"/>
          </w:tcPr>
          <w:p w14:paraId="1D38D08E">
            <w:pPr>
              <w:jc w:val="center"/>
              <w:rPr>
                <w:rFonts w:hint="eastAsia" w:ascii="宋体" w:hAnsi="宋体" w:eastAsia="宋体" w:cs="宋体"/>
                <w:b/>
                <w:color w:val="auto"/>
                <w:sz w:val="24"/>
                <w:szCs w:val="24"/>
                <w:highlight w:val="none"/>
                <w:vertAlign w:val="baseline"/>
                <w:lang w:eastAsia="zh-CN"/>
              </w:rPr>
            </w:pPr>
          </w:p>
        </w:tc>
        <w:tc>
          <w:tcPr>
            <w:tcW w:w="2933" w:type="dxa"/>
            <w:gridSpan w:val="2"/>
            <w:vAlign w:val="center"/>
          </w:tcPr>
          <w:p w14:paraId="4D54137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病历质量监控</w:t>
            </w:r>
          </w:p>
        </w:tc>
        <w:tc>
          <w:tcPr>
            <w:tcW w:w="4667" w:type="dxa"/>
            <w:vAlign w:val="center"/>
          </w:tcPr>
          <w:p w14:paraId="45C3F1C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根据《电子病历共享文档规范》编写要求，汇聚全院的电子病历数据，基于CDA校验电子病历质量。</w:t>
            </w:r>
          </w:p>
        </w:tc>
        <w:tc>
          <w:tcPr>
            <w:tcW w:w="733" w:type="dxa"/>
            <w:vAlign w:val="center"/>
          </w:tcPr>
          <w:p w14:paraId="19E9294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33D2A4A6">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153C2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66F33D0">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1595" w:type="dxa"/>
            <w:gridSpan w:val="2"/>
            <w:vMerge w:val="restart"/>
            <w:vAlign w:val="center"/>
          </w:tcPr>
          <w:p w14:paraId="465C6D1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实施对接</w:t>
            </w:r>
          </w:p>
        </w:tc>
        <w:tc>
          <w:tcPr>
            <w:tcW w:w="2058" w:type="dxa"/>
            <w:vAlign w:val="center"/>
          </w:tcPr>
          <w:p w14:paraId="5D73937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区域平台对接调试</w:t>
            </w:r>
          </w:p>
        </w:tc>
        <w:tc>
          <w:tcPr>
            <w:tcW w:w="4667" w:type="dxa"/>
            <w:vAlign w:val="center"/>
          </w:tcPr>
          <w:p w14:paraId="4804502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区域平台相关接口对接</w:t>
            </w:r>
          </w:p>
        </w:tc>
        <w:tc>
          <w:tcPr>
            <w:tcW w:w="733" w:type="dxa"/>
            <w:vAlign w:val="center"/>
          </w:tcPr>
          <w:p w14:paraId="137116A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10AA107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46E5C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6DA45E0">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1595" w:type="dxa"/>
            <w:gridSpan w:val="2"/>
            <w:vMerge w:val="continue"/>
            <w:vAlign w:val="center"/>
          </w:tcPr>
          <w:p w14:paraId="2673498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45675A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对接区域检验中心</w:t>
            </w:r>
          </w:p>
        </w:tc>
        <w:tc>
          <w:tcPr>
            <w:tcW w:w="4667" w:type="dxa"/>
            <w:vAlign w:val="center"/>
          </w:tcPr>
          <w:p w14:paraId="55850E9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对接区域检验中心相关接口</w:t>
            </w:r>
          </w:p>
        </w:tc>
        <w:tc>
          <w:tcPr>
            <w:tcW w:w="733" w:type="dxa"/>
            <w:vAlign w:val="center"/>
          </w:tcPr>
          <w:p w14:paraId="7EDBFFE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500D7DC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2.5</w:t>
            </w:r>
          </w:p>
        </w:tc>
      </w:tr>
      <w:tr w14:paraId="10827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629807E">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1595" w:type="dxa"/>
            <w:gridSpan w:val="2"/>
            <w:vMerge w:val="continue"/>
            <w:vAlign w:val="center"/>
          </w:tcPr>
          <w:p w14:paraId="3CF614F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165482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对接影像云诊中心</w:t>
            </w:r>
          </w:p>
        </w:tc>
        <w:tc>
          <w:tcPr>
            <w:tcW w:w="4667" w:type="dxa"/>
            <w:vAlign w:val="center"/>
          </w:tcPr>
          <w:p w14:paraId="0AAAE60E">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对接影像云诊中心相关接口</w:t>
            </w:r>
          </w:p>
        </w:tc>
        <w:tc>
          <w:tcPr>
            <w:tcW w:w="733" w:type="dxa"/>
            <w:vAlign w:val="center"/>
          </w:tcPr>
          <w:p w14:paraId="5A3F6F6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6926E65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102A4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2F21314">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1595" w:type="dxa"/>
            <w:gridSpan w:val="2"/>
            <w:vMerge w:val="continue"/>
            <w:vAlign w:val="center"/>
          </w:tcPr>
          <w:p w14:paraId="375F5D4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87124D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对接网络心电中心</w:t>
            </w:r>
          </w:p>
        </w:tc>
        <w:tc>
          <w:tcPr>
            <w:tcW w:w="4667" w:type="dxa"/>
            <w:vAlign w:val="center"/>
          </w:tcPr>
          <w:p w14:paraId="56FF4A8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对接网络心电中心相关接口</w:t>
            </w:r>
          </w:p>
        </w:tc>
        <w:tc>
          <w:tcPr>
            <w:tcW w:w="733" w:type="dxa"/>
            <w:vAlign w:val="center"/>
          </w:tcPr>
          <w:p w14:paraId="464B99C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3C738A3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w:t>
            </w:r>
          </w:p>
        </w:tc>
      </w:tr>
      <w:tr w14:paraId="7AFDC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02D1660">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1595" w:type="dxa"/>
            <w:gridSpan w:val="2"/>
            <w:vMerge w:val="restart"/>
            <w:vAlign w:val="center"/>
          </w:tcPr>
          <w:p w14:paraId="356927B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数据大屏</w:t>
            </w:r>
          </w:p>
        </w:tc>
        <w:tc>
          <w:tcPr>
            <w:tcW w:w="2058" w:type="dxa"/>
            <w:vMerge w:val="restart"/>
            <w:vAlign w:val="center"/>
          </w:tcPr>
          <w:p w14:paraId="398423E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医疗质控中心</w:t>
            </w:r>
          </w:p>
        </w:tc>
        <w:tc>
          <w:tcPr>
            <w:tcW w:w="4667" w:type="dxa"/>
            <w:vAlign w:val="center"/>
          </w:tcPr>
          <w:p w14:paraId="7541831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医疗质控中心，展示病案质量数据。</w:t>
            </w:r>
          </w:p>
        </w:tc>
        <w:tc>
          <w:tcPr>
            <w:tcW w:w="733" w:type="dxa"/>
            <w:vMerge w:val="restart"/>
            <w:vAlign w:val="center"/>
          </w:tcPr>
          <w:p w14:paraId="4EFF088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01142205">
            <w:pPr>
              <w:keepNext w:val="0"/>
              <w:keepLines w:val="0"/>
              <w:widowControl/>
              <w:suppressLineNumbers w:val="0"/>
              <w:jc w:val="center"/>
              <w:textAlignment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3B1E6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1312E19">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1595" w:type="dxa"/>
            <w:gridSpan w:val="2"/>
            <w:vMerge w:val="continue"/>
            <w:vAlign w:val="center"/>
          </w:tcPr>
          <w:p w14:paraId="12BAAF6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069961A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7FD305B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将排队时间、报告出具时间、服务数量作为三个维度，通过散点图的形式直观分析各个科室工作量与患者等待时间之间的关系，辅助医院管理者直观分析捕捉医技运行负荷</w:t>
            </w:r>
          </w:p>
        </w:tc>
        <w:tc>
          <w:tcPr>
            <w:tcW w:w="733" w:type="dxa"/>
            <w:vMerge w:val="continue"/>
            <w:vAlign w:val="center"/>
          </w:tcPr>
          <w:p w14:paraId="6A258D8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ADDF4D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r>
      <w:tr w14:paraId="0A388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7732D01">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1595" w:type="dxa"/>
            <w:gridSpan w:val="2"/>
            <w:vMerge w:val="continue"/>
            <w:vAlign w:val="center"/>
          </w:tcPr>
          <w:p w14:paraId="23D1798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63D038A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31D6EE9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将一个时间范围的内容全部患者数据以排队时间、报告出具时间的维度，统一展现在时间轴上，辅助医院管理者直观感受海量患者等待的时长，体会患者感受，从而更有针对性的提升患者体验，完善服务质量。</w:t>
            </w:r>
          </w:p>
        </w:tc>
        <w:tc>
          <w:tcPr>
            <w:tcW w:w="733" w:type="dxa"/>
            <w:vMerge w:val="continue"/>
            <w:vAlign w:val="center"/>
          </w:tcPr>
          <w:p w14:paraId="3ED1D0A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0BB674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r>
    </w:tbl>
    <w:p w14:paraId="220BB2EA">
      <w:pPr>
        <w:pStyle w:val="2"/>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both"/>
        <w:textAlignment w:val="auto"/>
        <w:rPr>
          <w:rFonts w:hint="eastAsia" w:ascii="宋体" w:hAnsi="宋体" w:eastAsia="宋体" w:cs="宋体"/>
          <w:highlight w:val="yellow"/>
          <w:lang w:val="en-US" w:eastAsia="zh-CN"/>
        </w:rPr>
      </w:pPr>
      <w:r>
        <w:rPr>
          <w:rFonts w:hint="eastAsia" w:ascii="宋体" w:hAnsi="宋体" w:eastAsia="宋体" w:cs="宋体"/>
          <w:highlight w:val="yellow"/>
          <w:lang w:val="en-US" w:eastAsia="zh-CN"/>
        </w:rPr>
        <w:t>（二）-12：运维监管中心</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875"/>
        <w:gridCol w:w="2058"/>
        <w:gridCol w:w="4667"/>
        <w:gridCol w:w="733"/>
        <w:gridCol w:w="714"/>
      </w:tblGrid>
      <w:tr w14:paraId="26727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54CA74B">
            <w:pPr>
              <w:widowControl/>
              <w:jc w:val="center"/>
              <w:rPr>
                <w:rFonts w:hint="eastAsia" w:ascii="仿宋" w:hAnsi="仿宋" w:eastAsia="仿宋" w:cs="宋体"/>
                <w:color w:val="auto"/>
                <w:sz w:val="22"/>
                <w:szCs w:val="22"/>
                <w:highlight w:val="none"/>
                <w:lang w:val="en-US" w:eastAsia="zh-CN"/>
              </w:rPr>
            </w:pPr>
            <w:r>
              <w:rPr>
                <w:rFonts w:hint="eastAsia" w:ascii="宋体" w:hAnsi="宋体" w:cs="宋体"/>
                <w:b/>
                <w:bCs/>
                <w:color w:val="auto"/>
                <w:kern w:val="0"/>
                <w:sz w:val="20"/>
                <w:szCs w:val="20"/>
                <w:highlight w:val="none"/>
              </w:rPr>
              <w:t>序号</w:t>
            </w:r>
          </w:p>
        </w:tc>
        <w:tc>
          <w:tcPr>
            <w:tcW w:w="3653" w:type="dxa"/>
            <w:gridSpan w:val="3"/>
            <w:vAlign w:val="center"/>
          </w:tcPr>
          <w:p w14:paraId="201D8441">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建设内容</w:t>
            </w:r>
          </w:p>
        </w:tc>
        <w:tc>
          <w:tcPr>
            <w:tcW w:w="4667" w:type="dxa"/>
            <w:vAlign w:val="center"/>
          </w:tcPr>
          <w:p w14:paraId="5061F46F">
            <w:pPr>
              <w:widowControl/>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136A6665">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单位</w:t>
            </w:r>
          </w:p>
        </w:tc>
        <w:tc>
          <w:tcPr>
            <w:tcW w:w="714" w:type="dxa"/>
            <w:vAlign w:val="center"/>
          </w:tcPr>
          <w:p w14:paraId="66CB8BE6">
            <w:pPr>
              <w:spacing w:line="240" w:lineRule="exact"/>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Cs w:val="21"/>
                <w:highlight w:val="none"/>
                <w:lang w:eastAsia="zh-CN"/>
              </w:rPr>
              <w:t>数量</w:t>
            </w:r>
          </w:p>
        </w:tc>
      </w:tr>
      <w:tr w14:paraId="4A5E6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8D20487">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639</w:t>
            </w:r>
          </w:p>
        </w:tc>
        <w:tc>
          <w:tcPr>
            <w:tcW w:w="720" w:type="dxa"/>
            <w:vMerge w:val="restart"/>
            <w:vAlign w:val="center"/>
          </w:tcPr>
          <w:p w14:paraId="784C023A">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自动化运维监控软件</w:t>
            </w:r>
          </w:p>
        </w:tc>
        <w:tc>
          <w:tcPr>
            <w:tcW w:w="875" w:type="dxa"/>
            <w:vMerge w:val="restart"/>
            <w:vAlign w:val="center"/>
          </w:tcPr>
          <w:p w14:paraId="27C1F41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系统平台基本功能</w:t>
            </w:r>
          </w:p>
        </w:tc>
        <w:tc>
          <w:tcPr>
            <w:tcW w:w="2058" w:type="dxa"/>
            <w:vAlign w:val="center"/>
          </w:tcPr>
          <w:p w14:paraId="0D6002F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B/S架构</w:t>
            </w:r>
          </w:p>
        </w:tc>
        <w:tc>
          <w:tcPr>
            <w:tcW w:w="4667" w:type="dxa"/>
            <w:vAlign w:val="center"/>
          </w:tcPr>
          <w:p w14:paraId="42CA225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要求全中文界面，纯B/S架构；支持多种浏览器（如：IE、chrome、firefox、360浏览器、腾讯浏览器等）访问和管理；</w:t>
            </w:r>
          </w:p>
        </w:tc>
        <w:tc>
          <w:tcPr>
            <w:tcW w:w="733" w:type="dxa"/>
            <w:vMerge w:val="restart"/>
            <w:vAlign w:val="center"/>
          </w:tcPr>
          <w:p w14:paraId="55CB0D5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45E0A78C">
            <w:pPr>
              <w:keepNext w:val="0"/>
              <w:keepLines w:val="0"/>
              <w:widowControl/>
              <w:suppressLineNumbers w:val="0"/>
              <w:jc w:val="center"/>
              <w:textAlignment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5.5</w:t>
            </w:r>
          </w:p>
        </w:tc>
      </w:tr>
      <w:tr w14:paraId="32B8E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705BFB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640</w:t>
            </w:r>
          </w:p>
        </w:tc>
        <w:tc>
          <w:tcPr>
            <w:tcW w:w="720" w:type="dxa"/>
            <w:vMerge w:val="continue"/>
            <w:vAlign w:val="center"/>
          </w:tcPr>
          <w:p w14:paraId="031BADF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A47719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322EFD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分布式部署</w:t>
            </w:r>
          </w:p>
        </w:tc>
        <w:tc>
          <w:tcPr>
            <w:tcW w:w="4667" w:type="dxa"/>
            <w:vAlign w:val="center"/>
          </w:tcPr>
          <w:p w14:paraId="31595E1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支持分布式部署，即数据库、采集代理和管理中心可部署在不同的主机上。需支持分布式数据采集，分布式管理，可实现跨区域的集中管理展现。</w:t>
            </w:r>
          </w:p>
        </w:tc>
        <w:tc>
          <w:tcPr>
            <w:tcW w:w="733" w:type="dxa"/>
            <w:vMerge w:val="continue"/>
            <w:vAlign w:val="center"/>
          </w:tcPr>
          <w:p w14:paraId="0C55975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FAA8A14">
            <w:pPr>
              <w:jc w:val="center"/>
              <w:rPr>
                <w:rFonts w:hint="eastAsia" w:ascii="宋体" w:hAnsi="宋体" w:eastAsia="宋体" w:cs="宋体"/>
                <w:b w:val="0"/>
                <w:bCs w:val="0"/>
                <w:color w:val="auto"/>
                <w:kern w:val="0"/>
                <w:sz w:val="20"/>
                <w:szCs w:val="20"/>
                <w:highlight w:val="none"/>
                <w:lang w:val="en-US" w:eastAsia="zh-CN" w:bidi="ar-SA"/>
              </w:rPr>
            </w:pPr>
          </w:p>
        </w:tc>
      </w:tr>
      <w:tr w14:paraId="71900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643EA1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641</w:t>
            </w:r>
          </w:p>
        </w:tc>
        <w:tc>
          <w:tcPr>
            <w:tcW w:w="720" w:type="dxa"/>
            <w:vMerge w:val="continue"/>
            <w:vAlign w:val="center"/>
          </w:tcPr>
          <w:p w14:paraId="2E73335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1653F8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AC0D66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平台可切换</w:t>
            </w:r>
          </w:p>
        </w:tc>
        <w:tc>
          <w:tcPr>
            <w:tcW w:w="4667" w:type="dxa"/>
            <w:vAlign w:val="center"/>
          </w:tcPr>
          <w:p w14:paraId="57C87CE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必须支持64位系统部署系统，可部署到windows、unix、linux等主流操作系统平台上，系统自带数据库，也可使用多种主流关系型数据库，如Oracle、SQLServer、DB2、PostgreSQL等。</w:t>
            </w:r>
          </w:p>
        </w:tc>
        <w:tc>
          <w:tcPr>
            <w:tcW w:w="733" w:type="dxa"/>
            <w:vMerge w:val="continue"/>
            <w:vAlign w:val="center"/>
          </w:tcPr>
          <w:p w14:paraId="4F94C7A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0F1B28C">
            <w:pPr>
              <w:jc w:val="center"/>
              <w:rPr>
                <w:rFonts w:hint="eastAsia" w:ascii="宋体" w:hAnsi="宋体" w:eastAsia="宋体" w:cs="宋体"/>
                <w:b w:val="0"/>
                <w:bCs w:val="0"/>
                <w:color w:val="auto"/>
                <w:kern w:val="0"/>
                <w:sz w:val="20"/>
                <w:szCs w:val="20"/>
                <w:highlight w:val="none"/>
                <w:lang w:val="en-US" w:eastAsia="zh-CN" w:bidi="ar-SA"/>
              </w:rPr>
            </w:pPr>
          </w:p>
        </w:tc>
      </w:tr>
      <w:tr w14:paraId="10576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733602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642</w:t>
            </w:r>
          </w:p>
        </w:tc>
        <w:tc>
          <w:tcPr>
            <w:tcW w:w="720" w:type="dxa"/>
            <w:vMerge w:val="continue"/>
            <w:vAlign w:val="center"/>
          </w:tcPr>
          <w:p w14:paraId="5859475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ADB0FB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B67DA7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UI可调整</w:t>
            </w:r>
          </w:p>
        </w:tc>
        <w:tc>
          <w:tcPr>
            <w:tcW w:w="4667" w:type="dxa"/>
            <w:vAlign w:val="center"/>
          </w:tcPr>
          <w:p w14:paraId="607C021E">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为了实现个性化，支持用户对软件皮肤的修改及调整，展现面板的布局能灵活定制，并能随意调整布局位置，支持界面自适应，全屏、分屏展现等。</w:t>
            </w:r>
          </w:p>
        </w:tc>
        <w:tc>
          <w:tcPr>
            <w:tcW w:w="733" w:type="dxa"/>
            <w:vMerge w:val="continue"/>
            <w:vAlign w:val="center"/>
          </w:tcPr>
          <w:p w14:paraId="7D02483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990F9FD">
            <w:pPr>
              <w:jc w:val="center"/>
              <w:rPr>
                <w:rFonts w:hint="eastAsia" w:ascii="宋体" w:hAnsi="宋体" w:eastAsia="宋体" w:cs="宋体"/>
                <w:b w:val="0"/>
                <w:bCs w:val="0"/>
                <w:color w:val="auto"/>
                <w:kern w:val="0"/>
                <w:sz w:val="20"/>
                <w:szCs w:val="20"/>
                <w:highlight w:val="none"/>
                <w:lang w:val="en-US" w:eastAsia="zh-CN" w:bidi="ar-SA"/>
              </w:rPr>
            </w:pPr>
          </w:p>
        </w:tc>
      </w:tr>
      <w:tr w14:paraId="6F26B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547BB7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643</w:t>
            </w:r>
          </w:p>
        </w:tc>
        <w:tc>
          <w:tcPr>
            <w:tcW w:w="720" w:type="dxa"/>
            <w:vMerge w:val="continue"/>
            <w:vAlign w:val="center"/>
          </w:tcPr>
          <w:p w14:paraId="55E51E4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3B7256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ECDB52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整体运维一览</w:t>
            </w:r>
          </w:p>
        </w:tc>
        <w:tc>
          <w:tcPr>
            <w:tcW w:w="4667" w:type="dxa"/>
            <w:vAlign w:val="center"/>
          </w:tcPr>
          <w:p w14:paraId="4A1E73E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能够实现整体运维一览，能根据用户需要把所有关键性能数据集中展现，支持用户定制展现内容。大屏展示支持幻灯片形式切换展示多个页面。展示幻灯片的数量、切换的间隔、各个页面的地址，都支持灵活配置。</w:t>
            </w:r>
          </w:p>
        </w:tc>
        <w:tc>
          <w:tcPr>
            <w:tcW w:w="733" w:type="dxa"/>
            <w:vMerge w:val="continue"/>
            <w:vAlign w:val="center"/>
          </w:tcPr>
          <w:p w14:paraId="5FEE272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382D13A">
            <w:pPr>
              <w:jc w:val="center"/>
              <w:rPr>
                <w:rFonts w:hint="eastAsia" w:ascii="宋体" w:hAnsi="宋体" w:eastAsia="宋体" w:cs="宋体"/>
                <w:b w:val="0"/>
                <w:bCs w:val="0"/>
                <w:color w:val="auto"/>
                <w:kern w:val="0"/>
                <w:sz w:val="20"/>
                <w:szCs w:val="20"/>
                <w:highlight w:val="none"/>
                <w:lang w:val="en-US" w:eastAsia="zh-CN" w:bidi="ar-SA"/>
              </w:rPr>
            </w:pPr>
          </w:p>
        </w:tc>
      </w:tr>
      <w:tr w14:paraId="475A4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BCE74A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644</w:t>
            </w:r>
          </w:p>
        </w:tc>
        <w:tc>
          <w:tcPr>
            <w:tcW w:w="720" w:type="dxa"/>
            <w:vMerge w:val="continue"/>
            <w:vAlign w:val="center"/>
          </w:tcPr>
          <w:p w14:paraId="71C4817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BFA4C9F">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A75E67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多组展示</w:t>
            </w:r>
          </w:p>
        </w:tc>
        <w:tc>
          <w:tcPr>
            <w:tcW w:w="4667" w:type="dxa"/>
            <w:vAlign w:val="center"/>
          </w:tcPr>
          <w:p w14:paraId="298F96B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支持按不同人员，不同业务需要的多组展示（每个人员可根据需要自己进行定制，不同人员间，展示数据可以不一样），同时支持权限控制。</w:t>
            </w:r>
          </w:p>
        </w:tc>
        <w:tc>
          <w:tcPr>
            <w:tcW w:w="733" w:type="dxa"/>
            <w:vMerge w:val="continue"/>
            <w:vAlign w:val="center"/>
          </w:tcPr>
          <w:p w14:paraId="07B20D1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C931940">
            <w:pPr>
              <w:jc w:val="center"/>
              <w:rPr>
                <w:rFonts w:hint="eastAsia" w:ascii="宋体" w:hAnsi="宋体" w:eastAsia="宋体" w:cs="宋体"/>
                <w:b w:val="0"/>
                <w:bCs w:val="0"/>
                <w:color w:val="auto"/>
                <w:kern w:val="0"/>
                <w:sz w:val="20"/>
                <w:szCs w:val="20"/>
                <w:highlight w:val="none"/>
                <w:lang w:val="en-US" w:eastAsia="zh-CN" w:bidi="ar-SA"/>
              </w:rPr>
            </w:pPr>
          </w:p>
        </w:tc>
      </w:tr>
      <w:tr w14:paraId="5F1A9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455BF2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645</w:t>
            </w:r>
          </w:p>
        </w:tc>
        <w:tc>
          <w:tcPr>
            <w:tcW w:w="720" w:type="dxa"/>
            <w:vMerge w:val="continue"/>
            <w:vAlign w:val="center"/>
          </w:tcPr>
          <w:p w14:paraId="7D7543B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C330FB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8D941D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拓扑视图</w:t>
            </w:r>
          </w:p>
        </w:tc>
        <w:tc>
          <w:tcPr>
            <w:tcW w:w="4667" w:type="dxa"/>
            <w:vAlign w:val="center"/>
          </w:tcPr>
          <w:p w14:paraId="00CDC64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支持网络拓扑视图和模拟真实3D机房视图的联动展现，平滑从拓扑视图定位到3D机房或从3D机房定位到拓扑视图。</w:t>
            </w:r>
          </w:p>
        </w:tc>
        <w:tc>
          <w:tcPr>
            <w:tcW w:w="733" w:type="dxa"/>
            <w:vMerge w:val="continue"/>
            <w:vAlign w:val="center"/>
          </w:tcPr>
          <w:p w14:paraId="44AE82D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06B187B">
            <w:pPr>
              <w:jc w:val="center"/>
              <w:rPr>
                <w:rFonts w:hint="eastAsia" w:ascii="宋体" w:hAnsi="宋体" w:eastAsia="宋体" w:cs="宋体"/>
                <w:b w:val="0"/>
                <w:bCs w:val="0"/>
                <w:color w:val="auto"/>
                <w:kern w:val="0"/>
                <w:sz w:val="20"/>
                <w:szCs w:val="20"/>
                <w:highlight w:val="none"/>
                <w:lang w:val="en-US" w:eastAsia="zh-CN" w:bidi="ar-SA"/>
              </w:rPr>
            </w:pPr>
          </w:p>
        </w:tc>
      </w:tr>
      <w:tr w14:paraId="76B3D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5E6D78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646</w:t>
            </w:r>
          </w:p>
        </w:tc>
        <w:tc>
          <w:tcPr>
            <w:tcW w:w="720" w:type="dxa"/>
            <w:vMerge w:val="continue"/>
            <w:vAlign w:val="center"/>
          </w:tcPr>
          <w:p w14:paraId="225D6448">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3DEB7C7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拓扑管理</w:t>
            </w:r>
          </w:p>
        </w:tc>
        <w:tc>
          <w:tcPr>
            <w:tcW w:w="2058" w:type="dxa"/>
            <w:vAlign w:val="center"/>
          </w:tcPr>
          <w:p w14:paraId="72DA0B7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SNMP协议网络节点管理</w:t>
            </w:r>
          </w:p>
        </w:tc>
        <w:tc>
          <w:tcPr>
            <w:tcW w:w="4667" w:type="dxa"/>
            <w:vAlign w:val="center"/>
          </w:tcPr>
          <w:p w14:paraId="75D1D6E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支持自动发现、管理所有支持SNMP协议(包括SNMPv3)的网络节点，支持共同体名自动寻找、匹配，自动辩识各生产厂商，支持多种拓扑算法包括针对思科设备的CDP算法。</w:t>
            </w:r>
          </w:p>
        </w:tc>
        <w:tc>
          <w:tcPr>
            <w:tcW w:w="733" w:type="dxa"/>
            <w:vMerge w:val="restart"/>
            <w:vAlign w:val="center"/>
          </w:tcPr>
          <w:p w14:paraId="0146A68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5DED39D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5.5</w:t>
            </w:r>
          </w:p>
        </w:tc>
      </w:tr>
      <w:tr w14:paraId="73B2D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5C2B7C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647</w:t>
            </w:r>
          </w:p>
        </w:tc>
        <w:tc>
          <w:tcPr>
            <w:tcW w:w="720" w:type="dxa"/>
            <w:vMerge w:val="continue"/>
            <w:vAlign w:val="center"/>
          </w:tcPr>
          <w:p w14:paraId="53F416D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D4800D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DEF480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分层扩扑管理</w:t>
            </w:r>
          </w:p>
        </w:tc>
        <w:tc>
          <w:tcPr>
            <w:tcW w:w="4667" w:type="dxa"/>
            <w:vAlign w:val="center"/>
          </w:tcPr>
          <w:p w14:paraId="4DB4E20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支持物理拓扑发现,拓扑管理支持分层管理、子图缩略管理，自动生成整个网络的物理拓扑结构图，包括设备间的冗余连接、备份连接、均衡负载连接。</w:t>
            </w:r>
          </w:p>
        </w:tc>
        <w:tc>
          <w:tcPr>
            <w:tcW w:w="733" w:type="dxa"/>
            <w:vMerge w:val="continue"/>
            <w:vAlign w:val="center"/>
          </w:tcPr>
          <w:p w14:paraId="6AE9979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9A8AFEA">
            <w:pPr>
              <w:jc w:val="center"/>
              <w:rPr>
                <w:rFonts w:hint="eastAsia" w:ascii="宋体" w:hAnsi="宋体" w:eastAsia="宋体" w:cs="宋体"/>
                <w:b w:val="0"/>
                <w:bCs w:val="0"/>
                <w:color w:val="auto"/>
                <w:kern w:val="0"/>
                <w:sz w:val="20"/>
                <w:szCs w:val="20"/>
                <w:highlight w:val="none"/>
                <w:lang w:val="en-US" w:eastAsia="zh-CN" w:bidi="ar-SA"/>
              </w:rPr>
            </w:pPr>
          </w:p>
        </w:tc>
      </w:tr>
      <w:tr w14:paraId="00096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D2FD5D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648</w:t>
            </w:r>
          </w:p>
        </w:tc>
        <w:tc>
          <w:tcPr>
            <w:tcW w:w="720" w:type="dxa"/>
            <w:vMerge w:val="continue"/>
            <w:vAlign w:val="center"/>
          </w:tcPr>
          <w:p w14:paraId="08FA439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0E00E3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9ABCE1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拓扑算法管理</w:t>
            </w:r>
          </w:p>
        </w:tc>
        <w:tc>
          <w:tcPr>
            <w:tcW w:w="4667" w:type="dxa"/>
            <w:vAlign w:val="center"/>
          </w:tcPr>
          <w:p w14:paraId="484A2F2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支持拓扑添加算法，支持滤除无须管理的SNMP网络节点，可以实现自定义线路粗线和颜色，拓扑图可打印，可导出</w:t>
            </w:r>
          </w:p>
        </w:tc>
        <w:tc>
          <w:tcPr>
            <w:tcW w:w="733" w:type="dxa"/>
            <w:vMerge w:val="continue"/>
            <w:vAlign w:val="center"/>
          </w:tcPr>
          <w:p w14:paraId="06E740E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1198F18">
            <w:pPr>
              <w:jc w:val="center"/>
              <w:rPr>
                <w:rFonts w:hint="eastAsia" w:ascii="宋体" w:hAnsi="宋体" w:eastAsia="宋体" w:cs="宋体"/>
                <w:b w:val="0"/>
                <w:bCs w:val="0"/>
                <w:color w:val="auto"/>
                <w:kern w:val="0"/>
                <w:sz w:val="20"/>
                <w:szCs w:val="20"/>
                <w:highlight w:val="none"/>
                <w:lang w:val="en-US" w:eastAsia="zh-CN" w:bidi="ar-SA"/>
              </w:rPr>
            </w:pPr>
          </w:p>
        </w:tc>
      </w:tr>
      <w:tr w14:paraId="708CB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E39EA4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649</w:t>
            </w:r>
          </w:p>
        </w:tc>
        <w:tc>
          <w:tcPr>
            <w:tcW w:w="720" w:type="dxa"/>
            <w:vMerge w:val="continue"/>
            <w:vAlign w:val="center"/>
          </w:tcPr>
          <w:p w14:paraId="5AE15D83">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49D5811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安全管理</w:t>
            </w:r>
          </w:p>
        </w:tc>
        <w:tc>
          <w:tcPr>
            <w:tcW w:w="2058" w:type="dxa"/>
            <w:vAlign w:val="center"/>
          </w:tcPr>
          <w:p w14:paraId="48192FE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密码账号安全管理</w:t>
            </w:r>
          </w:p>
        </w:tc>
        <w:tc>
          <w:tcPr>
            <w:tcW w:w="4667" w:type="dxa"/>
            <w:vAlign w:val="center"/>
          </w:tcPr>
          <w:p w14:paraId="72CD97E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系统要求普通用户输入错误3次密码后，该用户名自动锁死，无法登陆，只有通过管理员解锁。需支持人脸识别登录功能。</w:t>
            </w:r>
          </w:p>
        </w:tc>
        <w:tc>
          <w:tcPr>
            <w:tcW w:w="733" w:type="dxa"/>
            <w:vMerge w:val="restart"/>
            <w:vAlign w:val="center"/>
          </w:tcPr>
          <w:p w14:paraId="01BBE41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3612F89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0537C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CAF14E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650</w:t>
            </w:r>
          </w:p>
        </w:tc>
        <w:tc>
          <w:tcPr>
            <w:tcW w:w="720" w:type="dxa"/>
            <w:vMerge w:val="continue"/>
            <w:vAlign w:val="center"/>
          </w:tcPr>
          <w:p w14:paraId="675DB39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1282D6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A4281B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MD5加密管理</w:t>
            </w:r>
          </w:p>
        </w:tc>
        <w:tc>
          <w:tcPr>
            <w:tcW w:w="4667" w:type="dxa"/>
            <w:vAlign w:val="center"/>
          </w:tcPr>
          <w:p w14:paraId="6EB5E60E">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对数据库中的用户名、密码等敏感信息，全部采用不可反解的MD5加密存储。</w:t>
            </w:r>
          </w:p>
        </w:tc>
        <w:tc>
          <w:tcPr>
            <w:tcW w:w="733" w:type="dxa"/>
            <w:vMerge w:val="continue"/>
            <w:vAlign w:val="center"/>
          </w:tcPr>
          <w:p w14:paraId="2C0D4C6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FCC8732">
            <w:pPr>
              <w:jc w:val="center"/>
              <w:rPr>
                <w:rFonts w:hint="eastAsia" w:ascii="宋体" w:hAnsi="宋体" w:eastAsia="宋体" w:cs="宋体"/>
                <w:b w:val="0"/>
                <w:bCs w:val="0"/>
                <w:color w:val="auto"/>
                <w:kern w:val="0"/>
                <w:sz w:val="20"/>
                <w:szCs w:val="20"/>
                <w:highlight w:val="none"/>
                <w:lang w:val="en-US" w:eastAsia="zh-CN" w:bidi="ar-SA"/>
              </w:rPr>
            </w:pPr>
          </w:p>
        </w:tc>
      </w:tr>
      <w:tr w14:paraId="27978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BE935F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651</w:t>
            </w:r>
          </w:p>
        </w:tc>
        <w:tc>
          <w:tcPr>
            <w:tcW w:w="720" w:type="dxa"/>
            <w:vMerge w:val="continue"/>
            <w:vAlign w:val="center"/>
          </w:tcPr>
          <w:p w14:paraId="537548BE">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6083FD5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基础故障管理</w:t>
            </w:r>
          </w:p>
        </w:tc>
        <w:tc>
          <w:tcPr>
            <w:tcW w:w="2058" w:type="dxa"/>
            <w:vAlign w:val="center"/>
          </w:tcPr>
          <w:p w14:paraId="09140EC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故障管理</w:t>
            </w:r>
          </w:p>
        </w:tc>
        <w:tc>
          <w:tcPr>
            <w:tcW w:w="4667" w:type="dxa"/>
            <w:vAlign w:val="center"/>
          </w:tcPr>
          <w:p w14:paraId="23B9FD7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系统支持路由协议层（RIP、OSPF、BGP、EIGRP、ISIS路由协议）的监控与告警；能监测网络设备的相关参数：连通性，网络带宽，端口状态和流量等信息。</w:t>
            </w:r>
          </w:p>
        </w:tc>
        <w:tc>
          <w:tcPr>
            <w:tcW w:w="733" w:type="dxa"/>
            <w:vMerge w:val="restart"/>
            <w:vAlign w:val="center"/>
          </w:tcPr>
          <w:p w14:paraId="145E15D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164BEE6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6AE83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7F8168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652</w:t>
            </w:r>
          </w:p>
        </w:tc>
        <w:tc>
          <w:tcPr>
            <w:tcW w:w="720" w:type="dxa"/>
            <w:vMerge w:val="continue"/>
            <w:vAlign w:val="center"/>
          </w:tcPr>
          <w:p w14:paraId="33A4469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6AED99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F4C5C5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基线告警管理功能</w:t>
            </w:r>
          </w:p>
        </w:tc>
        <w:tc>
          <w:tcPr>
            <w:tcW w:w="4667" w:type="dxa"/>
            <w:vAlign w:val="center"/>
          </w:tcPr>
          <w:p w14:paraId="19830B4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提供基线告警管理功能</w:t>
            </w:r>
          </w:p>
        </w:tc>
        <w:tc>
          <w:tcPr>
            <w:tcW w:w="733" w:type="dxa"/>
            <w:vMerge w:val="continue"/>
            <w:vAlign w:val="center"/>
          </w:tcPr>
          <w:p w14:paraId="6406929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B42F925">
            <w:pPr>
              <w:jc w:val="center"/>
              <w:rPr>
                <w:rFonts w:hint="eastAsia" w:ascii="宋体" w:hAnsi="宋体" w:eastAsia="宋体" w:cs="宋体"/>
                <w:b w:val="0"/>
                <w:bCs w:val="0"/>
                <w:color w:val="auto"/>
                <w:kern w:val="0"/>
                <w:sz w:val="20"/>
                <w:szCs w:val="20"/>
                <w:highlight w:val="none"/>
                <w:lang w:val="en-US" w:eastAsia="zh-CN" w:bidi="ar-SA"/>
              </w:rPr>
            </w:pPr>
          </w:p>
        </w:tc>
      </w:tr>
      <w:tr w14:paraId="5654E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41F62F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653</w:t>
            </w:r>
          </w:p>
        </w:tc>
        <w:tc>
          <w:tcPr>
            <w:tcW w:w="720" w:type="dxa"/>
            <w:vMerge w:val="continue"/>
            <w:vAlign w:val="center"/>
          </w:tcPr>
          <w:p w14:paraId="1D4CB1C3">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7233979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网络管理</w:t>
            </w:r>
          </w:p>
        </w:tc>
        <w:tc>
          <w:tcPr>
            <w:tcW w:w="2058" w:type="dxa"/>
            <w:vAlign w:val="center"/>
          </w:tcPr>
          <w:p w14:paraId="5D6C34D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设备内部性能参数的查询</w:t>
            </w:r>
          </w:p>
        </w:tc>
        <w:tc>
          <w:tcPr>
            <w:tcW w:w="4667" w:type="dxa"/>
            <w:vAlign w:val="center"/>
          </w:tcPr>
          <w:p w14:paraId="25FFD54E">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提供设备内部性能参数的查询，包括设备属性、端口状态、TCP、UDP、CDP、Mac、Arp等信息查询和检索。</w:t>
            </w:r>
          </w:p>
        </w:tc>
        <w:tc>
          <w:tcPr>
            <w:tcW w:w="733" w:type="dxa"/>
            <w:vMerge w:val="restart"/>
            <w:vAlign w:val="center"/>
          </w:tcPr>
          <w:p w14:paraId="4A097B0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6A97E19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4.5</w:t>
            </w:r>
          </w:p>
        </w:tc>
      </w:tr>
      <w:tr w14:paraId="7C7E1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CA397C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654</w:t>
            </w:r>
          </w:p>
        </w:tc>
        <w:tc>
          <w:tcPr>
            <w:tcW w:w="720" w:type="dxa"/>
            <w:vMerge w:val="continue"/>
            <w:vAlign w:val="center"/>
          </w:tcPr>
          <w:p w14:paraId="3990D6F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C40503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5E25CA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备性能监控管理</w:t>
            </w:r>
          </w:p>
        </w:tc>
        <w:tc>
          <w:tcPr>
            <w:tcW w:w="4667" w:type="dxa"/>
            <w:vAlign w:val="center"/>
          </w:tcPr>
          <w:p w14:paraId="402426C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路由协议监控管理、支持对设备remote_ping等常用工具管理。</w:t>
            </w:r>
          </w:p>
        </w:tc>
        <w:tc>
          <w:tcPr>
            <w:tcW w:w="733" w:type="dxa"/>
            <w:vMerge w:val="continue"/>
            <w:vAlign w:val="center"/>
          </w:tcPr>
          <w:p w14:paraId="6AC162B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5BDAB69">
            <w:pPr>
              <w:jc w:val="center"/>
              <w:rPr>
                <w:rFonts w:hint="eastAsia" w:ascii="宋体" w:hAnsi="宋体" w:eastAsia="宋体" w:cs="宋体"/>
                <w:b w:val="0"/>
                <w:bCs w:val="0"/>
                <w:color w:val="auto"/>
                <w:kern w:val="0"/>
                <w:sz w:val="20"/>
                <w:szCs w:val="20"/>
                <w:highlight w:val="none"/>
                <w:lang w:val="en-US" w:eastAsia="zh-CN" w:bidi="ar-SA"/>
              </w:rPr>
            </w:pPr>
          </w:p>
        </w:tc>
      </w:tr>
      <w:tr w14:paraId="0D6DA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21035A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655</w:t>
            </w:r>
          </w:p>
        </w:tc>
        <w:tc>
          <w:tcPr>
            <w:tcW w:w="720" w:type="dxa"/>
            <w:vMerge w:val="continue"/>
            <w:vAlign w:val="center"/>
          </w:tcPr>
          <w:p w14:paraId="52EB667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E6D3D4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035DD7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设备的硬件监控管理</w:t>
            </w:r>
          </w:p>
        </w:tc>
        <w:tc>
          <w:tcPr>
            <w:tcW w:w="4667" w:type="dxa"/>
            <w:vAlign w:val="center"/>
          </w:tcPr>
          <w:p w14:paraId="2388296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路由协议监控管理、支持对设备remote_ping等常用工具管理。</w:t>
            </w:r>
          </w:p>
        </w:tc>
        <w:tc>
          <w:tcPr>
            <w:tcW w:w="733" w:type="dxa"/>
            <w:vMerge w:val="continue"/>
            <w:vAlign w:val="center"/>
          </w:tcPr>
          <w:p w14:paraId="25FBFFD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7345480">
            <w:pPr>
              <w:jc w:val="center"/>
              <w:rPr>
                <w:rFonts w:hint="eastAsia" w:ascii="宋体" w:hAnsi="宋体" w:eastAsia="宋体" w:cs="宋体"/>
                <w:b w:val="0"/>
                <w:bCs w:val="0"/>
                <w:color w:val="auto"/>
                <w:kern w:val="0"/>
                <w:sz w:val="20"/>
                <w:szCs w:val="20"/>
                <w:highlight w:val="none"/>
                <w:lang w:val="en-US" w:eastAsia="zh-CN" w:bidi="ar-SA"/>
              </w:rPr>
            </w:pPr>
          </w:p>
        </w:tc>
      </w:tr>
      <w:tr w14:paraId="53323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34DABB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656</w:t>
            </w:r>
          </w:p>
        </w:tc>
        <w:tc>
          <w:tcPr>
            <w:tcW w:w="720" w:type="dxa"/>
            <w:vMerge w:val="continue"/>
            <w:vAlign w:val="center"/>
          </w:tcPr>
          <w:p w14:paraId="4407851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2E0C74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41C4ED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设备的多CPU监控管理</w:t>
            </w:r>
          </w:p>
        </w:tc>
        <w:tc>
          <w:tcPr>
            <w:tcW w:w="4667" w:type="dxa"/>
            <w:vAlign w:val="center"/>
          </w:tcPr>
          <w:p w14:paraId="4D01A5F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路由协议监控管理、支持对设备remote_ping等常用工具管理。</w:t>
            </w:r>
          </w:p>
        </w:tc>
        <w:tc>
          <w:tcPr>
            <w:tcW w:w="733" w:type="dxa"/>
            <w:vMerge w:val="continue"/>
            <w:vAlign w:val="center"/>
          </w:tcPr>
          <w:p w14:paraId="3465415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1BB63A6">
            <w:pPr>
              <w:jc w:val="center"/>
              <w:rPr>
                <w:rFonts w:hint="eastAsia" w:ascii="宋体" w:hAnsi="宋体" w:eastAsia="宋体" w:cs="宋体"/>
                <w:b w:val="0"/>
                <w:bCs w:val="0"/>
                <w:color w:val="auto"/>
                <w:kern w:val="0"/>
                <w:sz w:val="20"/>
                <w:szCs w:val="20"/>
                <w:highlight w:val="none"/>
                <w:lang w:val="en-US" w:eastAsia="zh-CN" w:bidi="ar-SA"/>
              </w:rPr>
            </w:pPr>
          </w:p>
        </w:tc>
      </w:tr>
      <w:tr w14:paraId="1BD3F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67D008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657</w:t>
            </w:r>
          </w:p>
        </w:tc>
        <w:tc>
          <w:tcPr>
            <w:tcW w:w="720" w:type="dxa"/>
            <w:vMerge w:val="continue"/>
            <w:vAlign w:val="center"/>
          </w:tcPr>
          <w:p w14:paraId="6D578A3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5E79F3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A4B95E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设备配置管理</w:t>
            </w:r>
          </w:p>
        </w:tc>
        <w:tc>
          <w:tcPr>
            <w:tcW w:w="4667" w:type="dxa"/>
            <w:vAlign w:val="center"/>
          </w:tcPr>
          <w:p w14:paraId="2B26F7F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路由协议监控管理、支持对设备remote_ping等常用工具管理。</w:t>
            </w:r>
          </w:p>
        </w:tc>
        <w:tc>
          <w:tcPr>
            <w:tcW w:w="733" w:type="dxa"/>
            <w:vMerge w:val="continue"/>
            <w:vAlign w:val="center"/>
          </w:tcPr>
          <w:p w14:paraId="1716BA2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E1149A2">
            <w:pPr>
              <w:jc w:val="center"/>
              <w:rPr>
                <w:rFonts w:hint="eastAsia" w:ascii="宋体" w:hAnsi="宋体" w:eastAsia="宋体" w:cs="宋体"/>
                <w:b w:val="0"/>
                <w:bCs w:val="0"/>
                <w:color w:val="auto"/>
                <w:kern w:val="0"/>
                <w:sz w:val="20"/>
                <w:szCs w:val="20"/>
                <w:highlight w:val="none"/>
                <w:lang w:val="en-US" w:eastAsia="zh-CN" w:bidi="ar-SA"/>
              </w:rPr>
            </w:pPr>
          </w:p>
        </w:tc>
      </w:tr>
      <w:tr w14:paraId="6BA55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4813A9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658</w:t>
            </w:r>
          </w:p>
        </w:tc>
        <w:tc>
          <w:tcPr>
            <w:tcW w:w="720" w:type="dxa"/>
            <w:vMerge w:val="continue"/>
            <w:vAlign w:val="center"/>
          </w:tcPr>
          <w:p w14:paraId="32CDD07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4C74F0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6C809F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应用流量统计分析功能</w:t>
            </w:r>
          </w:p>
        </w:tc>
        <w:tc>
          <w:tcPr>
            <w:tcW w:w="4667" w:type="dxa"/>
            <w:vAlign w:val="center"/>
          </w:tcPr>
          <w:p w14:paraId="3C03EDFE">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对于监控指标的历史数据支持保存一年以上、支持以月为单位数据进行大数据统计分析、支持对设备日志文件的远程分析并进行关键字匹配告警、支持手动和自动刷新设备。</w:t>
            </w:r>
          </w:p>
        </w:tc>
        <w:tc>
          <w:tcPr>
            <w:tcW w:w="733" w:type="dxa"/>
            <w:vMerge w:val="continue"/>
            <w:vAlign w:val="center"/>
          </w:tcPr>
          <w:p w14:paraId="6F844EB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F0353DF">
            <w:pPr>
              <w:jc w:val="center"/>
              <w:rPr>
                <w:rFonts w:hint="eastAsia" w:ascii="宋体" w:hAnsi="宋体" w:eastAsia="宋体" w:cs="宋体"/>
                <w:b w:val="0"/>
                <w:bCs w:val="0"/>
                <w:color w:val="auto"/>
                <w:kern w:val="0"/>
                <w:sz w:val="20"/>
                <w:szCs w:val="20"/>
                <w:highlight w:val="none"/>
                <w:lang w:val="en-US" w:eastAsia="zh-CN" w:bidi="ar-SA"/>
              </w:rPr>
            </w:pPr>
          </w:p>
        </w:tc>
      </w:tr>
      <w:tr w14:paraId="2E93D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515D90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659</w:t>
            </w:r>
          </w:p>
        </w:tc>
        <w:tc>
          <w:tcPr>
            <w:tcW w:w="720" w:type="dxa"/>
            <w:vMerge w:val="continue"/>
            <w:vAlign w:val="center"/>
          </w:tcPr>
          <w:p w14:paraId="26FD0FA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CE00B6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0840AD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告警、巡检、操作数据统计</w:t>
            </w:r>
          </w:p>
        </w:tc>
        <w:tc>
          <w:tcPr>
            <w:tcW w:w="4667" w:type="dxa"/>
            <w:vAlign w:val="center"/>
          </w:tcPr>
          <w:p w14:paraId="644750F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对于监控指标的历史数据支持保存一年以上、支持以月为单位数据进行大数据统计分析、支持对设备日志文件的远程分析并进行关键字匹配告警、支持手动和自动刷新设备。</w:t>
            </w:r>
          </w:p>
        </w:tc>
        <w:tc>
          <w:tcPr>
            <w:tcW w:w="733" w:type="dxa"/>
            <w:vMerge w:val="continue"/>
            <w:vAlign w:val="center"/>
          </w:tcPr>
          <w:p w14:paraId="4B0E6F9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B475A3F">
            <w:pPr>
              <w:jc w:val="center"/>
              <w:rPr>
                <w:rFonts w:hint="eastAsia" w:ascii="宋体" w:hAnsi="宋体" w:eastAsia="宋体" w:cs="宋体"/>
                <w:b w:val="0"/>
                <w:bCs w:val="0"/>
                <w:color w:val="auto"/>
                <w:kern w:val="0"/>
                <w:sz w:val="20"/>
                <w:szCs w:val="20"/>
                <w:highlight w:val="none"/>
                <w:lang w:val="en-US" w:eastAsia="zh-CN" w:bidi="ar-SA"/>
              </w:rPr>
            </w:pPr>
          </w:p>
        </w:tc>
      </w:tr>
      <w:tr w14:paraId="71215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0C7A97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660</w:t>
            </w:r>
          </w:p>
        </w:tc>
        <w:tc>
          <w:tcPr>
            <w:tcW w:w="720" w:type="dxa"/>
            <w:vMerge w:val="continue"/>
            <w:vAlign w:val="center"/>
          </w:tcPr>
          <w:p w14:paraId="20528DE9">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3DB6B20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IP地址管理</w:t>
            </w:r>
          </w:p>
        </w:tc>
        <w:tc>
          <w:tcPr>
            <w:tcW w:w="2058" w:type="dxa"/>
            <w:vAlign w:val="center"/>
          </w:tcPr>
          <w:p w14:paraId="2B158B6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IP地址管理</w:t>
            </w:r>
          </w:p>
        </w:tc>
        <w:tc>
          <w:tcPr>
            <w:tcW w:w="4667" w:type="dxa"/>
            <w:vAlign w:val="center"/>
          </w:tcPr>
          <w:p w14:paraId="2FF6D3E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跨地域网段的IP地址管理，自动、动态、完整提供全网所有活动用户的网络连接位置信息。自动识别主机的操作系统,自动监测设备开放端口,自动识别IP地址活动状态。</w:t>
            </w:r>
          </w:p>
        </w:tc>
        <w:tc>
          <w:tcPr>
            <w:tcW w:w="733" w:type="dxa"/>
            <w:vAlign w:val="center"/>
          </w:tcPr>
          <w:p w14:paraId="0A03B62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7DD2DA4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4FD32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C34DEB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661</w:t>
            </w:r>
          </w:p>
        </w:tc>
        <w:tc>
          <w:tcPr>
            <w:tcW w:w="720" w:type="dxa"/>
            <w:vMerge w:val="continue"/>
            <w:vAlign w:val="center"/>
          </w:tcPr>
          <w:p w14:paraId="65167E0F">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23E1C67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服务器管理</w:t>
            </w:r>
          </w:p>
        </w:tc>
        <w:tc>
          <w:tcPr>
            <w:tcW w:w="2058" w:type="dxa"/>
            <w:vAlign w:val="center"/>
          </w:tcPr>
          <w:p w14:paraId="0700638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服务器管理</w:t>
            </w:r>
          </w:p>
        </w:tc>
        <w:tc>
          <w:tcPr>
            <w:tcW w:w="4667" w:type="dxa"/>
            <w:vAlign w:val="center"/>
          </w:tcPr>
          <w:p w14:paraId="06D41D0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要支持对Windows、UNIX、Linux等多种操作系统管理和监视，对服务器操作系统的运行状态和性能数据，包括服务器的CPU负载、内存利用率、应用进程、文件系统、文件体积等信息的分析与监视。管理和监视服务器上各应用服务的运行状态和性能数据，包括Email、HTTP、FTP、数据库、DNS、DHCP服务以及各中间件等。</w:t>
            </w:r>
          </w:p>
        </w:tc>
        <w:tc>
          <w:tcPr>
            <w:tcW w:w="733" w:type="dxa"/>
            <w:vMerge w:val="restart"/>
            <w:vAlign w:val="center"/>
          </w:tcPr>
          <w:p w14:paraId="2250750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66A3E14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w:t>
            </w:r>
          </w:p>
        </w:tc>
      </w:tr>
      <w:tr w14:paraId="4E6CC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CA14A9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662</w:t>
            </w:r>
          </w:p>
        </w:tc>
        <w:tc>
          <w:tcPr>
            <w:tcW w:w="720" w:type="dxa"/>
            <w:vMerge w:val="continue"/>
            <w:vAlign w:val="center"/>
          </w:tcPr>
          <w:p w14:paraId="4399143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F17444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433A1E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CPU负载信息查询</w:t>
            </w:r>
          </w:p>
        </w:tc>
        <w:tc>
          <w:tcPr>
            <w:tcW w:w="4667" w:type="dxa"/>
            <w:vAlign w:val="center"/>
          </w:tcPr>
          <w:p w14:paraId="414DB96B">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支持动态数据流转图，以多种形式实时展示主机服务器的软硬件配置信息。</w:t>
            </w:r>
          </w:p>
        </w:tc>
        <w:tc>
          <w:tcPr>
            <w:tcW w:w="733" w:type="dxa"/>
            <w:vMerge w:val="continue"/>
            <w:vAlign w:val="center"/>
          </w:tcPr>
          <w:p w14:paraId="5327A91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FC6D82C">
            <w:pPr>
              <w:jc w:val="center"/>
              <w:rPr>
                <w:rFonts w:hint="eastAsia" w:ascii="宋体" w:hAnsi="宋体" w:eastAsia="宋体" w:cs="宋体"/>
                <w:b w:val="0"/>
                <w:bCs w:val="0"/>
                <w:color w:val="auto"/>
                <w:kern w:val="0"/>
                <w:sz w:val="20"/>
                <w:szCs w:val="20"/>
                <w:highlight w:val="none"/>
                <w:lang w:val="en-US" w:eastAsia="zh-CN" w:bidi="ar-SA"/>
              </w:rPr>
            </w:pPr>
          </w:p>
        </w:tc>
      </w:tr>
      <w:tr w14:paraId="1FF51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25E501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663</w:t>
            </w:r>
          </w:p>
        </w:tc>
        <w:tc>
          <w:tcPr>
            <w:tcW w:w="720" w:type="dxa"/>
            <w:vMerge w:val="continue"/>
            <w:vAlign w:val="center"/>
          </w:tcPr>
          <w:p w14:paraId="3FEF7AC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1E9FB1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70BEA5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内存使用率信息查询</w:t>
            </w:r>
          </w:p>
        </w:tc>
        <w:tc>
          <w:tcPr>
            <w:tcW w:w="4667" w:type="dxa"/>
            <w:vAlign w:val="center"/>
          </w:tcPr>
          <w:p w14:paraId="6D59DFE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支持动态数据流转图，以多种形式实时展示主机服务器的软硬件配置信息。</w:t>
            </w:r>
          </w:p>
        </w:tc>
        <w:tc>
          <w:tcPr>
            <w:tcW w:w="733" w:type="dxa"/>
            <w:vMerge w:val="continue"/>
            <w:vAlign w:val="center"/>
          </w:tcPr>
          <w:p w14:paraId="3167D6F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50FC814">
            <w:pPr>
              <w:jc w:val="center"/>
              <w:rPr>
                <w:rFonts w:hint="eastAsia" w:ascii="宋体" w:hAnsi="宋体" w:eastAsia="宋体" w:cs="宋体"/>
                <w:b w:val="0"/>
                <w:bCs w:val="0"/>
                <w:color w:val="auto"/>
                <w:kern w:val="0"/>
                <w:sz w:val="20"/>
                <w:szCs w:val="20"/>
                <w:highlight w:val="none"/>
                <w:lang w:val="en-US" w:eastAsia="zh-CN" w:bidi="ar-SA"/>
              </w:rPr>
            </w:pPr>
          </w:p>
        </w:tc>
      </w:tr>
      <w:tr w14:paraId="6F02D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1C0361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664</w:t>
            </w:r>
          </w:p>
        </w:tc>
        <w:tc>
          <w:tcPr>
            <w:tcW w:w="720" w:type="dxa"/>
            <w:vMerge w:val="continue"/>
            <w:vAlign w:val="center"/>
          </w:tcPr>
          <w:p w14:paraId="4D7DB2E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819D46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BA954C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硬盘容量信息查询</w:t>
            </w:r>
          </w:p>
        </w:tc>
        <w:tc>
          <w:tcPr>
            <w:tcW w:w="4667" w:type="dxa"/>
            <w:vAlign w:val="center"/>
          </w:tcPr>
          <w:p w14:paraId="5D611B5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支持动态数据流转图，以多种形式实时展示主机服务器的软硬件配置信息。</w:t>
            </w:r>
          </w:p>
        </w:tc>
        <w:tc>
          <w:tcPr>
            <w:tcW w:w="733" w:type="dxa"/>
            <w:vMerge w:val="continue"/>
            <w:vAlign w:val="center"/>
          </w:tcPr>
          <w:p w14:paraId="03303B8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F8D42C2">
            <w:pPr>
              <w:jc w:val="center"/>
              <w:rPr>
                <w:rFonts w:hint="eastAsia" w:ascii="宋体" w:hAnsi="宋体" w:eastAsia="宋体" w:cs="宋体"/>
                <w:b w:val="0"/>
                <w:bCs w:val="0"/>
                <w:color w:val="auto"/>
                <w:kern w:val="0"/>
                <w:sz w:val="20"/>
                <w:szCs w:val="20"/>
                <w:highlight w:val="none"/>
                <w:lang w:val="en-US" w:eastAsia="zh-CN" w:bidi="ar-SA"/>
              </w:rPr>
            </w:pPr>
          </w:p>
        </w:tc>
      </w:tr>
      <w:tr w14:paraId="3959D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E20B02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665</w:t>
            </w:r>
          </w:p>
        </w:tc>
        <w:tc>
          <w:tcPr>
            <w:tcW w:w="720" w:type="dxa"/>
            <w:vMerge w:val="continue"/>
            <w:vAlign w:val="center"/>
          </w:tcPr>
          <w:p w14:paraId="6030EA6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7E5FD4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CE7E13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应用进程信息查询</w:t>
            </w:r>
          </w:p>
        </w:tc>
        <w:tc>
          <w:tcPr>
            <w:tcW w:w="4667" w:type="dxa"/>
            <w:vAlign w:val="center"/>
          </w:tcPr>
          <w:p w14:paraId="602F126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支持动态数据流转图，以多种形式实时展示主机服务器的软硬件配置信息。</w:t>
            </w:r>
          </w:p>
        </w:tc>
        <w:tc>
          <w:tcPr>
            <w:tcW w:w="733" w:type="dxa"/>
            <w:vMerge w:val="continue"/>
            <w:vAlign w:val="center"/>
          </w:tcPr>
          <w:p w14:paraId="2A11DA8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2C994AB">
            <w:pPr>
              <w:jc w:val="center"/>
              <w:rPr>
                <w:rFonts w:hint="eastAsia" w:ascii="宋体" w:hAnsi="宋体" w:eastAsia="宋体" w:cs="宋体"/>
                <w:b w:val="0"/>
                <w:bCs w:val="0"/>
                <w:color w:val="auto"/>
                <w:kern w:val="0"/>
                <w:sz w:val="20"/>
                <w:szCs w:val="20"/>
                <w:highlight w:val="none"/>
                <w:lang w:val="en-US" w:eastAsia="zh-CN" w:bidi="ar-SA"/>
              </w:rPr>
            </w:pPr>
          </w:p>
        </w:tc>
      </w:tr>
      <w:tr w14:paraId="1A230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2B305B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666</w:t>
            </w:r>
          </w:p>
        </w:tc>
        <w:tc>
          <w:tcPr>
            <w:tcW w:w="720" w:type="dxa"/>
            <w:vMerge w:val="continue"/>
            <w:vAlign w:val="center"/>
          </w:tcPr>
          <w:p w14:paraId="4F89F4B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12B70FF">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E81361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文件占用空间信息查询</w:t>
            </w:r>
          </w:p>
        </w:tc>
        <w:tc>
          <w:tcPr>
            <w:tcW w:w="4667" w:type="dxa"/>
            <w:vAlign w:val="center"/>
          </w:tcPr>
          <w:p w14:paraId="44E4B20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支持动态数据流转图，以多种形式实时展示主机服务器的软硬件配置信息。</w:t>
            </w:r>
          </w:p>
        </w:tc>
        <w:tc>
          <w:tcPr>
            <w:tcW w:w="733" w:type="dxa"/>
            <w:vMerge w:val="continue"/>
            <w:vAlign w:val="center"/>
          </w:tcPr>
          <w:p w14:paraId="155C60C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A9AF5BC">
            <w:pPr>
              <w:jc w:val="center"/>
              <w:rPr>
                <w:rFonts w:hint="eastAsia" w:ascii="宋体" w:hAnsi="宋体" w:eastAsia="宋体" w:cs="宋体"/>
                <w:b w:val="0"/>
                <w:bCs w:val="0"/>
                <w:color w:val="auto"/>
                <w:kern w:val="0"/>
                <w:sz w:val="20"/>
                <w:szCs w:val="20"/>
                <w:highlight w:val="none"/>
                <w:lang w:val="en-US" w:eastAsia="zh-CN" w:bidi="ar-SA"/>
              </w:rPr>
            </w:pPr>
          </w:p>
        </w:tc>
      </w:tr>
      <w:tr w14:paraId="4D7F1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3B9B73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667</w:t>
            </w:r>
          </w:p>
        </w:tc>
        <w:tc>
          <w:tcPr>
            <w:tcW w:w="720" w:type="dxa"/>
            <w:vMerge w:val="continue"/>
            <w:vAlign w:val="center"/>
          </w:tcPr>
          <w:p w14:paraId="4A2523C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130A83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64A67A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网络流量信息查询</w:t>
            </w:r>
          </w:p>
        </w:tc>
        <w:tc>
          <w:tcPr>
            <w:tcW w:w="4667" w:type="dxa"/>
            <w:vAlign w:val="center"/>
          </w:tcPr>
          <w:p w14:paraId="38B54A9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支持动态数据流转图，以多种形式实时展示主机服务器的软硬件配置信息。</w:t>
            </w:r>
          </w:p>
        </w:tc>
        <w:tc>
          <w:tcPr>
            <w:tcW w:w="733" w:type="dxa"/>
            <w:vMerge w:val="continue"/>
            <w:vAlign w:val="center"/>
          </w:tcPr>
          <w:p w14:paraId="1880C2C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186B7E4">
            <w:pPr>
              <w:jc w:val="center"/>
              <w:rPr>
                <w:rFonts w:hint="eastAsia" w:ascii="宋体" w:hAnsi="宋体" w:eastAsia="宋体" w:cs="宋体"/>
                <w:b w:val="0"/>
                <w:bCs w:val="0"/>
                <w:color w:val="auto"/>
                <w:kern w:val="0"/>
                <w:sz w:val="20"/>
                <w:szCs w:val="20"/>
                <w:highlight w:val="none"/>
                <w:lang w:val="en-US" w:eastAsia="zh-CN" w:bidi="ar-SA"/>
              </w:rPr>
            </w:pPr>
          </w:p>
        </w:tc>
      </w:tr>
      <w:tr w14:paraId="49C06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03916C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668</w:t>
            </w:r>
          </w:p>
        </w:tc>
        <w:tc>
          <w:tcPr>
            <w:tcW w:w="720" w:type="dxa"/>
            <w:vMerge w:val="continue"/>
            <w:vAlign w:val="center"/>
          </w:tcPr>
          <w:p w14:paraId="493D89E8">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697A7AA7">
            <w:pPr>
              <w:tabs>
                <w:tab w:val="left" w:pos="450"/>
              </w:tabs>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数据库监控</w:t>
            </w:r>
          </w:p>
        </w:tc>
        <w:tc>
          <w:tcPr>
            <w:tcW w:w="2058" w:type="dxa"/>
            <w:vAlign w:val="center"/>
          </w:tcPr>
          <w:p w14:paraId="7665E35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数据库运行监控</w:t>
            </w:r>
          </w:p>
        </w:tc>
        <w:tc>
          <w:tcPr>
            <w:tcW w:w="4667" w:type="dxa"/>
            <w:vAlign w:val="center"/>
          </w:tcPr>
          <w:p w14:paraId="03B3D26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系统支持Oracle、Microsoft SQL Server、MySQL、DB2、Informix、PostgreSQL、金仓和达梦等国产数据库等主流数据库的监控，系统能对核心业务系统的数据库进行有效的监控和管理。</w:t>
            </w:r>
          </w:p>
        </w:tc>
        <w:tc>
          <w:tcPr>
            <w:tcW w:w="733" w:type="dxa"/>
            <w:vMerge w:val="restart"/>
            <w:vAlign w:val="center"/>
          </w:tcPr>
          <w:p w14:paraId="2C97611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5644FA4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w:t>
            </w:r>
          </w:p>
        </w:tc>
      </w:tr>
      <w:tr w14:paraId="00291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DA7191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669</w:t>
            </w:r>
          </w:p>
        </w:tc>
        <w:tc>
          <w:tcPr>
            <w:tcW w:w="720" w:type="dxa"/>
            <w:vMerge w:val="continue"/>
            <w:vAlign w:val="center"/>
          </w:tcPr>
          <w:p w14:paraId="71B1F7E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F7FA93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8C63D6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数据库连接失败报警</w:t>
            </w:r>
          </w:p>
        </w:tc>
        <w:tc>
          <w:tcPr>
            <w:tcW w:w="4667" w:type="dxa"/>
            <w:vAlign w:val="center"/>
          </w:tcPr>
          <w:p w14:paraId="3EBEBB2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数据库监视器对越界产生报警事件</w:t>
            </w:r>
          </w:p>
        </w:tc>
        <w:tc>
          <w:tcPr>
            <w:tcW w:w="733" w:type="dxa"/>
            <w:vMerge w:val="continue"/>
            <w:vAlign w:val="center"/>
          </w:tcPr>
          <w:p w14:paraId="3E9501D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5E3E028">
            <w:pPr>
              <w:jc w:val="center"/>
              <w:rPr>
                <w:rFonts w:hint="eastAsia" w:ascii="宋体" w:hAnsi="宋体" w:eastAsia="宋体" w:cs="宋体"/>
                <w:b w:val="0"/>
                <w:bCs w:val="0"/>
                <w:color w:val="auto"/>
                <w:kern w:val="0"/>
                <w:sz w:val="20"/>
                <w:szCs w:val="20"/>
                <w:highlight w:val="none"/>
                <w:lang w:val="en-US" w:eastAsia="zh-CN" w:bidi="ar-SA"/>
              </w:rPr>
            </w:pPr>
          </w:p>
        </w:tc>
      </w:tr>
      <w:tr w14:paraId="1C1BD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60740C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670</w:t>
            </w:r>
          </w:p>
        </w:tc>
        <w:tc>
          <w:tcPr>
            <w:tcW w:w="720" w:type="dxa"/>
            <w:vMerge w:val="continue"/>
            <w:vAlign w:val="center"/>
          </w:tcPr>
          <w:p w14:paraId="6F17DBC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FCDBAF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4B0DE1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执行语句失败报警</w:t>
            </w:r>
          </w:p>
        </w:tc>
        <w:tc>
          <w:tcPr>
            <w:tcW w:w="4667" w:type="dxa"/>
            <w:vAlign w:val="center"/>
          </w:tcPr>
          <w:p w14:paraId="364944A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数据库监视器对越界产生报警事件</w:t>
            </w:r>
          </w:p>
        </w:tc>
        <w:tc>
          <w:tcPr>
            <w:tcW w:w="733" w:type="dxa"/>
            <w:vMerge w:val="continue"/>
            <w:vAlign w:val="center"/>
          </w:tcPr>
          <w:p w14:paraId="44D0433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6125DCE">
            <w:pPr>
              <w:jc w:val="center"/>
              <w:rPr>
                <w:rFonts w:hint="eastAsia" w:ascii="宋体" w:hAnsi="宋体" w:eastAsia="宋体" w:cs="宋体"/>
                <w:b w:val="0"/>
                <w:bCs w:val="0"/>
                <w:color w:val="auto"/>
                <w:kern w:val="0"/>
                <w:sz w:val="20"/>
                <w:szCs w:val="20"/>
                <w:highlight w:val="none"/>
                <w:lang w:val="en-US" w:eastAsia="zh-CN" w:bidi="ar-SA"/>
              </w:rPr>
            </w:pPr>
          </w:p>
        </w:tc>
      </w:tr>
      <w:tr w14:paraId="64D28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27B186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671</w:t>
            </w:r>
          </w:p>
        </w:tc>
        <w:tc>
          <w:tcPr>
            <w:tcW w:w="720" w:type="dxa"/>
            <w:vMerge w:val="continue"/>
            <w:vAlign w:val="center"/>
          </w:tcPr>
          <w:p w14:paraId="4D1823E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E47A4F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2E490F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性能阀值越界报警</w:t>
            </w:r>
          </w:p>
        </w:tc>
        <w:tc>
          <w:tcPr>
            <w:tcW w:w="4667" w:type="dxa"/>
            <w:vAlign w:val="center"/>
          </w:tcPr>
          <w:p w14:paraId="0F53600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数据库监视器对越界产生报警事件</w:t>
            </w:r>
          </w:p>
        </w:tc>
        <w:tc>
          <w:tcPr>
            <w:tcW w:w="733" w:type="dxa"/>
            <w:vMerge w:val="continue"/>
            <w:vAlign w:val="center"/>
          </w:tcPr>
          <w:p w14:paraId="50085BC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42A5B8E">
            <w:pPr>
              <w:jc w:val="center"/>
              <w:rPr>
                <w:rFonts w:hint="eastAsia" w:ascii="宋体" w:hAnsi="宋体" w:eastAsia="宋体" w:cs="宋体"/>
                <w:b w:val="0"/>
                <w:bCs w:val="0"/>
                <w:color w:val="auto"/>
                <w:kern w:val="0"/>
                <w:sz w:val="20"/>
                <w:szCs w:val="20"/>
                <w:highlight w:val="none"/>
                <w:lang w:val="en-US" w:eastAsia="zh-CN" w:bidi="ar-SA"/>
              </w:rPr>
            </w:pPr>
          </w:p>
        </w:tc>
      </w:tr>
      <w:tr w14:paraId="563CE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967D8D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672</w:t>
            </w:r>
          </w:p>
        </w:tc>
        <w:tc>
          <w:tcPr>
            <w:tcW w:w="720" w:type="dxa"/>
            <w:vMerge w:val="continue"/>
            <w:vAlign w:val="center"/>
          </w:tcPr>
          <w:p w14:paraId="19125EB9">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0A633CC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报表管理</w:t>
            </w:r>
          </w:p>
        </w:tc>
        <w:tc>
          <w:tcPr>
            <w:tcW w:w="2058" w:type="dxa"/>
            <w:vAlign w:val="center"/>
          </w:tcPr>
          <w:p w14:paraId="07FA2FD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基础报表查看模块</w:t>
            </w:r>
          </w:p>
        </w:tc>
        <w:tc>
          <w:tcPr>
            <w:tcW w:w="4667" w:type="dxa"/>
            <w:vAlign w:val="center"/>
          </w:tcPr>
          <w:p w14:paraId="19873AD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系统应支持数据的历史记录与查看；支持按日报、周报、月报、年报、自定义周期等方式对生成报表。供线性图、直方图、饼图、柱状图、数据列表等多种报表风格。</w:t>
            </w:r>
          </w:p>
        </w:tc>
        <w:tc>
          <w:tcPr>
            <w:tcW w:w="733" w:type="dxa"/>
            <w:vMerge w:val="restart"/>
            <w:vAlign w:val="center"/>
          </w:tcPr>
          <w:p w14:paraId="29F3A6D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021B928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45008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161D22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673</w:t>
            </w:r>
          </w:p>
        </w:tc>
        <w:tc>
          <w:tcPr>
            <w:tcW w:w="720" w:type="dxa"/>
            <w:vMerge w:val="continue"/>
            <w:vAlign w:val="center"/>
          </w:tcPr>
          <w:p w14:paraId="699333B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66AF46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D90401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计划报表模块</w:t>
            </w:r>
          </w:p>
        </w:tc>
        <w:tc>
          <w:tcPr>
            <w:tcW w:w="4667" w:type="dxa"/>
            <w:vAlign w:val="center"/>
          </w:tcPr>
          <w:p w14:paraId="1CC98B4B">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报表包括监控资源的TOPN性能报表、可用性报表、资源清单报表等类别，可自定义报表内容、周期、发送时间等，以邮件附件或链接的方式发送计划报表。报告可以导出到不同的终端，包括打印机、Web文件等。</w:t>
            </w:r>
          </w:p>
        </w:tc>
        <w:tc>
          <w:tcPr>
            <w:tcW w:w="733" w:type="dxa"/>
            <w:vMerge w:val="continue"/>
            <w:vAlign w:val="center"/>
          </w:tcPr>
          <w:p w14:paraId="14C5F0A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0EB9741">
            <w:pPr>
              <w:jc w:val="center"/>
              <w:rPr>
                <w:rFonts w:hint="eastAsia" w:ascii="宋体" w:hAnsi="宋体" w:eastAsia="宋体" w:cs="宋体"/>
                <w:b w:val="0"/>
                <w:bCs w:val="0"/>
                <w:color w:val="auto"/>
                <w:kern w:val="0"/>
                <w:sz w:val="20"/>
                <w:szCs w:val="20"/>
                <w:highlight w:val="none"/>
                <w:lang w:val="en-US" w:eastAsia="zh-CN" w:bidi="ar-SA"/>
              </w:rPr>
            </w:pPr>
          </w:p>
        </w:tc>
      </w:tr>
      <w:tr w14:paraId="4C78D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232194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674</w:t>
            </w:r>
          </w:p>
        </w:tc>
        <w:tc>
          <w:tcPr>
            <w:tcW w:w="720" w:type="dxa"/>
            <w:vMerge w:val="continue"/>
            <w:vAlign w:val="center"/>
          </w:tcPr>
          <w:p w14:paraId="4BABEF9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C631D2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E08B3B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自定义报表功能模块</w:t>
            </w:r>
          </w:p>
        </w:tc>
        <w:tc>
          <w:tcPr>
            <w:tcW w:w="4667" w:type="dxa"/>
            <w:vAlign w:val="center"/>
          </w:tcPr>
          <w:p w14:paraId="5A52B59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支持自定义报表的设计开发功能。</w:t>
            </w:r>
          </w:p>
        </w:tc>
        <w:tc>
          <w:tcPr>
            <w:tcW w:w="733" w:type="dxa"/>
            <w:vMerge w:val="continue"/>
            <w:vAlign w:val="center"/>
          </w:tcPr>
          <w:p w14:paraId="2C9FC19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26845E5">
            <w:pPr>
              <w:jc w:val="center"/>
              <w:rPr>
                <w:rFonts w:hint="eastAsia" w:ascii="宋体" w:hAnsi="宋体" w:eastAsia="宋体" w:cs="宋体"/>
                <w:b w:val="0"/>
                <w:bCs w:val="0"/>
                <w:color w:val="auto"/>
                <w:kern w:val="0"/>
                <w:sz w:val="20"/>
                <w:szCs w:val="20"/>
                <w:highlight w:val="none"/>
                <w:lang w:val="en-US" w:eastAsia="zh-CN" w:bidi="ar-SA"/>
              </w:rPr>
            </w:pPr>
          </w:p>
        </w:tc>
      </w:tr>
      <w:tr w14:paraId="7F8ED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7DC799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675</w:t>
            </w:r>
          </w:p>
        </w:tc>
        <w:tc>
          <w:tcPr>
            <w:tcW w:w="720" w:type="dxa"/>
            <w:vMerge w:val="continue"/>
            <w:vAlign w:val="center"/>
          </w:tcPr>
          <w:p w14:paraId="6CC46C41">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7AA4619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标准接口</w:t>
            </w:r>
          </w:p>
        </w:tc>
        <w:tc>
          <w:tcPr>
            <w:tcW w:w="2058" w:type="dxa"/>
            <w:vAlign w:val="center"/>
          </w:tcPr>
          <w:p w14:paraId="4C1698A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基础标准接口调用模块</w:t>
            </w:r>
          </w:p>
        </w:tc>
        <w:tc>
          <w:tcPr>
            <w:tcW w:w="4667" w:type="dxa"/>
            <w:vAlign w:val="center"/>
          </w:tcPr>
          <w:p w14:paraId="6371F9F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要求提供标准的WebService接口给第三方调用，如HTTP、XML、SOAP、WSDL等</w:t>
            </w:r>
          </w:p>
        </w:tc>
        <w:tc>
          <w:tcPr>
            <w:tcW w:w="733" w:type="dxa"/>
            <w:vAlign w:val="center"/>
          </w:tcPr>
          <w:p w14:paraId="4A353AD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4093DF8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132F8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3A3EA78">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676</w:t>
            </w:r>
          </w:p>
        </w:tc>
        <w:tc>
          <w:tcPr>
            <w:tcW w:w="720" w:type="dxa"/>
            <w:vMerge w:val="continue"/>
            <w:vAlign w:val="center"/>
          </w:tcPr>
          <w:p w14:paraId="0AC849FE">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54DB70C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双机备份</w:t>
            </w:r>
          </w:p>
        </w:tc>
        <w:tc>
          <w:tcPr>
            <w:tcW w:w="2058" w:type="dxa"/>
            <w:vAlign w:val="center"/>
          </w:tcPr>
          <w:p w14:paraId="247EBA9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双机热备模块</w:t>
            </w:r>
          </w:p>
        </w:tc>
        <w:tc>
          <w:tcPr>
            <w:tcW w:w="4667" w:type="dxa"/>
            <w:vAlign w:val="center"/>
          </w:tcPr>
          <w:p w14:paraId="487B18D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系统支持双机热备，当主服务器发生故障时，系统可以快速切换到备份机上。</w:t>
            </w:r>
          </w:p>
        </w:tc>
        <w:tc>
          <w:tcPr>
            <w:tcW w:w="733" w:type="dxa"/>
            <w:vAlign w:val="center"/>
          </w:tcPr>
          <w:p w14:paraId="1B63AC4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7D8C876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67D66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E6932E7">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677</w:t>
            </w:r>
          </w:p>
        </w:tc>
        <w:tc>
          <w:tcPr>
            <w:tcW w:w="720" w:type="dxa"/>
            <w:vAlign w:val="center"/>
          </w:tcPr>
          <w:p w14:paraId="3AA415C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实施对接</w:t>
            </w:r>
          </w:p>
        </w:tc>
        <w:tc>
          <w:tcPr>
            <w:tcW w:w="875" w:type="dxa"/>
            <w:vAlign w:val="center"/>
          </w:tcPr>
          <w:p w14:paraId="0E7265E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7F428C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项目实施资产梳理</w:t>
            </w:r>
          </w:p>
        </w:tc>
        <w:tc>
          <w:tcPr>
            <w:tcW w:w="4667" w:type="dxa"/>
            <w:vAlign w:val="center"/>
          </w:tcPr>
          <w:p w14:paraId="4DD56755">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项目所需要的网络设备，业务系统</w:t>
            </w:r>
          </w:p>
        </w:tc>
        <w:tc>
          <w:tcPr>
            <w:tcW w:w="733" w:type="dxa"/>
            <w:vAlign w:val="center"/>
          </w:tcPr>
          <w:p w14:paraId="1987921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3792C7A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076DD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CCFDFA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678</w:t>
            </w:r>
          </w:p>
        </w:tc>
        <w:tc>
          <w:tcPr>
            <w:tcW w:w="720" w:type="dxa"/>
            <w:vMerge w:val="restart"/>
            <w:vAlign w:val="center"/>
          </w:tcPr>
          <w:p w14:paraId="1424376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数据大屏</w:t>
            </w:r>
          </w:p>
        </w:tc>
        <w:tc>
          <w:tcPr>
            <w:tcW w:w="2933" w:type="dxa"/>
            <w:gridSpan w:val="2"/>
            <w:vMerge w:val="restart"/>
            <w:vAlign w:val="center"/>
          </w:tcPr>
          <w:p w14:paraId="670957A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运维监管中心</w:t>
            </w:r>
          </w:p>
        </w:tc>
        <w:tc>
          <w:tcPr>
            <w:tcW w:w="4667" w:type="dxa"/>
            <w:vAlign w:val="center"/>
          </w:tcPr>
          <w:p w14:paraId="53C7620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建设运维监管中心，信息基础架构各方面（从网络设备到服务的物理载体—服务器，再到各种应用程序）进行分层透明化的监视</w:t>
            </w:r>
          </w:p>
        </w:tc>
        <w:tc>
          <w:tcPr>
            <w:tcW w:w="733" w:type="dxa"/>
            <w:vMerge w:val="restart"/>
            <w:vAlign w:val="center"/>
          </w:tcPr>
          <w:p w14:paraId="5E36CD2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225AAAA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54BB9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EC3796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679</w:t>
            </w:r>
          </w:p>
        </w:tc>
        <w:tc>
          <w:tcPr>
            <w:tcW w:w="720" w:type="dxa"/>
            <w:vMerge w:val="continue"/>
            <w:vAlign w:val="center"/>
          </w:tcPr>
          <w:p w14:paraId="1A06EEF6">
            <w:pPr>
              <w:jc w:val="center"/>
              <w:rPr>
                <w:rFonts w:hint="eastAsia" w:ascii="宋体" w:hAnsi="宋体" w:eastAsia="宋体" w:cs="宋体"/>
                <w:b w:val="0"/>
                <w:bCs w:val="0"/>
                <w:color w:val="auto"/>
                <w:kern w:val="0"/>
                <w:sz w:val="20"/>
                <w:szCs w:val="20"/>
                <w:highlight w:val="none"/>
                <w:lang w:val="en-US" w:eastAsia="zh-CN" w:bidi="ar-SA"/>
              </w:rPr>
            </w:pPr>
          </w:p>
        </w:tc>
        <w:tc>
          <w:tcPr>
            <w:tcW w:w="2933" w:type="dxa"/>
            <w:gridSpan w:val="2"/>
            <w:vMerge w:val="continue"/>
            <w:vAlign w:val="center"/>
          </w:tcPr>
          <w:p w14:paraId="57ABD574">
            <w:pPr>
              <w:jc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0B01CB9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全面覆盖数字化信息系统的数据交换平台（网络）、主机系统、应用服务等数字化信息基础架构的各个层面</w:t>
            </w:r>
          </w:p>
        </w:tc>
        <w:tc>
          <w:tcPr>
            <w:tcW w:w="733" w:type="dxa"/>
            <w:vMerge w:val="continue"/>
            <w:vAlign w:val="center"/>
          </w:tcPr>
          <w:p w14:paraId="6F4C275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8D09529">
            <w:pPr>
              <w:jc w:val="center"/>
              <w:rPr>
                <w:rFonts w:hint="eastAsia" w:ascii="宋体" w:hAnsi="宋体" w:eastAsia="宋体" w:cs="宋体"/>
                <w:b w:val="0"/>
                <w:bCs w:val="0"/>
                <w:color w:val="auto"/>
                <w:kern w:val="0"/>
                <w:sz w:val="20"/>
                <w:szCs w:val="20"/>
                <w:highlight w:val="none"/>
                <w:lang w:val="en-US" w:eastAsia="zh-CN" w:bidi="ar-SA"/>
              </w:rPr>
            </w:pPr>
          </w:p>
        </w:tc>
      </w:tr>
      <w:tr w14:paraId="3A5CB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44DA16A">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680</w:t>
            </w:r>
          </w:p>
        </w:tc>
        <w:tc>
          <w:tcPr>
            <w:tcW w:w="720" w:type="dxa"/>
            <w:vMerge w:val="continue"/>
            <w:vAlign w:val="center"/>
          </w:tcPr>
          <w:p w14:paraId="4D4FB92A">
            <w:pPr>
              <w:jc w:val="center"/>
              <w:rPr>
                <w:rFonts w:hint="eastAsia" w:ascii="宋体" w:hAnsi="宋体" w:eastAsia="宋体" w:cs="宋体"/>
                <w:b w:val="0"/>
                <w:bCs w:val="0"/>
                <w:color w:val="auto"/>
                <w:kern w:val="0"/>
                <w:sz w:val="20"/>
                <w:szCs w:val="20"/>
                <w:highlight w:val="none"/>
                <w:lang w:val="en-US" w:eastAsia="zh-CN" w:bidi="ar-SA"/>
              </w:rPr>
            </w:pPr>
          </w:p>
        </w:tc>
        <w:tc>
          <w:tcPr>
            <w:tcW w:w="2933" w:type="dxa"/>
            <w:gridSpan w:val="2"/>
            <w:vMerge w:val="continue"/>
            <w:vAlign w:val="center"/>
          </w:tcPr>
          <w:p w14:paraId="5400FF71">
            <w:pPr>
              <w:jc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4495631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对包括环境、资源、安全等各个环节在内关键要素的管理，对它们实行一体化综合管理</w:t>
            </w:r>
          </w:p>
        </w:tc>
        <w:tc>
          <w:tcPr>
            <w:tcW w:w="733" w:type="dxa"/>
            <w:vMerge w:val="continue"/>
            <w:vAlign w:val="center"/>
          </w:tcPr>
          <w:p w14:paraId="58622F3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B900EAF">
            <w:pPr>
              <w:jc w:val="center"/>
              <w:rPr>
                <w:rFonts w:hint="eastAsia" w:ascii="宋体" w:hAnsi="宋体" w:eastAsia="宋体" w:cs="宋体"/>
                <w:b w:val="0"/>
                <w:bCs w:val="0"/>
                <w:color w:val="auto"/>
                <w:kern w:val="0"/>
                <w:sz w:val="20"/>
                <w:szCs w:val="20"/>
                <w:highlight w:val="none"/>
                <w:lang w:val="en-US" w:eastAsia="zh-CN" w:bidi="ar-SA"/>
              </w:rPr>
            </w:pPr>
          </w:p>
        </w:tc>
      </w:tr>
    </w:tbl>
    <w:p w14:paraId="4323DE24">
      <w:pPr>
        <w:pStyle w:val="2"/>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both"/>
        <w:textAlignment w:val="auto"/>
        <w:rPr>
          <w:rFonts w:hint="eastAsia" w:ascii="宋体" w:hAnsi="宋体" w:eastAsia="宋体" w:cs="宋体"/>
          <w:highlight w:val="yellow"/>
          <w:lang w:val="en-US" w:eastAsia="zh-CN"/>
        </w:rPr>
      </w:pPr>
      <w:r>
        <w:rPr>
          <w:rFonts w:hint="eastAsia" w:ascii="宋体" w:hAnsi="宋体" w:eastAsia="宋体" w:cs="宋体"/>
          <w:highlight w:val="yellow"/>
          <w:lang w:val="en-US" w:eastAsia="zh-CN"/>
        </w:rPr>
        <w:t>（二）-13：</w:t>
      </w:r>
      <w:r>
        <w:rPr>
          <w:rFonts w:hint="eastAsia" w:ascii="宋体" w:hAnsi="宋体" w:eastAsia="宋体" w:cs="宋体"/>
          <w:b w:val="0"/>
          <w:bCs w:val="0"/>
          <w:highlight w:val="yellow"/>
          <w:lang w:val="en-US" w:eastAsia="zh-CN"/>
        </w:rPr>
        <w:t>数据分析与共享</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300"/>
        <w:gridCol w:w="1824"/>
        <w:gridCol w:w="5476"/>
        <w:gridCol w:w="733"/>
        <w:gridCol w:w="714"/>
      </w:tblGrid>
      <w:tr w14:paraId="0EBE7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ACF672A">
            <w:pPr>
              <w:widowControl/>
              <w:jc w:val="center"/>
              <w:rPr>
                <w:rFonts w:hint="eastAsia" w:ascii="仿宋" w:hAnsi="仿宋" w:eastAsia="仿宋" w:cs="宋体"/>
                <w:color w:val="auto"/>
                <w:sz w:val="22"/>
                <w:szCs w:val="22"/>
                <w:highlight w:val="none"/>
                <w:lang w:val="en-US" w:eastAsia="zh-CN"/>
              </w:rPr>
            </w:pPr>
            <w:r>
              <w:rPr>
                <w:rFonts w:hint="eastAsia" w:ascii="宋体" w:hAnsi="宋体" w:cs="宋体"/>
                <w:b/>
                <w:bCs/>
                <w:color w:val="auto"/>
                <w:kern w:val="0"/>
                <w:sz w:val="20"/>
                <w:szCs w:val="20"/>
                <w:highlight w:val="none"/>
              </w:rPr>
              <w:t>序号</w:t>
            </w:r>
          </w:p>
        </w:tc>
        <w:tc>
          <w:tcPr>
            <w:tcW w:w="2844" w:type="dxa"/>
            <w:gridSpan w:val="3"/>
            <w:vAlign w:val="center"/>
          </w:tcPr>
          <w:p w14:paraId="4C6E80F4">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建设内容</w:t>
            </w:r>
          </w:p>
        </w:tc>
        <w:tc>
          <w:tcPr>
            <w:tcW w:w="5476" w:type="dxa"/>
            <w:vAlign w:val="center"/>
          </w:tcPr>
          <w:p w14:paraId="71FC65F9">
            <w:pPr>
              <w:widowControl/>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502D3EF6">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单位</w:t>
            </w:r>
          </w:p>
        </w:tc>
        <w:tc>
          <w:tcPr>
            <w:tcW w:w="714" w:type="dxa"/>
            <w:vAlign w:val="center"/>
          </w:tcPr>
          <w:p w14:paraId="58224556">
            <w:pPr>
              <w:spacing w:line="240" w:lineRule="exact"/>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Cs w:val="21"/>
                <w:highlight w:val="none"/>
                <w:lang w:eastAsia="zh-CN"/>
              </w:rPr>
              <w:t>数量</w:t>
            </w:r>
          </w:p>
        </w:tc>
      </w:tr>
      <w:tr w14:paraId="1CFFB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98F598A">
            <w:pPr>
              <w:numPr>
                <w:ilvl w:val="0"/>
                <w:numId w:val="13"/>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720" w:type="dxa"/>
            <w:vMerge w:val="restart"/>
            <w:vAlign w:val="center"/>
          </w:tcPr>
          <w:p w14:paraId="2495740B">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分析展示</w:t>
            </w:r>
          </w:p>
        </w:tc>
        <w:tc>
          <w:tcPr>
            <w:tcW w:w="2124" w:type="dxa"/>
            <w:gridSpan w:val="2"/>
            <w:vAlign w:val="center"/>
          </w:tcPr>
          <w:p w14:paraId="35DA249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驾驶舱门户</w:t>
            </w:r>
          </w:p>
        </w:tc>
        <w:tc>
          <w:tcPr>
            <w:tcW w:w="5476" w:type="dxa"/>
            <w:vAlign w:val="center"/>
          </w:tcPr>
          <w:p w14:paraId="787E62E8">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对驾驶舱系统进行统一管理，可以通过门户系统进行不同系统间访问</w:t>
            </w:r>
          </w:p>
        </w:tc>
        <w:tc>
          <w:tcPr>
            <w:tcW w:w="733" w:type="dxa"/>
            <w:vAlign w:val="center"/>
          </w:tcPr>
          <w:p w14:paraId="37209E7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108AFA2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63EF8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E98D095">
            <w:pPr>
              <w:numPr>
                <w:ilvl w:val="0"/>
                <w:numId w:val="13"/>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720" w:type="dxa"/>
            <w:vMerge w:val="continue"/>
            <w:vAlign w:val="center"/>
          </w:tcPr>
          <w:p w14:paraId="7BF3B199">
            <w:pPr>
              <w:jc w:val="center"/>
              <w:rPr>
                <w:rFonts w:hint="eastAsia" w:ascii="宋体" w:hAnsi="宋体" w:eastAsia="宋体" w:cs="宋体"/>
                <w:b/>
                <w:color w:val="auto"/>
                <w:sz w:val="24"/>
                <w:szCs w:val="24"/>
                <w:highlight w:val="none"/>
                <w:vertAlign w:val="baseline"/>
                <w:lang w:eastAsia="zh-CN"/>
              </w:rPr>
            </w:pPr>
          </w:p>
        </w:tc>
        <w:tc>
          <w:tcPr>
            <w:tcW w:w="2124" w:type="dxa"/>
            <w:gridSpan w:val="2"/>
            <w:vAlign w:val="center"/>
          </w:tcPr>
          <w:p w14:paraId="316C333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大屏尺寸适配</w:t>
            </w:r>
          </w:p>
        </w:tc>
        <w:tc>
          <w:tcPr>
            <w:tcW w:w="5476" w:type="dxa"/>
            <w:vAlign w:val="center"/>
          </w:tcPr>
          <w:p w14:paraId="7F511A5D">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看板组件可以根据当前屏幕分辨率进行自动调整，适配满屏展示</w:t>
            </w:r>
          </w:p>
        </w:tc>
        <w:tc>
          <w:tcPr>
            <w:tcW w:w="733" w:type="dxa"/>
            <w:vAlign w:val="center"/>
          </w:tcPr>
          <w:p w14:paraId="04E0901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2774934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018EE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9FBA68C">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restart"/>
            <w:vAlign w:val="center"/>
          </w:tcPr>
          <w:p w14:paraId="348D301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监测评价分析展示</w:t>
            </w:r>
          </w:p>
        </w:tc>
        <w:tc>
          <w:tcPr>
            <w:tcW w:w="1824" w:type="dxa"/>
            <w:vAlign w:val="center"/>
          </w:tcPr>
          <w:p w14:paraId="6C142DA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绩效数据分析试算引擎</w:t>
            </w:r>
          </w:p>
        </w:tc>
        <w:tc>
          <w:tcPr>
            <w:tcW w:w="5476" w:type="dxa"/>
            <w:vAlign w:val="center"/>
          </w:tcPr>
          <w:p w14:paraId="0FAE448D">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三级公立医院绩效考核操作手册和二级公立医院绩效考核操作手册指定数据分析引擎并试算数据。</w:t>
            </w:r>
          </w:p>
        </w:tc>
        <w:tc>
          <w:tcPr>
            <w:tcW w:w="733" w:type="dxa"/>
            <w:vMerge w:val="restart"/>
            <w:vAlign w:val="center"/>
          </w:tcPr>
          <w:p w14:paraId="0B2CD19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19889458">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29</w:t>
            </w:r>
          </w:p>
        </w:tc>
      </w:tr>
      <w:tr w14:paraId="3272B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8E3EEFB">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75AF04B8">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10D07EE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医院历史排名分析页</w:t>
            </w:r>
          </w:p>
        </w:tc>
        <w:tc>
          <w:tcPr>
            <w:tcW w:w="5476" w:type="dxa"/>
            <w:vAlign w:val="center"/>
          </w:tcPr>
          <w:p w14:paraId="55A4A039">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将国家反馈的历年数据进行图表展示，直观反映了得分、排名、指标的变化情况</w:t>
            </w:r>
          </w:p>
        </w:tc>
        <w:tc>
          <w:tcPr>
            <w:tcW w:w="733" w:type="dxa"/>
            <w:vMerge w:val="continue"/>
            <w:vAlign w:val="center"/>
          </w:tcPr>
          <w:p w14:paraId="120C357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03D5AAE">
            <w:pPr>
              <w:jc w:val="center"/>
              <w:rPr>
                <w:rFonts w:hint="eastAsia" w:ascii="宋体" w:hAnsi="宋体" w:eastAsia="宋体" w:cs="宋体"/>
                <w:b w:val="0"/>
                <w:bCs w:val="0"/>
                <w:color w:val="auto"/>
                <w:kern w:val="0"/>
                <w:sz w:val="20"/>
                <w:szCs w:val="20"/>
                <w:highlight w:val="none"/>
                <w:lang w:val="en-US" w:eastAsia="zh-CN" w:bidi="ar-SA"/>
              </w:rPr>
            </w:pPr>
          </w:p>
        </w:tc>
      </w:tr>
      <w:tr w14:paraId="25BA5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474EC97">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4386AAAD">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2C52C1B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全国排名、得分分析页</w:t>
            </w:r>
          </w:p>
        </w:tc>
        <w:tc>
          <w:tcPr>
            <w:tcW w:w="5476" w:type="dxa"/>
            <w:vAlign w:val="center"/>
          </w:tcPr>
          <w:p w14:paraId="27A544A5">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以分段形式反映医院所处的排名位次，对出医院距离下一分段的到达情况进行分析</w:t>
            </w:r>
          </w:p>
        </w:tc>
        <w:tc>
          <w:tcPr>
            <w:tcW w:w="733" w:type="dxa"/>
            <w:vMerge w:val="continue"/>
            <w:vAlign w:val="center"/>
          </w:tcPr>
          <w:p w14:paraId="0F2374F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00DDB09">
            <w:pPr>
              <w:jc w:val="center"/>
              <w:rPr>
                <w:rFonts w:hint="eastAsia" w:ascii="宋体" w:hAnsi="宋体" w:eastAsia="宋体" w:cs="宋体"/>
                <w:b w:val="0"/>
                <w:bCs w:val="0"/>
                <w:color w:val="auto"/>
                <w:kern w:val="0"/>
                <w:sz w:val="20"/>
                <w:szCs w:val="20"/>
                <w:highlight w:val="none"/>
                <w:lang w:val="en-US" w:eastAsia="zh-CN" w:bidi="ar-SA"/>
              </w:rPr>
            </w:pPr>
          </w:p>
        </w:tc>
      </w:tr>
      <w:tr w14:paraId="6DB32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C169065">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6E4AD306">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4F947EF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全国详细排名分析页</w:t>
            </w:r>
          </w:p>
        </w:tc>
        <w:tc>
          <w:tcPr>
            <w:tcW w:w="5476" w:type="dxa"/>
            <w:vAlign w:val="center"/>
          </w:tcPr>
          <w:p w14:paraId="44CF96F4">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收集了历年全国医院公开分数及排名信息，结合各医院的得分排名，横向对比变化情况</w:t>
            </w:r>
          </w:p>
        </w:tc>
        <w:tc>
          <w:tcPr>
            <w:tcW w:w="733" w:type="dxa"/>
            <w:vMerge w:val="continue"/>
            <w:vAlign w:val="center"/>
          </w:tcPr>
          <w:p w14:paraId="701342F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FD63A47">
            <w:pPr>
              <w:jc w:val="center"/>
              <w:rPr>
                <w:rFonts w:hint="eastAsia" w:ascii="宋体" w:hAnsi="宋体" w:eastAsia="宋体" w:cs="宋体"/>
                <w:b w:val="0"/>
                <w:bCs w:val="0"/>
                <w:color w:val="auto"/>
                <w:kern w:val="0"/>
                <w:sz w:val="20"/>
                <w:szCs w:val="20"/>
                <w:highlight w:val="none"/>
                <w:lang w:val="en-US" w:eastAsia="zh-CN" w:bidi="ar-SA"/>
              </w:rPr>
            </w:pPr>
          </w:p>
        </w:tc>
      </w:tr>
      <w:tr w14:paraId="7038F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E502FAD">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0D0EF0F9">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571BC88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测算数据分析页（得分、值、扣分）</w:t>
            </w:r>
          </w:p>
        </w:tc>
        <w:tc>
          <w:tcPr>
            <w:tcW w:w="5476" w:type="dxa"/>
            <w:vAlign w:val="center"/>
          </w:tcPr>
          <w:p w14:paraId="65080822">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对参与得分计算的各个指标进行基于不同系数下的得分变化情况展示</w:t>
            </w:r>
          </w:p>
        </w:tc>
        <w:tc>
          <w:tcPr>
            <w:tcW w:w="733" w:type="dxa"/>
            <w:vMerge w:val="continue"/>
            <w:vAlign w:val="center"/>
          </w:tcPr>
          <w:p w14:paraId="5BFC19B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417F2F8">
            <w:pPr>
              <w:jc w:val="center"/>
              <w:rPr>
                <w:rFonts w:hint="eastAsia" w:ascii="宋体" w:hAnsi="宋体" w:eastAsia="宋体" w:cs="宋体"/>
                <w:b w:val="0"/>
                <w:bCs w:val="0"/>
                <w:color w:val="auto"/>
                <w:kern w:val="0"/>
                <w:sz w:val="20"/>
                <w:szCs w:val="20"/>
                <w:highlight w:val="none"/>
                <w:lang w:val="en-US" w:eastAsia="zh-CN" w:bidi="ar-SA"/>
              </w:rPr>
            </w:pPr>
          </w:p>
        </w:tc>
      </w:tr>
      <w:tr w14:paraId="0113C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B15AE3E">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3AEBDD20">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4AD7F6D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出院患者手术占比分析页</w:t>
            </w:r>
          </w:p>
        </w:tc>
        <w:tc>
          <w:tcPr>
            <w:tcW w:w="5476" w:type="dxa"/>
            <w:vAlign w:val="center"/>
          </w:tcPr>
          <w:p w14:paraId="0218918D">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对出院患者手术占比的历年数据进行展示，对试算结果基于不同系数影响下的变化情况进行分析</w:t>
            </w:r>
          </w:p>
        </w:tc>
        <w:tc>
          <w:tcPr>
            <w:tcW w:w="733" w:type="dxa"/>
            <w:vMerge w:val="continue"/>
            <w:vAlign w:val="center"/>
          </w:tcPr>
          <w:p w14:paraId="5029019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FE4F95E">
            <w:pPr>
              <w:jc w:val="center"/>
              <w:rPr>
                <w:rFonts w:hint="eastAsia" w:ascii="宋体" w:hAnsi="宋体" w:eastAsia="宋体" w:cs="宋体"/>
                <w:b w:val="0"/>
                <w:bCs w:val="0"/>
                <w:color w:val="auto"/>
                <w:kern w:val="0"/>
                <w:sz w:val="20"/>
                <w:szCs w:val="20"/>
                <w:highlight w:val="none"/>
                <w:lang w:val="en-US" w:eastAsia="zh-CN" w:bidi="ar-SA"/>
              </w:rPr>
            </w:pPr>
          </w:p>
        </w:tc>
      </w:tr>
      <w:tr w14:paraId="1ED80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0ED1319">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5074DE54">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4488F9A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出院患者微创手术占比</w:t>
            </w:r>
          </w:p>
        </w:tc>
        <w:tc>
          <w:tcPr>
            <w:tcW w:w="5476" w:type="dxa"/>
            <w:vAlign w:val="center"/>
          </w:tcPr>
          <w:p w14:paraId="0C21D4A5">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对出院患者微创手术占比的历年数据进行展示，对试算结果基于不同系数影响下的变化情况进行分析</w:t>
            </w:r>
          </w:p>
        </w:tc>
        <w:tc>
          <w:tcPr>
            <w:tcW w:w="733" w:type="dxa"/>
            <w:vMerge w:val="continue"/>
            <w:vAlign w:val="center"/>
          </w:tcPr>
          <w:p w14:paraId="5B86D29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14561F5">
            <w:pPr>
              <w:jc w:val="center"/>
              <w:rPr>
                <w:rFonts w:hint="eastAsia" w:ascii="宋体" w:hAnsi="宋体" w:eastAsia="宋体" w:cs="宋体"/>
                <w:b w:val="0"/>
                <w:bCs w:val="0"/>
                <w:color w:val="auto"/>
                <w:kern w:val="0"/>
                <w:sz w:val="20"/>
                <w:szCs w:val="20"/>
                <w:highlight w:val="none"/>
                <w:lang w:val="en-US" w:eastAsia="zh-CN" w:bidi="ar-SA"/>
              </w:rPr>
            </w:pPr>
          </w:p>
        </w:tc>
      </w:tr>
      <w:tr w14:paraId="16D4A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5A21610">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6D01F4DE">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0F6E5AB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出院患者四级手术比例</w:t>
            </w:r>
          </w:p>
        </w:tc>
        <w:tc>
          <w:tcPr>
            <w:tcW w:w="5476" w:type="dxa"/>
            <w:vAlign w:val="center"/>
          </w:tcPr>
          <w:p w14:paraId="130ACD49">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对出院患者四级手术比例的历年数据进行展示，对试算结果基于不同系数影响下的变化情况进行分析</w:t>
            </w:r>
          </w:p>
        </w:tc>
        <w:tc>
          <w:tcPr>
            <w:tcW w:w="733" w:type="dxa"/>
            <w:vMerge w:val="continue"/>
            <w:vAlign w:val="center"/>
          </w:tcPr>
          <w:p w14:paraId="43EA595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FAF2818">
            <w:pPr>
              <w:jc w:val="center"/>
              <w:rPr>
                <w:rFonts w:hint="eastAsia" w:ascii="宋体" w:hAnsi="宋体" w:eastAsia="宋体" w:cs="宋体"/>
                <w:b w:val="0"/>
                <w:bCs w:val="0"/>
                <w:color w:val="auto"/>
                <w:kern w:val="0"/>
                <w:sz w:val="20"/>
                <w:szCs w:val="20"/>
                <w:highlight w:val="none"/>
                <w:lang w:val="en-US" w:eastAsia="zh-CN" w:bidi="ar-SA"/>
              </w:rPr>
            </w:pPr>
          </w:p>
        </w:tc>
      </w:tr>
      <w:tr w14:paraId="7566F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8C354FE">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168D2162">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546121B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手术患者并发症发生率</w:t>
            </w:r>
          </w:p>
        </w:tc>
        <w:tc>
          <w:tcPr>
            <w:tcW w:w="5476" w:type="dxa"/>
            <w:vAlign w:val="center"/>
          </w:tcPr>
          <w:p w14:paraId="0759D348">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对手术患者并发症的历年数据进行展示，对试算结果基于不同系数影响下的变化情况进行分析</w:t>
            </w:r>
          </w:p>
        </w:tc>
        <w:tc>
          <w:tcPr>
            <w:tcW w:w="733" w:type="dxa"/>
            <w:vMerge w:val="continue"/>
            <w:vAlign w:val="center"/>
          </w:tcPr>
          <w:p w14:paraId="2066148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C8ACD36">
            <w:pPr>
              <w:jc w:val="center"/>
              <w:rPr>
                <w:rFonts w:hint="eastAsia" w:ascii="宋体" w:hAnsi="宋体" w:eastAsia="宋体" w:cs="宋体"/>
                <w:b w:val="0"/>
                <w:bCs w:val="0"/>
                <w:color w:val="auto"/>
                <w:kern w:val="0"/>
                <w:sz w:val="20"/>
                <w:szCs w:val="20"/>
                <w:highlight w:val="none"/>
                <w:lang w:val="en-US" w:eastAsia="zh-CN" w:bidi="ar-SA"/>
              </w:rPr>
            </w:pPr>
          </w:p>
        </w:tc>
      </w:tr>
      <w:tr w14:paraId="516D5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2B246F0">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26CA2888">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6FE4D76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I类切口手术部位感染率</w:t>
            </w:r>
          </w:p>
        </w:tc>
        <w:tc>
          <w:tcPr>
            <w:tcW w:w="5476" w:type="dxa"/>
            <w:vAlign w:val="center"/>
          </w:tcPr>
          <w:p w14:paraId="5EE41DD0">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对I类切口手术部位感染率的历年数据进行展示，对试算结果基于不同系数影响下的变化情况进行分析</w:t>
            </w:r>
          </w:p>
        </w:tc>
        <w:tc>
          <w:tcPr>
            <w:tcW w:w="733" w:type="dxa"/>
            <w:vMerge w:val="continue"/>
            <w:vAlign w:val="center"/>
          </w:tcPr>
          <w:p w14:paraId="73276B6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C3DC0E4">
            <w:pPr>
              <w:jc w:val="center"/>
              <w:rPr>
                <w:rFonts w:hint="eastAsia" w:ascii="宋体" w:hAnsi="宋体" w:eastAsia="宋体" w:cs="宋体"/>
                <w:b w:val="0"/>
                <w:bCs w:val="0"/>
                <w:color w:val="auto"/>
                <w:kern w:val="0"/>
                <w:sz w:val="20"/>
                <w:szCs w:val="20"/>
                <w:highlight w:val="none"/>
                <w:lang w:val="en-US" w:eastAsia="zh-CN" w:bidi="ar-SA"/>
              </w:rPr>
            </w:pPr>
          </w:p>
        </w:tc>
      </w:tr>
      <w:tr w14:paraId="3518A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AE30D81">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0BA7E7C0">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6ECA6EF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单病种质控分析页</w:t>
            </w:r>
          </w:p>
        </w:tc>
        <w:tc>
          <w:tcPr>
            <w:tcW w:w="5476" w:type="dxa"/>
            <w:vAlign w:val="center"/>
          </w:tcPr>
          <w:p w14:paraId="12566653">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对单病种的汇总情况的历年数据进行展示，对试算结果基于不同系数影响下的变化情况进行分析</w:t>
            </w:r>
          </w:p>
        </w:tc>
        <w:tc>
          <w:tcPr>
            <w:tcW w:w="733" w:type="dxa"/>
            <w:vMerge w:val="continue"/>
            <w:vAlign w:val="center"/>
          </w:tcPr>
          <w:p w14:paraId="4F99745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6933CEA">
            <w:pPr>
              <w:jc w:val="center"/>
              <w:rPr>
                <w:rFonts w:hint="eastAsia" w:ascii="宋体" w:hAnsi="宋体" w:eastAsia="宋体" w:cs="宋体"/>
                <w:b w:val="0"/>
                <w:bCs w:val="0"/>
                <w:color w:val="auto"/>
                <w:kern w:val="0"/>
                <w:sz w:val="20"/>
                <w:szCs w:val="20"/>
                <w:highlight w:val="none"/>
                <w:lang w:val="en-US" w:eastAsia="zh-CN" w:bidi="ar-SA"/>
              </w:rPr>
            </w:pPr>
          </w:p>
        </w:tc>
      </w:tr>
      <w:tr w14:paraId="0096B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FBAE127">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4719FDDF">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2D0F7F6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十个单病种明细分析页</w:t>
            </w:r>
          </w:p>
        </w:tc>
        <w:tc>
          <w:tcPr>
            <w:tcW w:w="5476" w:type="dxa"/>
            <w:vAlign w:val="center"/>
          </w:tcPr>
          <w:p w14:paraId="42F6F515">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对十个单病种明细的历年数据进行展示，对试算结果基于不同系数影响下的变化情况进行分析</w:t>
            </w:r>
          </w:p>
        </w:tc>
        <w:tc>
          <w:tcPr>
            <w:tcW w:w="733" w:type="dxa"/>
            <w:vMerge w:val="continue"/>
            <w:vAlign w:val="center"/>
          </w:tcPr>
          <w:p w14:paraId="3385D77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11DD6B7">
            <w:pPr>
              <w:jc w:val="center"/>
              <w:rPr>
                <w:rFonts w:hint="eastAsia" w:ascii="宋体" w:hAnsi="宋体" w:eastAsia="宋体" w:cs="宋体"/>
                <w:b w:val="0"/>
                <w:bCs w:val="0"/>
                <w:color w:val="auto"/>
                <w:kern w:val="0"/>
                <w:sz w:val="20"/>
                <w:szCs w:val="20"/>
                <w:highlight w:val="none"/>
                <w:lang w:val="en-US" w:eastAsia="zh-CN" w:bidi="ar-SA"/>
              </w:rPr>
            </w:pPr>
          </w:p>
        </w:tc>
      </w:tr>
      <w:tr w14:paraId="3821E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6088EDA">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65811A1B">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6EDA9D6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通过国家室间质量评价分析页</w:t>
            </w:r>
          </w:p>
        </w:tc>
        <w:tc>
          <w:tcPr>
            <w:tcW w:w="5476" w:type="dxa"/>
            <w:vAlign w:val="center"/>
          </w:tcPr>
          <w:p w14:paraId="485DAABF">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对通过国家室间质量评价的历年数据进行展示，对试算结果基于不同系数影响下的变化情况进行分析</w:t>
            </w:r>
          </w:p>
        </w:tc>
        <w:tc>
          <w:tcPr>
            <w:tcW w:w="733" w:type="dxa"/>
            <w:vMerge w:val="continue"/>
            <w:vAlign w:val="center"/>
          </w:tcPr>
          <w:p w14:paraId="368DA2D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F80FDF8">
            <w:pPr>
              <w:jc w:val="center"/>
              <w:rPr>
                <w:rFonts w:hint="eastAsia" w:ascii="宋体" w:hAnsi="宋体" w:eastAsia="宋体" w:cs="宋体"/>
                <w:b w:val="0"/>
                <w:bCs w:val="0"/>
                <w:color w:val="auto"/>
                <w:kern w:val="0"/>
                <w:sz w:val="20"/>
                <w:szCs w:val="20"/>
                <w:highlight w:val="none"/>
                <w:lang w:val="en-US" w:eastAsia="zh-CN" w:bidi="ar-SA"/>
              </w:rPr>
            </w:pPr>
          </w:p>
        </w:tc>
      </w:tr>
      <w:tr w14:paraId="20491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462912D">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2D2F7A2F">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3FD99F0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低风险组病例死亡率分析页</w:t>
            </w:r>
          </w:p>
        </w:tc>
        <w:tc>
          <w:tcPr>
            <w:tcW w:w="5476" w:type="dxa"/>
            <w:vAlign w:val="center"/>
          </w:tcPr>
          <w:p w14:paraId="225EC9FA">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对低风险组病例死亡率的历年数据进行展示，对试算结果基于不同系数影响下的变化情况进行分析</w:t>
            </w:r>
          </w:p>
        </w:tc>
        <w:tc>
          <w:tcPr>
            <w:tcW w:w="733" w:type="dxa"/>
            <w:vMerge w:val="continue"/>
            <w:vAlign w:val="center"/>
          </w:tcPr>
          <w:p w14:paraId="3DFCCED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4E4E4C5">
            <w:pPr>
              <w:jc w:val="center"/>
              <w:rPr>
                <w:rFonts w:hint="eastAsia" w:ascii="宋体" w:hAnsi="宋体" w:eastAsia="宋体" w:cs="宋体"/>
                <w:b w:val="0"/>
                <w:bCs w:val="0"/>
                <w:color w:val="auto"/>
                <w:kern w:val="0"/>
                <w:sz w:val="20"/>
                <w:szCs w:val="20"/>
                <w:highlight w:val="none"/>
                <w:lang w:val="en-US" w:eastAsia="zh-CN" w:bidi="ar-SA"/>
              </w:rPr>
            </w:pPr>
          </w:p>
        </w:tc>
      </w:tr>
      <w:tr w14:paraId="22010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F56501E">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0C82C14E">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4A281E5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抗菌药物使用强度分析页</w:t>
            </w:r>
          </w:p>
        </w:tc>
        <w:tc>
          <w:tcPr>
            <w:tcW w:w="5476" w:type="dxa"/>
            <w:vAlign w:val="center"/>
          </w:tcPr>
          <w:p w14:paraId="190A45D2">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对抗菌药物使用强度的历年数据进行展示，对试算结果基于不同系数影响下的变化情况进行分析</w:t>
            </w:r>
          </w:p>
        </w:tc>
        <w:tc>
          <w:tcPr>
            <w:tcW w:w="733" w:type="dxa"/>
            <w:vMerge w:val="continue"/>
            <w:vAlign w:val="center"/>
          </w:tcPr>
          <w:p w14:paraId="1AF6FE3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D32B694">
            <w:pPr>
              <w:jc w:val="center"/>
              <w:rPr>
                <w:rFonts w:hint="eastAsia" w:ascii="宋体" w:hAnsi="宋体" w:eastAsia="宋体" w:cs="宋体"/>
                <w:b w:val="0"/>
                <w:bCs w:val="0"/>
                <w:color w:val="auto"/>
                <w:kern w:val="0"/>
                <w:sz w:val="20"/>
                <w:szCs w:val="20"/>
                <w:highlight w:val="none"/>
                <w:lang w:val="en-US" w:eastAsia="zh-CN" w:bidi="ar-SA"/>
              </w:rPr>
            </w:pPr>
          </w:p>
        </w:tc>
      </w:tr>
      <w:tr w14:paraId="08D77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36ABBA3">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4D5DE7F1">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31F9079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电子病历应用功能水平分级分析页</w:t>
            </w:r>
          </w:p>
        </w:tc>
        <w:tc>
          <w:tcPr>
            <w:tcW w:w="5476" w:type="dxa"/>
            <w:vAlign w:val="center"/>
          </w:tcPr>
          <w:p w14:paraId="3F960258">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对电子病历应用功能水平分级的历年数据进行展示，对试算结果基于不同系数影响下的变化情况进行分析</w:t>
            </w:r>
          </w:p>
        </w:tc>
        <w:tc>
          <w:tcPr>
            <w:tcW w:w="733" w:type="dxa"/>
            <w:vMerge w:val="continue"/>
            <w:vAlign w:val="center"/>
          </w:tcPr>
          <w:p w14:paraId="358B644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40A7EEA">
            <w:pPr>
              <w:jc w:val="center"/>
              <w:rPr>
                <w:rFonts w:hint="eastAsia" w:ascii="宋体" w:hAnsi="宋体" w:eastAsia="宋体" w:cs="宋体"/>
                <w:b w:val="0"/>
                <w:bCs w:val="0"/>
                <w:color w:val="auto"/>
                <w:kern w:val="0"/>
                <w:sz w:val="20"/>
                <w:szCs w:val="20"/>
                <w:highlight w:val="none"/>
                <w:lang w:val="en-US" w:eastAsia="zh-CN" w:bidi="ar-SA"/>
              </w:rPr>
            </w:pPr>
          </w:p>
        </w:tc>
      </w:tr>
      <w:tr w14:paraId="62887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D1FBE20">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08DE4EA1">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4DF48AC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医疗服务收入占医疗收入比例分析页</w:t>
            </w:r>
          </w:p>
        </w:tc>
        <w:tc>
          <w:tcPr>
            <w:tcW w:w="5476" w:type="dxa"/>
            <w:vAlign w:val="center"/>
          </w:tcPr>
          <w:p w14:paraId="52D3794C">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对医疗服务收入占医疗收入比例的历年数据进行展示，对试算结果基于不同系数影响下的变化情况进行分析</w:t>
            </w:r>
          </w:p>
        </w:tc>
        <w:tc>
          <w:tcPr>
            <w:tcW w:w="733" w:type="dxa"/>
            <w:vMerge w:val="continue"/>
            <w:vAlign w:val="center"/>
          </w:tcPr>
          <w:p w14:paraId="7358816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C909D61">
            <w:pPr>
              <w:jc w:val="center"/>
              <w:rPr>
                <w:rFonts w:hint="eastAsia" w:ascii="宋体" w:hAnsi="宋体" w:eastAsia="宋体" w:cs="宋体"/>
                <w:b w:val="0"/>
                <w:bCs w:val="0"/>
                <w:color w:val="auto"/>
                <w:kern w:val="0"/>
                <w:sz w:val="20"/>
                <w:szCs w:val="20"/>
                <w:highlight w:val="none"/>
                <w:lang w:val="en-US" w:eastAsia="zh-CN" w:bidi="ar-SA"/>
              </w:rPr>
            </w:pPr>
          </w:p>
        </w:tc>
      </w:tr>
      <w:tr w14:paraId="39065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005470D">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197B10BD">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7EBBE6C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人员支出占业务支出比重分析页</w:t>
            </w:r>
          </w:p>
        </w:tc>
        <w:tc>
          <w:tcPr>
            <w:tcW w:w="5476" w:type="dxa"/>
            <w:vAlign w:val="center"/>
          </w:tcPr>
          <w:p w14:paraId="400EC3D7">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对人员支出占业务支出比的历年数据进行展示，对试算结果基于不同系数影响下的变化情况进行分析</w:t>
            </w:r>
          </w:p>
        </w:tc>
        <w:tc>
          <w:tcPr>
            <w:tcW w:w="733" w:type="dxa"/>
            <w:vMerge w:val="continue"/>
            <w:vAlign w:val="center"/>
          </w:tcPr>
          <w:p w14:paraId="0B30D2A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91C0482">
            <w:pPr>
              <w:jc w:val="center"/>
              <w:rPr>
                <w:rFonts w:hint="eastAsia" w:ascii="宋体" w:hAnsi="宋体" w:eastAsia="宋体" w:cs="宋体"/>
                <w:b w:val="0"/>
                <w:bCs w:val="0"/>
                <w:color w:val="auto"/>
                <w:kern w:val="0"/>
                <w:sz w:val="20"/>
                <w:szCs w:val="20"/>
                <w:highlight w:val="none"/>
                <w:lang w:val="en-US" w:eastAsia="zh-CN" w:bidi="ar-SA"/>
              </w:rPr>
            </w:pPr>
          </w:p>
        </w:tc>
      </w:tr>
      <w:tr w14:paraId="0D32B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D836C3C">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24DBCC85">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6D6B690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万元收入能耗支出分析页</w:t>
            </w:r>
          </w:p>
        </w:tc>
        <w:tc>
          <w:tcPr>
            <w:tcW w:w="5476" w:type="dxa"/>
            <w:vAlign w:val="center"/>
          </w:tcPr>
          <w:p w14:paraId="65C543A2">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对万元收入能耗支出的历年数据进行展示，对试算结果基于不同系数影响下的变化情况进行分析</w:t>
            </w:r>
          </w:p>
        </w:tc>
        <w:tc>
          <w:tcPr>
            <w:tcW w:w="733" w:type="dxa"/>
            <w:vMerge w:val="continue"/>
            <w:vAlign w:val="center"/>
          </w:tcPr>
          <w:p w14:paraId="6F8BB22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98FDEE1">
            <w:pPr>
              <w:jc w:val="center"/>
              <w:rPr>
                <w:rFonts w:hint="eastAsia" w:ascii="宋体" w:hAnsi="宋体" w:eastAsia="宋体" w:cs="宋体"/>
                <w:b w:val="0"/>
                <w:bCs w:val="0"/>
                <w:color w:val="auto"/>
                <w:kern w:val="0"/>
                <w:sz w:val="20"/>
                <w:szCs w:val="20"/>
                <w:highlight w:val="none"/>
                <w:lang w:val="en-US" w:eastAsia="zh-CN" w:bidi="ar-SA"/>
              </w:rPr>
            </w:pPr>
          </w:p>
        </w:tc>
      </w:tr>
      <w:tr w14:paraId="7832C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FD5D594">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2635CF1F">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1EEEBBB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收支结余分析页</w:t>
            </w:r>
          </w:p>
        </w:tc>
        <w:tc>
          <w:tcPr>
            <w:tcW w:w="5476" w:type="dxa"/>
            <w:vAlign w:val="center"/>
          </w:tcPr>
          <w:p w14:paraId="3DA20CB7">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对收支结余的历年数据进行展示，对试算结果基于不同系数影响下的变化情况进行分析</w:t>
            </w:r>
          </w:p>
        </w:tc>
        <w:tc>
          <w:tcPr>
            <w:tcW w:w="733" w:type="dxa"/>
            <w:vMerge w:val="continue"/>
            <w:vAlign w:val="center"/>
          </w:tcPr>
          <w:p w14:paraId="3CC42CE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4E9978F">
            <w:pPr>
              <w:jc w:val="center"/>
              <w:rPr>
                <w:rFonts w:hint="eastAsia" w:ascii="宋体" w:hAnsi="宋体" w:eastAsia="宋体" w:cs="宋体"/>
                <w:b w:val="0"/>
                <w:bCs w:val="0"/>
                <w:color w:val="auto"/>
                <w:kern w:val="0"/>
                <w:sz w:val="20"/>
                <w:szCs w:val="20"/>
                <w:highlight w:val="none"/>
                <w:lang w:val="en-US" w:eastAsia="zh-CN" w:bidi="ar-SA"/>
              </w:rPr>
            </w:pPr>
          </w:p>
        </w:tc>
      </w:tr>
      <w:tr w14:paraId="0B6B1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8892C90">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4ACECA31">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0C3A97A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资产负债率分析页</w:t>
            </w:r>
          </w:p>
        </w:tc>
        <w:tc>
          <w:tcPr>
            <w:tcW w:w="5476" w:type="dxa"/>
            <w:vAlign w:val="center"/>
          </w:tcPr>
          <w:p w14:paraId="2CCF26E9">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对资产负债率的历年数据进行展示，对试算结果基于不同系数影响下的变化情况进行分析</w:t>
            </w:r>
          </w:p>
        </w:tc>
        <w:tc>
          <w:tcPr>
            <w:tcW w:w="733" w:type="dxa"/>
            <w:vMerge w:val="continue"/>
            <w:vAlign w:val="center"/>
          </w:tcPr>
          <w:p w14:paraId="29B3600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3DC6101">
            <w:pPr>
              <w:jc w:val="center"/>
              <w:rPr>
                <w:rFonts w:hint="eastAsia" w:ascii="宋体" w:hAnsi="宋体" w:eastAsia="宋体" w:cs="宋体"/>
                <w:b w:val="0"/>
                <w:bCs w:val="0"/>
                <w:color w:val="auto"/>
                <w:kern w:val="0"/>
                <w:sz w:val="20"/>
                <w:szCs w:val="20"/>
                <w:highlight w:val="none"/>
                <w:lang w:val="en-US" w:eastAsia="zh-CN" w:bidi="ar-SA"/>
              </w:rPr>
            </w:pPr>
          </w:p>
        </w:tc>
      </w:tr>
      <w:tr w14:paraId="70F3C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A3FB9E2">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3B3F307D">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3B07029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门诊次均费用增幅分析页</w:t>
            </w:r>
          </w:p>
        </w:tc>
        <w:tc>
          <w:tcPr>
            <w:tcW w:w="5476" w:type="dxa"/>
            <w:vAlign w:val="center"/>
          </w:tcPr>
          <w:p w14:paraId="79116595">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对门诊次均费用增幅的历年数据进行展示，对试算结果基于不同系数影响下的变化情况进行分析</w:t>
            </w:r>
          </w:p>
        </w:tc>
        <w:tc>
          <w:tcPr>
            <w:tcW w:w="733" w:type="dxa"/>
            <w:vMerge w:val="continue"/>
            <w:vAlign w:val="center"/>
          </w:tcPr>
          <w:p w14:paraId="45B7515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ABA16FF">
            <w:pPr>
              <w:jc w:val="center"/>
              <w:rPr>
                <w:rFonts w:hint="eastAsia" w:ascii="宋体" w:hAnsi="宋体" w:eastAsia="宋体" w:cs="宋体"/>
                <w:b w:val="0"/>
                <w:bCs w:val="0"/>
                <w:color w:val="auto"/>
                <w:kern w:val="0"/>
                <w:sz w:val="20"/>
                <w:szCs w:val="20"/>
                <w:highlight w:val="none"/>
                <w:lang w:val="en-US" w:eastAsia="zh-CN" w:bidi="ar-SA"/>
              </w:rPr>
            </w:pPr>
          </w:p>
        </w:tc>
      </w:tr>
      <w:tr w14:paraId="58E31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96AC8CE">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7E4C8526">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21F0CB9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门诊次均药品费用增幅分析页</w:t>
            </w:r>
          </w:p>
        </w:tc>
        <w:tc>
          <w:tcPr>
            <w:tcW w:w="5476" w:type="dxa"/>
            <w:vAlign w:val="center"/>
          </w:tcPr>
          <w:p w14:paraId="2AAFA638">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对门诊次均药品费用增幅的历年数据进行展示，对试算结果基于不同系数影响下的变化情况进行分析</w:t>
            </w:r>
          </w:p>
        </w:tc>
        <w:tc>
          <w:tcPr>
            <w:tcW w:w="733" w:type="dxa"/>
            <w:vMerge w:val="continue"/>
            <w:vAlign w:val="center"/>
          </w:tcPr>
          <w:p w14:paraId="422169A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1B6DF59">
            <w:pPr>
              <w:jc w:val="center"/>
              <w:rPr>
                <w:rFonts w:hint="eastAsia" w:ascii="宋体" w:hAnsi="宋体" w:eastAsia="宋体" w:cs="宋体"/>
                <w:b w:val="0"/>
                <w:bCs w:val="0"/>
                <w:color w:val="auto"/>
                <w:kern w:val="0"/>
                <w:sz w:val="20"/>
                <w:szCs w:val="20"/>
                <w:highlight w:val="none"/>
                <w:lang w:val="en-US" w:eastAsia="zh-CN" w:bidi="ar-SA"/>
              </w:rPr>
            </w:pPr>
          </w:p>
        </w:tc>
      </w:tr>
      <w:tr w14:paraId="1E64B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391BE61">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0E8F640E">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365E3E6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住院次均费用增幅分析页</w:t>
            </w:r>
          </w:p>
        </w:tc>
        <w:tc>
          <w:tcPr>
            <w:tcW w:w="5476" w:type="dxa"/>
            <w:vAlign w:val="center"/>
          </w:tcPr>
          <w:p w14:paraId="1FEE1D96">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对住院次均费用增幅的历年数据进行展示，对试算结果基于不同系数影响下的变化情况进行分析</w:t>
            </w:r>
          </w:p>
        </w:tc>
        <w:tc>
          <w:tcPr>
            <w:tcW w:w="733" w:type="dxa"/>
            <w:vMerge w:val="continue"/>
            <w:vAlign w:val="center"/>
          </w:tcPr>
          <w:p w14:paraId="4888287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F304792">
            <w:pPr>
              <w:jc w:val="center"/>
              <w:rPr>
                <w:rFonts w:hint="eastAsia" w:ascii="宋体" w:hAnsi="宋体" w:eastAsia="宋体" w:cs="宋体"/>
                <w:b w:val="0"/>
                <w:bCs w:val="0"/>
                <w:color w:val="auto"/>
                <w:kern w:val="0"/>
                <w:sz w:val="20"/>
                <w:szCs w:val="20"/>
                <w:highlight w:val="none"/>
                <w:lang w:val="en-US" w:eastAsia="zh-CN" w:bidi="ar-SA"/>
              </w:rPr>
            </w:pPr>
          </w:p>
        </w:tc>
      </w:tr>
      <w:tr w14:paraId="05E9D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E24EB5B">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1BBD60BD">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6E3B4A4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住院次均药品费用增幅分析页</w:t>
            </w:r>
          </w:p>
        </w:tc>
        <w:tc>
          <w:tcPr>
            <w:tcW w:w="5476" w:type="dxa"/>
            <w:vAlign w:val="center"/>
          </w:tcPr>
          <w:p w14:paraId="19775292">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对住院次均药品费用增幅的历年数据进行展示，对试算结果基于不同系数影响下的变化情况进行分析</w:t>
            </w:r>
          </w:p>
        </w:tc>
        <w:tc>
          <w:tcPr>
            <w:tcW w:w="733" w:type="dxa"/>
            <w:vMerge w:val="continue"/>
            <w:vAlign w:val="center"/>
          </w:tcPr>
          <w:p w14:paraId="0544132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CB6E730">
            <w:pPr>
              <w:jc w:val="center"/>
              <w:rPr>
                <w:rFonts w:hint="eastAsia" w:ascii="宋体" w:hAnsi="宋体" w:eastAsia="宋体" w:cs="宋体"/>
                <w:b w:val="0"/>
                <w:bCs w:val="0"/>
                <w:color w:val="auto"/>
                <w:kern w:val="0"/>
                <w:sz w:val="20"/>
                <w:szCs w:val="20"/>
                <w:highlight w:val="none"/>
                <w:lang w:val="en-US" w:eastAsia="zh-CN" w:bidi="ar-SA"/>
              </w:rPr>
            </w:pPr>
          </w:p>
        </w:tc>
      </w:tr>
      <w:tr w14:paraId="56DEF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2B3A471">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7013B374">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39429A6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医师占比分析页</w:t>
            </w:r>
          </w:p>
        </w:tc>
        <w:tc>
          <w:tcPr>
            <w:tcW w:w="5476" w:type="dxa"/>
            <w:vAlign w:val="center"/>
          </w:tcPr>
          <w:p w14:paraId="18CEFF65">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对医师占比比的历年数据进行展示，对试算结果基于不同系数影响下的变化情况进行分析</w:t>
            </w:r>
          </w:p>
        </w:tc>
        <w:tc>
          <w:tcPr>
            <w:tcW w:w="733" w:type="dxa"/>
            <w:vMerge w:val="continue"/>
            <w:vAlign w:val="center"/>
          </w:tcPr>
          <w:p w14:paraId="565D493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AD47981">
            <w:pPr>
              <w:jc w:val="center"/>
              <w:rPr>
                <w:rFonts w:hint="eastAsia" w:ascii="宋体" w:hAnsi="宋体" w:eastAsia="宋体" w:cs="宋体"/>
                <w:b w:val="0"/>
                <w:bCs w:val="0"/>
                <w:color w:val="auto"/>
                <w:kern w:val="0"/>
                <w:sz w:val="20"/>
                <w:szCs w:val="20"/>
                <w:highlight w:val="none"/>
                <w:lang w:val="en-US" w:eastAsia="zh-CN" w:bidi="ar-SA"/>
              </w:rPr>
            </w:pPr>
          </w:p>
        </w:tc>
      </w:tr>
      <w:tr w14:paraId="22F3B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C917234">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278A3373">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176D010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医护比分析页</w:t>
            </w:r>
          </w:p>
        </w:tc>
        <w:tc>
          <w:tcPr>
            <w:tcW w:w="5476" w:type="dxa"/>
            <w:vAlign w:val="center"/>
          </w:tcPr>
          <w:p w14:paraId="12FB605C">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对医护比分的历年数据进行展示，对试算结果基于不同系数影响下的变化情况进行分析</w:t>
            </w:r>
          </w:p>
        </w:tc>
        <w:tc>
          <w:tcPr>
            <w:tcW w:w="733" w:type="dxa"/>
            <w:vMerge w:val="continue"/>
            <w:vAlign w:val="center"/>
          </w:tcPr>
          <w:p w14:paraId="09F3D09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A6EA5E4">
            <w:pPr>
              <w:jc w:val="center"/>
              <w:rPr>
                <w:rFonts w:hint="eastAsia" w:ascii="宋体" w:hAnsi="宋体" w:eastAsia="宋体" w:cs="宋体"/>
                <w:b w:val="0"/>
                <w:bCs w:val="0"/>
                <w:color w:val="auto"/>
                <w:kern w:val="0"/>
                <w:sz w:val="20"/>
                <w:szCs w:val="20"/>
                <w:highlight w:val="none"/>
                <w:lang w:val="en-US" w:eastAsia="zh-CN" w:bidi="ar-SA"/>
              </w:rPr>
            </w:pPr>
          </w:p>
        </w:tc>
      </w:tr>
      <w:tr w14:paraId="7815E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298C30C">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12631A8E">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7D7D83B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医师资格考试通过率分析议</w:t>
            </w:r>
          </w:p>
        </w:tc>
        <w:tc>
          <w:tcPr>
            <w:tcW w:w="5476" w:type="dxa"/>
            <w:vAlign w:val="center"/>
          </w:tcPr>
          <w:p w14:paraId="6BC53F52">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对医师资格考试通过率的历年数据进行展示，对试算结果基于不同系数影响下的变化情况进行分析</w:t>
            </w:r>
          </w:p>
        </w:tc>
        <w:tc>
          <w:tcPr>
            <w:tcW w:w="733" w:type="dxa"/>
            <w:vMerge w:val="continue"/>
            <w:vAlign w:val="center"/>
          </w:tcPr>
          <w:p w14:paraId="5314C37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5D12199">
            <w:pPr>
              <w:jc w:val="center"/>
              <w:rPr>
                <w:rFonts w:hint="eastAsia" w:ascii="宋体" w:hAnsi="宋体" w:eastAsia="宋体" w:cs="宋体"/>
                <w:b w:val="0"/>
                <w:bCs w:val="0"/>
                <w:color w:val="auto"/>
                <w:kern w:val="0"/>
                <w:sz w:val="20"/>
                <w:szCs w:val="20"/>
                <w:highlight w:val="none"/>
                <w:lang w:val="en-US" w:eastAsia="zh-CN" w:bidi="ar-SA"/>
              </w:rPr>
            </w:pPr>
          </w:p>
        </w:tc>
      </w:tr>
      <w:tr w14:paraId="66C69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71E91A7">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0CB88B99">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27FF9F6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每百名卫生技术人员科研项目经费分析页</w:t>
            </w:r>
          </w:p>
        </w:tc>
        <w:tc>
          <w:tcPr>
            <w:tcW w:w="5476" w:type="dxa"/>
            <w:vAlign w:val="center"/>
          </w:tcPr>
          <w:p w14:paraId="11052343">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对每百名卫生技术人员科研项目经费的历年数据进行展示，对试算结果基于不同系数影响下的变化情况进行分析</w:t>
            </w:r>
          </w:p>
        </w:tc>
        <w:tc>
          <w:tcPr>
            <w:tcW w:w="733" w:type="dxa"/>
            <w:vMerge w:val="continue"/>
            <w:vAlign w:val="center"/>
          </w:tcPr>
          <w:p w14:paraId="40A52CE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ECC47BD">
            <w:pPr>
              <w:jc w:val="center"/>
              <w:rPr>
                <w:rFonts w:hint="eastAsia" w:ascii="宋体" w:hAnsi="宋体" w:eastAsia="宋体" w:cs="宋体"/>
                <w:b w:val="0"/>
                <w:bCs w:val="0"/>
                <w:color w:val="auto"/>
                <w:kern w:val="0"/>
                <w:sz w:val="20"/>
                <w:szCs w:val="20"/>
                <w:highlight w:val="none"/>
                <w:lang w:val="en-US" w:eastAsia="zh-CN" w:bidi="ar-SA"/>
              </w:rPr>
            </w:pPr>
          </w:p>
        </w:tc>
      </w:tr>
      <w:tr w14:paraId="56770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44BB611">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68F3166D">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61C50D2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门诊患者满意度分析页</w:t>
            </w:r>
          </w:p>
        </w:tc>
        <w:tc>
          <w:tcPr>
            <w:tcW w:w="5476" w:type="dxa"/>
            <w:vAlign w:val="center"/>
          </w:tcPr>
          <w:p w14:paraId="6DD23709">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对门诊患者满意度的历年数据进行展示，对试算结果基于不同系数影响下的变化情况进行分析</w:t>
            </w:r>
          </w:p>
        </w:tc>
        <w:tc>
          <w:tcPr>
            <w:tcW w:w="733" w:type="dxa"/>
            <w:vMerge w:val="continue"/>
            <w:vAlign w:val="center"/>
          </w:tcPr>
          <w:p w14:paraId="7174FA3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E3A3CA6">
            <w:pPr>
              <w:jc w:val="center"/>
              <w:rPr>
                <w:rFonts w:hint="eastAsia" w:ascii="宋体" w:hAnsi="宋体" w:eastAsia="宋体" w:cs="宋体"/>
                <w:b w:val="0"/>
                <w:bCs w:val="0"/>
                <w:color w:val="auto"/>
                <w:kern w:val="0"/>
                <w:sz w:val="20"/>
                <w:szCs w:val="20"/>
                <w:highlight w:val="none"/>
                <w:lang w:val="en-US" w:eastAsia="zh-CN" w:bidi="ar-SA"/>
              </w:rPr>
            </w:pPr>
          </w:p>
        </w:tc>
      </w:tr>
      <w:tr w14:paraId="50C35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FE58A86">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5F489641">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0396BDA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住院患者满意度分析页</w:t>
            </w:r>
          </w:p>
        </w:tc>
        <w:tc>
          <w:tcPr>
            <w:tcW w:w="5476" w:type="dxa"/>
            <w:vAlign w:val="center"/>
          </w:tcPr>
          <w:p w14:paraId="32741114">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对住院患者满意度的历年数据进行展示，对试算结果基于不同系数影响下的变化情况进行分析</w:t>
            </w:r>
          </w:p>
        </w:tc>
        <w:tc>
          <w:tcPr>
            <w:tcW w:w="733" w:type="dxa"/>
            <w:vMerge w:val="continue"/>
            <w:vAlign w:val="center"/>
          </w:tcPr>
          <w:p w14:paraId="5C9D74F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655AED3">
            <w:pPr>
              <w:jc w:val="center"/>
              <w:rPr>
                <w:rFonts w:hint="eastAsia" w:ascii="宋体" w:hAnsi="宋体" w:eastAsia="宋体" w:cs="宋体"/>
                <w:b w:val="0"/>
                <w:bCs w:val="0"/>
                <w:color w:val="auto"/>
                <w:kern w:val="0"/>
                <w:sz w:val="20"/>
                <w:szCs w:val="20"/>
                <w:highlight w:val="none"/>
                <w:lang w:val="en-US" w:eastAsia="zh-CN" w:bidi="ar-SA"/>
              </w:rPr>
            </w:pPr>
          </w:p>
        </w:tc>
      </w:tr>
      <w:tr w14:paraId="175BD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C3A7054">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4F875DC0">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14907B1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医务人员满意度分析页</w:t>
            </w:r>
          </w:p>
        </w:tc>
        <w:tc>
          <w:tcPr>
            <w:tcW w:w="5476" w:type="dxa"/>
            <w:vAlign w:val="center"/>
          </w:tcPr>
          <w:p w14:paraId="5D998BE7">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对医务人员满意度的历年数据进行展示，对试算结果基于不同系数影响下的变化情况进行分析</w:t>
            </w:r>
          </w:p>
        </w:tc>
        <w:tc>
          <w:tcPr>
            <w:tcW w:w="733" w:type="dxa"/>
            <w:vMerge w:val="continue"/>
            <w:vAlign w:val="center"/>
          </w:tcPr>
          <w:p w14:paraId="195F164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EA99633">
            <w:pPr>
              <w:jc w:val="center"/>
              <w:rPr>
                <w:rFonts w:hint="eastAsia" w:ascii="宋体" w:hAnsi="宋体" w:eastAsia="宋体" w:cs="宋体"/>
                <w:b w:val="0"/>
                <w:bCs w:val="0"/>
                <w:color w:val="auto"/>
                <w:kern w:val="0"/>
                <w:sz w:val="20"/>
                <w:szCs w:val="20"/>
                <w:highlight w:val="none"/>
                <w:lang w:val="en-US" w:eastAsia="zh-CN" w:bidi="ar-SA"/>
              </w:rPr>
            </w:pPr>
          </w:p>
        </w:tc>
      </w:tr>
      <w:tr w14:paraId="69B2D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016E8B8">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restart"/>
            <w:vAlign w:val="center"/>
          </w:tcPr>
          <w:p w14:paraId="69F9A70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居民健康视图</w:t>
            </w:r>
          </w:p>
        </w:tc>
        <w:tc>
          <w:tcPr>
            <w:tcW w:w="1824" w:type="dxa"/>
            <w:vAlign w:val="center"/>
          </w:tcPr>
          <w:p w14:paraId="281EC59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患者主索引引擎</w:t>
            </w:r>
          </w:p>
        </w:tc>
        <w:tc>
          <w:tcPr>
            <w:tcW w:w="5476" w:type="dxa"/>
            <w:vAlign w:val="center"/>
          </w:tcPr>
          <w:p w14:paraId="4D05C63A">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显示患者在医院的逐次看诊过程汇总信息</w:t>
            </w:r>
          </w:p>
        </w:tc>
        <w:tc>
          <w:tcPr>
            <w:tcW w:w="733" w:type="dxa"/>
            <w:vMerge w:val="restart"/>
            <w:vAlign w:val="center"/>
          </w:tcPr>
          <w:p w14:paraId="125443F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022D06DF">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2A834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340E905">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339068E7">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14E1194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患者个人画像</w:t>
            </w:r>
          </w:p>
        </w:tc>
        <w:tc>
          <w:tcPr>
            <w:tcW w:w="5476" w:type="dxa"/>
            <w:vAlign w:val="center"/>
          </w:tcPr>
          <w:p w14:paraId="25E9CEAC">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以患者纬度建立主索引，为各个信息调阅建立入口</w:t>
            </w:r>
          </w:p>
        </w:tc>
        <w:tc>
          <w:tcPr>
            <w:tcW w:w="733" w:type="dxa"/>
            <w:vMerge w:val="continue"/>
            <w:vAlign w:val="center"/>
          </w:tcPr>
          <w:p w14:paraId="5E7737B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9900000">
            <w:pPr>
              <w:jc w:val="center"/>
              <w:rPr>
                <w:rFonts w:hint="eastAsia" w:ascii="宋体" w:hAnsi="宋体" w:eastAsia="宋体" w:cs="宋体"/>
                <w:b w:val="0"/>
                <w:bCs w:val="0"/>
                <w:color w:val="auto"/>
                <w:kern w:val="0"/>
                <w:sz w:val="20"/>
                <w:szCs w:val="20"/>
                <w:highlight w:val="none"/>
                <w:lang w:val="en-US" w:eastAsia="zh-CN" w:bidi="ar-SA"/>
              </w:rPr>
            </w:pPr>
          </w:p>
        </w:tc>
      </w:tr>
      <w:tr w14:paraId="29E94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F851F47">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40F11F89">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09CCA34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患者门诊电子病历</w:t>
            </w:r>
          </w:p>
        </w:tc>
        <w:tc>
          <w:tcPr>
            <w:tcW w:w="5476" w:type="dxa"/>
            <w:vAlign w:val="center"/>
          </w:tcPr>
          <w:p w14:paraId="0E462BAE">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对接his系统，对门诊电子病历记录进行调阅</w:t>
            </w:r>
          </w:p>
        </w:tc>
        <w:tc>
          <w:tcPr>
            <w:tcW w:w="733" w:type="dxa"/>
            <w:vMerge w:val="continue"/>
            <w:vAlign w:val="center"/>
          </w:tcPr>
          <w:p w14:paraId="65E5681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82463AC">
            <w:pPr>
              <w:jc w:val="center"/>
              <w:rPr>
                <w:rFonts w:hint="eastAsia" w:ascii="宋体" w:hAnsi="宋体" w:eastAsia="宋体" w:cs="宋体"/>
                <w:b w:val="0"/>
                <w:bCs w:val="0"/>
                <w:color w:val="auto"/>
                <w:kern w:val="0"/>
                <w:sz w:val="20"/>
                <w:szCs w:val="20"/>
                <w:highlight w:val="none"/>
                <w:lang w:val="en-US" w:eastAsia="zh-CN" w:bidi="ar-SA"/>
              </w:rPr>
            </w:pPr>
          </w:p>
        </w:tc>
      </w:tr>
      <w:tr w14:paraId="413EA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87ADF38">
            <w:pPr>
              <w:numPr>
                <w:ilvl w:val="0"/>
                <w:numId w:val="13"/>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39DAFBB9">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733ABE5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患者病案</w:t>
            </w:r>
          </w:p>
        </w:tc>
        <w:tc>
          <w:tcPr>
            <w:tcW w:w="5476" w:type="dxa"/>
            <w:vAlign w:val="center"/>
          </w:tcPr>
          <w:p w14:paraId="03E33D4E">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对接his系统，对病案记录进行调阅</w:t>
            </w:r>
          </w:p>
        </w:tc>
        <w:tc>
          <w:tcPr>
            <w:tcW w:w="733" w:type="dxa"/>
            <w:vMerge w:val="continue"/>
            <w:vAlign w:val="center"/>
          </w:tcPr>
          <w:p w14:paraId="7968152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7D95C9F">
            <w:pPr>
              <w:jc w:val="center"/>
              <w:rPr>
                <w:rFonts w:hint="eastAsia" w:ascii="宋体" w:hAnsi="宋体" w:eastAsia="宋体" w:cs="宋体"/>
                <w:b w:val="0"/>
                <w:bCs w:val="0"/>
                <w:color w:val="auto"/>
                <w:kern w:val="0"/>
                <w:sz w:val="20"/>
                <w:szCs w:val="20"/>
                <w:highlight w:val="none"/>
                <w:lang w:val="en-US" w:eastAsia="zh-CN" w:bidi="ar-SA"/>
              </w:rPr>
            </w:pPr>
          </w:p>
        </w:tc>
      </w:tr>
      <w:tr w14:paraId="46BC6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D1335C8">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4A740F68">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2B89D35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患者检验报告</w:t>
            </w:r>
          </w:p>
        </w:tc>
        <w:tc>
          <w:tcPr>
            <w:tcW w:w="5476" w:type="dxa"/>
            <w:vAlign w:val="center"/>
          </w:tcPr>
          <w:p w14:paraId="6AB66EEB">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对接his系统，对检验记录进行调阅</w:t>
            </w:r>
          </w:p>
        </w:tc>
        <w:tc>
          <w:tcPr>
            <w:tcW w:w="733" w:type="dxa"/>
            <w:vMerge w:val="continue"/>
            <w:vAlign w:val="center"/>
          </w:tcPr>
          <w:p w14:paraId="4E97B5E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0DBC415">
            <w:pPr>
              <w:jc w:val="center"/>
              <w:rPr>
                <w:rFonts w:hint="eastAsia" w:ascii="宋体" w:hAnsi="宋体" w:eastAsia="宋体" w:cs="宋体"/>
                <w:b w:val="0"/>
                <w:bCs w:val="0"/>
                <w:color w:val="auto"/>
                <w:kern w:val="0"/>
                <w:sz w:val="20"/>
                <w:szCs w:val="20"/>
                <w:highlight w:val="none"/>
                <w:lang w:val="en-US" w:eastAsia="zh-CN" w:bidi="ar-SA"/>
              </w:rPr>
            </w:pPr>
          </w:p>
        </w:tc>
      </w:tr>
      <w:tr w14:paraId="3FAF6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B3AE94A">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62080429">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206ACE1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患者检查报告</w:t>
            </w:r>
          </w:p>
        </w:tc>
        <w:tc>
          <w:tcPr>
            <w:tcW w:w="5476" w:type="dxa"/>
            <w:vAlign w:val="center"/>
          </w:tcPr>
          <w:p w14:paraId="51B38CE5">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对接his系统，对检查记录进行调阅</w:t>
            </w:r>
          </w:p>
        </w:tc>
        <w:tc>
          <w:tcPr>
            <w:tcW w:w="733" w:type="dxa"/>
            <w:vMerge w:val="continue"/>
            <w:vAlign w:val="center"/>
          </w:tcPr>
          <w:p w14:paraId="6E5673F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1BDA6BB">
            <w:pPr>
              <w:jc w:val="center"/>
              <w:rPr>
                <w:rFonts w:hint="eastAsia" w:ascii="宋体" w:hAnsi="宋体" w:eastAsia="宋体" w:cs="宋体"/>
                <w:b w:val="0"/>
                <w:bCs w:val="0"/>
                <w:color w:val="auto"/>
                <w:kern w:val="0"/>
                <w:sz w:val="20"/>
                <w:szCs w:val="20"/>
                <w:highlight w:val="none"/>
                <w:lang w:val="en-US" w:eastAsia="zh-CN" w:bidi="ar-SA"/>
              </w:rPr>
            </w:pPr>
          </w:p>
        </w:tc>
      </w:tr>
      <w:tr w14:paraId="7BA1B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1D0C637">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28D4AF01">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084CD41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居民健康档案</w:t>
            </w:r>
          </w:p>
        </w:tc>
        <w:tc>
          <w:tcPr>
            <w:tcW w:w="5476" w:type="dxa"/>
            <w:vAlign w:val="center"/>
          </w:tcPr>
          <w:p w14:paraId="7D572718">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对接公卫系统，对健康档案记录进行调阅</w:t>
            </w:r>
          </w:p>
        </w:tc>
        <w:tc>
          <w:tcPr>
            <w:tcW w:w="733" w:type="dxa"/>
            <w:vMerge w:val="continue"/>
            <w:vAlign w:val="center"/>
          </w:tcPr>
          <w:p w14:paraId="269E5D5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46511AA">
            <w:pPr>
              <w:jc w:val="center"/>
              <w:rPr>
                <w:rFonts w:hint="eastAsia" w:ascii="宋体" w:hAnsi="宋体" w:eastAsia="宋体" w:cs="宋体"/>
                <w:b w:val="0"/>
                <w:bCs w:val="0"/>
                <w:color w:val="auto"/>
                <w:kern w:val="0"/>
                <w:sz w:val="20"/>
                <w:szCs w:val="20"/>
                <w:highlight w:val="none"/>
                <w:lang w:val="en-US" w:eastAsia="zh-CN" w:bidi="ar-SA"/>
              </w:rPr>
            </w:pPr>
          </w:p>
        </w:tc>
      </w:tr>
      <w:tr w14:paraId="2C61C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2DBF681">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0FD1A352">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55D9594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健康体检</w:t>
            </w:r>
          </w:p>
        </w:tc>
        <w:tc>
          <w:tcPr>
            <w:tcW w:w="5476" w:type="dxa"/>
            <w:vAlign w:val="center"/>
          </w:tcPr>
          <w:p w14:paraId="201024E6">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对接慢病随访系统，对体检记录进行调阅</w:t>
            </w:r>
          </w:p>
        </w:tc>
        <w:tc>
          <w:tcPr>
            <w:tcW w:w="733" w:type="dxa"/>
            <w:vMerge w:val="continue"/>
            <w:vAlign w:val="center"/>
          </w:tcPr>
          <w:p w14:paraId="5DEAB28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7413243">
            <w:pPr>
              <w:jc w:val="center"/>
              <w:rPr>
                <w:rFonts w:hint="eastAsia" w:ascii="宋体" w:hAnsi="宋体" w:eastAsia="宋体" w:cs="宋体"/>
                <w:b w:val="0"/>
                <w:bCs w:val="0"/>
                <w:color w:val="auto"/>
                <w:kern w:val="0"/>
                <w:sz w:val="20"/>
                <w:szCs w:val="20"/>
                <w:highlight w:val="none"/>
                <w:lang w:val="en-US" w:eastAsia="zh-CN" w:bidi="ar-SA"/>
              </w:rPr>
            </w:pPr>
          </w:p>
        </w:tc>
      </w:tr>
      <w:tr w14:paraId="66F47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A9F19A3">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4335C9E0">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61BA606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高血压随访</w:t>
            </w:r>
          </w:p>
        </w:tc>
        <w:tc>
          <w:tcPr>
            <w:tcW w:w="5476" w:type="dxa"/>
            <w:vAlign w:val="center"/>
          </w:tcPr>
          <w:p w14:paraId="55FC42F4">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对接慢病随访系统，对高血压随访记录进行调阅</w:t>
            </w:r>
          </w:p>
        </w:tc>
        <w:tc>
          <w:tcPr>
            <w:tcW w:w="733" w:type="dxa"/>
            <w:vMerge w:val="continue"/>
            <w:vAlign w:val="center"/>
          </w:tcPr>
          <w:p w14:paraId="1042513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D423D4E">
            <w:pPr>
              <w:jc w:val="center"/>
              <w:rPr>
                <w:rFonts w:hint="eastAsia" w:ascii="宋体" w:hAnsi="宋体" w:eastAsia="宋体" w:cs="宋体"/>
                <w:b w:val="0"/>
                <w:bCs w:val="0"/>
                <w:color w:val="auto"/>
                <w:kern w:val="0"/>
                <w:sz w:val="20"/>
                <w:szCs w:val="20"/>
                <w:highlight w:val="none"/>
                <w:lang w:val="en-US" w:eastAsia="zh-CN" w:bidi="ar-SA"/>
              </w:rPr>
            </w:pPr>
          </w:p>
        </w:tc>
      </w:tr>
      <w:tr w14:paraId="75222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676BC4F">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342B23A6">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75A8057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糖尿病随访</w:t>
            </w:r>
          </w:p>
        </w:tc>
        <w:tc>
          <w:tcPr>
            <w:tcW w:w="5476" w:type="dxa"/>
            <w:vAlign w:val="center"/>
          </w:tcPr>
          <w:p w14:paraId="79E65378">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对接慢病随访系统，对糖尿病随访记录进行调阅</w:t>
            </w:r>
          </w:p>
        </w:tc>
        <w:tc>
          <w:tcPr>
            <w:tcW w:w="733" w:type="dxa"/>
            <w:vMerge w:val="continue"/>
            <w:vAlign w:val="center"/>
          </w:tcPr>
          <w:p w14:paraId="2DECB95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EF0F680">
            <w:pPr>
              <w:jc w:val="center"/>
              <w:rPr>
                <w:rFonts w:hint="eastAsia" w:ascii="宋体" w:hAnsi="宋体" w:eastAsia="宋体" w:cs="宋体"/>
                <w:b w:val="0"/>
                <w:bCs w:val="0"/>
                <w:color w:val="auto"/>
                <w:kern w:val="0"/>
                <w:sz w:val="20"/>
                <w:szCs w:val="20"/>
                <w:highlight w:val="none"/>
                <w:lang w:val="en-US" w:eastAsia="zh-CN" w:bidi="ar-SA"/>
              </w:rPr>
            </w:pPr>
          </w:p>
        </w:tc>
      </w:tr>
      <w:tr w14:paraId="1CAA2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A54F649">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6CD61F60">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079C7B8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妇幼保健记录</w:t>
            </w:r>
          </w:p>
        </w:tc>
        <w:tc>
          <w:tcPr>
            <w:tcW w:w="5476" w:type="dxa"/>
            <w:vAlign w:val="center"/>
          </w:tcPr>
          <w:p w14:paraId="41BBF0B7">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对接妇幼系统，对保健记录进行调阅</w:t>
            </w:r>
          </w:p>
        </w:tc>
        <w:tc>
          <w:tcPr>
            <w:tcW w:w="733" w:type="dxa"/>
            <w:vMerge w:val="continue"/>
            <w:vAlign w:val="center"/>
          </w:tcPr>
          <w:p w14:paraId="2D3E9B6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1870C86">
            <w:pPr>
              <w:jc w:val="center"/>
              <w:rPr>
                <w:rFonts w:hint="eastAsia" w:ascii="宋体" w:hAnsi="宋体" w:eastAsia="宋体" w:cs="宋体"/>
                <w:b w:val="0"/>
                <w:bCs w:val="0"/>
                <w:color w:val="auto"/>
                <w:kern w:val="0"/>
                <w:sz w:val="20"/>
                <w:szCs w:val="20"/>
                <w:highlight w:val="none"/>
                <w:lang w:val="en-US" w:eastAsia="zh-CN" w:bidi="ar-SA"/>
              </w:rPr>
            </w:pPr>
          </w:p>
        </w:tc>
      </w:tr>
      <w:tr w14:paraId="5BF17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E9D8738">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5225BE92">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52C5256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转诊记录</w:t>
            </w:r>
          </w:p>
        </w:tc>
        <w:tc>
          <w:tcPr>
            <w:tcW w:w="5476" w:type="dxa"/>
            <w:vAlign w:val="center"/>
          </w:tcPr>
          <w:p w14:paraId="30F66B23">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对接转诊系统，将上下级医院的诊疗情况进行整合，为多次就诊提供历史病情查询</w:t>
            </w:r>
          </w:p>
        </w:tc>
        <w:tc>
          <w:tcPr>
            <w:tcW w:w="733" w:type="dxa"/>
            <w:vMerge w:val="continue"/>
            <w:vAlign w:val="center"/>
          </w:tcPr>
          <w:p w14:paraId="0AE7100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E2D1C4A">
            <w:pPr>
              <w:jc w:val="center"/>
              <w:rPr>
                <w:rFonts w:hint="eastAsia" w:ascii="宋体" w:hAnsi="宋体" w:eastAsia="宋体" w:cs="宋体"/>
                <w:b w:val="0"/>
                <w:bCs w:val="0"/>
                <w:color w:val="auto"/>
                <w:kern w:val="0"/>
                <w:sz w:val="20"/>
                <w:szCs w:val="20"/>
                <w:highlight w:val="none"/>
                <w:lang w:val="en-US" w:eastAsia="zh-CN" w:bidi="ar-SA"/>
              </w:rPr>
            </w:pPr>
          </w:p>
        </w:tc>
      </w:tr>
      <w:tr w14:paraId="1AA30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CFEEB58">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77107743">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2D667EC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会诊记录</w:t>
            </w:r>
          </w:p>
        </w:tc>
        <w:tc>
          <w:tcPr>
            <w:tcW w:w="5476" w:type="dxa"/>
            <w:vAlign w:val="center"/>
          </w:tcPr>
          <w:p w14:paraId="04D1D5D8">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对接会诊系统，将会诊记录进行调阅展示，实现多院诊察结果互认</w:t>
            </w:r>
          </w:p>
        </w:tc>
        <w:tc>
          <w:tcPr>
            <w:tcW w:w="733" w:type="dxa"/>
            <w:vMerge w:val="continue"/>
            <w:vAlign w:val="center"/>
          </w:tcPr>
          <w:p w14:paraId="555E8ED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DD38E85">
            <w:pPr>
              <w:jc w:val="center"/>
              <w:rPr>
                <w:rFonts w:hint="eastAsia" w:ascii="宋体" w:hAnsi="宋体" w:eastAsia="宋体" w:cs="宋体"/>
                <w:b w:val="0"/>
                <w:bCs w:val="0"/>
                <w:color w:val="auto"/>
                <w:kern w:val="0"/>
                <w:sz w:val="20"/>
                <w:szCs w:val="20"/>
                <w:highlight w:val="none"/>
                <w:lang w:val="en-US" w:eastAsia="zh-CN" w:bidi="ar-SA"/>
              </w:rPr>
            </w:pPr>
          </w:p>
        </w:tc>
      </w:tr>
      <w:tr w14:paraId="40A31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67FFFA5">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restart"/>
            <w:vAlign w:val="center"/>
          </w:tcPr>
          <w:p w14:paraId="6568E82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共享服务系统</w:t>
            </w:r>
          </w:p>
        </w:tc>
        <w:tc>
          <w:tcPr>
            <w:tcW w:w="1824" w:type="dxa"/>
            <w:vAlign w:val="center"/>
          </w:tcPr>
          <w:p w14:paraId="22C372D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共享服务在线编辑</w:t>
            </w:r>
          </w:p>
        </w:tc>
        <w:tc>
          <w:tcPr>
            <w:tcW w:w="5476" w:type="dxa"/>
            <w:vAlign w:val="center"/>
          </w:tcPr>
          <w:p w14:paraId="3A8D89FE">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将数据打包成对外服务，通过支持不同接口调阅</w:t>
            </w:r>
          </w:p>
        </w:tc>
        <w:tc>
          <w:tcPr>
            <w:tcW w:w="733" w:type="dxa"/>
            <w:vMerge w:val="restart"/>
            <w:vAlign w:val="center"/>
          </w:tcPr>
          <w:p w14:paraId="7FA4548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2FB7E69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9</w:t>
            </w:r>
          </w:p>
        </w:tc>
      </w:tr>
      <w:tr w14:paraId="71129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1A16955">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6191D209">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3B4AC47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共享SQL在线测试</w:t>
            </w:r>
          </w:p>
        </w:tc>
        <w:tc>
          <w:tcPr>
            <w:tcW w:w="5476" w:type="dxa"/>
            <w:vAlign w:val="center"/>
          </w:tcPr>
          <w:p w14:paraId="5429E1E1">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在打包数据的时候，可以将查询sql进行线上测试，预览查询结果</w:t>
            </w:r>
          </w:p>
        </w:tc>
        <w:tc>
          <w:tcPr>
            <w:tcW w:w="733" w:type="dxa"/>
            <w:vMerge w:val="continue"/>
            <w:vAlign w:val="center"/>
          </w:tcPr>
          <w:p w14:paraId="5311824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B9C660E">
            <w:pPr>
              <w:jc w:val="center"/>
              <w:rPr>
                <w:rFonts w:hint="eastAsia" w:ascii="宋体" w:hAnsi="宋体" w:eastAsia="宋体" w:cs="宋体"/>
                <w:b w:val="0"/>
                <w:bCs w:val="0"/>
                <w:color w:val="auto"/>
                <w:kern w:val="0"/>
                <w:sz w:val="20"/>
                <w:szCs w:val="20"/>
                <w:highlight w:val="none"/>
                <w:lang w:val="en-US" w:eastAsia="zh-CN" w:bidi="ar-SA"/>
              </w:rPr>
            </w:pPr>
          </w:p>
        </w:tc>
      </w:tr>
      <w:tr w14:paraId="7C03D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EC9DAE3">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32DB074C">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452F2E2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共享服务热发布</w:t>
            </w:r>
          </w:p>
        </w:tc>
        <w:tc>
          <w:tcPr>
            <w:tcW w:w="5476" w:type="dxa"/>
            <w:vAlign w:val="center"/>
          </w:tcPr>
          <w:p w14:paraId="3925F027">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支持数据服务创建后直接调用，解决传统的服务发布还得程序重启的问题</w:t>
            </w:r>
          </w:p>
        </w:tc>
        <w:tc>
          <w:tcPr>
            <w:tcW w:w="733" w:type="dxa"/>
            <w:vMerge w:val="continue"/>
            <w:vAlign w:val="center"/>
          </w:tcPr>
          <w:p w14:paraId="1DD2514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DD6E92D">
            <w:pPr>
              <w:jc w:val="center"/>
              <w:rPr>
                <w:rFonts w:hint="eastAsia" w:ascii="宋体" w:hAnsi="宋体" w:eastAsia="宋体" w:cs="宋体"/>
                <w:b w:val="0"/>
                <w:bCs w:val="0"/>
                <w:color w:val="auto"/>
                <w:kern w:val="0"/>
                <w:sz w:val="20"/>
                <w:szCs w:val="20"/>
                <w:highlight w:val="none"/>
                <w:lang w:val="en-US" w:eastAsia="zh-CN" w:bidi="ar-SA"/>
              </w:rPr>
            </w:pPr>
          </w:p>
        </w:tc>
      </w:tr>
      <w:tr w14:paraId="390DD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7FC2317">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45FDB93C">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15F39B5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服务目录管理</w:t>
            </w:r>
          </w:p>
        </w:tc>
        <w:tc>
          <w:tcPr>
            <w:tcW w:w="5476" w:type="dxa"/>
            <w:vAlign w:val="center"/>
          </w:tcPr>
          <w:p w14:paraId="70433150">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可以通过目录管理服务接口，适配不同人群调阅</w:t>
            </w:r>
          </w:p>
        </w:tc>
        <w:tc>
          <w:tcPr>
            <w:tcW w:w="733" w:type="dxa"/>
            <w:vMerge w:val="continue"/>
            <w:vAlign w:val="center"/>
          </w:tcPr>
          <w:p w14:paraId="5C51E86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F134931">
            <w:pPr>
              <w:jc w:val="center"/>
              <w:rPr>
                <w:rFonts w:hint="eastAsia" w:ascii="宋体" w:hAnsi="宋体" w:eastAsia="宋体" w:cs="宋体"/>
                <w:b w:val="0"/>
                <w:bCs w:val="0"/>
                <w:color w:val="auto"/>
                <w:kern w:val="0"/>
                <w:sz w:val="20"/>
                <w:szCs w:val="20"/>
                <w:highlight w:val="none"/>
                <w:lang w:val="en-US" w:eastAsia="zh-CN" w:bidi="ar-SA"/>
              </w:rPr>
            </w:pPr>
          </w:p>
        </w:tc>
      </w:tr>
      <w:tr w14:paraId="34C1E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89E2CB0">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65C23E78">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35FBD5E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服务开发说明</w:t>
            </w:r>
          </w:p>
        </w:tc>
        <w:tc>
          <w:tcPr>
            <w:tcW w:w="5476" w:type="dxa"/>
            <w:vAlign w:val="center"/>
          </w:tcPr>
          <w:p w14:paraId="0DD6287A">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对服务接口调用提供API手册，方便开发人员快速对接</w:t>
            </w:r>
          </w:p>
        </w:tc>
        <w:tc>
          <w:tcPr>
            <w:tcW w:w="733" w:type="dxa"/>
            <w:vMerge w:val="continue"/>
            <w:vAlign w:val="center"/>
          </w:tcPr>
          <w:p w14:paraId="2930564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2A10596">
            <w:pPr>
              <w:jc w:val="center"/>
              <w:rPr>
                <w:rFonts w:hint="eastAsia" w:ascii="宋体" w:hAnsi="宋体" w:eastAsia="宋体" w:cs="宋体"/>
                <w:b w:val="0"/>
                <w:bCs w:val="0"/>
                <w:color w:val="auto"/>
                <w:kern w:val="0"/>
                <w:sz w:val="20"/>
                <w:szCs w:val="20"/>
                <w:highlight w:val="none"/>
                <w:lang w:val="en-US" w:eastAsia="zh-CN" w:bidi="ar-SA"/>
              </w:rPr>
            </w:pPr>
          </w:p>
        </w:tc>
      </w:tr>
      <w:tr w14:paraId="778FC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4B8EB8E">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7C6B1AE9">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0826E69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服务文档元数据管理</w:t>
            </w:r>
          </w:p>
        </w:tc>
        <w:tc>
          <w:tcPr>
            <w:tcW w:w="5476" w:type="dxa"/>
            <w:vAlign w:val="center"/>
          </w:tcPr>
          <w:p w14:paraId="49434DD7">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对数据源进行统一管理，可以形成管理文档</w:t>
            </w:r>
          </w:p>
        </w:tc>
        <w:tc>
          <w:tcPr>
            <w:tcW w:w="733" w:type="dxa"/>
            <w:vMerge w:val="continue"/>
            <w:vAlign w:val="center"/>
          </w:tcPr>
          <w:p w14:paraId="534CAC0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35E9FAE">
            <w:pPr>
              <w:jc w:val="center"/>
              <w:rPr>
                <w:rFonts w:hint="eastAsia" w:ascii="宋体" w:hAnsi="宋体" w:eastAsia="宋体" w:cs="宋体"/>
                <w:b w:val="0"/>
                <w:bCs w:val="0"/>
                <w:color w:val="auto"/>
                <w:kern w:val="0"/>
                <w:sz w:val="20"/>
                <w:szCs w:val="20"/>
                <w:highlight w:val="none"/>
                <w:lang w:val="en-US" w:eastAsia="zh-CN" w:bidi="ar-SA"/>
              </w:rPr>
            </w:pPr>
          </w:p>
        </w:tc>
      </w:tr>
      <w:tr w14:paraId="1FB36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62B2F67">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restart"/>
            <w:vAlign w:val="center"/>
          </w:tcPr>
          <w:p w14:paraId="1F6763A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BI分析系统</w:t>
            </w:r>
          </w:p>
        </w:tc>
        <w:tc>
          <w:tcPr>
            <w:tcW w:w="1824" w:type="dxa"/>
            <w:vAlign w:val="center"/>
          </w:tcPr>
          <w:p w14:paraId="0A5E3C2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目录管理</w:t>
            </w:r>
          </w:p>
        </w:tc>
        <w:tc>
          <w:tcPr>
            <w:tcW w:w="5476" w:type="dxa"/>
            <w:vAlign w:val="center"/>
          </w:tcPr>
          <w:p w14:paraId="26AD099B">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对平台的目录树进行增加、删除、修改等操作，目录可以自由调整位置</w:t>
            </w:r>
          </w:p>
        </w:tc>
        <w:tc>
          <w:tcPr>
            <w:tcW w:w="733" w:type="dxa"/>
            <w:vMerge w:val="restart"/>
            <w:vAlign w:val="center"/>
          </w:tcPr>
          <w:p w14:paraId="151D6ED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230E2C75">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30</w:t>
            </w:r>
          </w:p>
        </w:tc>
      </w:tr>
      <w:tr w14:paraId="66011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6F27FFB">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152FE15D">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045ACCF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权限管理</w:t>
            </w:r>
          </w:p>
        </w:tc>
        <w:tc>
          <w:tcPr>
            <w:tcW w:w="5476" w:type="dxa"/>
            <w:vAlign w:val="center"/>
          </w:tcPr>
          <w:p w14:paraId="0CCEFCB7">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可以对本系统内的功能及数据进行授权管理</w:t>
            </w:r>
          </w:p>
        </w:tc>
        <w:tc>
          <w:tcPr>
            <w:tcW w:w="733" w:type="dxa"/>
            <w:vMerge w:val="continue"/>
            <w:vAlign w:val="center"/>
          </w:tcPr>
          <w:p w14:paraId="6F6915E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2129B0D">
            <w:pPr>
              <w:jc w:val="center"/>
              <w:rPr>
                <w:rFonts w:hint="eastAsia" w:ascii="宋体" w:hAnsi="宋体" w:eastAsia="宋体" w:cs="宋体"/>
                <w:b w:val="0"/>
                <w:bCs w:val="0"/>
                <w:color w:val="auto"/>
                <w:kern w:val="0"/>
                <w:sz w:val="20"/>
                <w:szCs w:val="20"/>
                <w:highlight w:val="none"/>
                <w:lang w:val="en-US" w:eastAsia="zh-CN" w:bidi="ar-SA"/>
              </w:rPr>
            </w:pPr>
          </w:p>
        </w:tc>
      </w:tr>
      <w:tr w14:paraId="622B2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D1E448E">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6DC93833">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07FC9C8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数据连接管理</w:t>
            </w:r>
          </w:p>
        </w:tc>
        <w:tc>
          <w:tcPr>
            <w:tcW w:w="5476" w:type="dxa"/>
            <w:vAlign w:val="center"/>
          </w:tcPr>
          <w:p w14:paraId="55E62854">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进行数据分析的第一步即获取数据，获取数据的第一步即定义数据来源</w:t>
            </w:r>
          </w:p>
        </w:tc>
        <w:tc>
          <w:tcPr>
            <w:tcW w:w="733" w:type="dxa"/>
            <w:vMerge w:val="continue"/>
            <w:vAlign w:val="center"/>
          </w:tcPr>
          <w:p w14:paraId="2588017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3A2CC44">
            <w:pPr>
              <w:jc w:val="center"/>
              <w:rPr>
                <w:rFonts w:hint="eastAsia" w:ascii="宋体" w:hAnsi="宋体" w:eastAsia="宋体" w:cs="宋体"/>
                <w:b w:val="0"/>
                <w:bCs w:val="0"/>
                <w:color w:val="auto"/>
                <w:kern w:val="0"/>
                <w:sz w:val="20"/>
                <w:szCs w:val="20"/>
                <w:highlight w:val="none"/>
                <w:lang w:val="en-US" w:eastAsia="zh-CN" w:bidi="ar-SA"/>
              </w:rPr>
            </w:pPr>
          </w:p>
        </w:tc>
      </w:tr>
      <w:tr w14:paraId="1E2E6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B15A63C">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067D5793">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29F4674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定时调度管理</w:t>
            </w:r>
          </w:p>
        </w:tc>
        <w:tc>
          <w:tcPr>
            <w:tcW w:w="5476" w:type="dxa"/>
            <w:vAlign w:val="center"/>
          </w:tcPr>
          <w:p w14:paraId="757B3B9C">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支持用户方便快捷的设置日报、月报、季报、年报等任务。无需额外工作，设置定时调度任务后，服务器便会在指定的时间自动完成设定的任务</w:t>
            </w:r>
          </w:p>
        </w:tc>
        <w:tc>
          <w:tcPr>
            <w:tcW w:w="733" w:type="dxa"/>
            <w:vMerge w:val="continue"/>
            <w:vAlign w:val="center"/>
          </w:tcPr>
          <w:p w14:paraId="6043379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CC8422D">
            <w:pPr>
              <w:jc w:val="center"/>
              <w:rPr>
                <w:rFonts w:hint="eastAsia" w:ascii="宋体" w:hAnsi="宋体" w:eastAsia="宋体" w:cs="宋体"/>
                <w:b w:val="0"/>
                <w:bCs w:val="0"/>
                <w:color w:val="auto"/>
                <w:kern w:val="0"/>
                <w:sz w:val="20"/>
                <w:szCs w:val="20"/>
                <w:highlight w:val="none"/>
                <w:lang w:val="en-US" w:eastAsia="zh-CN" w:bidi="ar-SA"/>
              </w:rPr>
            </w:pPr>
          </w:p>
        </w:tc>
      </w:tr>
      <w:tr w14:paraId="6D8CE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B26C079">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43535280">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3F1493A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数据管理</w:t>
            </w:r>
          </w:p>
        </w:tc>
        <w:tc>
          <w:tcPr>
            <w:tcW w:w="5476" w:type="dxa"/>
            <w:vAlign w:val="center"/>
          </w:tcPr>
          <w:p w14:paraId="2ED1B27A">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方便管理员对公共数据进行管理操作，包括：取消发布、停止更新、删除表等</w:t>
            </w:r>
          </w:p>
        </w:tc>
        <w:tc>
          <w:tcPr>
            <w:tcW w:w="733" w:type="dxa"/>
            <w:vMerge w:val="continue"/>
            <w:vAlign w:val="center"/>
          </w:tcPr>
          <w:p w14:paraId="51BA85E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9D411F9">
            <w:pPr>
              <w:jc w:val="center"/>
              <w:rPr>
                <w:rFonts w:hint="eastAsia" w:ascii="宋体" w:hAnsi="宋体" w:eastAsia="宋体" w:cs="宋体"/>
                <w:b w:val="0"/>
                <w:bCs w:val="0"/>
                <w:color w:val="auto"/>
                <w:kern w:val="0"/>
                <w:sz w:val="20"/>
                <w:szCs w:val="20"/>
                <w:highlight w:val="none"/>
                <w:lang w:val="en-US" w:eastAsia="zh-CN" w:bidi="ar-SA"/>
              </w:rPr>
            </w:pPr>
          </w:p>
        </w:tc>
      </w:tr>
      <w:tr w14:paraId="6A19E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77BBA7B">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359F9612">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457F08C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行列管理</w:t>
            </w:r>
          </w:p>
        </w:tc>
        <w:tc>
          <w:tcPr>
            <w:tcW w:w="5476" w:type="dxa"/>
            <w:vAlign w:val="center"/>
          </w:tcPr>
          <w:p w14:paraId="76AA7B12">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可以通过设置行列权限来实现不同用户查看不同的数据</w:t>
            </w:r>
          </w:p>
        </w:tc>
        <w:tc>
          <w:tcPr>
            <w:tcW w:w="733" w:type="dxa"/>
            <w:vMerge w:val="continue"/>
            <w:vAlign w:val="center"/>
          </w:tcPr>
          <w:p w14:paraId="63237A9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3059713">
            <w:pPr>
              <w:jc w:val="center"/>
              <w:rPr>
                <w:rFonts w:hint="eastAsia" w:ascii="宋体" w:hAnsi="宋体" w:eastAsia="宋体" w:cs="宋体"/>
                <w:b w:val="0"/>
                <w:bCs w:val="0"/>
                <w:color w:val="auto"/>
                <w:kern w:val="0"/>
                <w:sz w:val="20"/>
                <w:szCs w:val="20"/>
                <w:highlight w:val="none"/>
                <w:lang w:val="en-US" w:eastAsia="zh-CN" w:bidi="ar-SA"/>
              </w:rPr>
            </w:pPr>
          </w:p>
        </w:tc>
      </w:tr>
      <w:tr w14:paraId="5AF3C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249F379">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3A3656D6">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67581B0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发布管理</w:t>
            </w:r>
          </w:p>
        </w:tc>
        <w:tc>
          <w:tcPr>
            <w:tcW w:w="5476" w:type="dxa"/>
            <w:vAlign w:val="center"/>
          </w:tcPr>
          <w:p w14:paraId="2E253821">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可以查看权限范围内设计用户申请发布/已发布的仪表板和数据集</w:t>
            </w:r>
          </w:p>
        </w:tc>
        <w:tc>
          <w:tcPr>
            <w:tcW w:w="733" w:type="dxa"/>
            <w:vMerge w:val="continue"/>
            <w:vAlign w:val="center"/>
          </w:tcPr>
          <w:p w14:paraId="0A9D10C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2127006">
            <w:pPr>
              <w:jc w:val="center"/>
              <w:rPr>
                <w:rFonts w:hint="eastAsia" w:ascii="宋体" w:hAnsi="宋体" w:eastAsia="宋体" w:cs="宋体"/>
                <w:b w:val="0"/>
                <w:bCs w:val="0"/>
                <w:color w:val="auto"/>
                <w:kern w:val="0"/>
                <w:sz w:val="20"/>
                <w:szCs w:val="20"/>
                <w:highlight w:val="none"/>
                <w:lang w:val="en-US" w:eastAsia="zh-CN" w:bidi="ar-SA"/>
              </w:rPr>
            </w:pPr>
          </w:p>
        </w:tc>
      </w:tr>
      <w:tr w14:paraId="76D1D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14F07D0">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05F8700A">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4F2DE00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外观管理</w:t>
            </w:r>
          </w:p>
        </w:tc>
        <w:tc>
          <w:tcPr>
            <w:tcW w:w="5476" w:type="dxa"/>
            <w:vAlign w:val="center"/>
          </w:tcPr>
          <w:p w14:paraId="7B44A8DE">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在使用BI系统时，可以按照统一风格管理登录界面、平台系统风格等，最大程度的支持用户个性化设置</w:t>
            </w:r>
          </w:p>
        </w:tc>
        <w:tc>
          <w:tcPr>
            <w:tcW w:w="733" w:type="dxa"/>
            <w:vMerge w:val="continue"/>
            <w:vAlign w:val="center"/>
          </w:tcPr>
          <w:p w14:paraId="45BFC9B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9E30B4E">
            <w:pPr>
              <w:jc w:val="center"/>
              <w:rPr>
                <w:rFonts w:hint="eastAsia" w:ascii="宋体" w:hAnsi="宋体" w:eastAsia="宋体" w:cs="宋体"/>
                <w:b w:val="0"/>
                <w:bCs w:val="0"/>
                <w:color w:val="auto"/>
                <w:kern w:val="0"/>
                <w:sz w:val="20"/>
                <w:szCs w:val="20"/>
                <w:highlight w:val="none"/>
                <w:lang w:val="en-US" w:eastAsia="zh-CN" w:bidi="ar-SA"/>
              </w:rPr>
            </w:pPr>
          </w:p>
        </w:tc>
      </w:tr>
      <w:tr w14:paraId="17E7B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0B2F25D">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206C2D13">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06F0E9F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插件管理</w:t>
            </w:r>
          </w:p>
        </w:tc>
        <w:tc>
          <w:tcPr>
            <w:tcW w:w="5476" w:type="dxa"/>
            <w:vAlign w:val="center"/>
          </w:tcPr>
          <w:p w14:paraId="42D2E8D9">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插件管理器对插件进行管理，支持批量管理插件。</w:t>
            </w:r>
          </w:p>
        </w:tc>
        <w:tc>
          <w:tcPr>
            <w:tcW w:w="733" w:type="dxa"/>
            <w:vMerge w:val="continue"/>
            <w:vAlign w:val="center"/>
          </w:tcPr>
          <w:p w14:paraId="572D18A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4B64063">
            <w:pPr>
              <w:jc w:val="center"/>
              <w:rPr>
                <w:rFonts w:hint="eastAsia" w:ascii="宋体" w:hAnsi="宋体" w:eastAsia="宋体" w:cs="宋体"/>
                <w:b w:val="0"/>
                <w:bCs w:val="0"/>
                <w:color w:val="auto"/>
                <w:kern w:val="0"/>
                <w:sz w:val="20"/>
                <w:szCs w:val="20"/>
                <w:highlight w:val="none"/>
                <w:lang w:val="en-US" w:eastAsia="zh-CN" w:bidi="ar-SA"/>
              </w:rPr>
            </w:pPr>
          </w:p>
        </w:tc>
      </w:tr>
      <w:tr w14:paraId="20E6B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A476224">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659749CD">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6E30947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模板管理</w:t>
            </w:r>
          </w:p>
        </w:tc>
        <w:tc>
          <w:tcPr>
            <w:tcW w:w="5476" w:type="dxa"/>
            <w:vAlign w:val="center"/>
          </w:tcPr>
          <w:p w14:paraId="53B6DEF3">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对于多次构建的组件可以设置成模板，再次使用的时候根据模板进行快速构建</w:t>
            </w:r>
          </w:p>
        </w:tc>
        <w:tc>
          <w:tcPr>
            <w:tcW w:w="733" w:type="dxa"/>
            <w:vMerge w:val="continue"/>
            <w:vAlign w:val="center"/>
          </w:tcPr>
          <w:p w14:paraId="6133130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F114FC8">
            <w:pPr>
              <w:jc w:val="center"/>
              <w:rPr>
                <w:rFonts w:hint="eastAsia" w:ascii="宋体" w:hAnsi="宋体" w:eastAsia="宋体" w:cs="宋体"/>
                <w:b w:val="0"/>
                <w:bCs w:val="0"/>
                <w:color w:val="auto"/>
                <w:kern w:val="0"/>
                <w:sz w:val="20"/>
                <w:szCs w:val="20"/>
                <w:highlight w:val="none"/>
                <w:lang w:val="en-US" w:eastAsia="zh-CN" w:bidi="ar-SA"/>
              </w:rPr>
            </w:pPr>
          </w:p>
        </w:tc>
      </w:tr>
      <w:tr w14:paraId="6032B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81D9A84">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24B66F6E">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7B31B25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可视化组件编辑器</w:t>
            </w:r>
          </w:p>
        </w:tc>
        <w:tc>
          <w:tcPr>
            <w:tcW w:w="5476" w:type="dxa"/>
            <w:vAlign w:val="center"/>
          </w:tcPr>
          <w:p w14:paraId="65692110">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在分析主题中点击组件，进入组件编辑界面，即可直接编辑组件</w:t>
            </w:r>
          </w:p>
        </w:tc>
        <w:tc>
          <w:tcPr>
            <w:tcW w:w="733" w:type="dxa"/>
            <w:vMerge w:val="continue"/>
            <w:vAlign w:val="center"/>
          </w:tcPr>
          <w:p w14:paraId="745C776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3E334F3">
            <w:pPr>
              <w:jc w:val="center"/>
              <w:rPr>
                <w:rFonts w:hint="eastAsia" w:ascii="宋体" w:hAnsi="宋体" w:eastAsia="宋体" w:cs="宋体"/>
                <w:b w:val="0"/>
                <w:bCs w:val="0"/>
                <w:color w:val="auto"/>
                <w:kern w:val="0"/>
                <w:sz w:val="20"/>
                <w:szCs w:val="20"/>
                <w:highlight w:val="none"/>
                <w:lang w:val="en-US" w:eastAsia="zh-CN" w:bidi="ar-SA"/>
              </w:rPr>
            </w:pPr>
          </w:p>
        </w:tc>
      </w:tr>
      <w:tr w14:paraId="02F68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C06902F">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78DA0AFC">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7842637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仪表盘编辑器</w:t>
            </w:r>
          </w:p>
        </w:tc>
        <w:tc>
          <w:tcPr>
            <w:tcW w:w="5476" w:type="dxa"/>
            <w:vAlign w:val="center"/>
          </w:tcPr>
          <w:p w14:paraId="178553AF">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将以构建组件进行组合展示</w:t>
            </w:r>
          </w:p>
        </w:tc>
        <w:tc>
          <w:tcPr>
            <w:tcW w:w="733" w:type="dxa"/>
            <w:vMerge w:val="continue"/>
            <w:vAlign w:val="center"/>
          </w:tcPr>
          <w:p w14:paraId="6551058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099DE77">
            <w:pPr>
              <w:jc w:val="center"/>
              <w:rPr>
                <w:rFonts w:hint="eastAsia" w:ascii="宋体" w:hAnsi="宋体" w:eastAsia="宋体" w:cs="宋体"/>
                <w:b w:val="0"/>
                <w:bCs w:val="0"/>
                <w:color w:val="auto"/>
                <w:kern w:val="0"/>
                <w:sz w:val="20"/>
                <w:szCs w:val="20"/>
                <w:highlight w:val="none"/>
                <w:lang w:val="en-US" w:eastAsia="zh-CN" w:bidi="ar-SA"/>
              </w:rPr>
            </w:pPr>
          </w:p>
        </w:tc>
      </w:tr>
      <w:tr w14:paraId="01B26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14C0AAA">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4F7B86CB">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078D38A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系统加速设置</w:t>
            </w:r>
          </w:p>
        </w:tc>
        <w:tc>
          <w:tcPr>
            <w:tcW w:w="5476" w:type="dxa"/>
            <w:vAlign w:val="center"/>
          </w:tcPr>
          <w:p w14:paraId="163E1160">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在直连数据模式下，加速引擎可以提高大数据场景下数据应用的效率，实现更高的性能和满足大规模数据处理的需求</w:t>
            </w:r>
          </w:p>
        </w:tc>
        <w:tc>
          <w:tcPr>
            <w:tcW w:w="733" w:type="dxa"/>
            <w:vMerge w:val="continue"/>
            <w:vAlign w:val="center"/>
          </w:tcPr>
          <w:p w14:paraId="27E9700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A9089D5">
            <w:pPr>
              <w:jc w:val="center"/>
              <w:rPr>
                <w:rFonts w:hint="eastAsia" w:ascii="宋体" w:hAnsi="宋体" w:eastAsia="宋体" w:cs="宋体"/>
                <w:b w:val="0"/>
                <w:bCs w:val="0"/>
                <w:color w:val="auto"/>
                <w:kern w:val="0"/>
                <w:sz w:val="20"/>
                <w:szCs w:val="20"/>
                <w:highlight w:val="none"/>
                <w:lang w:val="en-US" w:eastAsia="zh-CN" w:bidi="ar-SA"/>
              </w:rPr>
            </w:pPr>
          </w:p>
        </w:tc>
      </w:tr>
      <w:tr w14:paraId="75D6C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899891F">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5020F56D">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079A13D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BI日志</w:t>
            </w:r>
          </w:p>
        </w:tc>
        <w:tc>
          <w:tcPr>
            <w:tcW w:w="5476" w:type="dxa"/>
            <w:vAlign w:val="center"/>
          </w:tcPr>
          <w:p w14:paraId="22C50784">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系统情况是对系统运行的各项情况进行监控分析，通过此功能可以查看到系统运行状态的各种指标</w:t>
            </w:r>
          </w:p>
        </w:tc>
        <w:tc>
          <w:tcPr>
            <w:tcW w:w="733" w:type="dxa"/>
            <w:vMerge w:val="continue"/>
            <w:vAlign w:val="center"/>
          </w:tcPr>
          <w:p w14:paraId="2C2157B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814DEE8">
            <w:pPr>
              <w:jc w:val="center"/>
              <w:rPr>
                <w:rFonts w:hint="eastAsia" w:ascii="宋体" w:hAnsi="宋体" w:eastAsia="宋体" w:cs="宋体"/>
                <w:b w:val="0"/>
                <w:bCs w:val="0"/>
                <w:color w:val="auto"/>
                <w:kern w:val="0"/>
                <w:sz w:val="20"/>
                <w:szCs w:val="20"/>
                <w:highlight w:val="none"/>
                <w:lang w:val="en-US" w:eastAsia="zh-CN" w:bidi="ar-SA"/>
              </w:rPr>
            </w:pPr>
          </w:p>
        </w:tc>
      </w:tr>
      <w:tr w14:paraId="71E9A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E48A988">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5ED7D610">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08E54AD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安全管理</w:t>
            </w:r>
          </w:p>
        </w:tc>
        <w:tc>
          <w:tcPr>
            <w:tcW w:w="5476" w:type="dxa"/>
            <w:vAlign w:val="center"/>
          </w:tcPr>
          <w:p w14:paraId="4236C9C8">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通过安全防护、访问控制、SQL 防注入、全局水印方式，以修补漏洞和主动防御两个方面去提升应用安全</w:t>
            </w:r>
          </w:p>
        </w:tc>
        <w:tc>
          <w:tcPr>
            <w:tcW w:w="733" w:type="dxa"/>
            <w:vMerge w:val="continue"/>
            <w:vAlign w:val="center"/>
          </w:tcPr>
          <w:p w14:paraId="1C8BD57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FE43A09">
            <w:pPr>
              <w:jc w:val="center"/>
              <w:rPr>
                <w:rFonts w:hint="eastAsia" w:ascii="宋体" w:hAnsi="宋体" w:eastAsia="宋体" w:cs="宋体"/>
                <w:b w:val="0"/>
                <w:bCs w:val="0"/>
                <w:color w:val="auto"/>
                <w:kern w:val="0"/>
                <w:sz w:val="20"/>
                <w:szCs w:val="20"/>
                <w:highlight w:val="none"/>
                <w:lang w:val="en-US" w:eastAsia="zh-CN" w:bidi="ar-SA"/>
              </w:rPr>
            </w:pPr>
          </w:p>
        </w:tc>
      </w:tr>
      <w:tr w14:paraId="0185C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28F2F5F">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33EDBD19">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5226642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水印设置</w:t>
            </w:r>
          </w:p>
        </w:tc>
        <w:tc>
          <w:tcPr>
            <w:tcW w:w="5476" w:type="dxa"/>
            <w:vAlign w:val="center"/>
          </w:tcPr>
          <w:p w14:paraId="0117F181">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通过水印设置防护系统内数据泄露</w:t>
            </w:r>
          </w:p>
        </w:tc>
        <w:tc>
          <w:tcPr>
            <w:tcW w:w="733" w:type="dxa"/>
            <w:vMerge w:val="continue"/>
            <w:vAlign w:val="center"/>
          </w:tcPr>
          <w:p w14:paraId="7983985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11C0D07">
            <w:pPr>
              <w:jc w:val="center"/>
              <w:rPr>
                <w:rFonts w:hint="eastAsia" w:ascii="宋体" w:hAnsi="宋体" w:eastAsia="宋体" w:cs="宋体"/>
                <w:b w:val="0"/>
                <w:bCs w:val="0"/>
                <w:color w:val="auto"/>
                <w:kern w:val="0"/>
                <w:sz w:val="20"/>
                <w:szCs w:val="20"/>
                <w:highlight w:val="none"/>
                <w:lang w:val="en-US" w:eastAsia="zh-CN" w:bidi="ar-SA"/>
              </w:rPr>
            </w:pPr>
          </w:p>
        </w:tc>
      </w:tr>
      <w:tr w14:paraId="2884D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7B2C178">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537C2CAE">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7B948BA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磁盘管理</w:t>
            </w:r>
          </w:p>
        </w:tc>
        <w:tc>
          <w:tcPr>
            <w:tcW w:w="5476" w:type="dxa"/>
            <w:vAlign w:val="center"/>
          </w:tcPr>
          <w:p w14:paraId="3BD29247">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是对磁盘常用目录的增减情况进行监控，用于做磁盘异常预警</w:t>
            </w:r>
          </w:p>
        </w:tc>
        <w:tc>
          <w:tcPr>
            <w:tcW w:w="733" w:type="dxa"/>
            <w:vMerge w:val="continue"/>
            <w:vAlign w:val="center"/>
          </w:tcPr>
          <w:p w14:paraId="3A55A2B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8A1EA7F">
            <w:pPr>
              <w:jc w:val="center"/>
              <w:rPr>
                <w:rFonts w:hint="eastAsia" w:ascii="宋体" w:hAnsi="宋体" w:eastAsia="宋体" w:cs="宋体"/>
                <w:b w:val="0"/>
                <w:bCs w:val="0"/>
                <w:color w:val="auto"/>
                <w:kern w:val="0"/>
                <w:sz w:val="20"/>
                <w:szCs w:val="20"/>
                <w:highlight w:val="none"/>
                <w:lang w:val="en-US" w:eastAsia="zh-CN" w:bidi="ar-SA"/>
              </w:rPr>
            </w:pPr>
          </w:p>
        </w:tc>
      </w:tr>
      <w:tr w14:paraId="6A9C6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CE7408F">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restart"/>
            <w:vAlign w:val="center"/>
          </w:tcPr>
          <w:p w14:paraId="769AEBA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实施对接</w:t>
            </w:r>
          </w:p>
        </w:tc>
        <w:tc>
          <w:tcPr>
            <w:tcW w:w="1824" w:type="dxa"/>
            <w:vAlign w:val="center"/>
          </w:tcPr>
          <w:p w14:paraId="48EF61E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电子病历数据对接</w:t>
            </w:r>
          </w:p>
        </w:tc>
        <w:tc>
          <w:tcPr>
            <w:tcW w:w="5476" w:type="dxa"/>
            <w:vAlign w:val="center"/>
          </w:tcPr>
          <w:p w14:paraId="31DA9965">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提供多种方式与电子病历进行对接，可通过数据库对接或接口方式对接</w:t>
            </w:r>
          </w:p>
        </w:tc>
        <w:tc>
          <w:tcPr>
            <w:tcW w:w="733" w:type="dxa"/>
            <w:vMerge w:val="restart"/>
            <w:vAlign w:val="center"/>
          </w:tcPr>
          <w:p w14:paraId="52F580C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1EFF3DFC">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27.5</w:t>
            </w:r>
          </w:p>
        </w:tc>
      </w:tr>
      <w:tr w14:paraId="62105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7C774D9">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03A96AB5">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014F942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健康档案数据对接</w:t>
            </w:r>
          </w:p>
        </w:tc>
        <w:tc>
          <w:tcPr>
            <w:tcW w:w="5476" w:type="dxa"/>
            <w:vAlign w:val="center"/>
          </w:tcPr>
          <w:p w14:paraId="51C09D5E">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提供多种方式与健康档案进行对接，可通过数据库对接或接口方式对接</w:t>
            </w:r>
          </w:p>
        </w:tc>
        <w:tc>
          <w:tcPr>
            <w:tcW w:w="733" w:type="dxa"/>
            <w:vMerge w:val="continue"/>
            <w:vAlign w:val="center"/>
          </w:tcPr>
          <w:p w14:paraId="15669EC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08097DE">
            <w:pPr>
              <w:jc w:val="center"/>
              <w:rPr>
                <w:rFonts w:hint="eastAsia" w:ascii="宋体" w:hAnsi="宋体" w:eastAsia="宋体" w:cs="宋体"/>
                <w:b w:val="0"/>
                <w:bCs w:val="0"/>
                <w:color w:val="auto"/>
                <w:kern w:val="0"/>
                <w:sz w:val="20"/>
                <w:szCs w:val="20"/>
                <w:highlight w:val="none"/>
                <w:lang w:val="en-US" w:eastAsia="zh-CN" w:bidi="ar-SA"/>
              </w:rPr>
            </w:pPr>
          </w:p>
        </w:tc>
      </w:tr>
      <w:tr w14:paraId="76B52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1428FAF">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4FA69267">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2A03B76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区域检验中心</w:t>
            </w:r>
          </w:p>
        </w:tc>
        <w:tc>
          <w:tcPr>
            <w:tcW w:w="5476" w:type="dxa"/>
            <w:vAlign w:val="center"/>
          </w:tcPr>
          <w:p w14:paraId="2C638FDC">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对接区域检验中心数据与接口</w:t>
            </w:r>
          </w:p>
        </w:tc>
        <w:tc>
          <w:tcPr>
            <w:tcW w:w="733" w:type="dxa"/>
            <w:vMerge w:val="continue"/>
            <w:vAlign w:val="center"/>
          </w:tcPr>
          <w:p w14:paraId="36350CB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0CD6351">
            <w:pPr>
              <w:jc w:val="center"/>
              <w:rPr>
                <w:rFonts w:hint="eastAsia" w:ascii="宋体" w:hAnsi="宋体" w:eastAsia="宋体" w:cs="宋体"/>
                <w:b w:val="0"/>
                <w:bCs w:val="0"/>
                <w:color w:val="auto"/>
                <w:kern w:val="0"/>
                <w:sz w:val="20"/>
                <w:szCs w:val="20"/>
                <w:highlight w:val="none"/>
                <w:lang w:val="en-US" w:eastAsia="zh-CN" w:bidi="ar-SA"/>
              </w:rPr>
            </w:pPr>
          </w:p>
        </w:tc>
      </w:tr>
      <w:tr w14:paraId="7E435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6B944F7">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737D37C3">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44AC193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网络心电中心</w:t>
            </w:r>
          </w:p>
        </w:tc>
        <w:tc>
          <w:tcPr>
            <w:tcW w:w="5476" w:type="dxa"/>
            <w:vAlign w:val="center"/>
          </w:tcPr>
          <w:p w14:paraId="6595CF9F">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对接网络心电中心数据与接口</w:t>
            </w:r>
          </w:p>
        </w:tc>
        <w:tc>
          <w:tcPr>
            <w:tcW w:w="733" w:type="dxa"/>
            <w:vMerge w:val="continue"/>
            <w:vAlign w:val="center"/>
          </w:tcPr>
          <w:p w14:paraId="587E903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1566A30">
            <w:pPr>
              <w:jc w:val="center"/>
              <w:rPr>
                <w:rFonts w:hint="eastAsia" w:ascii="宋体" w:hAnsi="宋体" w:eastAsia="宋体" w:cs="宋体"/>
                <w:b w:val="0"/>
                <w:bCs w:val="0"/>
                <w:color w:val="auto"/>
                <w:kern w:val="0"/>
                <w:sz w:val="20"/>
                <w:szCs w:val="20"/>
                <w:highlight w:val="none"/>
                <w:lang w:val="en-US" w:eastAsia="zh-CN" w:bidi="ar-SA"/>
              </w:rPr>
            </w:pPr>
          </w:p>
        </w:tc>
      </w:tr>
      <w:tr w14:paraId="00CA8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C550E12">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768FD9EB">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6D68DE6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影像云诊中心</w:t>
            </w:r>
          </w:p>
        </w:tc>
        <w:tc>
          <w:tcPr>
            <w:tcW w:w="5476" w:type="dxa"/>
            <w:vAlign w:val="center"/>
          </w:tcPr>
          <w:p w14:paraId="5B84B41E">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对接影像云诊中心数据与接口</w:t>
            </w:r>
          </w:p>
        </w:tc>
        <w:tc>
          <w:tcPr>
            <w:tcW w:w="733" w:type="dxa"/>
            <w:vMerge w:val="continue"/>
            <w:vAlign w:val="center"/>
          </w:tcPr>
          <w:p w14:paraId="1FF79CA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787114A">
            <w:pPr>
              <w:jc w:val="center"/>
              <w:rPr>
                <w:rFonts w:hint="eastAsia" w:ascii="宋体" w:hAnsi="宋体" w:eastAsia="宋体" w:cs="宋体"/>
                <w:b w:val="0"/>
                <w:bCs w:val="0"/>
                <w:color w:val="auto"/>
                <w:kern w:val="0"/>
                <w:sz w:val="20"/>
                <w:szCs w:val="20"/>
                <w:highlight w:val="none"/>
                <w:lang w:val="en-US" w:eastAsia="zh-CN" w:bidi="ar-SA"/>
              </w:rPr>
            </w:pPr>
          </w:p>
        </w:tc>
      </w:tr>
      <w:tr w14:paraId="0330F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9FC5E1B">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36A101BA">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7DE49F3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智慧急救中心</w:t>
            </w:r>
          </w:p>
        </w:tc>
        <w:tc>
          <w:tcPr>
            <w:tcW w:w="5476" w:type="dxa"/>
            <w:vAlign w:val="center"/>
          </w:tcPr>
          <w:p w14:paraId="7088D013">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对接智慧急救中心数据与接口</w:t>
            </w:r>
          </w:p>
        </w:tc>
        <w:tc>
          <w:tcPr>
            <w:tcW w:w="733" w:type="dxa"/>
            <w:vMerge w:val="continue"/>
            <w:vAlign w:val="center"/>
          </w:tcPr>
          <w:p w14:paraId="2990904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91DD8AB">
            <w:pPr>
              <w:jc w:val="center"/>
              <w:rPr>
                <w:rFonts w:hint="eastAsia" w:ascii="宋体" w:hAnsi="宋体" w:eastAsia="宋体" w:cs="宋体"/>
                <w:b w:val="0"/>
                <w:bCs w:val="0"/>
                <w:color w:val="auto"/>
                <w:kern w:val="0"/>
                <w:sz w:val="20"/>
                <w:szCs w:val="20"/>
                <w:highlight w:val="none"/>
                <w:lang w:val="en-US" w:eastAsia="zh-CN" w:bidi="ar-SA"/>
              </w:rPr>
            </w:pPr>
          </w:p>
        </w:tc>
      </w:tr>
      <w:tr w14:paraId="5CF9B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90C5E49">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35057ACF">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67086AC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远程会诊中心</w:t>
            </w:r>
          </w:p>
        </w:tc>
        <w:tc>
          <w:tcPr>
            <w:tcW w:w="5476" w:type="dxa"/>
            <w:vAlign w:val="center"/>
          </w:tcPr>
          <w:p w14:paraId="08FD936C">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对接远程会诊中心数据与接口</w:t>
            </w:r>
          </w:p>
        </w:tc>
        <w:tc>
          <w:tcPr>
            <w:tcW w:w="733" w:type="dxa"/>
            <w:vMerge w:val="continue"/>
            <w:vAlign w:val="center"/>
          </w:tcPr>
          <w:p w14:paraId="692EB40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C173992">
            <w:pPr>
              <w:jc w:val="center"/>
              <w:rPr>
                <w:rFonts w:hint="eastAsia" w:ascii="宋体" w:hAnsi="宋体" w:eastAsia="宋体" w:cs="宋体"/>
                <w:b w:val="0"/>
                <w:bCs w:val="0"/>
                <w:color w:val="auto"/>
                <w:kern w:val="0"/>
                <w:sz w:val="20"/>
                <w:szCs w:val="20"/>
                <w:highlight w:val="none"/>
                <w:lang w:val="en-US" w:eastAsia="zh-CN" w:bidi="ar-SA"/>
              </w:rPr>
            </w:pPr>
          </w:p>
        </w:tc>
      </w:tr>
      <w:tr w14:paraId="32F90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F0B975D">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50D63CEE">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7EA8C31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集中审方中心</w:t>
            </w:r>
          </w:p>
        </w:tc>
        <w:tc>
          <w:tcPr>
            <w:tcW w:w="5476" w:type="dxa"/>
            <w:vAlign w:val="center"/>
          </w:tcPr>
          <w:p w14:paraId="4AB58695">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对接集中审方中心数据与接口</w:t>
            </w:r>
          </w:p>
        </w:tc>
        <w:tc>
          <w:tcPr>
            <w:tcW w:w="733" w:type="dxa"/>
            <w:vMerge w:val="continue"/>
            <w:vAlign w:val="center"/>
          </w:tcPr>
          <w:p w14:paraId="1F917BC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46B3CD0">
            <w:pPr>
              <w:jc w:val="center"/>
              <w:rPr>
                <w:rFonts w:hint="eastAsia" w:ascii="宋体" w:hAnsi="宋体" w:eastAsia="宋体" w:cs="宋体"/>
                <w:b w:val="0"/>
                <w:bCs w:val="0"/>
                <w:color w:val="auto"/>
                <w:kern w:val="0"/>
                <w:sz w:val="20"/>
                <w:szCs w:val="20"/>
                <w:highlight w:val="none"/>
                <w:lang w:val="en-US" w:eastAsia="zh-CN" w:bidi="ar-SA"/>
              </w:rPr>
            </w:pPr>
          </w:p>
        </w:tc>
      </w:tr>
      <w:tr w14:paraId="08E8A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0BBBEC2">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29337D68">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5E14C97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健康随访中心</w:t>
            </w:r>
          </w:p>
        </w:tc>
        <w:tc>
          <w:tcPr>
            <w:tcW w:w="5476" w:type="dxa"/>
            <w:vAlign w:val="center"/>
          </w:tcPr>
          <w:p w14:paraId="58F657DC">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对接健康随访中心数据与接口</w:t>
            </w:r>
          </w:p>
        </w:tc>
        <w:tc>
          <w:tcPr>
            <w:tcW w:w="733" w:type="dxa"/>
            <w:vMerge w:val="continue"/>
            <w:vAlign w:val="center"/>
          </w:tcPr>
          <w:p w14:paraId="59E6766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376FA16">
            <w:pPr>
              <w:jc w:val="center"/>
              <w:rPr>
                <w:rFonts w:hint="eastAsia" w:ascii="宋体" w:hAnsi="宋体" w:eastAsia="宋体" w:cs="宋体"/>
                <w:b w:val="0"/>
                <w:bCs w:val="0"/>
                <w:color w:val="auto"/>
                <w:kern w:val="0"/>
                <w:sz w:val="20"/>
                <w:szCs w:val="20"/>
                <w:highlight w:val="none"/>
                <w:lang w:val="en-US" w:eastAsia="zh-CN" w:bidi="ar-SA"/>
              </w:rPr>
            </w:pPr>
          </w:p>
        </w:tc>
      </w:tr>
      <w:tr w14:paraId="7BA9A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83F28D7">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35F026BB">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25E6EB0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医护调度中心</w:t>
            </w:r>
          </w:p>
        </w:tc>
        <w:tc>
          <w:tcPr>
            <w:tcW w:w="5476" w:type="dxa"/>
            <w:vAlign w:val="center"/>
          </w:tcPr>
          <w:p w14:paraId="51BC724C">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对接医护调度中心数据与接口</w:t>
            </w:r>
          </w:p>
        </w:tc>
        <w:tc>
          <w:tcPr>
            <w:tcW w:w="733" w:type="dxa"/>
            <w:vMerge w:val="continue"/>
            <w:vAlign w:val="center"/>
          </w:tcPr>
          <w:p w14:paraId="5D9E3B5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E1E3B6C">
            <w:pPr>
              <w:jc w:val="center"/>
              <w:rPr>
                <w:rFonts w:hint="eastAsia" w:ascii="宋体" w:hAnsi="宋体" w:eastAsia="宋体" w:cs="宋体"/>
                <w:b w:val="0"/>
                <w:bCs w:val="0"/>
                <w:color w:val="auto"/>
                <w:kern w:val="0"/>
                <w:sz w:val="20"/>
                <w:szCs w:val="20"/>
                <w:highlight w:val="none"/>
                <w:lang w:val="en-US" w:eastAsia="zh-CN" w:bidi="ar-SA"/>
              </w:rPr>
            </w:pPr>
          </w:p>
        </w:tc>
      </w:tr>
      <w:tr w14:paraId="6BD5E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1DFE3B0">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67F84C0E">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25875C4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药物配供中心</w:t>
            </w:r>
          </w:p>
        </w:tc>
        <w:tc>
          <w:tcPr>
            <w:tcW w:w="5476" w:type="dxa"/>
            <w:vAlign w:val="center"/>
          </w:tcPr>
          <w:p w14:paraId="3747BA2F">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对接药物配供中心数据与接口</w:t>
            </w:r>
          </w:p>
        </w:tc>
        <w:tc>
          <w:tcPr>
            <w:tcW w:w="733" w:type="dxa"/>
            <w:vMerge w:val="continue"/>
            <w:vAlign w:val="center"/>
          </w:tcPr>
          <w:p w14:paraId="791861C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9C398F5">
            <w:pPr>
              <w:jc w:val="center"/>
              <w:rPr>
                <w:rFonts w:hint="eastAsia" w:ascii="宋体" w:hAnsi="宋体" w:eastAsia="宋体" w:cs="宋体"/>
                <w:b w:val="0"/>
                <w:bCs w:val="0"/>
                <w:color w:val="auto"/>
                <w:kern w:val="0"/>
                <w:sz w:val="20"/>
                <w:szCs w:val="20"/>
                <w:highlight w:val="none"/>
                <w:lang w:val="en-US" w:eastAsia="zh-CN" w:bidi="ar-SA"/>
              </w:rPr>
            </w:pPr>
          </w:p>
        </w:tc>
      </w:tr>
      <w:tr w14:paraId="07334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94783D7">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1F91E5DE">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20D2473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消毒供应中心</w:t>
            </w:r>
          </w:p>
        </w:tc>
        <w:tc>
          <w:tcPr>
            <w:tcW w:w="5476" w:type="dxa"/>
            <w:vAlign w:val="center"/>
          </w:tcPr>
          <w:p w14:paraId="62594421">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对接消毒供应中心数据与接口</w:t>
            </w:r>
          </w:p>
        </w:tc>
        <w:tc>
          <w:tcPr>
            <w:tcW w:w="733" w:type="dxa"/>
            <w:vMerge w:val="continue"/>
            <w:vAlign w:val="center"/>
          </w:tcPr>
          <w:p w14:paraId="6200D2C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DBE5465">
            <w:pPr>
              <w:jc w:val="center"/>
              <w:rPr>
                <w:rFonts w:hint="eastAsia" w:ascii="宋体" w:hAnsi="宋体" w:eastAsia="宋体" w:cs="宋体"/>
                <w:b w:val="0"/>
                <w:bCs w:val="0"/>
                <w:color w:val="auto"/>
                <w:kern w:val="0"/>
                <w:sz w:val="20"/>
                <w:szCs w:val="20"/>
                <w:highlight w:val="none"/>
                <w:lang w:val="en-US" w:eastAsia="zh-CN" w:bidi="ar-SA"/>
              </w:rPr>
            </w:pPr>
          </w:p>
        </w:tc>
      </w:tr>
      <w:tr w14:paraId="7405C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6E05991">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34D53EB5">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26F3B82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家医服务中心</w:t>
            </w:r>
          </w:p>
        </w:tc>
        <w:tc>
          <w:tcPr>
            <w:tcW w:w="5476" w:type="dxa"/>
            <w:vAlign w:val="center"/>
          </w:tcPr>
          <w:p w14:paraId="23F11025">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对接家医服务中心数据与接口</w:t>
            </w:r>
          </w:p>
        </w:tc>
        <w:tc>
          <w:tcPr>
            <w:tcW w:w="733" w:type="dxa"/>
            <w:vMerge w:val="continue"/>
            <w:vAlign w:val="center"/>
          </w:tcPr>
          <w:p w14:paraId="1155EFF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DF7EA13">
            <w:pPr>
              <w:jc w:val="center"/>
              <w:rPr>
                <w:rFonts w:hint="eastAsia" w:ascii="宋体" w:hAnsi="宋体" w:eastAsia="宋体" w:cs="宋体"/>
                <w:b w:val="0"/>
                <w:bCs w:val="0"/>
                <w:color w:val="auto"/>
                <w:kern w:val="0"/>
                <w:sz w:val="20"/>
                <w:szCs w:val="20"/>
                <w:highlight w:val="none"/>
                <w:lang w:val="en-US" w:eastAsia="zh-CN" w:bidi="ar-SA"/>
              </w:rPr>
            </w:pPr>
          </w:p>
        </w:tc>
      </w:tr>
      <w:tr w14:paraId="1B758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C7C418F">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7F00E589">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6C1B81C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医疗质控中心</w:t>
            </w:r>
          </w:p>
        </w:tc>
        <w:tc>
          <w:tcPr>
            <w:tcW w:w="5476" w:type="dxa"/>
            <w:vAlign w:val="center"/>
          </w:tcPr>
          <w:p w14:paraId="36BDC84B">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对接医疗质控中心数据与接口</w:t>
            </w:r>
          </w:p>
        </w:tc>
        <w:tc>
          <w:tcPr>
            <w:tcW w:w="733" w:type="dxa"/>
            <w:vMerge w:val="continue"/>
            <w:vAlign w:val="center"/>
          </w:tcPr>
          <w:p w14:paraId="354AE15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1C61D80">
            <w:pPr>
              <w:jc w:val="center"/>
              <w:rPr>
                <w:rFonts w:hint="eastAsia" w:ascii="宋体" w:hAnsi="宋体" w:eastAsia="宋体" w:cs="宋体"/>
                <w:b w:val="0"/>
                <w:bCs w:val="0"/>
                <w:color w:val="auto"/>
                <w:kern w:val="0"/>
                <w:sz w:val="20"/>
                <w:szCs w:val="20"/>
                <w:highlight w:val="none"/>
                <w:lang w:val="en-US" w:eastAsia="zh-CN" w:bidi="ar-SA"/>
              </w:rPr>
            </w:pPr>
          </w:p>
        </w:tc>
      </w:tr>
      <w:tr w14:paraId="62AEC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B8F9A80">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24D28A17">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42A0E1D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运维监管中心</w:t>
            </w:r>
          </w:p>
        </w:tc>
        <w:tc>
          <w:tcPr>
            <w:tcW w:w="5476" w:type="dxa"/>
            <w:vAlign w:val="center"/>
          </w:tcPr>
          <w:p w14:paraId="4EC2FEDE">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对接运维监管中心数据与接口</w:t>
            </w:r>
          </w:p>
        </w:tc>
        <w:tc>
          <w:tcPr>
            <w:tcW w:w="733" w:type="dxa"/>
            <w:vMerge w:val="continue"/>
            <w:vAlign w:val="center"/>
          </w:tcPr>
          <w:p w14:paraId="78A1723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85BFF7F">
            <w:pPr>
              <w:jc w:val="center"/>
              <w:rPr>
                <w:rFonts w:hint="eastAsia" w:ascii="宋体" w:hAnsi="宋体" w:eastAsia="宋体" w:cs="宋体"/>
                <w:b w:val="0"/>
                <w:bCs w:val="0"/>
                <w:color w:val="auto"/>
                <w:kern w:val="0"/>
                <w:sz w:val="20"/>
                <w:szCs w:val="20"/>
                <w:highlight w:val="none"/>
                <w:lang w:val="en-US" w:eastAsia="zh-CN" w:bidi="ar-SA"/>
              </w:rPr>
            </w:pPr>
          </w:p>
        </w:tc>
      </w:tr>
    </w:tbl>
    <w:p w14:paraId="34E68C59">
      <w:pPr>
        <w:pStyle w:val="2"/>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both"/>
        <w:textAlignment w:val="auto"/>
        <w:rPr>
          <w:rFonts w:hint="eastAsia" w:ascii="宋体" w:hAnsi="宋体" w:eastAsia="宋体" w:cs="宋体"/>
          <w:highlight w:val="yellow"/>
          <w:lang w:val="en-US" w:eastAsia="zh-CN"/>
        </w:rPr>
      </w:pPr>
      <w:r>
        <w:rPr>
          <w:rFonts w:hint="eastAsia" w:ascii="宋体" w:hAnsi="宋体" w:eastAsia="宋体" w:cs="宋体"/>
          <w:highlight w:val="yellow"/>
          <w:lang w:val="en-US" w:eastAsia="zh-CN"/>
        </w:rPr>
        <w:t>（二）-14：智慧急救中心（硬件）</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1378"/>
        <w:gridCol w:w="1400"/>
        <w:gridCol w:w="5542"/>
        <w:gridCol w:w="733"/>
        <w:gridCol w:w="714"/>
      </w:tblGrid>
      <w:tr w14:paraId="0AEE4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649BA61">
            <w:pPr>
              <w:widowControl/>
              <w:jc w:val="center"/>
              <w:rPr>
                <w:rFonts w:hint="eastAsia" w:ascii="仿宋" w:hAnsi="仿宋" w:eastAsia="仿宋" w:cs="宋体"/>
                <w:color w:val="auto"/>
                <w:sz w:val="22"/>
                <w:szCs w:val="22"/>
                <w:highlight w:val="none"/>
                <w:lang w:val="en-US" w:eastAsia="zh-CN"/>
              </w:rPr>
            </w:pPr>
            <w:r>
              <w:rPr>
                <w:rFonts w:hint="eastAsia" w:ascii="宋体" w:hAnsi="宋体" w:cs="宋体"/>
                <w:b/>
                <w:bCs/>
                <w:color w:val="auto"/>
                <w:kern w:val="0"/>
                <w:sz w:val="20"/>
                <w:szCs w:val="20"/>
                <w:highlight w:val="none"/>
              </w:rPr>
              <w:t>序号</w:t>
            </w:r>
          </w:p>
        </w:tc>
        <w:tc>
          <w:tcPr>
            <w:tcW w:w="1378" w:type="dxa"/>
            <w:vAlign w:val="center"/>
          </w:tcPr>
          <w:p w14:paraId="0E4B29A2">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产品名称</w:t>
            </w:r>
          </w:p>
        </w:tc>
        <w:tc>
          <w:tcPr>
            <w:tcW w:w="1400" w:type="dxa"/>
            <w:vAlign w:val="center"/>
          </w:tcPr>
          <w:p w14:paraId="578D874C">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子产品名称</w:t>
            </w:r>
          </w:p>
        </w:tc>
        <w:tc>
          <w:tcPr>
            <w:tcW w:w="5542" w:type="dxa"/>
            <w:vAlign w:val="center"/>
          </w:tcPr>
          <w:p w14:paraId="1F3D3963">
            <w:pPr>
              <w:widowControl/>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510C0BD3">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单位</w:t>
            </w:r>
          </w:p>
        </w:tc>
        <w:tc>
          <w:tcPr>
            <w:tcW w:w="714" w:type="dxa"/>
            <w:vAlign w:val="center"/>
          </w:tcPr>
          <w:p w14:paraId="56B1D9AA">
            <w:pPr>
              <w:spacing w:line="240" w:lineRule="exact"/>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Cs w:val="21"/>
                <w:highlight w:val="none"/>
                <w:lang w:eastAsia="zh-CN"/>
              </w:rPr>
              <w:t>数量</w:t>
            </w:r>
          </w:p>
        </w:tc>
      </w:tr>
      <w:tr w14:paraId="00DBA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94C52DD">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766</w:t>
            </w:r>
          </w:p>
        </w:tc>
        <w:tc>
          <w:tcPr>
            <w:tcW w:w="1378" w:type="dxa"/>
            <w:vAlign w:val="center"/>
          </w:tcPr>
          <w:p w14:paraId="120770C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区域化云调度子系统</w:t>
            </w:r>
          </w:p>
        </w:tc>
        <w:tc>
          <w:tcPr>
            <w:tcW w:w="1400" w:type="dxa"/>
            <w:vAlign w:val="center"/>
          </w:tcPr>
          <w:p w14:paraId="4C0616AB">
            <w:pPr>
              <w:jc w:val="center"/>
              <w:rPr>
                <w:rFonts w:hint="eastAsia"/>
                <w:color w:val="auto"/>
                <w:lang w:val="en-US" w:eastAsia="zh-CN"/>
              </w:rPr>
            </w:pPr>
          </w:p>
          <w:p w14:paraId="61F9D3EF">
            <w:pPr>
              <w:jc w:val="center"/>
              <w:rPr>
                <w:rFonts w:hint="eastAsia"/>
                <w:color w:val="auto"/>
                <w:lang w:val="en-US" w:eastAsia="zh-CN"/>
              </w:rPr>
            </w:pPr>
          </w:p>
          <w:p w14:paraId="531D9CB4">
            <w:pPr>
              <w:jc w:val="center"/>
              <w:rPr>
                <w:rFonts w:hint="eastAsia"/>
                <w:color w:val="auto"/>
                <w:lang w:val="en-US" w:eastAsia="zh-CN"/>
              </w:rPr>
            </w:pPr>
          </w:p>
          <w:p w14:paraId="1D43ED70">
            <w:pPr>
              <w:jc w:val="center"/>
              <w:rPr>
                <w:rFonts w:hint="eastAsia"/>
                <w:color w:val="auto"/>
                <w:lang w:val="en-US" w:eastAsia="zh-CN"/>
              </w:rPr>
            </w:pPr>
          </w:p>
          <w:p w14:paraId="2473A9CB">
            <w:pPr>
              <w:jc w:val="center"/>
              <w:rPr>
                <w:rFonts w:hint="eastAsia"/>
                <w:color w:val="auto"/>
                <w:lang w:val="en-US" w:eastAsia="zh-CN"/>
              </w:rPr>
            </w:pPr>
          </w:p>
          <w:p w14:paraId="615F11A5">
            <w:pPr>
              <w:jc w:val="center"/>
              <w:rPr>
                <w:rFonts w:hint="eastAsia"/>
                <w:color w:val="auto"/>
                <w:lang w:val="en-US" w:eastAsia="zh-CN"/>
              </w:rPr>
            </w:pPr>
          </w:p>
          <w:p w14:paraId="471C95D2">
            <w:pPr>
              <w:jc w:val="center"/>
              <w:rPr>
                <w:rFonts w:hint="eastAsia"/>
                <w:color w:val="auto"/>
                <w:lang w:val="en-US" w:eastAsia="zh-CN"/>
              </w:rPr>
            </w:pPr>
          </w:p>
          <w:p w14:paraId="23F9A15B">
            <w:pPr>
              <w:jc w:val="center"/>
              <w:rPr>
                <w:rFonts w:hint="eastAsia"/>
                <w:color w:val="auto"/>
                <w:lang w:val="en-US" w:eastAsia="zh-CN"/>
              </w:rPr>
            </w:pPr>
          </w:p>
          <w:p w14:paraId="2FAF33B2">
            <w:pPr>
              <w:jc w:val="center"/>
              <w:rPr>
                <w:rFonts w:hint="eastAsia"/>
                <w:color w:val="auto"/>
                <w:lang w:val="en-US" w:eastAsia="zh-CN"/>
              </w:rPr>
            </w:pPr>
          </w:p>
          <w:p w14:paraId="1BF16016">
            <w:pPr>
              <w:jc w:val="center"/>
              <w:rPr>
                <w:rFonts w:hint="eastAsia" w:ascii="宋体" w:hAnsi="宋体" w:eastAsia="宋体" w:cs="宋体"/>
                <w:b w:val="0"/>
                <w:bCs w:val="0"/>
                <w:color w:val="auto"/>
                <w:kern w:val="0"/>
                <w:sz w:val="20"/>
                <w:szCs w:val="20"/>
                <w:highlight w:val="none"/>
                <w:lang w:val="en-US" w:eastAsia="zh-CN" w:bidi="ar-SA"/>
              </w:rPr>
            </w:pPr>
            <w:r>
              <w:rPr>
                <w:rFonts w:hint="eastAsia"/>
                <w:color w:val="auto"/>
                <w:lang w:val="en-US" w:eastAsia="zh-CN"/>
              </w:rPr>
              <w:t>车载智能终端</w:t>
            </w:r>
          </w:p>
        </w:tc>
        <w:tc>
          <w:tcPr>
            <w:tcW w:w="5542" w:type="dxa"/>
            <w:vAlign w:val="center"/>
          </w:tcPr>
          <w:p w14:paraId="1480297E">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1、一体式工业结构设计：适合台面安装。</w:t>
            </w:r>
          </w:p>
          <w:p w14:paraId="348123B5">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2、操作系统：基于 Android 7.1以上。</w:t>
            </w:r>
          </w:p>
          <w:p w14:paraId="7B10A55E">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3、≥7寸触摸显示屏：显示屏分辨率≥1024*600。</w:t>
            </w:r>
          </w:p>
          <w:p w14:paraId="466F591A">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4、支持RFID、IC卡司机信息卡。</w:t>
            </w:r>
          </w:p>
          <w:p w14:paraId="65A0A0D3">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5、无线通信：支持4G全网通。</w:t>
            </w:r>
          </w:p>
          <w:p w14:paraId="6448A6EB">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6、WIFI:内置 WIFI 热点，可共享上网。</w:t>
            </w:r>
          </w:p>
          <w:p w14:paraId="1E785D79">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7、支持≥4路视频,支持≥1路摄像头录音。</w:t>
            </w:r>
          </w:p>
          <w:p w14:paraId="3343A6CF">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8、支持VOIP语音通话。</w:t>
            </w:r>
          </w:p>
          <w:p w14:paraId="6A12ADE7">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10、集成讯飞语音，支持中英文TTS语音合成。</w:t>
            </w:r>
          </w:p>
          <w:p w14:paraId="0C502B04">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11、支持安装第三方应用程序，扩展终端行业应用功能。</w:t>
            </w:r>
          </w:p>
          <w:p w14:paraId="33A38779">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12、具备电瓶过放电保护功能；具备过压保护，超过极限电压，立即切断外部电路保护终端；</w:t>
            </w:r>
          </w:p>
          <w:p w14:paraId="425204D8">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13、功耗低，熄火检测到电瓶电压低时候可进入零功耗状态，此时工作电流小于2mA，可有效保护汽车电瓶防止过放。</w:t>
            </w:r>
          </w:p>
          <w:p w14:paraId="1A1A6020">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14、电源多重保护，可适应车内复杂电源干扰环境。</w:t>
            </w:r>
          </w:p>
          <w:p w14:paraId="19F1C381">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15、提供二次开发SDK</w:t>
            </w:r>
          </w:p>
          <w:p w14:paraId="187FF34C">
            <w:pPr>
              <w:jc w:val="left"/>
              <w:rPr>
                <w:rFonts w:hint="default" w:ascii="宋体" w:hAnsi="宋体" w:eastAsia="宋体" w:cs="宋体"/>
                <w:b w:val="0"/>
                <w:bCs w:val="0"/>
                <w:color w:val="auto"/>
                <w:kern w:val="0"/>
                <w:sz w:val="20"/>
                <w:szCs w:val="20"/>
                <w:highlight w:val="yellow"/>
                <w:lang w:val="en-US" w:eastAsia="zh-CN" w:bidi="ar-SA"/>
              </w:rPr>
            </w:pP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 xml:space="preserve">16、所投车载信息终端具备CNAS或CMA标识的交通运输通信信息工程质量检测中心出具的电气性能（含电源电压适应性、耐电源极性反接、耐电源过电压性、断电保护性能、低压保护性能）（提供CNAS或CMA标识的检测报告原件彩色扫描件或复印件加盖投标人公章后的彩色扫描件） </w:t>
            </w:r>
          </w:p>
          <w:p w14:paraId="34F632D6">
            <w:pPr>
              <w:jc w:val="left"/>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17、所投车载信息终端具备CNAS或CMA标识的交通运输通信信息工程质量检测中心出具的机械环境适应性（含震动、冲击）（提供CNAS或CMA标识的检测报告原件彩色扫描件或复印件加盖投标人公章后的彩色扫描件）</w:t>
            </w:r>
          </w:p>
        </w:tc>
        <w:tc>
          <w:tcPr>
            <w:tcW w:w="733" w:type="dxa"/>
            <w:vAlign w:val="center"/>
          </w:tcPr>
          <w:p w14:paraId="1FE84D2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2B3B21B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16</w:t>
            </w:r>
          </w:p>
        </w:tc>
      </w:tr>
      <w:tr w14:paraId="035F9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8" w:hRule="atLeast"/>
        </w:trPr>
        <w:tc>
          <w:tcPr>
            <w:tcW w:w="583" w:type="dxa"/>
            <w:vAlign w:val="center"/>
          </w:tcPr>
          <w:p w14:paraId="3F43D35C">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767</w:t>
            </w:r>
          </w:p>
        </w:tc>
        <w:tc>
          <w:tcPr>
            <w:tcW w:w="1378" w:type="dxa"/>
            <w:vAlign w:val="center"/>
          </w:tcPr>
          <w:p w14:paraId="1322704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网络视频传输服务端</w:t>
            </w:r>
          </w:p>
        </w:tc>
        <w:tc>
          <w:tcPr>
            <w:tcW w:w="1400" w:type="dxa"/>
            <w:vAlign w:val="center"/>
          </w:tcPr>
          <w:p w14:paraId="0AF9DF3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车载监控</w:t>
            </w:r>
          </w:p>
        </w:tc>
        <w:tc>
          <w:tcPr>
            <w:tcW w:w="5542" w:type="dxa"/>
            <w:vAlign w:val="center"/>
          </w:tcPr>
          <w:p w14:paraId="760605A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1.设备：</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(1)支持≥4路1080P视频输入、POE供电；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(2)支持≥1个2.5寸SATA 硬盘、≥1个SDHC卡；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(3)无风扇设计、全铝机身、专业减震技术；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(4)支持3G/4G、WiFi 、北斗等；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(5)支持行车状态记录功能：包括车速、转向、刹车、倒车、车门开启统计等；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(6)支持双码流、支持动态码率编码技术，适应无线网络带宽变化；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(7)支持报警联动录像预录功能；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(8)支持6~36V宽电压输入； </w:t>
            </w:r>
            <w:r>
              <w:rPr>
                <w:rFonts w:hint="eastAsia" w:ascii="微软雅黑" w:hAnsi="微软雅黑" w:eastAsia="微软雅黑" w:cs="微软雅黑"/>
                <w:i w:val="0"/>
                <w:iCs w:val="0"/>
                <w:color w:val="000000"/>
                <w:kern w:val="0"/>
                <w:sz w:val="24"/>
                <w:szCs w:val="24"/>
                <w:u w:val="none"/>
                <w:lang w:val="en-US" w:eastAsia="zh-CN" w:bidi="ar"/>
              </w:rPr>
              <w:t xml:space="preserve"> </w:t>
            </w:r>
          </w:p>
        </w:tc>
        <w:tc>
          <w:tcPr>
            <w:tcW w:w="733" w:type="dxa"/>
            <w:vAlign w:val="center"/>
          </w:tcPr>
          <w:p w14:paraId="773F510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03F0B3E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16</w:t>
            </w:r>
          </w:p>
        </w:tc>
      </w:tr>
      <w:tr w14:paraId="0A25E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4CE9954">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768</w:t>
            </w:r>
          </w:p>
        </w:tc>
        <w:tc>
          <w:tcPr>
            <w:tcW w:w="1378" w:type="dxa"/>
            <w:vAlign w:val="center"/>
          </w:tcPr>
          <w:p w14:paraId="29CFC9F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电子病历系统服务端</w:t>
            </w:r>
          </w:p>
        </w:tc>
        <w:tc>
          <w:tcPr>
            <w:tcW w:w="1400" w:type="dxa"/>
            <w:vAlign w:val="center"/>
          </w:tcPr>
          <w:p w14:paraId="104A308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电子病历</w:t>
            </w:r>
          </w:p>
        </w:tc>
        <w:tc>
          <w:tcPr>
            <w:tcW w:w="5542" w:type="dxa"/>
            <w:vAlign w:val="center"/>
          </w:tcPr>
          <w:p w14:paraId="4A62062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1、硬件配置：屏幕要求采用2K柔性直屏，充电≥67W快充，电池容量≥5500mAh，运行内存≥12GB；存储要求：≥256GB</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电子病历APP及授权：①符合盐城市院前急救病历统一书写规范；②需与中心现行调度系统的调度任务关联；③需与与中心在用电子病历服务端配套使用；④需与分站电子病历平台互通，无论在两者任何一处填输均可实现自动同步；⑤APP自带中心服务端账号授权。</w:t>
            </w:r>
          </w:p>
        </w:tc>
        <w:tc>
          <w:tcPr>
            <w:tcW w:w="733" w:type="dxa"/>
            <w:vAlign w:val="center"/>
          </w:tcPr>
          <w:p w14:paraId="376CABD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6F256C9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16</w:t>
            </w:r>
          </w:p>
        </w:tc>
      </w:tr>
      <w:tr w14:paraId="5DDCC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B9ABAB4">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769</w:t>
            </w:r>
          </w:p>
        </w:tc>
        <w:tc>
          <w:tcPr>
            <w:tcW w:w="1378" w:type="dxa"/>
            <w:vMerge w:val="restart"/>
            <w:vAlign w:val="center"/>
          </w:tcPr>
          <w:p w14:paraId="47E608A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急救分站信息服务端</w:t>
            </w:r>
          </w:p>
        </w:tc>
        <w:tc>
          <w:tcPr>
            <w:tcW w:w="1400" w:type="dxa"/>
            <w:vAlign w:val="center"/>
          </w:tcPr>
          <w:p w14:paraId="036FEFA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分站路由器</w:t>
            </w:r>
          </w:p>
        </w:tc>
        <w:tc>
          <w:tcPr>
            <w:tcW w:w="5542" w:type="dxa"/>
            <w:vAlign w:val="center"/>
          </w:tcPr>
          <w:p w14:paraId="5213DE1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8口路由器；  LAN输出口：千兆网口</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机身材质：金属；    企业VPN：支持企业VPN</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防火墙：支持防火墙 ；   类型：有线路由器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网行为管理：支持上网行为管理；  LAN口类型：电口</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AP管理：支持AP管理</w:t>
            </w:r>
          </w:p>
        </w:tc>
        <w:tc>
          <w:tcPr>
            <w:tcW w:w="733" w:type="dxa"/>
            <w:vAlign w:val="center"/>
          </w:tcPr>
          <w:p w14:paraId="3D8ECA6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7A457F7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8</w:t>
            </w:r>
          </w:p>
        </w:tc>
      </w:tr>
      <w:tr w14:paraId="75CD4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672BF4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770</w:t>
            </w:r>
          </w:p>
        </w:tc>
        <w:tc>
          <w:tcPr>
            <w:tcW w:w="1378" w:type="dxa"/>
            <w:vMerge w:val="continue"/>
            <w:vAlign w:val="center"/>
          </w:tcPr>
          <w:p w14:paraId="425A351B">
            <w:pPr>
              <w:jc w:val="center"/>
              <w:rPr>
                <w:rFonts w:hint="eastAsia" w:ascii="宋体" w:hAnsi="宋体" w:eastAsia="宋体" w:cs="宋体"/>
                <w:b w:val="0"/>
                <w:bCs w:val="0"/>
                <w:color w:val="auto"/>
                <w:kern w:val="0"/>
                <w:sz w:val="20"/>
                <w:szCs w:val="20"/>
                <w:highlight w:val="none"/>
                <w:lang w:val="en-US" w:eastAsia="zh-CN" w:bidi="ar-SA"/>
              </w:rPr>
            </w:pPr>
          </w:p>
        </w:tc>
        <w:tc>
          <w:tcPr>
            <w:tcW w:w="1400" w:type="dxa"/>
            <w:vAlign w:val="center"/>
          </w:tcPr>
          <w:p w14:paraId="17DADB9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分站打印机</w:t>
            </w:r>
          </w:p>
        </w:tc>
        <w:tc>
          <w:tcPr>
            <w:tcW w:w="5542" w:type="dxa"/>
            <w:vAlign w:val="center"/>
          </w:tcPr>
          <w:p w14:paraId="3BA3180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支持A4幅面、黑白激光、USB接口，网络打印，输出精度≥600dpi</w:t>
            </w:r>
          </w:p>
        </w:tc>
        <w:tc>
          <w:tcPr>
            <w:tcW w:w="733" w:type="dxa"/>
            <w:vAlign w:val="center"/>
          </w:tcPr>
          <w:p w14:paraId="0D49428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5B17865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8</w:t>
            </w:r>
          </w:p>
        </w:tc>
      </w:tr>
      <w:tr w14:paraId="6FA40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46845D1">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771</w:t>
            </w:r>
          </w:p>
        </w:tc>
        <w:tc>
          <w:tcPr>
            <w:tcW w:w="1378" w:type="dxa"/>
            <w:vMerge w:val="continue"/>
            <w:vAlign w:val="center"/>
          </w:tcPr>
          <w:p w14:paraId="5A50FFAA">
            <w:pPr>
              <w:jc w:val="center"/>
              <w:rPr>
                <w:rFonts w:hint="eastAsia" w:ascii="宋体" w:hAnsi="宋体" w:eastAsia="宋体" w:cs="宋体"/>
                <w:b w:val="0"/>
                <w:bCs w:val="0"/>
                <w:color w:val="auto"/>
                <w:kern w:val="0"/>
                <w:sz w:val="20"/>
                <w:szCs w:val="20"/>
                <w:highlight w:val="none"/>
                <w:lang w:val="en-US" w:eastAsia="zh-CN" w:bidi="ar-SA"/>
              </w:rPr>
            </w:pPr>
          </w:p>
        </w:tc>
        <w:tc>
          <w:tcPr>
            <w:tcW w:w="1400" w:type="dxa"/>
            <w:vAlign w:val="center"/>
          </w:tcPr>
          <w:p w14:paraId="7B2868B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分站电脑</w:t>
            </w:r>
          </w:p>
        </w:tc>
        <w:tc>
          <w:tcPr>
            <w:tcW w:w="5542" w:type="dxa"/>
            <w:vAlign w:val="center"/>
          </w:tcPr>
          <w:p w14:paraId="435BA3E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商用计算机，i5 及以上CPU, 16G内存，500GB固态硬盘，10M/100M网络接口，≥21英寸液晶显示器。</w:t>
            </w:r>
          </w:p>
        </w:tc>
        <w:tc>
          <w:tcPr>
            <w:tcW w:w="733" w:type="dxa"/>
            <w:vAlign w:val="center"/>
          </w:tcPr>
          <w:p w14:paraId="6A18A15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612BBE7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8</w:t>
            </w:r>
          </w:p>
        </w:tc>
      </w:tr>
      <w:tr w14:paraId="6382F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C3BF9B0">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772</w:t>
            </w:r>
          </w:p>
        </w:tc>
        <w:tc>
          <w:tcPr>
            <w:tcW w:w="1378" w:type="dxa"/>
            <w:vMerge w:val="continue"/>
            <w:vAlign w:val="center"/>
          </w:tcPr>
          <w:p w14:paraId="61A60A9E">
            <w:pPr>
              <w:jc w:val="center"/>
              <w:rPr>
                <w:rFonts w:hint="eastAsia" w:ascii="宋体" w:hAnsi="宋体" w:eastAsia="宋体" w:cs="宋体"/>
                <w:b w:val="0"/>
                <w:bCs w:val="0"/>
                <w:color w:val="auto"/>
                <w:kern w:val="0"/>
                <w:sz w:val="20"/>
                <w:szCs w:val="20"/>
                <w:highlight w:val="none"/>
                <w:lang w:val="en-US" w:eastAsia="zh-CN" w:bidi="ar-SA"/>
              </w:rPr>
            </w:pPr>
          </w:p>
        </w:tc>
        <w:tc>
          <w:tcPr>
            <w:tcW w:w="1400" w:type="dxa"/>
            <w:vAlign w:val="center"/>
          </w:tcPr>
          <w:p w14:paraId="51DE568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分站监控设备</w:t>
            </w:r>
          </w:p>
        </w:tc>
        <w:tc>
          <w:tcPr>
            <w:tcW w:w="5542" w:type="dxa"/>
            <w:vAlign w:val="center"/>
          </w:tcPr>
          <w:p w14:paraId="5DA697C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 具有200W及以上像素 CMOS传感器。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 最大分辨率1920x1080。</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 支持通过IE浏览器设置录像时段和存储路径，并能通过客户端和IE浏览器对录像文件进行回放。</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 支持IP地址获取、IP地址搜索功能。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 支持IP67防护等级</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 具有1个RJ-45 网络接口、1个内置SD卡插槽，1个内置麦克风、1个 RS-232接口。</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 支持DC12V/POE供电</w:t>
            </w:r>
          </w:p>
        </w:tc>
        <w:tc>
          <w:tcPr>
            <w:tcW w:w="733" w:type="dxa"/>
            <w:vAlign w:val="center"/>
          </w:tcPr>
          <w:p w14:paraId="62ABEEA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29A3AD7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8</w:t>
            </w:r>
          </w:p>
        </w:tc>
      </w:tr>
      <w:tr w14:paraId="76C1F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5C547A5">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773</w:t>
            </w:r>
          </w:p>
        </w:tc>
        <w:tc>
          <w:tcPr>
            <w:tcW w:w="1378" w:type="dxa"/>
            <w:vMerge w:val="continue"/>
            <w:vAlign w:val="center"/>
          </w:tcPr>
          <w:p w14:paraId="1E517AFD">
            <w:pPr>
              <w:jc w:val="center"/>
              <w:rPr>
                <w:rFonts w:hint="eastAsia" w:ascii="宋体" w:hAnsi="宋体" w:eastAsia="宋体" w:cs="宋体"/>
                <w:b w:val="0"/>
                <w:bCs w:val="0"/>
                <w:color w:val="auto"/>
                <w:kern w:val="0"/>
                <w:sz w:val="20"/>
                <w:szCs w:val="20"/>
                <w:highlight w:val="none"/>
                <w:lang w:val="en-US" w:eastAsia="zh-CN" w:bidi="ar-SA"/>
              </w:rPr>
            </w:pPr>
          </w:p>
        </w:tc>
        <w:tc>
          <w:tcPr>
            <w:tcW w:w="1400" w:type="dxa"/>
            <w:vAlign w:val="center"/>
          </w:tcPr>
          <w:p w14:paraId="4A371CE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5G路由器</w:t>
            </w:r>
          </w:p>
        </w:tc>
        <w:tc>
          <w:tcPr>
            <w:tcW w:w="5542" w:type="dxa"/>
            <w:vAlign w:val="center"/>
          </w:tcPr>
          <w:p w14:paraId="1818847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1、CPU:四核；</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2、内存：512MB；</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3、存储：8GB?；</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4、以太网口：支持1xWAN、3xLAN?(千兆)；</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5、SIM卡：支持2XSIM?(自弹式)；</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6、串口：支持1xRS232、1xRS485接口；</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7、USB：支持1个USB接口?(内置1个TF卡)；</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8、无线接入：支持2G/3G/4G/5G全网通，NR、TD-LTE、FDD-LTE、TD-SCDMA、WCDMA、EVDO、CDMA1X、GPRS/EDGE等?支持CHAP/PAP认证；支持2.4G、5.8GWiFi,支持?AP、Station</w:t>
            </w:r>
          </w:p>
        </w:tc>
        <w:tc>
          <w:tcPr>
            <w:tcW w:w="733" w:type="dxa"/>
            <w:vAlign w:val="center"/>
          </w:tcPr>
          <w:p w14:paraId="6F65D22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0FD4CD6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16</w:t>
            </w:r>
          </w:p>
        </w:tc>
      </w:tr>
      <w:tr w14:paraId="4DA31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780DDE9">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774</w:t>
            </w:r>
          </w:p>
        </w:tc>
        <w:tc>
          <w:tcPr>
            <w:tcW w:w="1378" w:type="dxa"/>
            <w:vMerge w:val="continue"/>
            <w:vAlign w:val="center"/>
          </w:tcPr>
          <w:p w14:paraId="5D160B35">
            <w:pPr>
              <w:jc w:val="center"/>
              <w:rPr>
                <w:rFonts w:hint="eastAsia" w:ascii="宋体" w:hAnsi="宋体" w:eastAsia="宋体" w:cs="宋体"/>
                <w:b w:val="0"/>
                <w:bCs w:val="0"/>
                <w:color w:val="auto"/>
                <w:kern w:val="0"/>
                <w:sz w:val="20"/>
                <w:szCs w:val="20"/>
                <w:highlight w:val="none"/>
                <w:lang w:val="en-US" w:eastAsia="zh-CN" w:bidi="ar-SA"/>
              </w:rPr>
            </w:pPr>
          </w:p>
        </w:tc>
        <w:tc>
          <w:tcPr>
            <w:tcW w:w="1400" w:type="dxa"/>
            <w:vAlign w:val="center"/>
          </w:tcPr>
          <w:p w14:paraId="711ABB3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蓝牙打印机</w:t>
            </w:r>
          </w:p>
        </w:tc>
        <w:tc>
          <w:tcPr>
            <w:tcW w:w="5542" w:type="dxa"/>
            <w:vAlign w:val="center"/>
          </w:tcPr>
          <w:p w14:paraId="260AD1D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打印方式要求梭式点阵，要求支持（单联/两联）普通纸/无碳复写纸，纸张规格要求支持宽58x直径40 (mm)，通讯方式要求提供usb和蓝牙方式，要求提供黑标检测功能</w:t>
            </w:r>
          </w:p>
        </w:tc>
        <w:tc>
          <w:tcPr>
            <w:tcW w:w="733" w:type="dxa"/>
            <w:vAlign w:val="center"/>
          </w:tcPr>
          <w:p w14:paraId="6BD79B5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个</w:t>
            </w:r>
          </w:p>
        </w:tc>
        <w:tc>
          <w:tcPr>
            <w:tcW w:w="714" w:type="dxa"/>
            <w:vAlign w:val="center"/>
          </w:tcPr>
          <w:p w14:paraId="01165D2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16</w:t>
            </w:r>
          </w:p>
        </w:tc>
      </w:tr>
      <w:tr w14:paraId="4C288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7332B9A">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775</w:t>
            </w:r>
          </w:p>
        </w:tc>
        <w:tc>
          <w:tcPr>
            <w:tcW w:w="1378" w:type="dxa"/>
            <w:vMerge w:val="continue"/>
            <w:vAlign w:val="center"/>
          </w:tcPr>
          <w:p w14:paraId="4678B9AB">
            <w:pPr>
              <w:jc w:val="center"/>
              <w:rPr>
                <w:rFonts w:hint="eastAsia" w:ascii="宋体" w:hAnsi="宋体" w:eastAsia="宋体" w:cs="宋体"/>
                <w:b w:val="0"/>
                <w:bCs w:val="0"/>
                <w:color w:val="auto"/>
                <w:kern w:val="0"/>
                <w:sz w:val="20"/>
                <w:szCs w:val="20"/>
                <w:highlight w:val="none"/>
                <w:lang w:val="en-US" w:eastAsia="zh-CN" w:bidi="ar-SA"/>
              </w:rPr>
            </w:pPr>
          </w:p>
        </w:tc>
        <w:tc>
          <w:tcPr>
            <w:tcW w:w="1400" w:type="dxa"/>
            <w:vAlign w:val="center"/>
          </w:tcPr>
          <w:p w14:paraId="2BC3917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p w14:paraId="408876B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color w:val="auto"/>
                <w:lang w:val="en-US" w:eastAsia="zh-CN"/>
              </w:rPr>
              <w:t>5G智慧执法记录仪</w:t>
            </w:r>
          </w:p>
        </w:tc>
        <w:tc>
          <w:tcPr>
            <w:tcW w:w="5542" w:type="dxa"/>
            <w:vAlign w:val="center"/>
          </w:tcPr>
          <w:p w14:paraId="45B9821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1、运行系统：设备采用大于等于安卓 Android 11 操作系统，支持安装基于安卓系统的APP软件。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2、外形尺寸、质量和电池：设备外形尺寸≤91mm×61mm×28mm，裸机重量≤180g，设备采用内置可更换电池供电，电池容量电池容量≥3300mAh，≥7min内更换电池时存储的信息不应丢失。</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3、显示屏：显示屏对角线尺寸应≥2.8in，屏幕分辨率≥640×480。</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4、设备支持5G模块，支持联通、移动、电信和广电5G的SIM卡。</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5、摄像头：设备具备≥3个摄像头，至少具有一个微云台防抖摄像头好和一个红外摄像头。</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6、防抖功能：设备同时支持微云台机械防抖功能和 EIS 电子防抖功能，且设备在1Hz振动频率、振动幅度 10°条件下，同一位置点在视音频信息中的最大振动像素差应≤10 像素。（提供CNAS或CMA标识的检测报告原件彩色扫描件或复印件加盖投标人公章后的彩色扫描件）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7、防抖摄录功能：设备支持在预览界面和打开录像状态下，自动开启微云台防抖功能，在微云台作用下摄像头向不同方向运动并保持平衡。（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8、夜视要求：设备支持红外夜视功能，≥3m处应能看清人物面部特征，≥15m处应能看清人体轮廓。</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9、双SIM卡槽：执法记录仪支持同时装入两张4G/5G SIM卡，且具有至少一个方便快捷的标准弹入式卡槽。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10、存储：要求设备≥4G运行内存，≥64G存储内存，支持扩展≥1TB内置TF卡存储。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11、显示屏对比度：执法记录仪应能在回放模式分别显示全场白和全场黑测试信号。全场白和全场黑测试信号亮度值的比应≥ 1250：1。</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12、照片分辨力：设备在拍摄照片支持所有照片分辨率下的照片分辨力≥2000线。</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13、手机APP控制功能：设备可通过手机 APP 远程进行视频监控、监听、对讲，查看实时运行轨迹和回放轨迹，创建电子围栏、指令下达等功能。（提供CNAS或CMA标识的检测报告原件彩色扫描件或复印件加盖投标人公章后的彩色扫描件）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yellow"/>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14、平台语音呼叫功能：设备支持接收平台主动语音呼叫功能，平台可选择任意群组进行语音对讲，并在平台上显示对讲消息状态。（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15、集群对讲：支持一键PTT集群对讲，可实现分组、跨组、强插等进行集群对接功能。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16、语音操控：设备支持语音操控功能，可通过语音控制设备≥10种基本功能(必须包括开始录像、停止录像、重点文件标记、打开手电筒、关闭手电筒)。</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17、求救号码呼叫 ：设备支持呼叫紧急求救号码功能（110、119、120 等紧急求救号码）。 </w:t>
            </w:r>
          </w:p>
        </w:tc>
        <w:tc>
          <w:tcPr>
            <w:tcW w:w="733" w:type="dxa"/>
            <w:vAlign w:val="center"/>
          </w:tcPr>
          <w:p w14:paraId="089AEFC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2F7A826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16</w:t>
            </w:r>
          </w:p>
        </w:tc>
      </w:tr>
      <w:tr w14:paraId="1A147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8BF0899">
            <w:pPr>
              <w:keepNext w:val="0"/>
              <w:keepLines w:val="0"/>
              <w:widowControl/>
              <w:suppressLineNumbers w:val="0"/>
              <w:jc w:val="right"/>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776</w:t>
            </w:r>
          </w:p>
        </w:tc>
        <w:tc>
          <w:tcPr>
            <w:tcW w:w="1378" w:type="dxa"/>
            <w:vMerge w:val="continue"/>
            <w:vAlign w:val="center"/>
          </w:tcPr>
          <w:p w14:paraId="66BA36D5">
            <w:pPr>
              <w:jc w:val="center"/>
              <w:rPr>
                <w:rFonts w:hint="eastAsia" w:ascii="宋体" w:hAnsi="宋体" w:eastAsia="宋体" w:cs="宋体"/>
                <w:b w:val="0"/>
                <w:bCs w:val="0"/>
                <w:color w:val="auto"/>
                <w:kern w:val="0"/>
                <w:sz w:val="20"/>
                <w:szCs w:val="20"/>
                <w:highlight w:val="none"/>
                <w:lang w:val="en-US" w:eastAsia="zh-CN" w:bidi="ar-SA"/>
              </w:rPr>
            </w:pPr>
          </w:p>
        </w:tc>
        <w:tc>
          <w:tcPr>
            <w:tcW w:w="1400" w:type="dxa"/>
            <w:vAlign w:val="center"/>
          </w:tcPr>
          <w:p w14:paraId="7E995BD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桌面便携式采集站（10机位）</w:t>
            </w:r>
          </w:p>
        </w:tc>
        <w:tc>
          <w:tcPr>
            <w:tcW w:w="5542" w:type="dxa"/>
            <w:vAlign w:val="center"/>
          </w:tcPr>
          <w:p w14:paraId="745C9AD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桌面便携式采集站，≥10.1英寸高清触摸液晶屏，≥2个硬盘位，支持Mini/Micro/typeC- USB *≥8口高速采集。含≥4T存储。</w:t>
            </w:r>
          </w:p>
        </w:tc>
        <w:tc>
          <w:tcPr>
            <w:tcW w:w="733" w:type="dxa"/>
            <w:vAlign w:val="center"/>
          </w:tcPr>
          <w:p w14:paraId="4C9F56E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7C4F43F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7</w:t>
            </w:r>
          </w:p>
        </w:tc>
      </w:tr>
      <w:tr w14:paraId="6486F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2B49589">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777</w:t>
            </w:r>
          </w:p>
        </w:tc>
        <w:tc>
          <w:tcPr>
            <w:tcW w:w="1378" w:type="dxa"/>
            <w:vMerge w:val="continue"/>
            <w:vAlign w:val="center"/>
          </w:tcPr>
          <w:p w14:paraId="3585A11F">
            <w:pPr>
              <w:jc w:val="center"/>
              <w:rPr>
                <w:rFonts w:hint="eastAsia" w:ascii="宋体" w:hAnsi="宋体" w:eastAsia="宋体" w:cs="宋体"/>
                <w:b w:val="0"/>
                <w:bCs w:val="0"/>
                <w:color w:val="auto"/>
                <w:kern w:val="0"/>
                <w:sz w:val="20"/>
                <w:szCs w:val="20"/>
                <w:highlight w:val="none"/>
                <w:lang w:val="en-US" w:eastAsia="zh-CN" w:bidi="ar-SA"/>
              </w:rPr>
            </w:pPr>
          </w:p>
        </w:tc>
        <w:tc>
          <w:tcPr>
            <w:tcW w:w="1400" w:type="dxa"/>
            <w:vAlign w:val="center"/>
          </w:tcPr>
          <w:p w14:paraId="506C482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大型立式采集站（20机位）</w:t>
            </w:r>
          </w:p>
        </w:tc>
        <w:tc>
          <w:tcPr>
            <w:tcW w:w="5542" w:type="dxa"/>
            <w:vAlign w:val="center"/>
          </w:tcPr>
          <w:p w14:paraId="60D04D8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≥19寸触摸液晶屏，分辨率≥1280*1024</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支持Mini/Micro/typeC-USB*≥20 口高速采集</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支持2路重要数据优先采集</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支持数据自动/手动上传</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支持断点续传</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兼容符合新行标的摄录终端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含≥4T存储</w:t>
            </w:r>
          </w:p>
        </w:tc>
        <w:tc>
          <w:tcPr>
            <w:tcW w:w="733" w:type="dxa"/>
            <w:vAlign w:val="center"/>
          </w:tcPr>
          <w:p w14:paraId="3E8316C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44B06C2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7850B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393D5A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778</w:t>
            </w:r>
          </w:p>
        </w:tc>
        <w:tc>
          <w:tcPr>
            <w:tcW w:w="1378" w:type="dxa"/>
            <w:vMerge w:val="restart"/>
            <w:vAlign w:val="center"/>
          </w:tcPr>
          <w:p w14:paraId="55DD224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调度中心</w:t>
            </w:r>
          </w:p>
        </w:tc>
        <w:tc>
          <w:tcPr>
            <w:tcW w:w="1400" w:type="dxa"/>
            <w:vAlign w:val="center"/>
          </w:tcPr>
          <w:p w14:paraId="3747A30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调度桌</w:t>
            </w:r>
          </w:p>
        </w:tc>
        <w:tc>
          <w:tcPr>
            <w:tcW w:w="5542" w:type="dxa"/>
            <w:vAlign w:val="center"/>
          </w:tcPr>
          <w:p w14:paraId="2021C80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全钢喷塑，木质桌面，三联受理台，可据甲方需求定制。</w:t>
            </w:r>
          </w:p>
        </w:tc>
        <w:tc>
          <w:tcPr>
            <w:tcW w:w="733" w:type="dxa"/>
            <w:vAlign w:val="center"/>
          </w:tcPr>
          <w:p w14:paraId="27CFA7E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00F5101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6</w:t>
            </w:r>
          </w:p>
        </w:tc>
      </w:tr>
      <w:tr w14:paraId="12DBC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144FBA5">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779</w:t>
            </w:r>
          </w:p>
        </w:tc>
        <w:tc>
          <w:tcPr>
            <w:tcW w:w="1378" w:type="dxa"/>
            <w:vMerge w:val="continue"/>
            <w:vAlign w:val="center"/>
          </w:tcPr>
          <w:p w14:paraId="609D8B89">
            <w:pPr>
              <w:jc w:val="center"/>
              <w:rPr>
                <w:rFonts w:hint="eastAsia" w:ascii="宋体" w:hAnsi="宋体" w:eastAsia="宋体" w:cs="宋体"/>
                <w:b w:val="0"/>
                <w:bCs w:val="0"/>
                <w:color w:val="auto"/>
                <w:kern w:val="0"/>
                <w:sz w:val="20"/>
                <w:szCs w:val="20"/>
                <w:highlight w:val="none"/>
                <w:lang w:val="en-US" w:eastAsia="zh-CN" w:bidi="ar-SA"/>
              </w:rPr>
            </w:pPr>
          </w:p>
        </w:tc>
        <w:tc>
          <w:tcPr>
            <w:tcW w:w="1400" w:type="dxa"/>
            <w:vAlign w:val="center"/>
          </w:tcPr>
          <w:p w14:paraId="019832A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调度电脑</w:t>
            </w:r>
          </w:p>
        </w:tc>
        <w:tc>
          <w:tcPr>
            <w:tcW w:w="5542" w:type="dxa"/>
            <w:vAlign w:val="center"/>
          </w:tcPr>
          <w:p w14:paraId="4C584D7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商用台式机，I5以上处理器 硬盘容量:≥500GB固态硬盘/内存容量:≥16GB，硬盘描述:SSD/光驱 DVD-ROM 光驱/千兆网卡。独立显示接口3个，高性能23寸以上曲面液晶显示器3台，音箱。预装正版操作系统。</w:t>
            </w:r>
          </w:p>
        </w:tc>
        <w:tc>
          <w:tcPr>
            <w:tcW w:w="733" w:type="dxa"/>
            <w:vAlign w:val="center"/>
          </w:tcPr>
          <w:p w14:paraId="10A0029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452D346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6</w:t>
            </w:r>
          </w:p>
        </w:tc>
      </w:tr>
      <w:tr w14:paraId="16F3A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E6B2E85">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780</w:t>
            </w:r>
          </w:p>
        </w:tc>
        <w:tc>
          <w:tcPr>
            <w:tcW w:w="1378" w:type="dxa"/>
            <w:vMerge w:val="continue"/>
            <w:vAlign w:val="center"/>
          </w:tcPr>
          <w:p w14:paraId="55C743A8">
            <w:pPr>
              <w:jc w:val="center"/>
              <w:rPr>
                <w:rFonts w:hint="eastAsia" w:ascii="宋体" w:hAnsi="宋体" w:eastAsia="宋体" w:cs="宋体"/>
                <w:b w:val="0"/>
                <w:bCs w:val="0"/>
                <w:color w:val="auto"/>
                <w:kern w:val="0"/>
                <w:sz w:val="20"/>
                <w:szCs w:val="20"/>
                <w:highlight w:val="none"/>
                <w:lang w:val="en-US" w:eastAsia="zh-CN" w:bidi="ar-SA"/>
              </w:rPr>
            </w:pPr>
          </w:p>
        </w:tc>
        <w:tc>
          <w:tcPr>
            <w:tcW w:w="1400" w:type="dxa"/>
            <w:vAlign w:val="center"/>
          </w:tcPr>
          <w:p w14:paraId="63B1B8E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接入交换机</w:t>
            </w:r>
          </w:p>
        </w:tc>
        <w:tc>
          <w:tcPr>
            <w:tcW w:w="5542" w:type="dxa"/>
            <w:vAlign w:val="center"/>
          </w:tcPr>
          <w:p w14:paraId="57C475C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1、24口三层交换机</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2、交换容量：≥598Gbp</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3、转发性能：≥216Mpps</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4、接口类型：千兆电口≥24，千兆复用光口≥8个，万兆光口≥4个，扩展槽≥1个</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5、VxLAN：支持二层VxLAN、支持三层VxLAN、支持EVPN</w:t>
            </w:r>
          </w:p>
        </w:tc>
        <w:tc>
          <w:tcPr>
            <w:tcW w:w="733" w:type="dxa"/>
            <w:vAlign w:val="center"/>
          </w:tcPr>
          <w:p w14:paraId="3CF61E2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5FA53A3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2FA8E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E0B5A54">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781</w:t>
            </w:r>
          </w:p>
        </w:tc>
        <w:tc>
          <w:tcPr>
            <w:tcW w:w="1378" w:type="dxa"/>
            <w:vMerge w:val="continue"/>
            <w:vAlign w:val="center"/>
          </w:tcPr>
          <w:p w14:paraId="2E6A5DB7">
            <w:pPr>
              <w:jc w:val="center"/>
              <w:rPr>
                <w:rFonts w:hint="eastAsia" w:ascii="宋体" w:hAnsi="宋体" w:eastAsia="宋体" w:cs="宋体"/>
                <w:b w:val="0"/>
                <w:bCs w:val="0"/>
                <w:color w:val="auto"/>
                <w:kern w:val="0"/>
                <w:sz w:val="20"/>
                <w:szCs w:val="20"/>
                <w:highlight w:val="none"/>
                <w:lang w:val="en-US" w:eastAsia="zh-CN" w:bidi="ar-SA"/>
              </w:rPr>
            </w:pPr>
          </w:p>
        </w:tc>
        <w:tc>
          <w:tcPr>
            <w:tcW w:w="1400" w:type="dxa"/>
            <w:vAlign w:val="center"/>
          </w:tcPr>
          <w:p w14:paraId="5F78FC7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程控交换机</w:t>
            </w:r>
          </w:p>
        </w:tc>
        <w:tc>
          <w:tcPr>
            <w:tcW w:w="5542" w:type="dxa"/>
            <w:vAlign w:val="center"/>
          </w:tcPr>
          <w:p w14:paraId="58F67C3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1．通话并发量：≥60，可扩展至120（启用通话录音的情况下，最大支持90）</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2．双击热备：支持</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3．录音容量扩展：SD卡、usb、2.5英寸硬盘</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4．外线口/内线口（最多）：24</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5．E1/T1/J1 端口：最大3个</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6．手机卡端口（最多）：6</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7．传输协议：UDP, TCP, TLS, SRTP</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8．VoIP外线：100</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9．防火墙：支持</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10．网络支持：静态IP, DHCP, VPN, 防火墙, VLAN, DDNS, PPPoE, QoS, 静态NAT, STUN</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11．SNMP：支持</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12．T.38 传真:支持</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13．Usb插口：1</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含6个话机及配套耳机</w:t>
            </w:r>
          </w:p>
        </w:tc>
        <w:tc>
          <w:tcPr>
            <w:tcW w:w="733" w:type="dxa"/>
            <w:vAlign w:val="center"/>
          </w:tcPr>
          <w:p w14:paraId="24BC5BE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319A79F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6600F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981D563">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782</w:t>
            </w:r>
          </w:p>
        </w:tc>
        <w:tc>
          <w:tcPr>
            <w:tcW w:w="1378" w:type="dxa"/>
            <w:vMerge w:val="continue"/>
            <w:vAlign w:val="center"/>
          </w:tcPr>
          <w:p w14:paraId="3010A286">
            <w:pPr>
              <w:jc w:val="center"/>
              <w:rPr>
                <w:rFonts w:hint="eastAsia" w:ascii="宋体" w:hAnsi="宋体" w:eastAsia="宋体" w:cs="宋体"/>
                <w:b w:val="0"/>
                <w:bCs w:val="0"/>
                <w:color w:val="auto"/>
                <w:kern w:val="0"/>
                <w:sz w:val="20"/>
                <w:szCs w:val="20"/>
                <w:highlight w:val="none"/>
                <w:lang w:val="en-US" w:eastAsia="zh-CN" w:bidi="ar-SA"/>
              </w:rPr>
            </w:pPr>
          </w:p>
        </w:tc>
        <w:tc>
          <w:tcPr>
            <w:tcW w:w="1400" w:type="dxa"/>
            <w:vAlign w:val="center"/>
          </w:tcPr>
          <w:p w14:paraId="469F582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接入防火墙</w:t>
            </w:r>
          </w:p>
        </w:tc>
        <w:tc>
          <w:tcPr>
            <w:tcW w:w="5542" w:type="dxa"/>
            <w:vAlign w:val="center"/>
          </w:tcPr>
          <w:p w14:paraId="2E5C330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1、基本配置：1U标准机架设备，设备配置千兆电口≥4个、设备管理口≥1个；整机吞吐量≥3Gbps，并发连接数≥100万；此次配置三年质保和技术支持服务。</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2、支持路由、透明、虚拟网线、旁路镜像、混合等多种部署方式，支持将多个物理网口加入一个网桥中；部署模式切换无需重启设备，适应复杂使用环境的接入要求。</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bidi="ar-SA"/>
              </w:rPr>
              <w:t>3、</w:t>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要求防火墙支持SIP协议的媒体业务接入，实现内外网媒体系统之间上联和下联安全防护，符合GB/T 28181-2016《安全防范视频监控联网系统信息传输、交换、控制技术要求》及TC/OP(XZ)2B-185-2017相关技术要求（提供CNAS或CMA标识的检测报告原件彩色扫描件或复印件加盖投标人公章后的彩色扫描件）。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4、支持对HTTP、HTTPS、FTP、SMB、SMTP、POP3、IMAP等协议进行病毒检测和查杀，支持对最大20层的压缩文件进行查杀。</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5、资产支持学习模式，可自定义学习时长，基于IP地址信息和逻辑关系发现并识别网络空间设施，动态展现网络空间资产，学习结果可一键加入黑/白名单；支持源地址、目的地址超大黑名单功能。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6、支持策略风险调优，支持安全策略优化分析，支持策略数冗余及命中分析，支持基于应用风险的策略调优。</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bidi="ar-SA"/>
              </w:rPr>
              <w:t>7、</w:t>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支持主流ICMPFLOOD\SYNFLOOD\ACKFLOOD\SYNACKFLOOD\UDPFLOOD攻击防护，采用专业高效攻击防护算法，非采用简单的阈值进行攻击防护（提供CNAS或CMA标识的检测报告原件彩色扫描件或复印件加盖投标人公章后的彩色扫描件）。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8、支持TELNET、TDS、SMTP、FTP、POP3、RLOGIN、IMAP、NNTP等不少于8种协议及应用的弱口令检测。</w:t>
            </w:r>
          </w:p>
        </w:tc>
        <w:tc>
          <w:tcPr>
            <w:tcW w:w="733" w:type="dxa"/>
            <w:vAlign w:val="center"/>
          </w:tcPr>
          <w:p w14:paraId="10DB927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21A45BF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bl>
    <w:p w14:paraId="6F8DB975">
      <w:pPr>
        <w:pStyle w:val="2"/>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both"/>
        <w:textAlignment w:val="auto"/>
        <w:rPr>
          <w:rFonts w:hint="eastAsia" w:ascii="宋体" w:hAnsi="宋体" w:eastAsia="宋体" w:cs="宋体"/>
          <w:highlight w:val="yellow"/>
          <w:lang w:val="en-US" w:eastAsia="zh-CN"/>
        </w:rPr>
      </w:pPr>
      <w:r>
        <w:rPr>
          <w:rFonts w:hint="eastAsia" w:ascii="宋体" w:hAnsi="宋体" w:eastAsia="宋体" w:cs="宋体"/>
          <w:highlight w:val="yellow"/>
          <w:lang w:val="en-US" w:eastAsia="zh-CN"/>
        </w:rPr>
        <w:t>（二）-15：配套（硬件）</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1595"/>
        <w:gridCol w:w="6725"/>
        <w:gridCol w:w="733"/>
        <w:gridCol w:w="714"/>
      </w:tblGrid>
      <w:tr w14:paraId="4920E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8BBA379">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序号</w:t>
            </w:r>
          </w:p>
        </w:tc>
        <w:tc>
          <w:tcPr>
            <w:tcW w:w="1595" w:type="dxa"/>
            <w:vAlign w:val="center"/>
          </w:tcPr>
          <w:p w14:paraId="664A668F">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产品名称</w:t>
            </w:r>
          </w:p>
        </w:tc>
        <w:tc>
          <w:tcPr>
            <w:tcW w:w="6725" w:type="dxa"/>
            <w:vAlign w:val="center"/>
          </w:tcPr>
          <w:p w14:paraId="3EA25E97">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7760F3D0">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单位</w:t>
            </w:r>
          </w:p>
        </w:tc>
        <w:tc>
          <w:tcPr>
            <w:tcW w:w="714" w:type="dxa"/>
            <w:vAlign w:val="center"/>
          </w:tcPr>
          <w:p w14:paraId="7F770E7A">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数量</w:t>
            </w:r>
          </w:p>
        </w:tc>
      </w:tr>
      <w:tr w14:paraId="53EF8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4B08C01">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783</w:t>
            </w:r>
          </w:p>
        </w:tc>
        <w:tc>
          <w:tcPr>
            <w:tcW w:w="1595" w:type="dxa"/>
            <w:vAlign w:val="center"/>
          </w:tcPr>
          <w:p w14:paraId="6467ECB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86寸智能交互会议平板</w:t>
            </w:r>
          </w:p>
        </w:tc>
        <w:tc>
          <w:tcPr>
            <w:tcW w:w="6725" w:type="dxa"/>
            <w:vAlign w:val="center"/>
          </w:tcPr>
          <w:p w14:paraId="1ABF7F7B">
            <w:pPr>
              <w:numPr>
                <w:ilvl w:val="0"/>
                <w:numId w:val="0"/>
              </w:num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屏幕尺寸和显示分辨率：屏幕尺寸≥XX英寸。屏幕分辨率3840 × 2160 @60 Hz超高清4K分辨率显示参数：屏幕占比＞ 90%，色深10bit，色域＞72%NTSC，亮度＞350cd/m² 。</w:t>
            </w:r>
          </w:p>
          <w:p w14:paraId="6680455A">
            <w:pPr>
              <w:numPr>
                <w:ilvl w:val="0"/>
                <w:numId w:val="0"/>
              </w:num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触控：设备具有防遮蔽功能，模拟10点遮蔽；具有防干扰功能，在照度≥30000 LUX环境下能正常工作。</w:t>
            </w:r>
          </w:p>
          <w:p w14:paraId="10A95D30">
            <w:pPr>
              <w:numPr>
                <w:ilvl w:val="0"/>
                <w:numId w:val="0"/>
              </w:num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摄像头：分辨率：6020×4013，支持2400万像素。麦克风：设备内置全指向8阵列麦克风，支持全双工语音通信。</w:t>
            </w:r>
          </w:p>
          <w:p w14:paraId="001E1BE9">
            <w:pPr>
              <w:numPr>
                <w:ilvl w:val="0"/>
                <w:numId w:val="0"/>
              </w:num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CPU、内存及存储：设备采用SOC芯片，CPU：Cortex-A55×4 最高主频1.9 GHz；GPU： ARM Mali-G52 MP2；NPU：2.6 TOPS AI算力，三核架构，支持int4/int8/int16/FP16/BF16/TF32；设备运行内存4GB，系统容量64GB。</w:t>
            </w:r>
          </w:p>
          <w:p w14:paraId="36062A52">
            <w:pPr>
              <w:numPr>
                <w:ilvl w:val="0"/>
                <w:numId w:val="0"/>
              </w:num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操作系统：内置操作系统Android 13，可外接OPS电脑（支持Windows、统信、麒麟系统），OPS模块接入后双系统可同时搭配使用，任意切换。</w:t>
            </w:r>
          </w:p>
          <w:p w14:paraId="7EBE9BF4">
            <w:pPr>
              <w:numPr>
                <w:ilvl w:val="0"/>
                <w:numId w:val="0"/>
              </w:num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设备接口：具有1个视频输入接口HDMI2.0 IN （4K@60Hz）；具备1路音频输入接口LINE IN，1 路音频输出接口LINE OUT；具备2个前置USB Type-A、1个USB Type-C接口，1个后置USB接口，支持双系统切换，前置接口、后置接口 、Android、OPS 上均支持3.0，可以实现 USB 设备的高速读写和控制。</w:t>
            </w:r>
          </w:p>
          <w:p w14:paraId="370BC0DE">
            <w:pPr>
              <w:numPr>
                <w:ilvl w:val="0"/>
                <w:numId w:val="0"/>
              </w:numPr>
              <w:jc w:val="left"/>
              <w:rPr>
                <w:rFonts w:hint="eastAsia" w:ascii="宋体" w:hAnsi="宋体" w:eastAsia="宋体" w:cs="宋体"/>
                <w:b w:val="0"/>
                <w:bCs w:val="0"/>
                <w:color w:val="auto"/>
                <w:kern w:val="0"/>
                <w:sz w:val="20"/>
                <w:szCs w:val="20"/>
                <w:highlight w:val="yellow"/>
                <w:lang w:val="en-US" w:eastAsia="zh-CN" w:bidi="ar-SA"/>
              </w:rPr>
            </w:pP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全局交互设计：设备系统采用全屏框架设计，无侧边栏中控菜单遮挡主界面，主界面屏幕底部常驻系统操作栏，进入应用后，操作栏可通过手动下滑自动收起和底部向上滑动自动展开；系统操作栏各功能图标位置支持自定义调节。（提供CNAS或CMA标识的检测报告原件彩色扫描件或复印件加盖投标人公章后的彩色扫描件）。</w:t>
            </w:r>
          </w:p>
          <w:p w14:paraId="3B05CC17">
            <w:pPr>
              <w:numPr>
                <w:ilvl w:val="0"/>
                <w:numId w:val="0"/>
              </w:numPr>
              <w:jc w:val="left"/>
              <w:rPr>
                <w:rFonts w:hint="eastAsia" w:ascii="宋体" w:hAnsi="宋体" w:eastAsia="宋体" w:cs="宋体"/>
                <w:b w:val="0"/>
                <w:bCs w:val="0"/>
                <w:color w:val="auto"/>
                <w:kern w:val="0"/>
                <w:sz w:val="20"/>
                <w:szCs w:val="20"/>
                <w:highlight w:val="yellow"/>
                <w:lang w:val="en-US" w:eastAsia="zh-CN" w:bidi="ar-SA"/>
              </w:rPr>
            </w:pP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浏览器搜索插入：白板软件内支持浏览器搜索功能，可长按网页种图片或截图插入至白板。（提供CNAS或CMA标识的检测报告原件彩色扫描件或复印件加盖投标人公章后的彩色扫描件）。</w:t>
            </w:r>
          </w:p>
          <w:p w14:paraId="44E006EF">
            <w:pPr>
              <w:numPr>
                <w:ilvl w:val="0"/>
                <w:numId w:val="0"/>
              </w:numPr>
              <w:jc w:val="left"/>
              <w:rPr>
                <w:rFonts w:hint="eastAsia" w:ascii="宋体" w:hAnsi="宋体" w:eastAsia="宋体" w:cs="宋体"/>
                <w:b w:val="0"/>
                <w:bCs w:val="0"/>
                <w:color w:val="auto"/>
                <w:kern w:val="0"/>
                <w:sz w:val="20"/>
                <w:szCs w:val="20"/>
                <w:highlight w:val="yellow"/>
                <w:lang w:val="en-US" w:eastAsia="zh-CN" w:bidi="ar-SA"/>
              </w:rPr>
            </w:pP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投屏器支持：投屏器支持接入Type-C接口电源适配器，通过投屏器的Type-C输出接口接入电脑，可实现给电脑终端充电功能。投屏器支持接入Type-C接口电源适配器，通过投屏器的Type-C输出接口接入手机Type-C电源口，可实现给手机终端充电功能。（提供CNAS或CMA标识的检测报告原件彩色扫描件或复印件加盖投标人公章后的彩色扫描件）。</w:t>
            </w:r>
          </w:p>
          <w:p w14:paraId="2ACCD003">
            <w:pPr>
              <w:numPr>
                <w:ilvl w:val="0"/>
                <w:numId w:val="0"/>
              </w:numPr>
              <w:ind w:left="0" w:leftChars="0" w:firstLine="0" w:firstLineChars="0"/>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屏幕群组：支持屏幕群组功能，多台大屏与大屏之间可无线实时同步屏幕画面。支持单台终端（手机、PAD或电脑）的画面无线投屏到多台会议平板同时显示。（提供CNAS或CMA标识的检测报告原件彩色扫描件或复印件加盖投标人公章后的彩色扫描件）。</w:t>
            </w:r>
          </w:p>
        </w:tc>
        <w:tc>
          <w:tcPr>
            <w:tcW w:w="733" w:type="dxa"/>
            <w:vAlign w:val="center"/>
          </w:tcPr>
          <w:p w14:paraId="1835514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7EB7D6E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5</w:t>
            </w:r>
          </w:p>
        </w:tc>
      </w:tr>
      <w:tr w14:paraId="47722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AC5463A">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784</w:t>
            </w:r>
          </w:p>
        </w:tc>
        <w:tc>
          <w:tcPr>
            <w:tcW w:w="1595" w:type="dxa"/>
            <w:vAlign w:val="center"/>
          </w:tcPr>
          <w:p w14:paraId="4259F5B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台式机</w:t>
            </w:r>
          </w:p>
        </w:tc>
        <w:tc>
          <w:tcPr>
            <w:tcW w:w="6725" w:type="dxa"/>
            <w:vAlign w:val="center"/>
          </w:tcPr>
          <w:p w14:paraId="1D2C31C7">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组合类型:主机+显示器.CPU类型:主频(GHZ)2.8GHz.核心数:8,内存容量:8GB,固态硬盘容量256GB主板:自主板,网卡:板载单口千兆,网卡，支持扩展,显卡类型:独立显卡,光驱类型:DVDRW,显示器分辨率1920*1080.屏幕尺寸:23.8寸操作系统:正式版麒麟操作系统或正式版统信操作系统,机箱尺寸:5-15升,配件:键盘,鼠标,包装清单:主机、显示器、键盘、鼠标等</w:t>
            </w:r>
          </w:p>
        </w:tc>
        <w:tc>
          <w:tcPr>
            <w:tcW w:w="733" w:type="dxa"/>
            <w:vAlign w:val="center"/>
          </w:tcPr>
          <w:p w14:paraId="7B7BB1C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5BA092B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100</w:t>
            </w:r>
          </w:p>
        </w:tc>
      </w:tr>
      <w:tr w14:paraId="3B259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A27D92C">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785</w:t>
            </w:r>
          </w:p>
        </w:tc>
        <w:tc>
          <w:tcPr>
            <w:tcW w:w="1595" w:type="dxa"/>
            <w:vAlign w:val="center"/>
          </w:tcPr>
          <w:p w14:paraId="2120A21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PACS专用显示器</w:t>
            </w:r>
          </w:p>
        </w:tc>
        <w:tc>
          <w:tcPr>
            <w:tcW w:w="6725" w:type="dxa"/>
            <w:vAlign w:val="center"/>
          </w:tcPr>
          <w:p w14:paraId="222FCB10">
            <w:pPr>
              <w:ind w:left="200" w:hanging="200" w:hangingChars="100"/>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27英寸（16:9）       8MP(3840*2160)</w:t>
            </w:r>
          </w:p>
          <w:p w14:paraId="4C8BF35C">
            <w:pPr>
              <w:ind w:left="200" w:hanging="200" w:hangingChars="100"/>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亮度330cd/m2         点距0.1554mm*0.1554mm</w:t>
            </w:r>
          </w:p>
          <w:p w14:paraId="5FCB13B1">
            <w:pPr>
              <w:ind w:left="200" w:hanging="200" w:hangingChars="100"/>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色彩：42bit          可视角度 178/178</w:t>
            </w:r>
          </w:p>
          <w:p w14:paraId="3E034F52">
            <w:pPr>
              <w:ind w:left="200" w:hanging="200" w:hangingChars="100"/>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亮度均匀性矫正&gt;95%   响应时间：14ms</w:t>
            </w:r>
          </w:p>
          <w:p w14:paraId="2397F086">
            <w:pPr>
              <w:ind w:left="200" w:hanging="200" w:hangingChars="100"/>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曲线误差：8%         视频输入:HDMI(2.0*2),DP(1.2*1）DVI*1，输出DP</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观片灯功能，防眩光，低闪屏</w:t>
            </w:r>
          </w:p>
        </w:tc>
        <w:tc>
          <w:tcPr>
            <w:tcW w:w="733" w:type="dxa"/>
            <w:vAlign w:val="center"/>
          </w:tcPr>
          <w:p w14:paraId="14F53BD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63E8B4A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6</w:t>
            </w:r>
          </w:p>
        </w:tc>
      </w:tr>
      <w:tr w14:paraId="23162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6A8E51E">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786</w:t>
            </w:r>
          </w:p>
        </w:tc>
        <w:tc>
          <w:tcPr>
            <w:tcW w:w="1595" w:type="dxa"/>
            <w:vAlign w:val="center"/>
          </w:tcPr>
          <w:p w14:paraId="35298EC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打印机</w:t>
            </w:r>
          </w:p>
        </w:tc>
        <w:tc>
          <w:tcPr>
            <w:tcW w:w="6725" w:type="dxa"/>
            <w:vAlign w:val="center"/>
          </w:tcPr>
          <w:p w14:paraId="4B7EE22D">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1、品牌类型：国产品牌；</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2、类型：A4黑白激光单功能打印机；</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3、设备接口：USB、RJ45；</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4、打印功能：支持自动双面打印；支持网络打印；支持PC端打印状态监控；</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5、打印准备时间6.6S、首页打印时间3.6S；</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6、打印速度≥31ppm，A5纸横向打印速度57PPM；</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7、内存≧256MB；处理器盘数1：处理器主频≧800MHz；</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8、标准进纸盒容量≥250页；标准出纸盒容量≧120页</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9、操作系统：支持国际通用系统，中科方德+兆芯、中标麒麟 +龙芯、银河麒麟+飞腾、银河麒麟+龙芯、银河麒麟+兆芯、银河麒麟+鲲鹏、中标麒麟+兆芯、UOS+龙芯、UOS+兆芯、UOS+ 鲲鹏、UOS+飞腾；</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10、安可替代工程适配产品清单-基础通用产品-1-2021</w:t>
            </w:r>
          </w:p>
        </w:tc>
        <w:tc>
          <w:tcPr>
            <w:tcW w:w="733" w:type="dxa"/>
            <w:vAlign w:val="center"/>
          </w:tcPr>
          <w:p w14:paraId="39F0191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77D2C40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20</w:t>
            </w:r>
          </w:p>
        </w:tc>
      </w:tr>
      <w:tr w14:paraId="5947E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5A618D4">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787</w:t>
            </w:r>
          </w:p>
        </w:tc>
        <w:tc>
          <w:tcPr>
            <w:tcW w:w="1595" w:type="dxa"/>
            <w:vAlign w:val="center"/>
          </w:tcPr>
          <w:p w14:paraId="1015B77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外网超融合集群</w:t>
            </w:r>
          </w:p>
        </w:tc>
        <w:tc>
          <w:tcPr>
            <w:tcW w:w="6725" w:type="dxa"/>
            <w:vAlign w:val="center"/>
          </w:tcPr>
          <w:p w14:paraId="09F0922B">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1、2U机架式服务器，配置原厂导轨、安全面板,支持≥10个PCIE4.0插槽；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2、配置≥2颗性能不低于2.2GHz、24核国产C86架构处理器，配置≥768GB 3200MT/s DDR4内存，可扩展≥32根DDR4内存；</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3、实配≥2*480G SSD硬盘+3*1.92TB NVME SSD+18*1.2T SAS 10K硬盘，全部硬盘可在不打开主机箱盖的情况下热插拔维护；</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4、配置独立Raid阵列卡，支持RAID0/1/10/5/6/50/60，≥2GB缓存，支持缓存数据保护，且后备保护时间不受限制；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5、配置≥4个千兆以太网电接口+4个万兆以太网光接口（满配模块））；</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6、支持双宽企业级GPU≥3块，支持单宽企业级GPU≥6块，配置VGA、USB 3.0接，配置1个1Gb独立的远程管理控制端口；</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7、实配热插拔冗余≥800W电源，热插拔冗余风扇；</w:t>
            </w:r>
          </w:p>
        </w:tc>
        <w:tc>
          <w:tcPr>
            <w:tcW w:w="733" w:type="dxa"/>
            <w:vAlign w:val="center"/>
          </w:tcPr>
          <w:p w14:paraId="0B94C1E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7362463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w:t>
            </w:r>
          </w:p>
        </w:tc>
      </w:tr>
      <w:tr w14:paraId="4F330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CBEC2E7">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788</w:t>
            </w:r>
          </w:p>
        </w:tc>
        <w:tc>
          <w:tcPr>
            <w:tcW w:w="1595" w:type="dxa"/>
            <w:vAlign w:val="center"/>
          </w:tcPr>
          <w:p w14:paraId="4CD4B62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外网超融合软件</w:t>
            </w:r>
          </w:p>
        </w:tc>
        <w:tc>
          <w:tcPr>
            <w:tcW w:w="6725" w:type="dxa"/>
            <w:vAlign w:val="center"/>
          </w:tcPr>
          <w:p w14:paraId="2639A62B">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1、融合计算虚拟化、存储虚拟化、网络虚拟化一体化产品，上电开机三步之内即可登陆虚拟化管理界面进行虚机管理操作，简单易用。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2、超融合硬件平台、计算虚拟化软件、存储虚拟化软件、网络虚拟化软件同一品牌且软件完全自主研发。</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3、在统一的超融合管理平台上即可实现对计算、存储、网络、安全等资源的统一管理运维，无需界面跳转即可实现全部操作。</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4、支持健康巡检功能，用于快速查看超融合系统健康情况；支持使用一键鼠标按钮导出Excel和PDF格式的集群、主机和虚拟机配置与状态信息。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5、支持一键扫描功能，对当前集群包括计算、存储、网络、安全等模块进行一次全方位扫描，评估当前集群环境健康度、故障诊断。</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6、支持一键切换展示大屏功能，直观展示虚拟化资源池的健康度、告警、资源使用情况等，同时展示内容支持用户自定义。（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yellow"/>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7、支持与现网超融合软件兼容，与现网超融合软件可纳入统一集群、统一管理，新建超融合集群可与现网超融合集群互为容灾集群，无需借助第三方软件。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8、支持同一平台提供多种存储服务，包括分布式块存储、对象存储、文件存储服务。</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9、支持对整个平台虚拟设备实现统一的管理，虚拟化 WEB 管理平台可以完成网络拓扑的构建，完成各类虚拟设备的自助逻辑编排，支持在管理平台上连接、开启、关闭各类虚拟设备，拓扑呈现业务流量信息，所画即所得，方便运维管理。（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10、支持虚拟机回收站功能，统一管理被删除的虚拟机，防止因虚拟机误删除导致数据丢失，支持设置回收站文件保存周期，超期的文件将被自动删除。</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11、存储虚拟化采用分布式的软件定义存储架构，无需独立的元数据及控制器节点，使用超融合管理平台统一管理，无需在计算虚拟化平台上部署存储控制器。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12、支持多副本机制，支持2~5副本数，可任意选择。（提供CNAS或CMA标识的检测报告原件彩色扫描件或复印件加盖投标人公章后的彩色扫描件）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yellow"/>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13、支持纠删码特性，支持N+1到N+4的纠删码保护，最大支持任意4个节点故障而数据不丢失、系统不停机。</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14、配置计算虚拟化软件6*CPU授权许可，存储虚拟化软件6*CPU授权许可，超融合管理软件6*CPU授权许可，虚拟化为分布式存储，提供原厂部署服务。</w:t>
            </w:r>
          </w:p>
        </w:tc>
        <w:tc>
          <w:tcPr>
            <w:tcW w:w="733" w:type="dxa"/>
            <w:vAlign w:val="center"/>
          </w:tcPr>
          <w:p w14:paraId="030E6B3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4FC8571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7F304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9FF6790">
            <w:pPr>
              <w:spacing w:line="300" w:lineRule="exact"/>
              <w:jc w:val="center"/>
              <w:rPr>
                <w:rFonts w:hint="default" w:ascii="仿宋" w:hAnsi="仿宋" w:eastAsia="仿宋" w:cs="宋体"/>
                <w:color w:val="auto"/>
                <w:sz w:val="22"/>
                <w:szCs w:val="22"/>
                <w:highlight w:val="yellow"/>
                <w:lang w:val="en-US" w:eastAsia="zh-CN"/>
              </w:rPr>
            </w:pPr>
            <w:r>
              <w:rPr>
                <w:rFonts w:hint="eastAsia" w:ascii="仿宋" w:hAnsi="仿宋" w:eastAsia="仿宋" w:cs="宋体"/>
                <w:color w:val="auto"/>
                <w:sz w:val="22"/>
                <w:szCs w:val="22"/>
                <w:highlight w:val="yellow"/>
                <w:lang w:val="en-US" w:eastAsia="zh-CN"/>
              </w:rPr>
              <w:t>789</w:t>
            </w:r>
          </w:p>
        </w:tc>
        <w:tc>
          <w:tcPr>
            <w:tcW w:w="1595" w:type="dxa"/>
            <w:vAlign w:val="center"/>
          </w:tcPr>
          <w:p w14:paraId="73416275">
            <w:pPr>
              <w:jc w:val="center"/>
              <w:rPr>
                <w:rFonts w:hint="eastAsia" w:ascii="宋体" w:hAnsi="宋体" w:eastAsia="宋体" w:cs="宋体"/>
                <w:b w:val="0"/>
                <w:bCs w:val="0"/>
                <w:color w:val="auto"/>
                <w:kern w:val="0"/>
                <w:sz w:val="20"/>
                <w:szCs w:val="20"/>
                <w:highlight w:val="yellow"/>
                <w:lang w:val="en-US" w:eastAsia="zh-CN" w:bidi="ar-SA"/>
              </w:rPr>
            </w:pPr>
            <w:r>
              <w:rPr>
                <w:rFonts w:hint="eastAsia" w:ascii="宋体" w:hAnsi="宋体" w:eastAsia="宋体" w:cs="宋体"/>
                <w:b w:val="0"/>
                <w:bCs w:val="0"/>
                <w:color w:val="auto"/>
                <w:kern w:val="0"/>
                <w:sz w:val="20"/>
                <w:szCs w:val="20"/>
                <w:highlight w:val="yellow"/>
                <w:lang w:val="en-US" w:eastAsia="zh-CN" w:bidi="ar-SA"/>
              </w:rPr>
              <w:t>★内网超融合集群</w:t>
            </w:r>
          </w:p>
        </w:tc>
        <w:tc>
          <w:tcPr>
            <w:tcW w:w="6725" w:type="dxa"/>
            <w:vAlign w:val="center"/>
          </w:tcPr>
          <w:p w14:paraId="1D56A911">
            <w:pPr>
              <w:jc w:val="left"/>
              <w:rPr>
                <w:rFonts w:hint="eastAsia" w:ascii="宋体" w:hAnsi="宋体" w:eastAsia="宋体" w:cs="宋体"/>
                <w:b w:val="0"/>
                <w:bCs w:val="0"/>
                <w:color w:val="auto"/>
                <w:kern w:val="0"/>
                <w:sz w:val="20"/>
                <w:szCs w:val="20"/>
                <w:highlight w:val="yellow"/>
                <w:lang w:val="en-US" w:eastAsia="zh-CN" w:bidi="ar-SA"/>
              </w:rPr>
            </w:pPr>
            <w:r>
              <w:rPr>
                <w:rFonts w:hint="eastAsia" w:ascii="宋体" w:hAnsi="宋体" w:eastAsia="宋体" w:cs="宋体"/>
                <w:b w:val="0"/>
                <w:bCs w:val="0"/>
                <w:color w:val="auto"/>
                <w:kern w:val="0"/>
                <w:sz w:val="20"/>
                <w:szCs w:val="20"/>
                <w:highlight w:val="yellow"/>
                <w:lang w:val="en-US" w:eastAsia="zh-CN" w:bidi="ar-SA"/>
              </w:rPr>
              <w:t>1、2U机架式服务器，配置原厂导轨、安全面板,支持≥10个PCIE4.0插槽；</w:t>
            </w:r>
            <w:r>
              <w:rPr>
                <w:rFonts w:hint="eastAsia" w:ascii="宋体" w:hAnsi="宋体" w:eastAsia="宋体" w:cs="宋体"/>
                <w:b w:val="0"/>
                <w:bCs w:val="0"/>
                <w:color w:val="auto"/>
                <w:kern w:val="0"/>
                <w:sz w:val="20"/>
                <w:szCs w:val="20"/>
                <w:highlight w:val="yellow"/>
                <w:lang w:val="en-US" w:eastAsia="zh-CN" w:bidi="ar-SA"/>
              </w:rPr>
              <w:br w:type="textWrapping"/>
            </w:r>
            <w:r>
              <w:rPr>
                <w:rFonts w:hint="eastAsia" w:ascii="宋体" w:hAnsi="宋体" w:eastAsia="宋体" w:cs="宋体"/>
                <w:b w:val="0"/>
                <w:bCs w:val="0"/>
                <w:color w:val="auto"/>
                <w:kern w:val="0"/>
                <w:sz w:val="20"/>
                <w:szCs w:val="20"/>
                <w:highlight w:val="yellow"/>
                <w:lang w:val="en-US" w:eastAsia="zh-CN" w:bidi="ar-SA"/>
              </w:rPr>
              <w:t>2、配置≥2颗性能不低于2.2GHz、24核国产C86架构处理器，配置≥768GB 3200MT/s DDR4内存，可扩展≥32根DDR4内存；</w:t>
            </w:r>
            <w:r>
              <w:rPr>
                <w:rFonts w:hint="eastAsia" w:ascii="宋体" w:hAnsi="宋体" w:eastAsia="宋体" w:cs="宋体"/>
                <w:b w:val="0"/>
                <w:bCs w:val="0"/>
                <w:color w:val="auto"/>
                <w:kern w:val="0"/>
                <w:sz w:val="20"/>
                <w:szCs w:val="20"/>
                <w:highlight w:val="yellow"/>
                <w:lang w:val="en-US" w:eastAsia="zh-CN" w:bidi="ar-SA"/>
              </w:rPr>
              <w:br w:type="textWrapping"/>
            </w:r>
            <w:r>
              <w:rPr>
                <w:rFonts w:hint="eastAsia" w:ascii="宋体" w:hAnsi="宋体" w:eastAsia="宋体" w:cs="宋体"/>
                <w:b w:val="0"/>
                <w:bCs w:val="0"/>
                <w:color w:val="auto"/>
                <w:kern w:val="0"/>
                <w:sz w:val="20"/>
                <w:szCs w:val="20"/>
                <w:highlight w:val="yellow"/>
                <w:lang w:val="en-US" w:eastAsia="zh-CN" w:bidi="ar-SA"/>
              </w:rPr>
              <w:t>3、实配≥2*480G SSD硬盘+3*1.92TB NVME SSD+18*1.2T SAS 10K硬盘，全部硬盘可在不打开主机箱盖的情况下热插拔维护；</w:t>
            </w:r>
            <w:r>
              <w:rPr>
                <w:rFonts w:hint="eastAsia" w:ascii="宋体" w:hAnsi="宋体" w:eastAsia="宋体" w:cs="宋体"/>
                <w:b w:val="0"/>
                <w:bCs w:val="0"/>
                <w:color w:val="auto"/>
                <w:kern w:val="0"/>
                <w:sz w:val="20"/>
                <w:szCs w:val="20"/>
                <w:highlight w:val="yellow"/>
                <w:lang w:val="en-US" w:eastAsia="zh-CN" w:bidi="ar-SA"/>
              </w:rPr>
              <w:br w:type="textWrapping"/>
            </w:r>
            <w:r>
              <w:rPr>
                <w:rFonts w:hint="eastAsia" w:ascii="宋体" w:hAnsi="宋体" w:eastAsia="宋体" w:cs="宋体"/>
                <w:b w:val="0"/>
                <w:bCs w:val="0"/>
                <w:color w:val="auto"/>
                <w:kern w:val="0"/>
                <w:sz w:val="20"/>
                <w:szCs w:val="20"/>
                <w:highlight w:val="yellow"/>
                <w:lang w:val="en-US" w:eastAsia="zh-CN" w:bidi="ar-SA"/>
              </w:rPr>
              <w:t xml:space="preserve">4、配置独立Raid阵列卡，支持RAID0/1/10/5/6/50/60，≥2GB缓存，支持缓存数据保护，且后备保护时间不受限制； </w:t>
            </w:r>
            <w:r>
              <w:rPr>
                <w:rFonts w:hint="eastAsia" w:ascii="宋体" w:hAnsi="宋体" w:eastAsia="宋体" w:cs="宋体"/>
                <w:b w:val="0"/>
                <w:bCs w:val="0"/>
                <w:color w:val="auto"/>
                <w:kern w:val="0"/>
                <w:sz w:val="20"/>
                <w:szCs w:val="20"/>
                <w:highlight w:val="yellow"/>
                <w:lang w:val="en-US" w:eastAsia="zh-CN" w:bidi="ar-SA"/>
              </w:rPr>
              <w:br w:type="textWrapping"/>
            </w:r>
            <w:r>
              <w:rPr>
                <w:rFonts w:hint="eastAsia" w:ascii="宋体" w:hAnsi="宋体" w:eastAsia="宋体" w:cs="宋体"/>
                <w:b w:val="0"/>
                <w:bCs w:val="0"/>
                <w:color w:val="auto"/>
                <w:kern w:val="0"/>
                <w:sz w:val="20"/>
                <w:szCs w:val="20"/>
                <w:highlight w:val="yellow"/>
                <w:lang w:val="en-US" w:eastAsia="zh-CN" w:bidi="ar-SA"/>
              </w:rPr>
              <w:t>5、配置≥4个千兆以太网电接口+4个万兆以太网光接口（满配模块））；</w:t>
            </w:r>
            <w:r>
              <w:rPr>
                <w:rFonts w:hint="eastAsia" w:ascii="宋体" w:hAnsi="宋体" w:eastAsia="宋体" w:cs="宋体"/>
                <w:b w:val="0"/>
                <w:bCs w:val="0"/>
                <w:color w:val="auto"/>
                <w:kern w:val="0"/>
                <w:sz w:val="20"/>
                <w:szCs w:val="20"/>
                <w:highlight w:val="yellow"/>
                <w:lang w:val="en-US" w:eastAsia="zh-CN" w:bidi="ar-SA"/>
              </w:rPr>
              <w:br w:type="textWrapping"/>
            </w:r>
            <w:r>
              <w:rPr>
                <w:rFonts w:hint="eastAsia" w:ascii="宋体" w:hAnsi="宋体" w:eastAsia="宋体" w:cs="宋体"/>
                <w:b w:val="0"/>
                <w:bCs w:val="0"/>
                <w:color w:val="auto"/>
                <w:kern w:val="0"/>
                <w:sz w:val="20"/>
                <w:szCs w:val="20"/>
                <w:highlight w:val="yellow"/>
                <w:lang w:val="en-US" w:eastAsia="zh-CN" w:bidi="ar-SA"/>
              </w:rPr>
              <w:t>6、支持双宽企业级GPU≥3块，支持单宽企业级GPU≥6块，配置VGA、USB 3.0接，配置1个1Gb独立的远程管理控制端口；</w:t>
            </w:r>
            <w:r>
              <w:rPr>
                <w:rFonts w:hint="eastAsia" w:ascii="宋体" w:hAnsi="宋体" w:eastAsia="宋体" w:cs="宋体"/>
                <w:b w:val="0"/>
                <w:bCs w:val="0"/>
                <w:color w:val="auto"/>
                <w:kern w:val="0"/>
                <w:sz w:val="20"/>
                <w:szCs w:val="20"/>
                <w:highlight w:val="yellow"/>
                <w:lang w:val="en-US" w:eastAsia="zh-CN" w:bidi="ar-SA"/>
              </w:rPr>
              <w:br w:type="textWrapping"/>
            </w:r>
            <w:r>
              <w:rPr>
                <w:rFonts w:hint="eastAsia" w:ascii="宋体" w:hAnsi="宋体" w:eastAsia="宋体" w:cs="宋体"/>
                <w:b w:val="0"/>
                <w:bCs w:val="0"/>
                <w:color w:val="auto"/>
                <w:kern w:val="0"/>
                <w:sz w:val="20"/>
                <w:szCs w:val="20"/>
                <w:highlight w:val="yellow"/>
                <w:lang w:val="en-US" w:eastAsia="zh-CN" w:bidi="ar-SA"/>
              </w:rPr>
              <w:t>7、实配热插拔冗余≥800W电源，热插拔冗余风扇；</w:t>
            </w:r>
          </w:p>
        </w:tc>
        <w:tc>
          <w:tcPr>
            <w:tcW w:w="733" w:type="dxa"/>
            <w:vAlign w:val="center"/>
          </w:tcPr>
          <w:p w14:paraId="5A12A49F">
            <w:pPr>
              <w:jc w:val="center"/>
              <w:rPr>
                <w:rFonts w:hint="eastAsia" w:ascii="宋体" w:hAnsi="宋体" w:eastAsia="宋体" w:cs="宋体"/>
                <w:b w:val="0"/>
                <w:bCs w:val="0"/>
                <w:color w:val="auto"/>
                <w:kern w:val="0"/>
                <w:sz w:val="20"/>
                <w:szCs w:val="20"/>
                <w:highlight w:val="yellow"/>
                <w:lang w:val="en-US" w:eastAsia="zh-CN" w:bidi="ar-SA"/>
              </w:rPr>
            </w:pPr>
            <w:r>
              <w:rPr>
                <w:rFonts w:hint="eastAsia" w:ascii="宋体" w:hAnsi="宋体" w:eastAsia="宋体" w:cs="宋体"/>
                <w:b w:val="0"/>
                <w:bCs w:val="0"/>
                <w:color w:val="auto"/>
                <w:kern w:val="0"/>
                <w:sz w:val="20"/>
                <w:szCs w:val="20"/>
                <w:highlight w:val="yellow"/>
                <w:lang w:val="en-US" w:eastAsia="zh-CN" w:bidi="ar-SA"/>
              </w:rPr>
              <w:t>台</w:t>
            </w:r>
          </w:p>
        </w:tc>
        <w:tc>
          <w:tcPr>
            <w:tcW w:w="714" w:type="dxa"/>
            <w:vAlign w:val="center"/>
          </w:tcPr>
          <w:p w14:paraId="5CDFDBA5">
            <w:pPr>
              <w:jc w:val="center"/>
              <w:rPr>
                <w:rFonts w:hint="eastAsia" w:ascii="宋体" w:hAnsi="宋体" w:eastAsia="宋体" w:cs="宋体"/>
                <w:b w:val="0"/>
                <w:bCs w:val="0"/>
                <w:color w:val="auto"/>
                <w:kern w:val="0"/>
                <w:sz w:val="20"/>
                <w:szCs w:val="20"/>
                <w:highlight w:val="yellow"/>
                <w:lang w:val="en-US" w:eastAsia="zh-CN" w:bidi="ar-SA"/>
              </w:rPr>
            </w:pPr>
            <w:r>
              <w:rPr>
                <w:rFonts w:hint="eastAsia" w:ascii="宋体" w:hAnsi="宋体" w:eastAsia="宋体" w:cs="宋体"/>
                <w:b w:val="0"/>
                <w:bCs w:val="0"/>
                <w:color w:val="auto"/>
                <w:kern w:val="0"/>
                <w:sz w:val="20"/>
                <w:szCs w:val="20"/>
                <w:highlight w:val="yellow"/>
                <w:lang w:val="en-US" w:eastAsia="zh-CN" w:bidi="ar-SA"/>
              </w:rPr>
              <w:t>5</w:t>
            </w:r>
          </w:p>
        </w:tc>
      </w:tr>
      <w:tr w14:paraId="749E6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6B81872">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790</w:t>
            </w:r>
          </w:p>
        </w:tc>
        <w:tc>
          <w:tcPr>
            <w:tcW w:w="1595" w:type="dxa"/>
            <w:vAlign w:val="center"/>
          </w:tcPr>
          <w:p w14:paraId="54A01C7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内网超融合软件</w:t>
            </w:r>
          </w:p>
        </w:tc>
        <w:tc>
          <w:tcPr>
            <w:tcW w:w="6725" w:type="dxa"/>
            <w:vAlign w:val="center"/>
          </w:tcPr>
          <w:p w14:paraId="75C755CC">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1、融合计算虚拟化、存储虚拟化、网络虚拟化一体化产品，上电开机三步之内即可登陆虚拟化管理界面进行虚机管理操作，简单易用。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2、超融合硬件平台、计算虚拟化软件、存储虚拟化软件、网络虚拟化软件同一品牌且软件完全自主研发。</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3、在统一的超融合管理平台上即可实现对计算、存储、网络、安全等资源的统一管理运维，无需界面跳转即可实现全部操作。</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4、支持健康巡检功能，用于快速查看超融合系统健康情况；支持使用一键鼠标按钮导出Excel和PDF格式的集群、主机和虚拟机配置与状态信息。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5、支持一键扫描功能，对当前集群包括计算、存储、网络、安全等模块进行一次全方位扫描，评估当前集群环境健康度、故障诊断。</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6、支持一键切换展示大屏功能，直观展示虚拟化资源池的健康度、告警、资源使用情况等，同时展示内容支持用户自定义。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7、支持与现网超融合软件兼容，与现网超融合软件可纳入统一集群、统一管理，新建超融合集群可与现网超融合集群互为容灾集群，无需借助第三方软件。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8、支持同一平台提供多种存储服务，包括分布式块存储、对象存储、文件存储服务。</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9、支持对整个平台虚拟设备实现统一的管理，虚拟化 WEB 管理平台可以完成网络拓扑的构建，完成各类虚拟设备的自助逻辑编排，支持在管理平台上连接、开启、关闭各类虚拟设备，拓扑呈现业务流量信息，所画即所得，方便运维管理。</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10、支持虚拟机回收站功能，统一管理被删除的虚拟机，防止因虚拟机误删除导致数据丢失，支持设置回收站文件保存周期，超期的文件将被自动删除。</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11、存储虚拟化采用分布式的软件定义存储架构，无需独立的元数据及控制器节点，使用超融合管理平台统一管理，无需在计算虚拟化平台上部署存储控制器。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12、支持多副本机制，支持2~6副本数，可任意选择。</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13、支持纠删码特性，支持N+1到N+4的纠删码保护，最大支持任意4个节点故障而数据不丢失、系统不停机。</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14、配置计算虚拟化软件10*CPU授权许可，存储虚拟化软件10*CPU授权许可，超融合管理软件10*CPU授权许可，虚拟化为分布式存储，提供原厂部署服务。</w:t>
            </w:r>
          </w:p>
        </w:tc>
        <w:tc>
          <w:tcPr>
            <w:tcW w:w="733" w:type="dxa"/>
            <w:vAlign w:val="center"/>
          </w:tcPr>
          <w:p w14:paraId="123DA76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40FACC5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08623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B8EC762">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791</w:t>
            </w:r>
          </w:p>
        </w:tc>
        <w:tc>
          <w:tcPr>
            <w:tcW w:w="1595" w:type="dxa"/>
            <w:vAlign w:val="center"/>
          </w:tcPr>
          <w:p w14:paraId="1EEDA34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条码打印机</w:t>
            </w:r>
          </w:p>
        </w:tc>
        <w:tc>
          <w:tcPr>
            <w:tcW w:w="6725" w:type="dxa"/>
            <w:vAlign w:val="center"/>
          </w:tcPr>
          <w:p w14:paraId="5BCE385E">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1、分辨率：203 dpi/8 点/毫米</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2、内存：256 MB 闪存、128 MB SDRAM</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3、最大打印宽度：4.09 英寸/104 毫米 (203 dpi)</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4、最高打印速度：6 英寸/152 毫米/秒</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5、介质传感器：可移动黑标传感器，从中心到左侧的有限范围；偏离中心的固定间隙传感器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6、固件：ZPLII；EPL 2；XML</w:t>
            </w:r>
          </w:p>
        </w:tc>
        <w:tc>
          <w:tcPr>
            <w:tcW w:w="733" w:type="dxa"/>
            <w:vAlign w:val="center"/>
          </w:tcPr>
          <w:p w14:paraId="1371D7D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011FE29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w:t>
            </w:r>
          </w:p>
        </w:tc>
      </w:tr>
    </w:tbl>
    <w:p w14:paraId="06CDB143">
      <w:pPr>
        <w:pStyle w:val="2"/>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both"/>
        <w:textAlignment w:val="auto"/>
        <w:rPr>
          <w:rFonts w:hint="eastAsia" w:ascii="宋体" w:hAnsi="宋体" w:eastAsia="宋体" w:cs="宋体"/>
          <w:highlight w:val="yellow"/>
          <w:lang w:val="en-US" w:eastAsia="zh-CN"/>
        </w:rPr>
      </w:pPr>
      <w:r>
        <w:rPr>
          <w:rFonts w:hint="eastAsia" w:ascii="宋体" w:hAnsi="宋体" w:eastAsia="宋体" w:cs="宋体"/>
          <w:highlight w:val="yellow"/>
          <w:lang w:val="en-US" w:eastAsia="zh-CN"/>
        </w:rPr>
        <w:t>（二）-16：指挥中心和智慧急救中心装潢</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2228"/>
        <w:gridCol w:w="6092"/>
        <w:gridCol w:w="733"/>
        <w:gridCol w:w="714"/>
      </w:tblGrid>
      <w:tr w14:paraId="64758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2E2EAB7">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仿宋" w:hAnsi="仿宋" w:eastAsia="仿宋" w:cs="宋体"/>
                <w:color w:val="auto"/>
                <w:sz w:val="22"/>
                <w:szCs w:val="22"/>
                <w:highlight w:val="none"/>
                <w:lang w:val="en-US" w:eastAsia="zh-CN"/>
              </w:rPr>
            </w:pPr>
            <w:r>
              <w:rPr>
                <w:rFonts w:hint="eastAsia" w:ascii="宋体" w:hAnsi="宋体" w:eastAsia="宋体" w:cs="宋体"/>
                <w:b/>
                <w:bCs/>
                <w:color w:val="auto"/>
                <w:kern w:val="0"/>
                <w:sz w:val="20"/>
                <w:szCs w:val="20"/>
                <w:highlight w:val="none"/>
                <w:lang w:val="en-US" w:eastAsia="zh-CN"/>
              </w:rPr>
              <w:t>序号</w:t>
            </w:r>
          </w:p>
        </w:tc>
        <w:tc>
          <w:tcPr>
            <w:tcW w:w="2228" w:type="dxa"/>
            <w:vAlign w:val="center"/>
          </w:tcPr>
          <w:p w14:paraId="55A87984">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产品名称</w:t>
            </w:r>
          </w:p>
        </w:tc>
        <w:tc>
          <w:tcPr>
            <w:tcW w:w="6092" w:type="dxa"/>
            <w:vAlign w:val="center"/>
          </w:tcPr>
          <w:p w14:paraId="4F985A0F">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0776A161">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单位</w:t>
            </w:r>
          </w:p>
        </w:tc>
        <w:tc>
          <w:tcPr>
            <w:tcW w:w="714" w:type="dxa"/>
            <w:vAlign w:val="center"/>
          </w:tcPr>
          <w:p w14:paraId="754B7761">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数量</w:t>
            </w:r>
          </w:p>
        </w:tc>
      </w:tr>
      <w:tr w14:paraId="6B1D2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350" w:type="dxa"/>
            <w:gridSpan w:val="5"/>
            <w:vAlign w:val="center"/>
          </w:tcPr>
          <w:p w14:paraId="3F7F06C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指挥中心和智慧急救中心装潢</w:t>
            </w:r>
          </w:p>
        </w:tc>
      </w:tr>
      <w:tr w14:paraId="7EF7E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1299071">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792</w:t>
            </w:r>
          </w:p>
        </w:tc>
        <w:tc>
          <w:tcPr>
            <w:tcW w:w="2228" w:type="dxa"/>
            <w:vAlign w:val="center"/>
          </w:tcPr>
          <w:p w14:paraId="62E0726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整体装修设计</w:t>
            </w:r>
          </w:p>
        </w:tc>
        <w:tc>
          <w:tcPr>
            <w:tcW w:w="6092" w:type="dxa"/>
            <w:vAlign w:val="center"/>
          </w:tcPr>
          <w:p w14:paraId="4E0459A1">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对指挥中心和智慧急救中心一共400平米，装修设计，全景效果图，局部效果图，深化设计。</w:t>
            </w:r>
          </w:p>
        </w:tc>
        <w:tc>
          <w:tcPr>
            <w:tcW w:w="733" w:type="dxa"/>
            <w:vAlign w:val="center"/>
          </w:tcPr>
          <w:p w14:paraId="78FACCF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米</w:t>
            </w:r>
          </w:p>
        </w:tc>
        <w:tc>
          <w:tcPr>
            <w:tcW w:w="714" w:type="dxa"/>
            <w:vAlign w:val="center"/>
          </w:tcPr>
          <w:p w14:paraId="58BD5A2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400</w:t>
            </w:r>
          </w:p>
        </w:tc>
      </w:tr>
      <w:tr w14:paraId="53631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5F6E29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793</w:t>
            </w:r>
          </w:p>
        </w:tc>
        <w:tc>
          <w:tcPr>
            <w:tcW w:w="2228" w:type="dxa"/>
            <w:vAlign w:val="center"/>
          </w:tcPr>
          <w:p w14:paraId="7A38E7E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铝方通吊顶</w:t>
            </w:r>
          </w:p>
        </w:tc>
        <w:tc>
          <w:tcPr>
            <w:tcW w:w="6092" w:type="dxa"/>
            <w:vAlign w:val="center"/>
          </w:tcPr>
          <w:p w14:paraId="2C740029">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大厅顶面及过道铝方通吊顶，面宽100×40（mm）壁厚0.8mm，木纹色铝方通吊顶。</w:t>
            </w:r>
          </w:p>
        </w:tc>
        <w:tc>
          <w:tcPr>
            <w:tcW w:w="733" w:type="dxa"/>
            <w:vAlign w:val="center"/>
          </w:tcPr>
          <w:p w14:paraId="182261A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M2</w:t>
            </w:r>
          </w:p>
        </w:tc>
        <w:tc>
          <w:tcPr>
            <w:tcW w:w="714" w:type="dxa"/>
            <w:vAlign w:val="center"/>
          </w:tcPr>
          <w:p w14:paraId="4992F68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80</w:t>
            </w:r>
          </w:p>
        </w:tc>
      </w:tr>
      <w:tr w14:paraId="55E98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23CE0B6">
            <w:pPr>
              <w:spacing w:line="300" w:lineRule="exact"/>
              <w:jc w:val="both"/>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794</w:t>
            </w:r>
          </w:p>
        </w:tc>
        <w:tc>
          <w:tcPr>
            <w:tcW w:w="2228" w:type="dxa"/>
            <w:vAlign w:val="center"/>
          </w:tcPr>
          <w:p w14:paraId="75297C0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顶面修补</w:t>
            </w:r>
          </w:p>
        </w:tc>
        <w:tc>
          <w:tcPr>
            <w:tcW w:w="6092" w:type="dxa"/>
            <w:vAlign w:val="center"/>
          </w:tcPr>
          <w:p w14:paraId="37043C26">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原基层顶面部分拆除及轻钢龙骨石膏板修补，表面批腻子刷乳胶漆。</w:t>
            </w:r>
          </w:p>
        </w:tc>
        <w:tc>
          <w:tcPr>
            <w:tcW w:w="733" w:type="dxa"/>
            <w:vAlign w:val="center"/>
          </w:tcPr>
          <w:p w14:paraId="47963DA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w:t>
            </w:r>
          </w:p>
        </w:tc>
        <w:tc>
          <w:tcPr>
            <w:tcW w:w="714" w:type="dxa"/>
            <w:vAlign w:val="center"/>
          </w:tcPr>
          <w:p w14:paraId="0F0064E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80</w:t>
            </w:r>
          </w:p>
        </w:tc>
      </w:tr>
      <w:tr w14:paraId="43869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509780C">
            <w:pPr>
              <w:spacing w:line="300" w:lineRule="exact"/>
              <w:jc w:val="both"/>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795</w:t>
            </w:r>
          </w:p>
        </w:tc>
        <w:tc>
          <w:tcPr>
            <w:tcW w:w="2228" w:type="dxa"/>
            <w:vAlign w:val="center"/>
          </w:tcPr>
          <w:p w14:paraId="67CD4DD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轻钢龙骨石膏板隔墙（开关插座做部分木工板加固）</w:t>
            </w:r>
          </w:p>
        </w:tc>
        <w:tc>
          <w:tcPr>
            <w:tcW w:w="6092" w:type="dxa"/>
            <w:vAlign w:val="center"/>
          </w:tcPr>
          <w:p w14:paraId="509D10C1">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75mm系列龙骨，38mm穿心龙骨，9.5mm厚石膏板饰面，中间填充隔音棉。</w:t>
            </w:r>
          </w:p>
        </w:tc>
        <w:tc>
          <w:tcPr>
            <w:tcW w:w="733" w:type="dxa"/>
            <w:vAlign w:val="center"/>
          </w:tcPr>
          <w:p w14:paraId="063DE34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M2</w:t>
            </w:r>
          </w:p>
        </w:tc>
        <w:tc>
          <w:tcPr>
            <w:tcW w:w="714" w:type="dxa"/>
            <w:vAlign w:val="center"/>
          </w:tcPr>
          <w:p w14:paraId="7788037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144</w:t>
            </w:r>
          </w:p>
        </w:tc>
      </w:tr>
      <w:tr w14:paraId="3CC62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F6305AE">
            <w:pPr>
              <w:spacing w:line="300" w:lineRule="exact"/>
              <w:jc w:val="both"/>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796</w:t>
            </w:r>
          </w:p>
        </w:tc>
        <w:tc>
          <w:tcPr>
            <w:tcW w:w="2228" w:type="dxa"/>
            <w:vAlign w:val="center"/>
          </w:tcPr>
          <w:p w14:paraId="6B5DBC6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钢化玻璃隔断含门（内置百叶）</w:t>
            </w:r>
          </w:p>
        </w:tc>
        <w:tc>
          <w:tcPr>
            <w:tcW w:w="6092" w:type="dxa"/>
            <w:vAlign w:val="center"/>
          </w:tcPr>
          <w:p w14:paraId="5E3CE90D">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钢化玻璃隔断（2.4米以内高）内置百叶，5mm厚双层钢化玻璃，黑色铝合金边框，内置25mm中空百叶。</w:t>
            </w:r>
          </w:p>
        </w:tc>
        <w:tc>
          <w:tcPr>
            <w:tcW w:w="733" w:type="dxa"/>
            <w:vAlign w:val="center"/>
          </w:tcPr>
          <w:p w14:paraId="350D90D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M2</w:t>
            </w:r>
          </w:p>
        </w:tc>
        <w:tc>
          <w:tcPr>
            <w:tcW w:w="714" w:type="dxa"/>
            <w:vAlign w:val="center"/>
          </w:tcPr>
          <w:p w14:paraId="33B44E5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121</w:t>
            </w:r>
          </w:p>
        </w:tc>
      </w:tr>
      <w:tr w14:paraId="71B13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3A90A1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797</w:t>
            </w:r>
          </w:p>
        </w:tc>
        <w:tc>
          <w:tcPr>
            <w:tcW w:w="2228" w:type="dxa"/>
            <w:vAlign w:val="center"/>
          </w:tcPr>
          <w:p w14:paraId="4724E8A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墙面批荡及打磨</w:t>
            </w:r>
          </w:p>
        </w:tc>
        <w:tc>
          <w:tcPr>
            <w:tcW w:w="6092" w:type="dxa"/>
            <w:vAlign w:val="center"/>
          </w:tcPr>
          <w:p w14:paraId="232A8CCD">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清理墙面基层，修补缺角，一般型涂料（Y型）批涂料两遍，机器打磨。</w:t>
            </w:r>
          </w:p>
        </w:tc>
        <w:tc>
          <w:tcPr>
            <w:tcW w:w="733" w:type="dxa"/>
            <w:vAlign w:val="center"/>
          </w:tcPr>
          <w:p w14:paraId="0FD54A1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M2</w:t>
            </w:r>
          </w:p>
        </w:tc>
        <w:tc>
          <w:tcPr>
            <w:tcW w:w="714" w:type="dxa"/>
            <w:vAlign w:val="center"/>
          </w:tcPr>
          <w:p w14:paraId="1CB7CF6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400</w:t>
            </w:r>
          </w:p>
        </w:tc>
      </w:tr>
      <w:tr w14:paraId="70716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383A2E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798</w:t>
            </w:r>
          </w:p>
        </w:tc>
        <w:tc>
          <w:tcPr>
            <w:tcW w:w="2228" w:type="dxa"/>
            <w:vAlign w:val="center"/>
          </w:tcPr>
          <w:p w14:paraId="6B1FBD3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墙面顶面乳胶漆喷涂</w:t>
            </w:r>
          </w:p>
        </w:tc>
        <w:tc>
          <w:tcPr>
            <w:tcW w:w="6092" w:type="dxa"/>
            <w:vAlign w:val="center"/>
          </w:tcPr>
          <w:p w14:paraId="66AA34BC">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墙面找平，修阴阳角，打磨喷涂乳胶漆两遍。</w:t>
            </w:r>
          </w:p>
        </w:tc>
        <w:tc>
          <w:tcPr>
            <w:tcW w:w="733" w:type="dxa"/>
            <w:vAlign w:val="center"/>
          </w:tcPr>
          <w:p w14:paraId="7D9C5A7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M2</w:t>
            </w:r>
          </w:p>
        </w:tc>
        <w:tc>
          <w:tcPr>
            <w:tcW w:w="714" w:type="dxa"/>
            <w:vAlign w:val="center"/>
          </w:tcPr>
          <w:p w14:paraId="51C6A1F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750</w:t>
            </w:r>
          </w:p>
        </w:tc>
      </w:tr>
      <w:tr w14:paraId="6E72C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87BCCA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799</w:t>
            </w:r>
          </w:p>
        </w:tc>
        <w:tc>
          <w:tcPr>
            <w:tcW w:w="2228" w:type="dxa"/>
            <w:vAlign w:val="center"/>
          </w:tcPr>
          <w:p w14:paraId="32FB1D1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玻璃隔断顶面降门头</w:t>
            </w:r>
          </w:p>
        </w:tc>
        <w:tc>
          <w:tcPr>
            <w:tcW w:w="6092" w:type="dxa"/>
            <w:vAlign w:val="center"/>
          </w:tcPr>
          <w:p w14:paraId="46913A8E">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隔断顶面降门头（木工板基层外贴石膏板），15mm厚木工板(由木条或木块组成板芯，两面与单板或胶合板组坯胶合而成的一种人造板)基层，9.5mm石膏板饰面。</w:t>
            </w:r>
          </w:p>
        </w:tc>
        <w:tc>
          <w:tcPr>
            <w:tcW w:w="733" w:type="dxa"/>
            <w:vAlign w:val="center"/>
          </w:tcPr>
          <w:p w14:paraId="11DB71A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米</w:t>
            </w:r>
          </w:p>
        </w:tc>
        <w:tc>
          <w:tcPr>
            <w:tcW w:w="714" w:type="dxa"/>
            <w:vAlign w:val="center"/>
          </w:tcPr>
          <w:p w14:paraId="6AAB59F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50</w:t>
            </w:r>
          </w:p>
        </w:tc>
      </w:tr>
      <w:tr w14:paraId="66D8F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5FB5BF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800</w:t>
            </w:r>
          </w:p>
        </w:tc>
        <w:tc>
          <w:tcPr>
            <w:tcW w:w="2228" w:type="dxa"/>
            <w:vAlign w:val="center"/>
          </w:tcPr>
          <w:p w14:paraId="7CF539E8">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大厅电子屏幕及其他墙面木饰面基层及智慧急救中心电子屏背景基层</w:t>
            </w:r>
          </w:p>
        </w:tc>
        <w:tc>
          <w:tcPr>
            <w:tcW w:w="6092" w:type="dxa"/>
            <w:vAlign w:val="center"/>
          </w:tcPr>
          <w:p w14:paraId="0E1528C4">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木工板基层，15mm厚木工板(由木条或木块组成板芯，两面与单板或胶合板组坯胶合而成的一种人造板)基层。</w:t>
            </w:r>
          </w:p>
        </w:tc>
        <w:tc>
          <w:tcPr>
            <w:tcW w:w="733" w:type="dxa"/>
            <w:vAlign w:val="center"/>
          </w:tcPr>
          <w:p w14:paraId="76BFDE0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M2</w:t>
            </w:r>
          </w:p>
        </w:tc>
        <w:tc>
          <w:tcPr>
            <w:tcW w:w="714" w:type="dxa"/>
            <w:vAlign w:val="center"/>
          </w:tcPr>
          <w:p w14:paraId="6EA4B04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78</w:t>
            </w:r>
          </w:p>
        </w:tc>
      </w:tr>
      <w:tr w14:paraId="7316D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BF0F7F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801</w:t>
            </w:r>
          </w:p>
        </w:tc>
        <w:tc>
          <w:tcPr>
            <w:tcW w:w="2228" w:type="dxa"/>
            <w:vAlign w:val="center"/>
          </w:tcPr>
          <w:p w14:paraId="46C793F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木饰面</w:t>
            </w:r>
          </w:p>
        </w:tc>
        <w:tc>
          <w:tcPr>
            <w:tcW w:w="6092" w:type="dxa"/>
            <w:vAlign w:val="center"/>
          </w:tcPr>
          <w:p w14:paraId="684F3146">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装饰面，15mm厚木饰面(内部密度板或多层板材，表面科技木皮）。</w:t>
            </w:r>
          </w:p>
        </w:tc>
        <w:tc>
          <w:tcPr>
            <w:tcW w:w="733" w:type="dxa"/>
            <w:vAlign w:val="center"/>
          </w:tcPr>
          <w:p w14:paraId="4B05BF6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M2</w:t>
            </w:r>
          </w:p>
        </w:tc>
        <w:tc>
          <w:tcPr>
            <w:tcW w:w="714" w:type="dxa"/>
            <w:vAlign w:val="center"/>
          </w:tcPr>
          <w:p w14:paraId="379C89B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78</w:t>
            </w:r>
          </w:p>
        </w:tc>
      </w:tr>
      <w:tr w14:paraId="44404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753C02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802</w:t>
            </w:r>
          </w:p>
        </w:tc>
        <w:tc>
          <w:tcPr>
            <w:tcW w:w="2228" w:type="dxa"/>
            <w:vAlign w:val="center"/>
          </w:tcPr>
          <w:p w14:paraId="2C1B29A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隐形门</w:t>
            </w:r>
          </w:p>
        </w:tc>
        <w:tc>
          <w:tcPr>
            <w:tcW w:w="6092" w:type="dxa"/>
            <w:vAlign w:val="center"/>
          </w:tcPr>
          <w:p w14:paraId="7D62BC37">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展厅曲面屏后面加维修暗门，尺寸2000×800mm，木工板(由木条或木块组成板芯，两面与单板或胶合板组坯胶合而成的一种人造板)基层表面木饰面。</w:t>
            </w:r>
          </w:p>
        </w:tc>
        <w:tc>
          <w:tcPr>
            <w:tcW w:w="733" w:type="dxa"/>
            <w:vAlign w:val="center"/>
          </w:tcPr>
          <w:p w14:paraId="47F57E8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樘</w:t>
            </w:r>
          </w:p>
        </w:tc>
        <w:tc>
          <w:tcPr>
            <w:tcW w:w="714" w:type="dxa"/>
            <w:vAlign w:val="center"/>
          </w:tcPr>
          <w:p w14:paraId="63104DF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021D8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675B056">
            <w:pPr>
              <w:spacing w:line="300" w:lineRule="exact"/>
              <w:jc w:val="both"/>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803</w:t>
            </w:r>
          </w:p>
        </w:tc>
        <w:tc>
          <w:tcPr>
            <w:tcW w:w="2228" w:type="dxa"/>
            <w:vAlign w:val="center"/>
          </w:tcPr>
          <w:p w14:paraId="6CCD038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顶面新开灯孔</w:t>
            </w:r>
          </w:p>
        </w:tc>
        <w:tc>
          <w:tcPr>
            <w:tcW w:w="6092" w:type="dxa"/>
            <w:vAlign w:val="center"/>
          </w:tcPr>
          <w:p w14:paraId="46066554">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新开灯孔，开孔直径150φmm。</w:t>
            </w:r>
          </w:p>
        </w:tc>
        <w:tc>
          <w:tcPr>
            <w:tcW w:w="733" w:type="dxa"/>
            <w:vAlign w:val="center"/>
          </w:tcPr>
          <w:p w14:paraId="1CEDF43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个</w:t>
            </w:r>
          </w:p>
        </w:tc>
        <w:tc>
          <w:tcPr>
            <w:tcW w:w="714" w:type="dxa"/>
            <w:vAlign w:val="center"/>
          </w:tcPr>
          <w:p w14:paraId="3C2247D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135</w:t>
            </w:r>
          </w:p>
        </w:tc>
      </w:tr>
      <w:tr w14:paraId="20315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49609C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804</w:t>
            </w:r>
          </w:p>
        </w:tc>
        <w:tc>
          <w:tcPr>
            <w:tcW w:w="2228" w:type="dxa"/>
            <w:vAlign w:val="center"/>
          </w:tcPr>
          <w:p w14:paraId="7B10426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室内踢脚线</w:t>
            </w:r>
          </w:p>
        </w:tc>
        <w:tc>
          <w:tcPr>
            <w:tcW w:w="6092" w:type="dxa"/>
            <w:vAlign w:val="center"/>
          </w:tcPr>
          <w:p w14:paraId="257CC51E">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拉丝不锈钢，50mm高，1.2mm厚黑色拉丝不锈钢踢脚线。</w:t>
            </w:r>
          </w:p>
        </w:tc>
        <w:tc>
          <w:tcPr>
            <w:tcW w:w="733" w:type="dxa"/>
            <w:vAlign w:val="center"/>
          </w:tcPr>
          <w:p w14:paraId="4B89E0C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米</w:t>
            </w:r>
          </w:p>
        </w:tc>
        <w:tc>
          <w:tcPr>
            <w:tcW w:w="714" w:type="dxa"/>
            <w:vAlign w:val="center"/>
          </w:tcPr>
          <w:p w14:paraId="0DC1E19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180</w:t>
            </w:r>
          </w:p>
        </w:tc>
      </w:tr>
      <w:tr w14:paraId="5ED4C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7F4988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805</w:t>
            </w:r>
          </w:p>
        </w:tc>
        <w:tc>
          <w:tcPr>
            <w:tcW w:w="2228" w:type="dxa"/>
            <w:vAlign w:val="center"/>
          </w:tcPr>
          <w:p w14:paraId="6B17583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顶面空调新风整改</w:t>
            </w:r>
          </w:p>
        </w:tc>
        <w:tc>
          <w:tcPr>
            <w:tcW w:w="6092" w:type="dxa"/>
            <w:vAlign w:val="center"/>
          </w:tcPr>
          <w:p w14:paraId="5EA2AD25">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改风口，增加的风道长度等。</w:t>
            </w:r>
          </w:p>
        </w:tc>
        <w:tc>
          <w:tcPr>
            <w:tcW w:w="733" w:type="dxa"/>
            <w:vAlign w:val="center"/>
          </w:tcPr>
          <w:p w14:paraId="2827DE7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米</w:t>
            </w:r>
          </w:p>
        </w:tc>
        <w:tc>
          <w:tcPr>
            <w:tcW w:w="714" w:type="dxa"/>
            <w:vAlign w:val="center"/>
          </w:tcPr>
          <w:p w14:paraId="53B4AEF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80</w:t>
            </w:r>
          </w:p>
        </w:tc>
      </w:tr>
      <w:tr w14:paraId="3B12D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CDBE25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806</w:t>
            </w:r>
          </w:p>
        </w:tc>
        <w:tc>
          <w:tcPr>
            <w:tcW w:w="2228" w:type="dxa"/>
            <w:vAlign w:val="center"/>
          </w:tcPr>
          <w:p w14:paraId="6E83400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增加水空调内机</w:t>
            </w:r>
          </w:p>
        </w:tc>
        <w:tc>
          <w:tcPr>
            <w:tcW w:w="6092" w:type="dxa"/>
            <w:vAlign w:val="center"/>
          </w:tcPr>
          <w:p w14:paraId="21B3F240">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增加内机接PPR管道接2.5平方内机电源线</w:t>
            </w:r>
          </w:p>
        </w:tc>
        <w:tc>
          <w:tcPr>
            <w:tcW w:w="733" w:type="dxa"/>
            <w:vAlign w:val="center"/>
          </w:tcPr>
          <w:p w14:paraId="465536F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24D9776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28991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378ABB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807</w:t>
            </w:r>
          </w:p>
        </w:tc>
        <w:tc>
          <w:tcPr>
            <w:tcW w:w="2228" w:type="dxa"/>
            <w:vAlign w:val="center"/>
          </w:tcPr>
          <w:p w14:paraId="6B772FB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线控重新布置</w:t>
            </w:r>
          </w:p>
        </w:tc>
        <w:tc>
          <w:tcPr>
            <w:tcW w:w="6092" w:type="dxa"/>
            <w:vAlign w:val="center"/>
          </w:tcPr>
          <w:p w14:paraId="6732D2E5">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空调线控重新布置接网线（利用原始控制面板</w:t>
            </w:r>
          </w:p>
        </w:tc>
        <w:tc>
          <w:tcPr>
            <w:tcW w:w="733" w:type="dxa"/>
            <w:vAlign w:val="center"/>
          </w:tcPr>
          <w:p w14:paraId="721E984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项</w:t>
            </w:r>
          </w:p>
        </w:tc>
        <w:tc>
          <w:tcPr>
            <w:tcW w:w="714" w:type="dxa"/>
            <w:vAlign w:val="center"/>
          </w:tcPr>
          <w:p w14:paraId="022575D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57EB8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2BA133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808</w:t>
            </w:r>
          </w:p>
        </w:tc>
        <w:tc>
          <w:tcPr>
            <w:tcW w:w="2228" w:type="dxa"/>
            <w:vAlign w:val="center"/>
          </w:tcPr>
          <w:p w14:paraId="709DBF9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灯具1</w:t>
            </w:r>
          </w:p>
        </w:tc>
        <w:tc>
          <w:tcPr>
            <w:tcW w:w="6092" w:type="dxa"/>
            <w:vAlign w:val="center"/>
          </w:tcPr>
          <w:p w14:paraId="15394C97">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LED筒灯，15W，中性光。</w:t>
            </w:r>
          </w:p>
        </w:tc>
        <w:tc>
          <w:tcPr>
            <w:tcW w:w="733" w:type="dxa"/>
            <w:vAlign w:val="center"/>
          </w:tcPr>
          <w:p w14:paraId="1CE5B8E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个</w:t>
            </w:r>
          </w:p>
        </w:tc>
        <w:tc>
          <w:tcPr>
            <w:tcW w:w="714" w:type="dxa"/>
            <w:vAlign w:val="center"/>
          </w:tcPr>
          <w:p w14:paraId="47F9B75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135</w:t>
            </w:r>
          </w:p>
        </w:tc>
      </w:tr>
      <w:tr w14:paraId="1A8BE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BFD948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809</w:t>
            </w:r>
          </w:p>
        </w:tc>
        <w:tc>
          <w:tcPr>
            <w:tcW w:w="2228" w:type="dxa"/>
            <w:vAlign w:val="center"/>
          </w:tcPr>
          <w:p w14:paraId="2C3A4FB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灯具2</w:t>
            </w:r>
          </w:p>
        </w:tc>
        <w:tc>
          <w:tcPr>
            <w:tcW w:w="6092" w:type="dxa"/>
            <w:vAlign w:val="center"/>
          </w:tcPr>
          <w:p w14:paraId="75EED5E8">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长条LED格栅灯，长度1米，35W，中性光。</w:t>
            </w:r>
          </w:p>
        </w:tc>
        <w:tc>
          <w:tcPr>
            <w:tcW w:w="733" w:type="dxa"/>
            <w:vAlign w:val="center"/>
          </w:tcPr>
          <w:p w14:paraId="24632ED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个</w:t>
            </w:r>
          </w:p>
        </w:tc>
        <w:tc>
          <w:tcPr>
            <w:tcW w:w="714" w:type="dxa"/>
            <w:vAlign w:val="center"/>
          </w:tcPr>
          <w:p w14:paraId="716516A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30</w:t>
            </w:r>
          </w:p>
        </w:tc>
      </w:tr>
      <w:tr w14:paraId="44AD0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9DA929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810</w:t>
            </w:r>
          </w:p>
        </w:tc>
        <w:tc>
          <w:tcPr>
            <w:tcW w:w="2228" w:type="dxa"/>
            <w:vAlign w:val="center"/>
          </w:tcPr>
          <w:p w14:paraId="4BE15C4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开关插座</w:t>
            </w:r>
          </w:p>
        </w:tc>
        <w:tc>
          <w:tcPr>
            <w:tcW w:w="6092" w:type="dxa"/>
            <w:vAlign w:val="center"/>
          </w:tcPr>
          <w:p w14:paraId="16C4774D">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五孔插座100个，单孔网络面板64个。</w:t>
            </w:r>
          </w:p>
        </w:tc>
        <w:tc>
          <w:tcPr>
            <w:tcW w:w="733" w:type="dxa"/>
            <w:vAlign w:val="center"/>
          </w:tcPr>
          <w:p w14:paraId="4D79F63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个</w:t>
            </w:r>
          </w:p>
        </w:tc>
        <w:tc>
          <w:tcPr>
            <w:tcW w:w="714" w:type="dxa"/>
            <w:vAlign w:val="center"/>
          </w:tcPr>
          <w:p w14:paraId="46F2D01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164</w:t>
            </w:r>
          </w:p>
        </w:tc>
      </w:tr>
      <w:tr w14:paraId="586A7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D452B8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811</w:t>
            </w:r>
          </w:p>
        </w:tc>
        <w:tc>
          <w:tcPr>
            <w:tcW w:w="2228" w:type="dxa"/>
            <w:vAlign w:val="center"/>
          </w:tcPr>
          <w:p w14:paraId="218C9C3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地插（智慧急救中心）</w:t>
            </w:r>
          </w:p>
        </w:tc>
        <w:tc>
          <w:tcPr>
            <w:tcW w:w="6092" w:type="dxa"/>
            <w:vAlign w:val="center"/>
          </w:tcPr>
          <w:p w14:paraId="7830F524">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10插座6个，三孔网络面板3个，86型纯铜地面盖板弹起式地插。</w:t>
            </w:r>
          </w:p>
        </w:tc>
        <w:tc>
          <w:tcPr>
            <w:tcW w:w="733" w:type="dxa"/>
            <w:vAlign w:val="center"/>
          </w:tcPr>
          <w:p w14:paraId="61265E9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个</w:t>
            </w:r>
          </w:p>
        </w:tc>
        <w:tc>
          <w:tcPr>
            <w:tcW w:w="714" w:type="dxa"/>
            <w:vAlign w:val="center"/>
          </w:tcPr>
          <w:p w14:paraId="657D780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9</w:t>
            </w:r>
          </w:p>
        </w:tc>
      </w:tr>
      <w:tr w14:paraId="25F5D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1AD1C0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812</w:t>
            </w:r>
          </w:p>
        </w:tc>
        <w:tc>
          <w:tcPr>
            <w:tcW w:w="2228" w:type="dxa"/>
            <w:vAlign w:val="center"/>
          </w:tcPr>
          <w:p w14:paraId="70907AB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室内强弱电路改造（含智慧急救中心）</w:t>
            </w:r>
          </w:p>
        </w:tc>
        <w:tc>
          <w:tcPr>
            <w:tcW w:w="6092" w:type="dxa"/>
            <w:vAlign w:val="center"/>
          </w:tcPr>
          <w:p w14:paraId="52283709">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4mm²电源线1000米，2.5mm²电源线2000米，6类网线1900米，含开槽、修复、PVC管、水晶头及线缆铺设等。</w:t>
            </w:r>
          </w:p>
        </w:tc>
        <w:tc>
          <w:tcPr>
            <w:tcW w:w="733" w:type="dxa"/>
            <w:vAlign w:val="center"/>
          </w:tcPr>
          <w:p w14:paraId="4A5D1F0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M2</w:t>
            </w:r>
          </w:p>
        </w:tc>
        <w:tc>
          <w:tcPr>
            <w:tcW w:w="714" w:type="dxa"/>
            <w:vAlign w:val="center"/>
          </w:tcPr>
          <w:p w14:paraId="641E1F3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437</w:t>
            </w:r>
          </w:p>
        </w:tc>
      </w:tr>
      <w:tr w14:paraId="661E7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3F6565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813</w:t>
            </w:r>
          </w:p>
        </w:tc>
        <w:tc>
          <w:tcPr>
            <w:tcW w:w="2228" w:type="dxa"/>
            <w:vAlign w:val="center"/>
          </w:tcPr>
          <w:p w14:paraId="004A62E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桌子</w:t>
            </w:r>
          </w:p>
        </w:tc>
        <w:tc>
          <w:tcPr>
            <w:tcW w:w="6092" w:type="dxa"/>
            <w:vAlign w:val="center"/>
          </w:tcPr>
          <w:p w14:paraId="6E418E84">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1、尺寸：≥1200×600×750mm</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2、板材：采用优等双饰面刨花板，面板及承重板件厚度≥25mm，其余板件厚度≥18mm，甲醛释放量≤0.3mg/m³。</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3、封边：采用2mm厚ABS激光封边条，表面光滑、花纹清晰、无漏印现象，其甲醛释放量≤0.1mg/L。</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4、热熔胶：采用优质环保热熔胶，总挥发有机物≤3g/kg。</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5、五金：采用优质三节走珠导轨及阻尼铰链。</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6、钢架：采用优质一级冷轧钢，钢管壁厚≥1.5mm，采用静电喷涂粉末工艺。</w:t>
            </w:r>
          </w:p>
        </w:tc>
        <w:tc>
          <w:tcPr>
            <w:tcW w:w="733" w:type="dxa"/>
            <w:vAlign w:val="center"/>
          </w:tcPr>
          <w:p w14:paraId="66BB2B8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张</w:t>
            </w:r>
          </w:p>
        </w:tc>
        <w:tc>
          <w:tcPr>
            <w:tcW w:w="714" w:type="dxa"/>
            <w:vAlign w:val="center"/>
          </w:tcPr>
          <w:p w14:paraId="1ED74BE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20</w:t>
            </w:r>
          </w:p>
        </w:tc>
      </w:tr>
      <w:tr w14:paraId="1FEC7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3E41AF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814</w:t>
            </w:r>
          </w:p>
        </w:tc>
        <w:tc>
          <w:tcPr>
            <w:tcW w:w="2228" w:type="dxa"/>
            <w:vAlign w:val="center"/>
          </w:tcPr>
          <w:p w14:paraId="3CD2942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黑网布椅子</w:t>
            </w:r>
          </w:p>
        </w:tc>
        <w:tc>
          <w:tcPr>
            <w:tcW w:w="6092" w:type="dxa"/>
            <w:vAlign w:val="center"/>
          </w:tcPr>
          <w:p w14:paraId="53FEF947">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1、尺寸：≥630×585×975</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2、面料:采用优质1级阻燃布料，表面或内部不可出现任何续燃、阴燃现象。</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3、海绵:采用定型海绵表观泡沫塑料密度≥30kg/m³，回弹性能≥40%，压缩永久变形≤4.5%。</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4、椅框及扶手:椅框采用PA60尼龙+GF30一体成型框架，环保PP塑胶扶手。</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5、气压棒:采用优质气压棒，密封性能符合要求。</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6、机构:采用优质转椅底盘和尼龙塑料五星脚，底盘为倾仰底盘，机构运动无干涉、无噪音。</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7、椅轮:采用优质尼龙塑料万向脚轮</w:t>
            </w:r>
          </w:p>
        </w:tc>
        <w:tc>
          <w:tcPr>
            <w:tcW w:w="733" w:type="dxa"/>
            <w:vAlign w:val="center"/>
          </w:tcPr>
          <w:p w14:paraId="4F239EA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张</w:t>
            </w:r>
          </w:p>
        </w:tc>
        <w:tc>
          <w:tcPr>
            <w:tcW w:w="714" w:type="dxa"/>
            <w:vAlign w:val="center"/>
          </w:tcPr>
          <w:p w14:paraId="6615F14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22</w:t>
            </w:r>
          </w:p>
        </w:tc>
      </w:tr>
      <w:tr w14:paraId="7887E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23EF75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815</w:t>
            </w:r>
          </w:p>
        </w:tc>
        <w:tc>
          <w:tcPr>
            <w:tcW w:w="2228" w:type="dxa"/>
            <w:vAlign w:val="center"/>
          </w:tcPr>
          <w:p w14:paraId="02DC659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48口交换机</w:t>
            </w:r>
          </w:p>
        </w:tc>
        <w:tc>
          <w:tcPr>
            <w:tcW w:w="6092" w:type="dxa"/>
            <w:vAlign w:val="center"/>
          </w:tcPr>
          <w:p w14:paraId="6EB48E3D">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1、48个10/100/1000Base-T、4个10/100/1000Base-X SFP，</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2、交换容量256Gbps</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3、包转发率154.8Mbps</w:t>
            </w:r>
          </w:p>
        </w:tc>
        <w:tc>
          <w:tcPr>
            <w:tcW w:w="733" w:type="dxa"/>
            <w:vAlign w:val="center"/>
          </w:tcPr>
          <w:p w14:paraId="1EA5710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794540D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w:t>
            </w:r>
          </w:p>
        </w:tc>
      </w:tr>
      <w:tr w14:paraId="48E3C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0C8AAD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816</w:t>
            </w:r>
          </w:p>
        </w:tc>
        <w:tc>
          <w:tcPr>
            <w:tcW w:w="2228" w:type="dxa"/>
            <w:vAlign w:val="center"/>
          </w:tcPr>
          <w:p w14:paraId="592E489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企业文化墙及门牌等物料（含智慧急救中心）</w:t>
            </w:r>
          </w:p>
        </w:tc>
        <w:tc>
          <w:tcPr>
            <w:tcW w:w="6092" w:type="dxa"/>
            <w:vAlign w:val="center"/>
          </w:tcPr>
          <w:p w14:paraId="73D978F5">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按照甲方要求，进行实际定制；</w:t>
            </w:r>
          </w:p>
        </w:tc>
        <w:tc>
          <w:tcPr>
            <w:tcW w:w="733" w:type="dxa"/>
            <w:vAlign w:val="center"/>
          </w:tcPr>
          <w:p w14:paraId="47505BB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M2</w:t>
            </w:r>
          </w:p>
        </w:tc>
        <w:tc>
          <w:tcPr>
            <w:tcW w:w="714" w:type="dxa"/>
            <w:vAlign w:val="center"/>
          </w:tcPr>
          <w:p w14:paraId="65C4D82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100</w:t>
            </w:r>
          </w:p>
        </w:tc>
      </w:tr>
      <w:tr w14:paraId="6C11E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89CB48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817</w:t>
            </w:r>
          </w:p>
        </w:tc>
        <w:tc>
          <w:tcPr>
            <w:tcW w:w="2228" w:type="dxa"/>
            <w:vAlign w:val="center"/>
          </w:tcPr>
          <w:p w14:paraId="03482AE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其他</w:t>
            </w:r>
          </w:p>
        </w:tc>
        <w:tc>
          <w:tcPr>
            <w:tcW w:w="6092" w:type="dxa"/>
            <w:vAlign w:val="center"/>
          </w:tcPr>
          <w:p w14:paraId="223B1318">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含材料运输，搬运，成品保护，垃圾清理，保洁等</w:t>
            </w:r>
          </w:p>
        </w:tc>
        <w:tc>
          <w:tcPr>
            <w:tcW w:w="733" w:type="dxa"/>
            <w:vAlign w:val="center"/>
          </w:tcPr>
          <w:p w14:paraId="35D0854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项</w:t>
            </w:r>
          </w:p>
        </w:tc>
        <w:tc>
          <w:tcPr>
            <w:tcW w:w="714" w:type="dxa"/>
            <w:vAlign w:val="center"/>
          </w:tcPr>
          <w:p w14:paraId="33D6B11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2A0FE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0350" w:type="dxa"/>
            <w:gridSpan w:val="5"/>
            <w:vAlign w:val="center"/>
          </w:tcPr>
          <w:p w14:paraId="5E41043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门口曲面屏大屏</w:t>
            </w:r>
          </w:p>
        </w:tc>
      </w:tr>
      <w:tr w14:paraId="75000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CEB4AEC">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818</w:t>
            </w:r>
          </w:p>
        </w:tc>
        <w:tc>
          <w:tcPr>
            <w:tcW w:w="2228" w:type="dxa"/>
            <w:vAlign w:val="center"/>
          </w:tcPr>
          <w:p w14:paraId="5285223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室内全彩LED显示屏</w:t>
            </w:r>
          </w:p>
        </w:tc>
        <w:tc>
          <w:tcPr>
            <w:tcW w:w="6092" w:type="dxa"/>
            <w:vAlign w:val="center"/>
          </w:tcPr>
          <w:p w14:paraId="6B36735A">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1、点间距≤1.5625mm，屏幕净尺寸≥6m×2.7m，屏体分辨率：≥3840×1728；</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2、亮度均匀性≥98%；</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3、模组采用镁铝合金材质；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▲4、模组宽高尺寸≥200*337.5mm；</w:t>
            </w:r>
            <w:r>
              <w:rPr>
                <w:rFonts w:hint="eastAsia" w:ascii="宋体" w:hAnsi="宋体" w:eastAsia="宋体" w:cs="宋体"/>
                <w:b w:val="0"/>
                <w:bCs w:val="0"/>
                <w:color w:val="auto"/>
                <w:kern w:val="0"/>
                <w:sz w:val="20"/>
                <w:szCs w:val="20"/>
                <w:highlight w:val="yellow"/>
                <w:lang w:val="en-US" w:eastAsia="zh-CN" w:bidi="ar-SA"/>
              </w:rPr>
              <w:t>（提供CNAS或CMA标识的检测报告原件彩色扫描件或复印件加盖投标人公章后的彩色扫描件）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5、平整度:≤0.1mm;</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6、屏幕亮度:≥600cd/m²可调;</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7、亮度鉴别等级LJ≥20C级；</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8、刷新率≥3900HZ;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9、灰度等级：256级；</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10、水平视角:≥170°;垂直视角:≥170°;</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11、搭配HDR系统卡，可实现即高动态范围图像显示屏效果，支持4K超高清显示；（提供CNAS或CMA标识的检测报告原件彩色扫描件或复印件加盖投标人公章后的彩色扫描件）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yellow"/>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12、模组电源供电与信号线采用一体化传输设计，模组供电电压和信号采用星型连接方式；（提供CNAS或CMA标识的检测报告原件彩色扫描件或复印件加盖投标人公章后的彩色扫描件）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13、供电及信号方式：通过电源线（品字3Pin），通过网口信号线；</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14、模组、接收卡需支持带电维护，支持热插拔;</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15、最大对比度:≥5000:1;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16、不少于8层PCB板结构设计，同时 采用30u镀金接插件;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17、模组供电:模组采用4.0-4.5VDC供电，搭配定制3C电源， 具备PFC电源;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18、低延时：屏体依据视频源输入频率，低延时。延时1帧。</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19、图像处理：图像有降燥、增强、运动补偿、色坐标变换处理、钝化处理。</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▲20、显示屏具有LED驱动器，包括LED显示屏及LED驱动芯片的驱动方法；具有LED显示屏拼接误差的检测方法和装置技术。</w:t>
            </w:r>
            <w:r>
              <w:rPr>
                <w:rFonts w:hint="eastAsia" w:ascii="宋体" w:hAnsi="宋体" w:eastAsia="宋体" w:cs="宋体"/>
                <w:b w:val="0"/>
                <w:bCs w:val="0"/>
                <w:color w:val="auto"/>
                <w:kern w:val="0"/>
                <w:sz w:val="20"/>
                <w:szCs w:val="20"/>
                <w:highlight w:val="yellow"/>
                <w:lang w:val="en-US" w:eastAsia="zh-CN" w:bidi="ar-SA"/>
              </w:rPr>
              <w:t>（提供CNAS或CMA标识的检测报告原件彩色扫描件或复印件加盖投标人公章后的彩色扫描件）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yellow"/>
                <w:lang w:val="en-US" w:eastAsia="zh-CN"/>
              </w:rPr>
              <w:t xml:space="preserve">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21、像素失控率≤1/100000;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22、灰度等级:显示屏100%亮度灰度等级≥16bt，70%亮度灰 度等级≥16bt，50%亮度灰度等级≥16bt，20%亮度灰度等级≥ 15bt;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▲23、LED显示屏依据《视觉低疲劳电子产品评测技术规范》检测，通过低疲劳电子产品评测并获得检测证书</w:t>
            </w:r>
            <w:r>
              <w:rPr>
                <w:rFonts w:hint="eastAsia" w:ascii="宋体" w:hAnsi="宋体" w:eastAsia="宋体" w:cs="宋体"/>
                <w:b w:val="0"/>
                <w:bCs w:val="0"/>
                <w:color w:val="auto"/>
                <w:kern w:val="0"/>
                <w:sz w:val="20"/>
                <w:szCs w:val="20"/>
                <w:highlight w:val="yellow"/>
                <w:lang w:val="en-US" w:eastAsia="zh-CN" w:bidi="ar-SA"/>
              </w:rPr>
              <w:t>（提供CNAS或CMA标识的检测报告原件彩色扫描件或复印件加盖投标人公章后的彩色扫描件）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24、LED显示屏由原厂制造商生产，不接受OEM贴牌或代工生产；</w:t>
            </w:r>
            <w:r>
              <w:rPr>
                <w:rFonts w:hint="eastAsia" w:ascii="宋体" w:hAnsi="宋体" w:eastAsia="宋体" w:cs="宋体"/>
                <w:b w:val="0"/>
                <w:bCs w:val="0"/>
                <w:color w:val="0766D4"/>
                <w:kern w:val="0"/>
                <w:sz w:val="20"/>
                <w:szCs w:val="20"/>
                <w:highlight w:val="yellow"/>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25、LED制造商获得数据管理能力成熟度达到受管理级证书（提供CNAS或CMA标识的检测报告原件彩色扫描件或复印件加盖投标人公章后的彩色扫描件）。</w:t>
            </w:r>
          </w:p>
        </w:tc>
        <w:tc>
          <w:tcPr>
            <w:tcW w:w="733" w:type="dxa"/>
            <w:vAlign w:val="center"/>
          </w:tcPr>
          <w:p w14:paraId="4971C51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平方</w:t>
            </w:r>
          </w:p>
        </w:tc>
        <w:tc>
          <w:tcPr>
            <w:tcW w:w="714" w:type="dxa"/>
            <w:vAlign w:val="center"/>
          </w:tcPr>
          <w:p w14:paraId="56C3864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16.2</w:t>
            </w:r>
          </w:p>
        </w:tc>
      </w:tr>
      <w:tr w14:paraId="7A977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8CD131B">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819</w:t>
            </w:r>
          </w:p>
        </w:tc>
        <w:tc>
          <w:tcPr>
            <w:tcW w:w="2228" w:type="dxa"/>
            <w:vAlign w:val="center"/>
          </w:tcPr>
          <w:p w14:paraId="2D7EF08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视频独立控制器</w:t>
            </w:r>
          </w:p>
        </w:tc>
        <w:tc>
          <w:tcPr>
            <w:tcW w:w="6092" w:type="dxa"/>
            <w:vAlign w:val="center"/>
          </w:tcPr>
          <w:p w14:paraId="1CC756D2">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1.拥有完备的视频输入接口，1路HDMI 2.0，1路DP1.2，4路HDMI。</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2.多输出，大带载，支持 16 路网口输出，带载高达 1040万像素。</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3.支持 HDR 输出，能够极大地增强显示屏的画质，使画面色彩更加真实生动，细节更加清晰。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4.支持个性化的画质缩放，支持三种画面缩放模式，包括点对点模式、全屏缩放、自定义缩放。</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5.多窗口显示，支持 5 窗口任意布局。</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6.支持预监输出画面，将预监内容通过 HDMI 发送到显示器显示。</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7.支持智能控制软件进行操作控制。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8.满足多路视频，任意位置和大小开窗显示播放。</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9.支持逐点亮色度校正技术，校正过程快速高效，支持直接现场校正；</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10.支持场景预设，最多可创建 10 个用户场景作为模板保存，可直接调用，方便使用。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11.支持 EDID 管理，支持用户自定义 EDID 和预设 EDID。</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12.设备可一键开启或关闭对应图层显示，提供更灵活的操作手段。</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13.通过面板数字按键，可快速准确定义窗口大小位置等坐标信息，增强产品实用性能。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14.考虑系统兼容性，需与LED显示屏为同一品牌。</w:t>
            </w:r>
          </w:p>
        </w:tc>
        <w:tc>
          <w:tcPr>
            <w:tcW w:w="733" w:type="dxa"/>
            <w:vAlign w:val="center"/>
          </w:tcPr>
          <w:p w14:paraId="6CED0CD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226D523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08835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0DCC8A5">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820</w:t>
            </w:r>
          </w:p>
        </w:tc>
        <w:tc>
          <w:tcPr>
            <w:tcW w:w="2228" w:type="dxa"/>
            <w:vAlign w:val="center"/>
          </w:tcPr>
          <w:p w14:paraId="339760B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配电箱</w:t>
            </w:r>
          </w:p>
        </w:tc>
        <w:tc>
          <w:tcPr>
            <w:tcW w:w="6092" w:type="dxa"/>
            <w:vAlign w:val="center"/>
          </w:tcPr>
          <w:p w14:paraId="2046043E">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1.容量10 KW，提供智能配电管理系统或同等功能软件著作权，</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2.含PLC控制系统，可实时获取屏幕背部烟雾及温度数据，可执行远程开关机操作。</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3.考虑维护便利性，需与LED显示屏为同一品牌。</w:t>
            </w:r>
          </w:p>
        </w:tc>
        <w:tc>
          <w:tcPr>
            <w:tcW w:w="733" w:type="dxa"/>
            <w:vAlign w:val="center"/>
          </w:tcPr>
          <w:p w14:paraId="5A5112D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46A0DD7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2D2B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6CDAFC5">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821</w:t>
            </w:r>
          </w:p>
        </w:tc>
        <w:tc>
          <w:tcPr>
            <w:tcW w:w="2228" w:type="dxa"/>
            <w:vAlign w:val="center"/>
          </w:tcPr>
          <w:p w14:paraId="613F8BE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备品备件</w:t>
            </w:r>
          </w:p>
        </w:tc>
        <w:tc>
          <w:tcPr>
            <w:tcW w:w="6092" w:type="dxa"/>
            <w:vAlign w:val="center"/>
          </w:tcPr>
          <w:p w14:paraId="197F1D32">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同批次模组面积不小于0.3平方、接收卡电源各2块，专用检修工具等</w:t>
            </w:r>
          </w:p>
        </w:tc>
        <w:tc>
          <w:tcPr>
            <w:tcW w:w="733" w:type="dxa"/>
            <w:vAlign w:val="center"/>
          </w:tcPr>
          <w:p w14:paraId="195924D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1A4B68D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0D3B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2D6FE93">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822</w:t>
            </w:r>
          </w:p>
        </w:tc>
        <w:tc>
          <w:tcPr>
            <w:tcW w:w="2228" w:type="dxa"/>
            <w:vAlign w:val="center"/>
          </w:tcPr>
          <w:p w14:paraId="4281F21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钢结构与5cm包边</w:t>
            </w:r>
          </w:p>
        </w:tc>
        <w:tc>
          <w:tcPr>
            <w:tcW w:w="6092" w:type="dxa"/>
            <w:vAlign w:val="center"/>
          </w:tcPr>
          <w:p w14:paraId="6DD0BC3A">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1、LED高清屏幕采用水平安装(具体依照现场条件确定)，安装结构能满足LED高清显示屏的整体均匀平滑要求，结构便于安装和调试;</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2、整体框架式结构确保整体框架稳定性;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3、保障显示屏的整体平整度及避免钢结构日久变形。</w:t>
            </w:r>
          </w:p>
        </w:tc>
        <w:tc>
          <w:tcPr>
            <w:tcW w:w="733" w:type="dxa"/>
            <w:vAlign w:val="center"/>
          </w:tcPr>
          <w:p w14:paraId="4F20703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平方</w:t>
            </w:r>
          </w:p>
        </w:tc>
        <w:tc>
          <w:tcPr>
            <w:tcW w:w="714" w:type="dxa"/>
            <w:vAlign w:val="center"/>
          </w:tcPr>
          <w:p w14:paraId="0716451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17.08</w:t>
            </w:r>
          </w:p>
        </w:tc>
      </w:tr>
      <w:tr w14:paraId="38D8A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ADBF1A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823</w:t>
            </w:r>
          </w:p>
        </w:tc>
        <w:tc>
          <w:tcPr>
            <w:tcW w:w="2228" w:type="dxa"/>
            <w:vAlign w:val="center"/>
          </w:tcPr>
          <w:p w14:paraId="65EB644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安装调试</w:t>
            </w:r>
          </w:p>
        </w:tc>
        <w:tc>
          <w:tcPr>
            <w:tcW w:w="6092" w:type="dxa"/>
            <w:vAlign w:val="center"/>
          </w:tcPr>
          <w:p w14:paraId="7A6D905D">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包装、运输、设备安装，系统调试等</w:t>
            </w:r>
          </w:p>
        </w:tc>
        <w:tc>
          <w:tcPr>
            <w:tcW w:w="733" w:type="dxa"/>
            <w:vAlign w:val="center"/>
          </w:tcPr>
          <w:p w14:paraId="05BC4DC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项</w:t>
            </w:r>
          </w:p>
        </w:tc>
        <w:tc>
          <w:tcPr>
            <w:tcW w:w="714" w:type="dxa"/>
            <w:vAlign w:val="center"/>
          </w:tcPr>
          <w:p w14:paraId="15DBFA3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18072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C36DA9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824</w:t>
            </w:r>
          </w:p>
        </w:tc>
        <w:tc>
          <w:tcPr>
            <w:tcW w:w="2228" w:type="dxa"/>
            <w:vAlign w:val="center"/>
          </w:tcPr>
          <w:p w14:paraId="6BF6038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配件</w:t>
            </w:r>
          </w:p>
        </w:tc>
        <w:tc>
          <w:tcPr>
            <w:tcW w:w="6092" w:type="dxa"/>
            <w:vAlign w:val="center"/>
          </w:tcPr>
          <w:p w14:paraId="78E70DD6">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连接排线，一拖一电源线，三芯电源线。</w:t>
            </w:r>
          </w:p>
        </w:tc>
        <w:tc>
          <w:tcPr>
            <w:tcW w:w="733" w:type="dxa"/>
            <w:vAlign w:val="center"/>
          </w:tcPr>
          <w:p w14:paraId="389C55E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项</w:t>
            </w:r>
          </w:p>
        </w:tc>
        <w:tc>
          <w:tcPr>
            <w:tcW w:w="714" w:type="dxa"/>
            <w:vAlign w:val="center"/>
          </w:tcPr>
          <w:p w14:paraId="2974644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53970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5B794C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825</w:t>
            </w:r>
          </w:p>
        </w:tc>
        <w:tc>
          <w:tcPr>
            <w:tcW w:w="2228" w:type="dxa"/>
            <w:vAlign w:val="center"/>
          </w:tcPr>
          <w:p w14:paraId="3B68437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机柜</w:t>
            </w:r>
          </w:p>
        </w:tc>
        <w:tc>
          <w:tcPr>
            <w:tcW w:w="6092" w:type="dxa"/>
            <w:vAlign w:val="center"/>
          </w:tcPr>
          <w:p w14:paraId="4F6BB0BD">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1.尺寸：22U；</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2.8位万用插孔电源PDU，10A输入输出,1.5米线，带过载保护器及带灯总开关。</w:t>
            </w:r>
          </w:p>
        </w:tc>
        <w:tc>
          <w:tcPr>
            <w:tcW w:w="733" w:type="dxa"/>
            <w:vAlign w:val="center"/>
          </w:tcPr>
          <w:p w14:paraId="7127DE7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个</w:t>
            </w:r>
          </w:p>
        </w:tc>
        <w:tc>
          <w:tcPr>
            <w:tcW w:w="714" w:type="dxa"/>
            <w:vAlign w:val="center"/>
          </w:tcPr>
          <w:p w14:paraId="7EF94FA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06395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87EA10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826</w:t>
            </w:r>
          </w:p>
        </w:tc>
        <w:tc>
          <w:tcPr>
            <w:tcW w:w="2228" w:type="dxa"/>
            <w:vAlign w:val="center"/>
          </w:tcPr>
          <w:p w14:paraId="4303C28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大屏主线（主电缆）</w:t>
            </w:r>
          </w:p>
        </w:tc>
        <w:tc>
          <w:tcPr>
            <w:tcW w:w="6092" w:type="dxa"/>
            <w:vAlign w:val="center"/>
          </w:tcPr>
          <w:p w14:paraId="3F7C6B57">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规格不低于4×6mm²电缆线。</w:t>
            </w:r>
          </w:p>
        </w:tc>
        <w:tc>
          <w:tcPr>
            <w:tcW w:w="733" w:type="dxa"/>
            <w:vAlign w:val="center"/>
          </w:tcPr>
          <w:p w14:paraId="788FA8E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米</w:t>
            </w:r>
          </w:p>
        </w:tc>
        <w:tc>
          <w:tcPr>
            <w:tcW w:w="714" w:type="dxa"/>
            <w:vAlign w:val="center"/>
          </w:tcPr>
          <w:p w14:paraId="0EB86A4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25</w:t>
            </w:r>
          </w:p>
        </w:tc>
      </w:tr>
      <w:tr w14:paraId="31C25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08AA82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827</w:t>
            </w:r>
          </w:p>
        </w:tc>
        <w:tc>
          <w:tcPr>
            <w:tcW w:w="2228" w:type="dxa"/>
            <w:vAlign w:val="center"/>
          </w:tcPr>
          <w:p w14:paraId="2DC8B74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高清线</w:t>
            </w:r>
          </w:p>
        </w:tc>
        <w:tc>
          <w:tcPr>
            <w:tcW w:w="6092" w:type="dxa"/>
            <w:vAlign w:val="center"/>
          </w:tcPr>
          <w:p w14:paraId="7C9FC33B">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长度≥25米，HDMI高清连接线。</w:t>
            </w:r>
          </w:p>
        </w:tc>
        <w:tc>
          <w:tcPr>
            <w:tcW w:w="733" w:type="dxa"/>
            <w:vAlign w:val="center"/>
          </w:tcPr>
          <w:p w14:paraId="39D16BB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根</w:t>
            </w:r>
          </w:p>
        </w:tc>
        <w:tc>
          <w:tcPr>
            <w:tcW w:w="714" w:type="dxa"/>
            <w:vAlign w:val="center"/>
          </w:tcPr>
          <w:p w14:paraId="2925458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5C44E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D8C025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828</w:t>
            </w:r>
          </w:p>
        </w:tc>
        <w:tc>
          <w:tcPr>
            <w:tcW w:w="2228" w:type="dxa"/>
            <w:vAlign w:val="center"/>
          </w:tcPr>
          <w:p w14:paraId="48DE667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网线</w:t>
            </w:r>
          </w:p>
        </w:tc>
        <w:tc>
          <w:tcPr>
            <w:tcW w:w="6092" w:type="dxa"/>
            <w:vAlign w:val="center"/>
          </w:tcPr>
          <w:p w14:paraId="553860AE">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6类非屏蔽网线。</w:t>
            </w:r>
          </w:p>
        </w:tc>
        <w:tc>
          <w:tcPr>
            <w:tcW w:w="733" w:type="dxa"/>
            <w:vAlign w:val="center"/>
          </w:tcPr>
          <w:p w14:paraId="108AEDE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米</w:t>
            </w:r>
          </w:p>
        </w:tc>
        <w:tc>
          <w:tcPr>
            <w:tcW w:w="714" w:type="dxa"/>
            <w:vAlign w:val="center"/>
          </w:tcPr>
          <w:p w14:paraId="5A61CEE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200</w:t>
            </w:r>
          </w:p>
        </w:tc>
      </w:tr>
      <w:tr w14:paraId="0A036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01FBAC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829</w:t>
            </w:r>
          </w:p>
        </w:tc>
        <w:tc>
          <w:tcPr>
            <w:tcW w:w="2228" w:type="dxa"/>
            <w:vAlign w:val="center"/>
          </w:tcPr>
          <w:p w14:paraId="25D4E86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电线</w:t>
            </w:r>
          </w:p>
        </w:tc>
        <w:tc>
          <w:tcPr>
            <w:tcW w:w="6092" w:type="dxa"/>
            <w:vAlign w:val="center"/>
          </w:tcPr>
          <w:p w14:paraId="742E9263">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规格不低于3×2.5mm²电缆线。</w:t>
            </w:r>
          </w:p>
        </w:tc>
        <w:tc>
          <w:tcPr>
            <w:tcW w:w="733" w:type="dxa"/>
            <w:vAlign w:val="center"/>
          </w:tcPr>
          <w:p w14:paraId="310D467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米</w:t>
            </w:r>
          </w:p>
        </w:tc>
        <w:tc>
          <w:tcPr>
            <w:tcW w:w="714" w:type="dxa"/>
            <w:vAlign w:val="center"/>
          </w:tcPr>
          <w:p w14:paraId="56035AE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180</w:t>
            </w:r>
          </w:p>
        </w:tc>
      </w:tr>
      <w:tr w14:paraId="51D3B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932728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830</w:t>
            </w:r>
          </w:p>
        </w:tc>
        <w:tc>
          <w:tcPr>
            <w:tcW w:w="2228" w:type="dxa"/>
            <w:vAlign w:val="center"/>
          </w:tcPr>
          <w:p w14:paraId="19C7034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平板电脑</w:t>
            </w:r>
          </w:p>
        </w:tc>
        <w:tc>
          <w:tcPr>
            <w:tcW w:w="6092" w:type="dxa"/>
            <w:vAlign w:val="center"/>
          </w:tcPr>
          <w:p w14:paraId="1EEBACDE">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内存8+128GB，显示屏幕11寸</w:t>
            </w:r>
          </w:p>
        </w:tc>
        <w:tc>
          <w:tcPr>
            <w:tcW w:w="733" w:type="dxa"/>
            <w:vAlign w:val="center"/>
          </w:tcPr>
          <w:p w14:paraId="2459CA2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58F8AF7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5F760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49E754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831</w:t>
            </w:r>
          </w:p>
        </w:tc>
        <w:tc>
          <w:tcPr>
            <w:tcW w:w="2228" w:type="dxa"/>
            <w:vAlign w:val="center"/>
          </w:tcPr>
          <w:p w14:paraId="195FD06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中控</w:t>
            </w:r>
          </w:p>
        </w:tc>
        <w:tc>
          <w:tcPr>
            <w:tcW w:w="6092" w:type="dxa"/>
            <w:vAlign w:val="center"/>
          </w:tcPr>
          <w:p w14:paraId="49772E0F">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1.设备采用1U钣金结构机箱；</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2.设备前面板内嵌LCD彩色液晶屏，分辨率不小于220x176，无需连接额外的电脑和软件在设备端即可实时查看监控设备接口状态及IP地址；</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3.中控主机应配备独立的模块化编程架构，采用CPUARNrex®32位工业级处理器和48KBL2高速缓存，4MB高性能外部存储，可实时存储最多2900个用户指令；</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4.设备采用纯硬件设计架构，内部无操作系统；无系统奔溃病毒侵染，兼容性等问题，允许频繁开关机，开机启动响应时间不超过3s；</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5.设备支持数据实时存储，意外断电后，重新上电时数据可自动恢复；</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6.具备百兆Ethernet控制接口，支持TCP/UDP网络控制协议。同网段内，可通过有线/无线路由进行跨区域控制；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7.设备支持11路可编程全双向通讯DB9接口，同时可兼容RS422/RS485/RS232协议，最高波特率达4Mbps、可用于控制各种串口通讯设备；例如控制电源时序器，发送卡拼接器矩阵云台等设备；</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8.支持12路可编程 I/0 接口，支持编程触发执行各种功能需求，支持输入输出双模式(输入最大支持5V和 输出景大支持3.3V)，可以接入不同类型的传感器，用于自动触发控制；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9.支持12路可编程弱继电器接口，最大30V直流，允许的最大电流3A;通过控制强电继电器，控制灯光、电动窗帘、升降架等设备；</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10.支持12路红外发射接口，支持全频段载波红外调制信息发送，发送控制的距离最大可达10M，可以控制空调，电视等设备；</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11.支持红外学习功充分满足多端多功能控制的诉可学习1000个红外按键功；</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12.上位机编辑软件提供开放式的可编程控制平台、人性化的操作界面和交互式的控制结构，可自由编辑图片、图标、文字等；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13.上位机控制软件可适配于多种类型的控制设备，且支持Android，i0s，Windows三平台同时控制；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14.设备满足-10℃可冷启动正常，高温50℃运行正常。</w:t>
            </w:r>
          </w:p>
        </w:tc>
        <w:tc>
          <w:tcPr>
            <w:tcW w:w="733" w:type="dxa"/>
            <w:vAlign w:val="center"/>
          </w:tcPr>
          <w:p w14:paraId="04E8CC9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55A3491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A26C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28458F9">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832</w:t>
            </w:r>
          </w:p>
        </w:tc>
        <w:tc>
          <w:tcPr>
            <w:tcW w:w="2228" w:type="dxa"/>
            <w:vAlign w:val="center"/>
          </w:tcPr>
          <w:p w14:paraId="3442085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吸顶喇叭</w:t>
            </w:r>
          </w:p>
        </w:tc>
        <w:tc>
          <w:tcPr>
            <w:tcW w:w="6092" w:type="dxa"/>
            <w:vAlign w:val="center"/>
          </w:tcPr>
          <w:p w14:paraId="0B24566A">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额定功率：40W         输入电压：100V</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灵敏度：89±3dB       频响：90~20KHz</w:t>
            </w:r>
          </w:p>
        </w:tc>
        <w:tc>
          <w:tcPr>
            <w:tcW w:w="733" w:type="dxa"/>
            <w:vAlign w:val="center"/>
          </w:tcPr>
          <w:p w14:paraId="5FF091C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05F715D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570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00A3D9C">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833</w:t>
            </w:r>
          </w:p>
        </w:tc>
        <w:tc>
          <w:tcPr>
            <w:tcW w:w="2228" w:type="dxa"/>
            <w:vAlign w:val="center"/>
          </w:tcPr>
          <w:p w14:paraId="2B8FFCB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合并式功放</w:t>
            </w:r>
          </w:p>
        </w:tc>
        <w:tc>
          <w:tcPr>
            <w:tcW w:w="6092" w:type="dxa"/>
            <w:vAlign w:val="center"/>
          </w:tcPr>
          <w:p w14:paraId="2635A173">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额定功率：160W</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输出方式：70V，100V，4-16Ω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输入灵敏度/阻抗：MIC:25mV/600Ω，不平衡TRS端子输入；AUX:350mV/10KΩ，不平衡RCA端子输入</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输出灵敏度/阻抗：1000mV/470Ω，不平衡RCA端子输入</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过载源电动势：MIC:＞12dB，不平衡TRS端子输入；AUX:＞20dB，不平衡RCA端子输入</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频率响应：50-16KHz（+1dB，-3dB）</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信噪比：MIC:66dB；AUX1:80dB</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总谐波失真：1KHz时0.5%，1/3输出功率</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默音功能：MIC优先其他通道</w:t>
            </w:r>
          </w:p>
        </w:tc>
        <w:tc>
          <w:tcPr>
            <w:tcW w:w="733" w:type="dxa"/>
            <w:vAlign w:val="center"/>
          </w:tcPr>
          <w:p w14:paraId="662636B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36E23A3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108E0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9C7E317">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834</w:t>
            </w:r>
          </w:p>
        </w:tc>
        <w:tc>
          <w:tcPr>
            <w:tcW w:w="2228" w:type="dxa"/>
            <w:vAlign w:val="center"/>
          </w:tcPr>
          <w:p w14:paraId="4D075D7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音频线</w:t>
            </w:r>
          </w:p>
        </w:tc>
        <w:tc>
          <w:tcPr>
            <w:tcW w:w="6092" w:type="dxa"/>
            <w:vAlign w:val="center"/>
          </w:tcPr>
          <w:p w14:paraId="631AEA20">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5米音频连接线：3.5转双莲花公延长线</w:t>
            </w:r>
          </w:p>
        </w:tc>
        <w:tc>
          <w:tcPr>
            <w:tcW w:w="733" w:type="dxa"/>
            <w:vAlign w:val="center"/>
          </w:tcPr>
          <w:p w14:paraId="4CB8DC2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条</w:t>
            </w:r>
          </w:p>
        </w:tc>
        <w:tc>
          <w:tcPr>
            <w:tcW w:w="714" w:type="dxa"/>
            <w:vAlign w:val="center"/>
          </w:tcPr>
          <w:p w14:paraId="5D2A0D3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2B374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E7C1393">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835</w:t>
            </w:r>
          </w:p>
        </w:tc>
        <w:tc>
          <w:tcPr>
            <w:tcW w:w="2228" w:type="dxa"/>
            <w:vAlign w:val="center"/>
          </w:tcPr>
          <w:p w14:paraId="411BDCE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音箱线</w:t>
            </w:r>
          </w:p>
        </w:tc>
        <w:tc>
          <w:tcPr>
            <w:tcW w:w="6092" w:type="dxa"/>
            <w:vAlign w:val="center"/>
          </w:tcPr>
          <w:p w14:paraId="6DBE00AF">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专业护套音响线EVJV2×1.5mm²</w:t>
            </w:r>
          </w:p>
        </w:tc>
        <w:tc>
          <w:tcPr>
            <w:tcW w:w="733" w:type="dxa"/>
            <w:vAlign w:val="center"/>
          </w:tcPr>
          <w:p w14:paraId="086C8A5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米</w:t>
            </w:r>
          </w:p>
        </w:tc>
        <w:tc>
          <w:tcPr>
            <w:tcW w:w="714" w:type="dxa"/>
            <w:vAlign w:val="center"/>
          </w:tcPr>
          <w:p w14:paraId="7A05505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50</w:t>
            </w:r>
          </w:p>
        </w:tc>
      </w:tr>
      <w:tr w14:paraId="0F6FC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04EA7C0">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836</w:t>
            </w:r>
          </w:p>
        </w:tc>
        <w:tc>
          <w:tcPr>
            <w:tcW w:w="2228" w:type="dxa"/>
            <w:vAlign w:val="center"/>
          </w:tcPr>
          <w:p w14:paraId="44E7C3C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播控桌</w:t>
            </w:r>
          </w:p>
        </w:tc>
        <w:tc>
          <w:tcPr>
            <w:tcW w:w="6092" w:type="dxa"/>
            <w:vAlign w:val="center"/>
          </w:tcPr>
          <w:p w14:paraId="68EDB376">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尺寸≥900×600×750mm，常规防火密度板桌面≥17mm，柜体为≥0.6mm冷轧钢板。</w:t>
            </w:r>
          </w:p>
        </w:tc>
        <w:tc>
          <w:tcPr>
            <w:tcW w:w="733" w:type="dxa"/>
            <w:vAlign w:val="center"/>
          </w:tcPr>
          <w:p w14:paraId="04877FD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13F405A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63095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10350" w:type="dxa"/>
            <w:gridSpan w:val="5"/>
            <w:vAlign w:val="center"/>
          </w:tcPr>
          <w:p w14:paraId="3C0062EA">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智慧急救中心大屏</w:t>
            </w:r>
          </w:p>
        </w:tc>
      </w:tr>
      <w:tr w14:paraId="3CE99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827926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837</w:t>
            </w:r>
          </w:p>
        </w:tc>
        <w:tc>
          <w:tcPr>
            <w:tcW w:w="2228" w:type="dxa"/>
            <w:vAlign w:val="center"/>
          </w:tcPr>
          <w:p w14:paraId="5E9DE7A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室内全彩LED显示屏</w:t>
            </w:r>
          </w:p>
        </w:tc>
        <w:tc>
          <w:tcPr>
            <w:tcW w:w="6092" w:type="dxa"/>
            <w:vAlign w:val="center"/>
          </w:tcPr>
          <w:p w14:paraId="501396EA">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1、点间距≤1.25mm，屏幕净尺寸≥5.4m×2.7m，屏体分辨率：≥4320×2160；</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2、亮度均匀性≥98%；</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3、模组采用镁铝合金材质；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4、模组宽高尺寸≥200*337.5mm；</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5、平整度:≤0.1mm;</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6、屏幕亮度:≥600cd/m²可调;</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7、亮度鉴别等级LJ≥20C级；</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8、刷新率≥3900HZ;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9、灰度等级：256级；</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10、水平视角:≥170°;垂直视角:≥170°;</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11、搭配HDR系统卡，可实现即高动态范围图像显示屏效果，支持4K超高清显示；</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12、模组电源供电与信号线采用一体化传输设计，模组供电电压和信号采用星型连接方式；</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13、供电及信号方式：通过电源线（品字3Pin），通过网口信号线；</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14、模组、接收卡需支持带电维护，支持热插拔;</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15、最大对比度:≥5000:1;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16、显示屏具备智能（黑屏）节电功能，开启智能节电功能比没开启节能50%以上，LED显示屏符合GB21520-2015,能效一级；</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17、不少于8层PCB板结构设计，同时 采用30u镀金接插件;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18、模组供电:模组采用4.0-4.5VDC供电，搭配定制3C电源， 具备PFC电源;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19、低延时：屏体依据视频源输入频率，低延时。延时1帧。</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20、图像处理：图像有降燥、增强、运动补偿、色坐标变换处理、钝化处理。;</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21、显示屏具有LED驱动器，包括LED显示屏及LED驱动芯片的驱动方法；具有LED显示屏拼接误差的检测方法和装置技术。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22、像素失控率≤1/100000;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23、灰度等级:显示屏100%亮度灰度等级≥16bt，70%亮度灰 度等级≥16bt，50%亮度灰度等级≥16bt，20%亮度灰度等级≥ 15bt; </w:t>
            </w:r>
          </w:p>
        </w:tc>
        <w:tc>
          <w:tcPr>
            <w:tcW w:w="733" w:type="dxa"/>
            <w:vAlign w:val="center"/>
          </w:tcPr>
          <w:p w14:paraId="598577A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平方</w:t>
            </w:r>
          </w:p>
        </w:tc>
        <w:tc>
          <w:tcPr>
            <w:tcW w:w="714" w:type="dxa"/>
            <w:vAlign w:val="center"/>
          </w:tcPr>
          <w:p w14:paraId="3463063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14.58</w:t>
            </w:r>
          </w:p>
        </w:tc>
      </w:tr>
      <w:tr w14:paraId="0E17D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CBABDF5">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838</w:t>
            </w:r>
          </w:p>
        </w:tc>
        <w:tc>
          <w:tcPr>
            <w:tcW w:w="2228" w:type="dxa"/>
            <w:vAlign w:val="center"/>
          </w:tcPr>
          <w:p w14:paraId="2474976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视频独立控制器</w:t>
            </w:r>
          </w:p>
        </w:tc>
        <w:tc>
          <w:tcPr>
            <w:tcW w:w="6092" w:type="dxa"/>
            <w:vAlign w:val="center"/>
          </w:tcPr>
          <w:p w14:paraId="7F20286C">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1.拥有完备的视频输入接口，1路HDMI 2.0，1路DP1.2，4路HDMI。</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2.多输出，大带载，支持 16 路网口输出，带载高达 1040万像素。</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3.支持 HDR 输出，能够极大地增强显示屏的画质，使画面色彩更加真实生动，细节更加清晰。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4.支持个性化的画质缩放，支持三种画面缩放模式，包括点对点模式、全屏缩放、自定义缩放。</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5.多窗口显示，支持 5 窗口任意布局。</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6.支持预监输出画面，将预监内容通过 HDMI 发送到显示器显示。</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7.支持智能控制软件进行操作控制。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8.满足多路视频，任意位置和大小开窗显示播放。</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9.支持逐点亮色度校正技术，校正过程快速高效，支持直接现场校正；</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10.支持场景预设，最多可创建 10 个用户场景作为模板保存，可直接调用，方便使用。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11.支持 EDID 管理，支持用户自定义 EDID 和预设 EDID。</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12.设备可一键开启或关闭对应图层显示，提供更灵活的操作手段。</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13.通过面板数字按键，可快速准确定义窗口大小位置等坐标信息，增强产品实用性能。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14.考虑系统兼容性，需与LED显示屏为同一品牌。</w:t>
            </w:r>
          </w:p>
        </w:tc>
        <w:tc>
          <w:tcPr>
            <w:tcW w:w="733" w:type="dxa"/>
            <w:vAlign w:val="center"/>
          </w:tcPr>
          <w:p w14:paraId="18FD1DE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40DD31C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002F1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756288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839</w:t>
            </w:r>
          </w:p>
        </w:tc>
        <w:tc>
          <w:tcPr>
            <w:tcW w:w="2228" w:type="dxa"/>
            <w:vAlign w:val="center"/>
          </w:tcPr>
          <w:p w14:paraId="3C54D1E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配电箱</w:t>
            </w:r>
          </w:p>
        </w:tc>
        <w:tc>
          <w:tcPr>
            <w:tcW w:w="6092" w:type="dxa"/>
            <w:vAlign w:val="center"/>
          </w:tcPr>
          <w:p w14:paraId="1723F294">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1.容量10 KW，提供智能配电管理系统或同等功能软件著作权，</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2.含PLC控制系统，可实时获取屏幕背部烟雾及温度数据，可执行远程开关机操作。</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3.考虑维护便利性，需与LED显示屏为同一品牌。</w:t>
            </w:r>
          </w:p>
        </w:tc>
        <w:tc>
          <w:tcPr>
            <w:tcW w:w="733" w:type="dxa"/>
            <w:vAlign w:val="center"/>
          </w:tcPr>
          <w:p w14:paraId="5A4557F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7D3E21F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67E70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7E6F5B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840</w:t>
            </w:r>
          </w:p>
        </w:tc>
        <w:tc>
          <w:tcPr>
            <w:tcW w:w="2228" w:type="dxa"/>
            <w:vAlign w:val="center"/>
          </w:tcPr>
          <w:p w14:paraId="23DAE5B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备品备件</w:t>
            </w:r>
          </w:p>
        </w:tc>
        <w:tc>
          <w:tcPr>
            <w:tcW w:w="6092" w:type="dxa"/>
            <w:vAlign w:val="center"/>
          </w:tcPr>
          <w:p w14:paraId="29AD9518">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同批次模组面积不小于0.3平方、接收卡电源各2块，专用检修工具等</w:t>
            </w:r>
          </w:p>
        </w:tc>
        <w:tc>
          <w:tcPr>
            <w:tcW w:w="733" w:type="dxa"/>
            <w:vAlign w:val="center"/>
          </w:tcPr>
          <w:p w14:paraId="3D3481D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微软雅黑" w:hAnsi="微软雅黑" w:eastAsia="微软雅黑" w:cs="微软雅黑"/>
                <w:i w:val="0"/>
                <w:iCs w:val="0"/>
                <w:color w:val="000000"/>
                <w:kern w:val="0"/>
                <w:sz w:val="24"/>
                <w:szCs w:val="24"/>
                <w:u w:val="none"/>
                <w:lang w:val="en-US" w:eastAsia="zh-CN" w:bidi="ar"/>
              </w:rPr>
              <w:t>套</w:t>
            </w:r>
          </w:p>
        </w:tc>
        <w:tc>
          <w:tcPr>
            <w:tcW w:w="714" w:type="dxa"/>
            <w:vAlign w:val="center"/>
          </w:tcPr>
          <w:p w14:paraId="23B4C4E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微软雅黑" w:hAnsi="微软雅黑" w:eastAsia="微软雅黑" w:cs="微软雅黑"/>
                <w:i w:val="0"/>
                <w:iCs w:val="0"/>
                <w:color w:val="000000"/>
                <w:kern w:val="0"/>
                <w:sz w:val="24"/>
                <w:szCs w:val="24"/>
                <w:u w:val="none"/>
                <w:lang w:val="en-US" w:eastAsia="zh-CN" w:bidi="ar"/>
              </w:rPr>
              <w:t>1</w:t>
            </w:r>
          </w:p>
        </w:tc>
      </w:tr>
      <w:tr w14:paraId="1229B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A5DD60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841</w:t>
            </w:r>
          </w:p>
        </w:tc>
        <w:tc>
          <w:tcPr>
            <w:tcW w:w="2228" w:type="dxa"/>
            <w:vAlign w:val="center"/>
          </w:tcPr>
          <w:p w14:paraId="345166A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钢结构与5cm包边</w:t>
            </w:r>
          </w:p>
        </w:tc>
        <w:tc>
          <w:tcPr>
            <w:tcW w:w="6092" w:type="dxa"/>
            <w:vAlign w:val="center"/>
          </w:tcPr>
          <w:p w14:paraId="483E91C2">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1、LED高清屏幕采用水平安装(具体依照现场条件确定)，安装结构能满足LED高清显示屏的整体均匀平滑要求，结构便于安 装和调试;</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2、整体框架式结构确保整体框架稳定性;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3、保障显示屏的整体平整度及避免钢结构日久变形。</w:t>
            </w:r>
          </w:p>
        </w:tc>
        <w:tc>
          <w:tcPr>
            <w:tcW w:w="733" w:type="dxa"/>
            <w:vAlign w:val="center"/>
          </w:tcPr>
          <w:p w14:paraId="5FF074C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平方</w:t>
            </w:r>
          </w:p>
        </w:tc>
        <w:tc>
          <w:tcPr>
            <w:tcW w:w="714" w:type="dxa"/>
            <w:vAlign w:val="center"/>
          </w:tcPr>
          <w:p w14:paraId="30C6944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15.4</w:t>
            </w:r>
          </w:p>
        </w:tc>
      </w:tr>
      <w:tr w14:paraId="77AFA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4AB156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842</w:t>
            </w:r>
          </w:p>
        </w:tc>
        <w:tc>
          <w:tcPr>
            <w:tcW w:w="2228" w:type="dxa"/>
            <w:vAlign w:val="center"/>
          </w:tcPr>
          <w:p w14:paraId="37BA66D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安装调试</w:t>
            </w:r>
          </w:p>
        </w:tc>
        <w:tc>
          <w:tcPr>
            <w:tcW w:w="6092" w:type="dxa"/>
            <w:vAlign w:val="center"/>
          </w:tcPr>
          <w:p w14:paraId="0C9A49F9">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包装、运输、设备安装，系统调试等</w:t>
            </w:r>
          </w:p>
        </w:tc>
        <w:tc>
          <w:tcPr>
            <w:tcW w:w="733" w:type="dxa"/>
            <w:vAlign w:val="center"/>
          </w:tcPr>
          <w:p w14:paraId="2FD8C30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项</w:t>
            </w:r>
          </w:p>
        </w:tc>
        <w:tc>
          <w:tcPr>
            <w:tcW w:w="714" w:type="dxa"/>
            <w:vAlign w:val="center"/>
          </w:tcPr>
          <w:p w14:paraId="7A6096D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0985F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083E04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843</w:t>
            </w:r>
          </w:p>
        </w:tc>
        <w:tc>
          <w:tcPr>
            <w:tcW w:w="2228" w:type="dxa"/>
            <w:vAlign w:val="center"/>
          </w:tcPr>
          <w:p w14:paraId="4A5B3E2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配件</w:t>
            </w:r>
          </w:p>
        </w:tc>
        <w:tc>
          <w:tcPr>
            <w:tcW w:w="6092" w:type="dxa"/>
            <w:vAlign w:val="center"/>
          </w:tcPr>
          <w:p w14:paraId="64D4CC42">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连接排线，一拖一电源线，三芯电源线。</w:t>
            </w:r>
          </w:p>
        </w:tc>
        <w:tc>
          <w:tcPr>
            <w:tcW w:w="733" w:type="dxa"/>
            <w:vAlign w:val="center"/>
          </w:tcPr>
          <w:p w14:paraId="0A401AF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项</w:t>
            </w:r>
          </w:p>
        </w:tc>
        <w:tc>
          <w:tcPr>
            <w:tcW w:w="714" w:type="dxa"/>
            <w:vAlign w:val="center"/>
          </w:tcPr>
          <w:p w14:paraId="54DDBB0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5F7D9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9A3904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844</w:t>
            </w:r>
          </w:p>
        </w:tc>
        <w:tc>
          <w:tcPr>
            <w:tcW w:w="2228" w:type="dxa"/>
            <w:vAlign w:val="center"/>
          </w:tcPr>
          <w:p w14:paraId="2091469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机柜</w:t>
            </w:r>
          </w:p>
        </w:tc>
        <w:tc>
          <w:tcPr>
            <w:tcW w:w="6092" w:type="dxa"/>
            <w:vAlign w:val="center"/>
          </w:tcPr>
          <w:p w14:paraId="1B5BEB8C">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1.尺寸：22U；</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2.8位万用插孔电源PDU，10A输入输出,1.5米线，带过载保护器及带灯总开关。</w:t>
            </w:r>
          </w:p>
        </w:tc>
        <w:tc>
          <w:tcPr>
            <w:tcW w:w="733" w:type="dxa"/>
            <w:vAlign w:val="center"/>
          </w:tcPr>
          <w:p w14:paraId="7EADF76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6F43309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047BC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41C84A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845</w:t>
            </w:r>
          </w:p>
        </w:tc>
        <w:tc>
          <w:tcPr>
            <w:tcW w:w="2228" w:type="dxa"/>
            <w:vAlign w:val="center"/>
          </w:tcPr>
          <w:p w14:paraId="4BFBC08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大屏主线（主电缆）</w:t>
            </w:r>
          </w:p>
        </w:tc>
        <w:tc>
          <w:tcPr>
            <w:tcW w:w="6092" w:type="dxa"/>
            <w:vAlign w:val="center"/>
          </w:tcPr>
          <w:p w14:paraId="6F29486B">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规格不低于4×6mm²电缆线。</w:t>
            </w:r>
          </w:p>
        </w:tc>
        <w:tc>
          <w:tcPr>
            <w:tcW w:w="733" w:type="dxa"/>
            <w:vAlign w:val="center"/>
          </w:tcPr>
          <w:p w14:paraId="7EBEC1C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米</w:t>
            </w:r>
          </w:p>
        </w:tc>
        <w:tc>
          <w:tcPr>
            <w:tcW w:w="714" w:type="dxa"/>
            <w:vAlign w:val="center"/>
          </w:tcPr>
          <w:p w14:paraId="25B3F3C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12</w:t>
            </w:r>
          </w:p>
        </w:tc>
      </w:tr>
      <w:tr w14:paraId="14EBC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FC69DA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846</w:t>
            </w:r>
          </w:p>
        </w:tc>
        <w:tc>
          <w:tcPr>
            <w:tcW w:w="2228" w:type="dxa"/>
            <w:vAlign w:val="center"/>
          </w:tcPr>
          <w:p w14:paraId="4D28579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高清线</w:t>
            </w:r>
          </w:p>
        </w:tc>
        <w:tc>
          <w:tcPr>
            <w:tcW w:w="6092" w:type="dxa"/>
            <w:vAlign w:val="center"/>
          </w:tcPr>
          <w:p w14:paraId="1E9D4AEA">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长度≥15米，HDMI高清连接线。</w:t>
            </w:r>
          </w:p>
        </w:tc>
        <w:tc>
          <w:tcPr>
            <w:tcW w:w="733" w:type="dxa"/>
            <w:vAlign w:val="center"/>
          </w:tcPr>
          <w:p w14:paraId="29F001E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根</w:t>
            </w:r>
          </w:p>
        </w:tc>
        <w:tc>
          <w:tcPr>
            <w:tcW w:w="714" w:type="dxa"/>
            <w:vAlign w:val="center"/>
          </w:tcPr>
          <w:p w14:paraId="3A4EA46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7EF8E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4307C8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847</w:t>
            </w:r>
          </w:p>
        </w:tc>
        <w:tc>
          <w:tcPr>
            <w:tcW w:w="2228" w:type="dxa"/>
            <w:vAlign w:val="center"/>
          </w:tcPr>
          <w:p w14:paraId="699C1D5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网线</w:t>
            </w:r>
          </w:p>
        </w:tc>
        <w:tc>
          <w:tcPr>
            <w:tcW w:w="6092" w:type="dxa"/>
            <w:vAlign w:val="center"/>
          </w:tcPr>
          <w:p w14:paraId="597F8807">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6类非屏蔽网线。</w:t>
            </w:r>
          </w:p>
        </w:tc>
        <w:tc>
          <w:tcPr>
            <w:tcW w:w="733" w:type="dxa"/>
            <w:vAlign w:val="center"/>
          </w:tcPr>
          <w:p w14:paraId="48C414A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米</w:t>
            </w:r>
          </w:p>
        </w:tc>
        <w:tc>
          <w:tcPr>
            <w:tcW w:w="714" w:type="dxa"/>
            <w:vAlign w:val="center"/>
          </w:tcPr>
          <w:p w14:paraId="1794835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80</w:t>
            </w:r>
          </w:p>
        </w:tc>
      </w:tr>
      <w:tr w14:paraId="505B5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E05AE4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848</w:t>
            </w:r>
          </w:p>
        </w:tc>
        <w:tc>
          <w:tcPr>
            <w:tcW w:w="2228" w:type="dxa"/>
            <w:vAlign w:val="center"/>
          </w:tcPr>
          <w:p w14:paraId="462FFDF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电线</w:t>
            </w:r>
          </w:p>
        </w:tc>
        <w:tc>
          <w:tcPr>
            <w:tcW w:w="6092" w:type="dxa"/>
            <w:vAlign w:val="center"/>
          </w:tcPr>
          <w:p w14:paraId="6E0B9269">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规格不低于3×2.5mm²电缆线。</w:t>
            </w:r>
          </w:p>
        </w:tc>
        <w:tc>
          <w:tcPr>
            <w:tcW w:w="733" w:type="dxa"/>
            <w:vAlign w:val="center"/>
          </w:tcPr>
          <w:p w14:paraId="00D128B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米</w:t>
            </w:r>
          </w:p>
        </w:tc>
        <w:tc>
          <w:tcPr>
            <w:tcW w:w="714" w:type="dxa"/>
            <w:vAlign w:val="center"/>
          </w:tcPr>
          <w:p w14:paraId="65753C7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60</w:t>
            </w:r>
          </w:p>
        </w:tc>
      </w:tr>
      <w:tr w14:paraId="3C8BB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FC34812">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849</w:t>
            </w:r>
          </w:p>
        </w:tc>
        <w:tc>
          <w:tcPr>
            <w:tcW w:w="2228" w:type="dxa"/>
            <w:vAlign w:val="center"/>
          </w:tcPr>
          <w:p w14:paraId="2BC5171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吸顶喇叭</w:t>
            </w:r>
          </w:p>
        </w:tc>
        <w:tc>
          <w:tcPr>
            <w:tcW w:w="6092" w:type="dxa"/>
            <w:vAlign w:val="center"/>
          </w:tcPr>
          <w:p w14:paraId="0A0E1AB0">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额定功率：40W         输入电压：100V</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灵敏度：89±3dB       频响：90~20KHz</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规格：Φ280*190mm     安装规格：Φ250mm</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材质：ABS               重量：2.86kg</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喇叭规格：8"同轴高音    颜色：白色</w:t>
            </w:r>
          </w:p>
        </w:tc>
        <w:tc>
          <w:tcPr>
            <w:tcW w:w="733" w:type="dxa"/>
            <w:vAlign w:val="center"/>
          </w:tcPr>
          <w:p w14:paraId="08AADAB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26CC6A5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7786A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5728F3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850</w:t>
            </w:r>
          </w:p>
        </w:tc>
        <w:tc>
          <w:tcPr>
            <w:tcW w:w="2228" w:type="dxa"/>
            <w:vAlign w:val="center"/>
          </w:tcPr>
          <w:p w14:paraId="5D6A108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合并式功放</w:t>
            </w:r>
          </w:p>
        </w:tc>
        <w:tc>
          <w:tcPr>
            <w:tcW w:w="6092" w:type="dxa"/>
            <w:vAlign w:val="center"/>
          </w:tcPr>
          <w:p w14:paraId="2370A494">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额定功率：160W</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输出方式：70V，100V，4-16Ω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输入灵敏度/阻抗：MIC:25mV/600Ω，不平衡TRS端子输入；AUX:350mV/10KΩ，不平衡RCA端子输入</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输出灵敏度/阻抗：1000mV/470Ω，不平衡RCA端子输入</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过载源电动势：MIC:＞12dB，不平衡TRS端子输入；AUX:＞20dB，不平衡RCA端子输入</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频率响应：50-16KHz（+1dB，-3dB）</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信噪比：MIC:66dB；AUX1:80dB</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总谐波失真：1KHz时0.5%，1/3输出功率</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默音功能：MIC优先其他通道</w:t>
            </w:r>
          </w:p>
        </w:tc>
        <w:tc>
          <w:tcPr>
            <w:tcW w:w="733" w:type="dxa"/>
            <w:vAlign w:val="center"/>
          </w:tcPr>
          <w:p w14:paraId="5A0C241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664B547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4FC24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0D71C91">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851</w:t>
            </w:r>
          </w:p>
        </w:tc>
        <w:tc>
          <w:tcPr>
            <w:tcW w:w="2228" w:type="dxa"/>
            <w:vAlign w:val="center"/>
          </w:tcPr>
          <w:p w14:paraId="3ADF708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音频线</w:t>
            </w:r>
          </w:p>
        </w:tc>
        <w:tc>
          <w:tcPr>
            <w:tcW w:w="6092" w:type="dxa"/>
            <w:vAlign w:val="center"/>
          </w:tcPr>
          <w:p w14:paraId="53CD1E4F">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5米音频连接线：3.5转双莲花公延长线</w:t>
            </w:r>
          </w:p>
        </w:tc>
        <w:tc>
          <w:tcPr>
            <w:tcW w:w="733" w:type="dxa"/>
            <w:vAlign w:val="center"/>
          </w:tcPr>
          <w:p w14:paraId="5447820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条</w:t>
            </w:r>
          </w:p>
        </w:tc>
        <w:tc>
          <w:tcPr>
            <w:tcW w:w="714" w:type="dxa"/>
            <w:vAlign w:val="center"/>
          </w:tcPr>
          <w:p w14:paraId="40CE757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bl>
    <w:p w14:paraId="77DDEB08">
      <w:pPr>
        <w:pStyle w:val="2"/>
        <w:keepNext w:val="0"/>
        <w:keepLines w:val="0"/>
        <w:pageBreakBefore w:val="0"/>
        <w:widowControl w:val="0"/>
        <w:numPr>
          <w:ilvl w:val="0"/>
          <w:numId w:val="0"/>
        </w:numPr>
        <w:kinsoku/>
        <w:wordWrap/>
        <w:overflowPunct/>
        <w:topLinePunct w:val="0"/>
        <w:autoSpaceDE/>
        <w:autoSpaceDN/>
        <w:bidi w:val="0"/>
        <w:adjustRightInd/>
        <w:snapToGrid/>
        <w:spacing w:after="0" w:line="440" w:lineRule="exact"/>
        <w:textAlignment w:val="auto"/>
        <w:rPr>
          <w:rFonts w:hint="eastAsia"/>
          <w:lang w:eastAsia="zh-CN"/>
        </w:rPr>
      </w:pPr>
      <w:r>
        <w:rPr>
          <w:rFonts w:hint="eastAsia" w:ascii="宋体" w:hAnsi="宋体" w:eastAsia="宋体" w:cs="宋体"/>
          <w:b w:val="0"/>
          <w:bCs w:val="0"/>
          <w:highlight w:val="yellow"/>
          <w:lang w:val="en-US" w:eastAsia="zh-CN"/>
        </w:rPr>
        <w:t>（二）-17：互联网医院平台</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875"/>
        <w:gridCol w:w="867"/>
        <w:gridCol w:w="5858"/>
        <w:gridCol w:w="733"/>
        <w:gridCol w:w="714"/>
      </w:tblGrid>
      <w:tr w14:paraId="3A00C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C28FF55">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序号</w:t>
            </w:r>
          </w:p>
        </w:tc>
        <w:tc>
          <w:tcPr>
            <w:tcW w:w="720" w:type="dxa"/>
            <w:vAlign w:val="center"/>
          </w:tcPr>
          <w:p w14:paraId="7A89CFF9">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kern w:val="0"/>
                <w:sz w:val="20"/>
                <w:szCs w:val="20"/>
                <w:highlight w:val="none"/>
                <w:lang w:eastAsia="zh-CN"/>
              </w:rPr>
            </w:pPr>
            <w:r>
              <w:rPr>
                <w:rFonts w:hint="eastAsia" w:ascii="宋体" w:hAnsi="宋体" w:eastAsia="宋体" w:cs="宋体"/>
                <w:b/>
                <w:bCs/>
                <w:color w:val="auto"/>
                <w:kern w:val="0"/>
                <w:sz w:val="20"/>
                <w:szCs w:val="20"/>
                <w:highlight w:val="none"/>
                <w:lang w:eastAsia="zh-CN"/>
              </w:rPr>
              <w:t>系统名称</w:t>
            </w:r>
          </w:p>
        </w:tc>
        <w:tc>
          <w:tcPr>
            <w:tcW w:w="875" w:type="dxa"/>
            <w:vAlign w:val="center"/>
          </w:tcPr>
          <w:p w14:paraId="6FEF1A01">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一级子系统</w:t>
            </w:r>
          </w:p>
        </w:tc>
        <w:tc>
          <w:tcPr>
            <w:tcW w:w="867" w:type="dxa"/>
            <w:vAlign w:val="center"/>
          </w:tcPr>
          <w:p w14:paraId="02254668">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二级子系统</w:t>
            </w:r>
          </w:p>
        </w:tc>
        <w:tc>
          <w:tcPr>
            <w:tcW w:w="5858" w:type="dxa"/>
            <w:vAlign w:val="center"/>
          </w:tcPr>
          <w:p w14:paraId="4443B4AF">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0D89F7A8">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单位</w:t>
            </w:r>
          </w:p>
        </w:tc>
        <w:tc>
          <w:tcPr>
            <w:tcW w:w="714" w:type="dxa"/>
            <w:vAlign w:val="center"/>
          </w:tcPr>
          <w:p w14:paraId="752FCC4D">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数量</w:t>
            </w:r>
          </w:p>
        </w:tc>
      </w:tr>
      <w:tr w14:paraId="08F0D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BD2058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852</w:t>
            </w:r>
          </w:p>
        </w:tc>
        <w:tc>
          <w:tcPr>
            <w:tcW w:w="720" w:type="dxa"/>
            <w:vMerge w:val="restart"/>
            <w:vAlign w:val="center"/>
          </w:tcPr>
          <w:p w14:paraId="7B748795">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互联网医院系统</w:t>
            </w:r>
          </w:p>
        </w:tc>
        <w:tc>
          <w:tcPr>
            <w:tcW w:w="875" w:type="dxa"/>
            <w:vMerge w:val="restart"/>
            <w:vAlign w:val="center"/>
          </w:tcPr>
          <w:p w14:paraId="7F8DB8C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互联网医院患者端    （微信小程序）</w:t>
            </w:r>
          </w:p>
        </w:tc>
        <w:tc>
          <w:tcPr>
            <w:tcW w:w="867" w:type="dxa"/>
            <w:vAlign w:val="center"/>
          </w:tcPr>
          <w:p w14:paraId="25E3C55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知情同意书</w:t>
            </w:r>
          </w:p>
        </w:tc>
        <w:tc>
          <w:tcPr>
            <w:tcW w:w="5858" w:type="dxa"/>
            <w:vAlign w:val="center"/>
          </w:tcPr>
          <w:p w14:paraId="7BFA268B">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提供医生问诊/复诊知情同意功能，提供风险告知等功能</w:t>
            </w:r>
          </w:p>
        </w:tc>
        <w:tc>
          <w:tcPr>
            <w:tcW w:w="733" w:type="dxa"/>
            <w:vMerge w:val="restart"/>
            <w:vAlign w:val="center"/>
          </w:tcPr>
          <w:p w14:paraId="4FFFAD8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42C2C4C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20</w:t>
            </w:r>
          </w:p>
        </w:tc>
      </w:tr>
      <w:tr w14:paraId="5A27E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C51037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853</w:t>
            </w:r>
          </w:p>
        </w:tc>
        <w:tc>
          <w:tcPr>
            <w:tcW w:w="720" w:type="dxa"/>
            <w:vMerge w:val="continue"/>
            <w:vAlign w:val="center"/>
          </w:tcPr>
          <w:p w14:paraId="235A9AD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6BBBB01">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5734028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医生信息查询</w:t>
            </w:r>
          </w:p>
        </w:tc>
        <w:tc>
          <w:tcPr>
            <w:tcW w:w="5858" w:type="dxa"/>
            <w:vAlign w:val="center"/>
          </w:tcPr>
          <w:p w14:paraId="4D580515">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提供医生信息查询功能，包括医生简介、医生出诊信息等，支持按照疾病、医生姓名、科室等多维度搜索</w:t>
            </w:r>
          </w:p>
        </w:tc>
        <w:tc>
          <w:tcPr>
            <w:tcW w:w="733" w:type="dxa"/>
            <w:vMerge w:val="continue"/>
            <w:vAlign w:val="center"/>
          </w:tcPr>
          <w:p w14:paraId="40F99B5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1CB1604">
            <w:pPr>
              <w:jc w:val="center"/>
              <w:rPr>
                <w:rFonts w:hint="eastAsia" w:ascii="宋体" w:hAnsi="宋体" w:eastAsia="宋体" w:cs="宋体"/>
                <w:b w:val="0"/>
                <w:bCs w:val="0"/>
                <w:color w:val="auto"/>
                <w:kern w:val="0"/>
                <w:sz w:val="20"/>
                <w:szCs w:val="20"/>
                <w:highlight w:val="none"/>
                <w:lang w:val="en-US" w:eastAsia="zh-CN" w:bidi="ar-SA"/>
              </w:rPr>
            </w:pPr>
          </w:p>
        </w:tc>
      </w:tr>
      <w:tr w14:paraId="3D2E5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F1134C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854</w:t>
            </w:r>
          </w:p>
        </w:tc>
        <w:tc>
          <w:tcPr>
            <w:tcW w:w="720" w:type="dxa"/>
            <w:vMerge w:val="continue"/>
            <w:vAlign w:val="center"/>
          </w:tcPr>
          <w:p w14:paraId="33B83BA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66E9A8C">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7F5DDFE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复诊预约</w:t>
            </w:r>
          </w:p>
        </w:tc>
        <w:tc>
          <w:tcPr>
            <w:tcW w:w="5858" w:type="dxa"/>
            <w:vAlign w:val="center"/>
          </w:tcPr>
          <w:p w14:paraId="0BABD7A9">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提供互联网在线复诊预约功能，包括挂号预约、在线支付、复诊取消等</w:t>
            </w:r>
          </w:p>
        </w:tc>
        <w:tc>
          <w:tcPr>
            <w:tcW w:w="733" w:type="dxa"/>
            <w:vMerge w:val="continue"/>
            <w:vAlign w:val="center"/>
          </w:tcPr>
          <w:p w14:paraId="2244DE8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B710BD7">
            <w:pPr>
              <w:jc w:val="center"/>
              <w:rPr>
                <w:rFonts w:hint="eastAsia" w:ascii="宋体" w:hAnsi="宋体" w:eastAsia="宋体" w:cs="宋体"/>
                <w:b w:val="0"/>
                <w:bCs w:val="0"/>
                <w:color w:val="auto"/>
                <w:kern w:val="0"/>
                <w:sz w:val="20"/>
                <w:szCs w:val="20"/>
                <w:highlight w:val="none"/>
                <w:lang w:val="en-US" w:eastAsia="zh-CN" w:bidi="ar-SA"/>
              </w:rPr>
            </w:pPr>
          </w:p>
        </w:tc>
      </w:tr>
      <w:tr w14:paraId="4B9B9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9A1C94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855</w:t>
            </w:r>
          </w:p>
        </w:tc>
        <w:tc>
          <w:tcPr>
            <w:tcW w:w="720" w:type="dxa"/>
            <w:vMerge w:val="continue"/>
            <w:vAlign w:val="center"/>
          </w:tcPr>
          <w:p w14:paraId="4DC74BA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7A6D415">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2C55B96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科室推荐</w:t>
            </w:r>
          </w:p>
        </w:tc>
        <w:tc>
          <w:tcPr>
            <w:tcW w:w="5858" w:type="dxa"/>
            <w:vAlign w:val="center"/>
          </w:tcPr>
          <w:p w14:paraId="0EB6F665">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提供热门及常用科室和医生功能，包括我的医生、热门科室、热门医生等</w:t>
            </w:r>
          </w:p>
        </w:tc>
        <w:tc>
          <w:tcPr>
            <w:tcW w:w="733" w:type="dxa"/>
            <w:vMerge w:val="continue"/>
            <w:vAlign w:val="center"/>
          </w:tcPr>
          <w:p w14:paraId="1AA114D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15EA9BC">
            <w:pPr>
              <w:jc w:val="center"/>
              <w:rPr>
                <w:rFonts w:hint="eastAsia" w:ascii="宋体" w:hAnsi="宋体" w:eastAsia="宋体" w:cs="宋体"/>
                <w:b w:val="0"/>
                <w:bCs w:val="0"/>
                <w:color w:val="auto"/>
                <w:kern w:val="0"/>
                <w:sz w:val="20"/>
                <w:szCs w:val="20"/>
                <w:highlight w:val="none"/>
                <w:lang w:val="en-US" w:eastAsia="zh-CN" w:bidi="ar-SA"/>
              </w:rPr>
            </w:pPr>
          </w:p>
        </w:tc>
      </w:tr>
      <w:tr w14:paraId="2CAED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29C372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856</w:t>
            </w:r>
          </w:p>
        </w:tc>
        <w:tc>
          <w:tcPr>
            <w:tcW w:w="720" w:type="dxa"/>
            <w:vMerge w:val="continue"/>
            <w:vAlign w:val="center"/>
          </w:tcPr>
          <w:p w14:paraId="0235941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FEB3B47">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0847E82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复诊候诊</w:t>
            </w:r>
          </w:p>
        </w:tc>
        <w:tc>
          <w:tcPr>
            <w:tcW w:w="5858" w:type="dxa"/>
            <w:vAlign w:val="center"/>
          </w:tcPr>
          <w:p w14:paraId="103685F9">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提供在线复诊线上报道、候诊功能，支持报道状态实时更新、候诊等候情况提醒等</w:t>
            </w:r>
          </w:p>
        </w:tc>
        <w:tc>
          <w:tcPr>
            <w:tcW w:w="733" w:type="dxa"/>
            <w:vMerge w:val="continue"/>
            <w:vAlign w:val="center"/>
          </w:tcPr>
          <w:p w14:paraId="7FAAE76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B2E8C27">
            <w:pPr>
              <w:jc w:val="center"/>
              <w:rPr>
                <w:rFonts w:hint="eastAsia" w:ascii="宋体" w:hAnsi="宋体" w:eastAsia="宋体" w:cs="宋体"/>
                <w:b w:val="0"/>
                <w:bCs w:val="0"/>
                <w:color w:val="auto"/>
                <w:kern w:val="0"/>
                <w:sz w:val="20"/>
                <w:szCs w:val="20"/>
                <w:highlight w:val="none"/>
                <w:lang w:val="en-US" w:eastAsia="zh-CN" w:bidi="ar-SA"/>
              </w:rPr>
            </w:pPr>
          </w:p>
        </w:tc>
      </w:tr>
      <w:tr w14:paraId="352F7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A43FEF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857</w:t>
            </w:r>
          </w:p>
        </w:tc>
        <w:tc>
          <w:tcPr>
            <w:tcW w:w="720" w:type="dxa"/>
            <w:vMerge w:val="continue"/>
            <w:vAlign w:val="center"/>
          </w:tcPr>
          <w:p w14:paraId="79E0C77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F0AED3B">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4D7F100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图文复诊</w:t>
            </w:r>
          </w:p>
        </w:tc>
        <w:tc>
          <w:tcPr>
            <w:tcW w:w="5858" w:type="dxa"/>
            <w:vAlign w:val="center"/>
          </w:tcPr>
          <w:p w14:paraId="48512EEB">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提供图文复诊功能，患者能够通过图文的方式与医生进行在线沟通，在沟通的过程中支持发送病历资料；</w:t>
            </w:r>
          </w:p>
        </w:tc>
        <w:tc>
          <w:tcPr>
            <w:tcW w:w="733" w:type="dxa"/>
            <w:vMerge w:val="continue"/>
            <w:vAlign w:val="center"/>
          </w:tcPr>
          <w:p w14:paraId="14C00E8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51270DB">
            <w:pPr>
              <w:jc w:val="center"/>
              <w:rPr>
                <w:rFonts w:hint="eastAsia" w:ascii="宋体" w:hAnsi="宋体" w:eastAsia="宋体" w:cs="宋体"/>
                <w:b w:val="0"/>
                <w:bCs w:val="0"/>
                <w:color w:val="auto"/>
                <w:kern w:val="0"/>
                <w:sz w:val="20"/>
                <w:szCs w:val="20"/>
                <w:highlight w:val="none"/>
                <w:lang w:val="en-US" w:eastAsia="zh-CN" w:bidi="ar-SA"/>
              </w:rPr>
            </w:pPr>
          </w:p>
        </w:tc>
      </w:tr>
      <w:tr w14:paraId="29543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F245DE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858</w:t>
            </w:r>
          </w:p>
        </w:tc>
        <w:tc>
          <w:tcPr>
            <w:tcW w:w="720" w:type="dxa"/>
            <w:vMerge w:val="continue"/>
            <w:vAlign w:val="center"/>
          </w:tcPr>
          <w:p w14:paraId="42DEF59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A80C65F">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09971C5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音视频复诊</w:t>
            </w:r>
          </w:p>
        </w:tc>
        <w:tc>
          <w:tcPr>
            <w:tcW w:w="5858" w:type="dxa"/>
            <w:vAlign w:val="center"/>
          </w:tcPr>
          <w:p w14:paraId="5C9B318D">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提供音视频复诊功能，患者能够通过音视频的方式与医生进行在线沟通</w:t>
            </w:r>
          </w:p>
        </w:tc>
        <w:tc>
          <w:tcPr>
            <w:tcW w:w="733" w:type="dxa"/>
            <w:vMerge w:val="continue"/>
            <w:vAlign w:val="center"/>
          </w:tcPr>
          <w:p w14:paraId="6E75D9A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42024EA">
            <w:pPr>
              <w:jc w:val="center"/>
              <w:rPr>
                <w:rFonts w:hint="eastAsia" w:ascii="宋体" w:hAnsi="宋体" w:eastAsia="宋体" w:cs="宋体"/>
                <w:b w:val="0"/>
                <w:bCs w:val="0"/>
                <w:color w:val="auto"/>
                <w:kern w:val="0"/>
                <w:sz w:val="20"/>
                <w:szCs w:val="20"/>
                <w:highlight w:val="none"/>
                <w:lang w:val="en-US" w:eastAsia="zh-CN" w:bidi="ar-SA"/>
              </w:rPr>
            </w:pPr>
          </w:p>
        </w:tc>
      </w:tr>
      <w:tr w14:paraId="1F849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A1DE42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859</w:t>
            </w:r>
          </w:p>
        </w:tc>
        <w:tc>
          <w:tcPr>
            <w:tcW w:w="720" w:type="dxa"/>
            <w:vMerge w:val="continue"/>
            <w:vAlign w:val="center"/>
          </w:tcPr>
          <w:p w14:paraId="693EEC9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F6E120C">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399A369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互联网病历查阅</w:t>
            </w:r>
          </w:p>
        </w:tc>
        <w:tc>
          <w:tcPr>
            <w:tcW w:w="5858" w:type="dxa"/>
            <w:vAlign w:val="center"/>
          </w:tcPr>
          <w:p w14:paraId="50A646A0">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提供互联网病历查阅功能，提供在线复诊病历、在线复诊处方、检验检查等查阅</w:t>
            </w:r>
          </w:p>
        </w:tc>
        <w:tc>
          <w:tcPr>
            <w:tcW w:w="733" w:type="dxa"/>
            <w:vMerge w:val="continue"/>
            <w:vAlign w:val="center"/>
          </w:tcPr>
          <w:p w14:paraId="43D2CC8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2DC7B82">
            <w:pPr>
              <w:jc w:val="center"/>
              <w:rPr>
                <w:rFonts w:hint="eastAsia" w:ascii="宋体" w:hAnsi="宋体" w:eastAsia="宋体" w:cs="宋体"/>
                <w:b w:val="0"/>
                <w:bCs w:val="0"/>
                <w:color w:val="auto"/>
                <w:kern w:val="0"/>
                <w:sz w:val="20"/>
                <w:szCs w:val="20"/>
                <w:highlight w:val="none"/>
                <w:lang w:val="en-US" w:eastAsia="zh-CN" w:bidi="ar-SA"/>
              </w:rPr>
            </w:pPr>
          </w:p>
        </w:tc>
      </w:tr>
      <w:tr w14:paraId="05DC9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7BCC93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860</w:t>
            </w:r>
          </w:p>
        </w:tc>
        <w:tc>
          <w:tcPr>
            <w:tcW w:w="720" w:type="dxa"/>
            <w:vMerge w:val="continue"/>
            <w:vAlign w:val="center"/>
          </w:tcPr>
          <w:p w14:paraId="54B4D74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BF430CA">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18A4BC4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复诊历史记录</w:t>
            </w:r>
          </w:p>
        </w:tc>
        <w:tc>
          <w:tcPr>
            <w:tcW w:w="5858" w:type="dxa"/>
            <w:vAlign w:val="center"/>
          </w:tcPr>
          <w:p w14:paraId="31F97450">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提供历史复诊记录功能，历史复诊记录保存，复诊过程中产生的沟通详情均可调阅</w:t>
            </w:r>
          </w:p>
        </w:tc>
        <w:tc>
          <w:tcPr>
            <w:tcW w:w="733" w:type="dxa"/>
            <w:vMerge w:val="continue"/>
            <w:vAlign w:val="center"/>
          </w:tcPr>
          <w:p w14:paraId="3176008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498C910">
            <w:pPr>
              <w:jc w:val="center"/>
              <w:rPr>
                <w:rFonts w:hint="eastAsia" w:ascii="宋体" w:hAnsi="宋体" w:eastAsia="宋体" w:cs="宋体"/>
                <w:b w:val="0"/>
                <w:bCs w:val="0"/>
                <w:color w:val="auto"/>
                <w:kern w:val="0"/>
                <w:sz w:val="20"/>
                <w:szCs w:val="20"/>
                <w:highlight w:val="none"/>
                <w:lang w:val="en-US" w:eastAsia="zh-CN" w:bidi="ar-SA"/>
              </w:rPr>
            </w:pPr>
          </w:p>
        </w:tc>
      </w:tr>
      <w:tr w14:paraId="27FB1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0F4469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861</w:t>
            </w:r>
          </w:p>
        </w:tc>
        <w:tc>
          <w:tcPr>
            <w:tcW w:w="720" w:type="dxa"/>
            <w:vMerge w:val="continue"/>
            <w:vAlign w:val="center"/>
          </w:tcPr>
          <w:p w14:paraId="2F53755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163F636">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5E5523D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复诊评价</w:t>
            </w:r>
          </w:p>
        </w:tc>
        <w:tc>
          <w:tcPr>
            <w:tcW w:w="5858" w:type="dxa"/>
            <w:vAlign w:val="center"/>
          </w:tcPr>
          <w:p w14:paraId="3600CF49">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提供复诊医生评价功能，支持五星评价体系</w:t>
            </w:r>
          </w:p>
        </w:tc>
        <w:tc>
          <w:tcPr>
            <w:tcW w:w="733" w:type="dxa"/>
            <w:vMerge w:val="continue"/>
            <w:vAlign w:val="center"/>
          </w:tcPr>
          <w:p w14:paraId="2F1D4E8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1966B87">
            <w:pPr>
              <w:jc w:val="center"/>
              <w:rPr>
                <w:rFonts w:hint="eastAsia" w:ascii="宋体" w:hAnsi="宋体" w:eastAsia="宋体" w:cs="宋体"/>
                <w:b w:val="0"/>
                <w:bCs w:val="0"/>
                <w:color w:val="auto"/>
                <w:kern w:val="0"/>
                <w:sz w:val="20"/>
                <w:szCs w:val="20"/>
                <w:highlight w:val="none"/>
                <w:lang w:val="en-US" w:eastAsia="zh-CN" w:bidi="ar-SA"/>
              </w:rPr>
            </w:pPr>
          </w:p>
        </w:tc>
      </w:tr>
      <w:tr w14:paraId="2F425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B6546B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862</w:t>
            </w:r>
          </w:p>
        </w:tc>
        <w:tc>
          <w:tcPr>
            <w:tcW w:w="720" w:type="dxa"/>
            <w:vMerge w:val="continue"/>
            <w:vAlign w:val="center"/>
          </w:tcPr>
          <w:p w14:paraId="3BF79E3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EC9D271">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52F41C3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信息推送</w:t>
            </w:r>
          </w:p>
        </w:tc>
        <w:tc>
          <w:tcPr>
            <w:tcW w:w="5858" w:type="dxa"/>
            <w:vAlign w:val="center"/>
          </w:tcPr>
          <w:p w14:paraId="2617F220">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提供复诊信息推送功能，在线复诊过程中相关诊疗信息会推送给患者</w:t>
            </w:r>
          </w:p>
        </w:tc>
        <w:tc>
          <w:tcPr>
            <w:tcW w:w="733" w:type="dxa"/>
            <w:vMerge w:val="continue"/>
            <w:vAlign w:val="center"/>
          </w:tcPr>
          <w:p w14:paraId="015737E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3CD4CA6">
            <w:pPr>
              <w:jc w:val="center"/>
              <w:rPr>
                <w:rFonts w:hint="eastAsia" w:ascii="宋体" w:hAnsi="宋体" w:eastAsia="宋体" w:cs="宋体"/>
                <w:b w:val="0"/>
                <w:bCs w:val="0"/>
                <w:color w:val="auto"/>
                <w:kern w:val="0"/>
                <w:sz w:val="20"/>
                <w:szCs w:val="20"/>
                <w:highlight w:val="none"/>
                <w:lang w:val="en-US" w:eastAsia="zh-CN" w:bidi="ar-SA"/>
              </w:rPr>
            </w:pPr>
          </w:p>
        </w:tc>
      </w:tr>
      <w:tr w14:paraId="3793E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67EE23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863</w:t>
            </w:r>
          </w:p>
        </w:tc>
        <w:tc>
          <w:tcPr>
            <w:tcW w:w="720" w:type="dxa"/>
            <w:vMerge w:val="continue"/>
            <w:vAlign w:val="center"/>
          </w:tcPr>
          <w:p w14:paraId="79D85B1E">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34E0B36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互联网医院医生端（PC）</w:t>
            </w:r>
          </w:p>
        </w:tc>
        <w:tc>
          <w:tcPr>
            <w:tcW w:w="867" w:type="dxa"/>
            <w:vAlign w:val="center"/>
          </w:tcPr>
          <w:p w14:paraId="7F883C1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排队叫号</w:t>
            </w:r>
          </w:p>
        </w:tc>
        <w:tc>
          <w:tcPr>
            <w:tcW w:w="5858" w:type="dxa"/>
            <w:vAlign w:val="center"/>
          </w:tcPr>
          <w:p w14:paraId="422C529A">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提供待接诊患者查询、排队叫号接诊功能，支持当天待接诊的患者展示，可按照预约时间选择患者进行叫号接诊</w:t>
            </w:r>
          </w:p>
        </w:tc>
        <w:tc>
          <w:tcPr>
            <w:tcW w:w="733" w:type="dxa"/>
            <w:vMerge w:val="restart"/>
            <w:vAlign w:val="center"/>
          </w:tcPr>
          <w:p w14:paraId="1B65D54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2C5A912E">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18</w:t>
            </w:r>
          </w:p>
        </w:tc>
      </w:tr>
      <w:tr w14:paraId="2BB5C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9C4D5CD">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864</w:t>
            </w:r>
          </w:p>
        </w:tc>
        <w:tc>
          <w:tcPr>
            <w:tcW w:w="720" w:type="dxa"/>
            <w:vMerge w:val="continue"/>
            <w:vAlign w:val="center"/>
          </w:tcPr>
          <w:p w14:paraId="48B7CDF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4F87C3A">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4796CFA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患者就诊记录查询</w:t>
            </w:r>
          </w:p>
        </w:tc>
        <w:tc>
          <w:tcPr>
            <w:tcW w:w="5858" w:type="dxa"/>
            <w:vAlign w:val="center"/>
          </w:tcPr>
          <w:p w14:paraId="15349402">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提供就诊记录查询功能，可调取和查阅用户历史的院内及互联网诊疗的就诊记录及相关病历资料</w:t>
            </w:r>
          </w:p>
        </w:tc>
        <w:tc>
          <w:tcPr>
            <w:tcW w:w="733" w:type="dxa"/>
            <w:vMerge w:val="continue"/>
            <w:vAlign w:val="center"/>
          </w:tcPr>
          <w:p w14:paraId="4D848B4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B178DA2">
            <w:pPr>
              <w:jc w:val="center"/>
              <w:rPr>
                <w:rFonts w:hint="eastAsia" w:ascii="宋体" w:hAnsi="宋体" w:eastAsia="宋体" w:cs="宋体"/>
                <w:b w:val="0"/>
                <w:bCs w:val="0"/>
                <w:color w:val="auto"/>
                <w:kern w:val="0"/>
                <w:sz w:val="20"/>
                <w:szCs w:val="20"/>
                <w:highlight w:val="none"/>
                <w:lang w:val="en-US" w:eastAsia="zh-CN" w:bidi="ar-SA"/>
              </w:rPr>
            </w:pPr>
          </w:p>
        </w:tc>
      </w:tr>
      <w:tr w14:paraId="7EEDC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13A1AF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865</w:t>
            </w:r>
          </w:p>
        </w:tc>
        <w:tc>
          <w:tcPr>
            <w:tcW w:w="720" w:type="dxa"/>
            <w:vMerge w:val="continue"/>
            <w:vAlign w:val="center"/>
          </w:tcPr>
          <w:p w14:paraId="2054C52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639270C">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38EECB4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音视频接诊</w:t>
            </w:r>
          </w:p>
        </w:tc>
        <w:tc>
          <w:tcPr>
            <w:tcW w:w="5858" w:type="dxa"/>
            <w:vAlign w:val="center"/>
          </w:tcPr>
          <w:p w14:paraId="0D5A4A25">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提供音视频接诊功能，支持音视频的方式接诊</w:t>
            </w:r>
          </w:p>
        </w:tc>
        <w:tc>
          <w:tcPr>
            <w:tcW w:w="733" w:type="dxa"/>
            <w:vMerge w:val="continue"/>
            <w:vAlign w:val="center"/>
          </w:tcPr>
          <w:p w14:paraId="3BA2A4D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E705DF3">
            <w:pPr>
              <w:jc w:val="center"/>
              <w:rPr>
                <w:rFonts w:hint="eastAsia" w:ascii="宋体" w:hAnsi="宋体" w:eastAsia="宋体" w:cs="宋体"/>
                <w:b w:val="0"/>
                <w:bCs w:val="0"/>
                <w:color w:val="auto"/>
                <w:kern w:val="0"/>
                <w:sz w:val="20"/>
                <w:szCs w:val="20"/>
                <w:highlight w:val="none"/>
                <w:lang w:val="en-US" w:eastAsia="zh-CN" w:bidi="ar-SA"/>
              </w:rPr>
            </w:pPr>
          </w:p>
        </w:tc>
      </w:tr>
      <w:tr w14:paraId="76739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AFF5F0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866</w:t>
            </w:r>
          </w:p>
        </w:tc>
        <w:tc>
          <w:tcPr>
            <w:tcW w:w="720" w:type="dxa"/>
            <w:vMerge w:val="continue"/>
            <w:vAlign w:val="center"/>
          </w:tcPr>
          <w:p w14:paraId="5BF30B1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D905229">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75D3628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图文接诊</w:t>
            </w:r>
          </w:p>
        </w:tc>
        <w:tc>
          <w:tcPr>
            <w:tcW w:w="5858" w:type="dxa"/>
            <w:vAlign w:val="center"/>
          </w:tcPr>
          <w:p w14:paraId="536BC42C">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提供图文接诊功能，支持图文的方式接诊</w:t>
            </w:r>
          </w:p>
        </w:tc>
        <w:tc>
          <w:tcPr>
            <w:tcW w:w="733" w:type="dxa"/>
            <w:vMerge w:val="continue"/>
            <w:vAlign w:val="center"/>
          </w:tcPr>
          <w:p w14:paraId="29E1A72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BC9C7A0">
            <w:pPr>
              <w:jc w:val="center"/>
              <w:rPr>
                <w:rFonts w:hint="eastAsia" w:ascii="宋体" w:hAnsi="宋体" w:eastAsia="宋体" w:cs="宋体"/>
                <w:b w:val="0"/>
                <w:bCs w:val="0"/>
                <w:color w:val="auto"/>
                <w:kern w:val="0"/>
                <w:sz w:val="20"/>
                <w:szCs w:val="20"/>
                <w:highlight w:val="none"/>
                <w:lang w:val="en-US" w:eastAsia="zh-CN" w:bidi="ar-SA"/>
              </w:rPr>
            </w:pPr>
          </w:p>
        </w:tc>
      </w:tr>
      <w:tr w14:paraId="70E3F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533DCA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867</w:t>
            </w:r>
          </w:p>
        </w:tc>
        <w:tc>
          <w:tcPr>
            <w:tcW w:w="720" w:type="dxa"/>
            <w:vMerge w:val="continue"/>
            <w:vAlign w:val="center"/>
          </w:tcPr>
          <w:p w14:paraId="3BF3B9E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AC0D9D6">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56AA6D4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互联网病历</w:t>
            </w:r>
          </w:p>
        </w:tc>
        <w:tc>
          <w:tcPr>
            <w:tcW w:w="5858" w:type="dxa"/>
            <w:vAlign w:val="center"/>
          </w:tcPr>
          <w:p w14:paraId="5449994C">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提供互联网病历功能，每次接诊，医生可以书写互联网诊疗病历并提交</w:t>
            </w:r>
          </w:p>
        </w:tc>
        <w:tc>
          <w:tcPr>
            <w:tcW w:w="733" w:type="dxa"/>
            <w:vMerge w:val="continue"/>
            <w:vAlign w:val="center"/>
          </w:tcPr>
          <w:p w14:paraId="0AFAB3A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3D1CCD2">
            <w:pPr>
              <w:jc w:val="center"/>
              <w:rPr>
                <w:rFonts w:hint="eastAsia" w:ascii="宋体" w:hAnsi="宋体" w:eastAsia="宋体" w:cs="宋体"/>
                <w:b w:val="0"/>
                <w:bCs w:val="0"/>
                <w:color w:val="auto"/>
                <w:kern w:val="0"/>
                <w:sz w:val="20"/>
                <w:szCs w:val="20"/>
                <w:highlight w:val="none"/>
                <w:lang w:val="en-US" w:eastAsia="zh-CN" w:bidi="ar-SA"/>
              </w:rPr>
            </w:pPr>
          </w:p>
        </w:tc>
      </w:tr>
      <w:tr w14:paraId="26199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B96DAB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868</w:t>
            </w:r>
          </w:p>
        </w:tc>
        <w:tc>
          <w:tcPr>
            <w:tcW w:w="720" w:type="dxa"/>
            <w:vMerge w:val="continue"/>
            <w:vAlign w:val="center"/>
          </w:tcPr>
          <w:p w14:paraId="2D0467E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970116D">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2238F71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接诊记录</w:t>
            </w:r>
          </w:p>
        </w:tc>
        <w:tc>
          <w:tcPr>
            <w:tcW w:w="5858" w:type="dxa"/>
            <w:vAlign w:val="center"/>
          </w:tcPr>
          <w:p w14:paraId="43135E87">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提供当日已完成复诊查询功能，当日已结束复诊历史记录查询</w:t>
            </w:r>
          </w:p>
        </w:tc>
        <w:tc>
          <w:tcPr>
            <w:tcW w:w="733" w:type="dxa"/>
            <w:vMerge w:val="continue"/>
            <w:vAlign w:val="center"/>
          </w:tcPr>
          <w:p w14:paraId="578BE89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7B63632">
            <w:pPr>
              <w:jc w:val="center"/>
              <w:rPr>
                <w:rFonts w:hint="eastAsia" w:ascii="宋体" w:hAnsi="宋体" w:eastAsia="宋体" w:cs="宋体"/>
                <w:b w:val="0"/>
                <w:bCs w:val="0"/>
                <w:color w:val="auto"/>
                <w:kern w:val="0"/>
                <w:sz w:val="20"/>
                <w:szCs w:val="20"/>
                <w:highlight w:val="none"/>
                <w:lang w:val="en-US" w:eastAsia="zh-CN" w:bidi="ar-SA"/>
              </w:rPr>
            </w:pPr>
          </w:p>
        </w:tc>
      </w:tr>
      <w:tr w14:paraId="0A93E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4824B3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869</w:t>
            </w:r>
          </w:p>
        </w:tc>
        <w:tc>
          <w:tcPr>
            <w:tcW w:w="720" w:type="dxa"/>
            <w:vMerge w:val="continue"/>
            <w:vAlign w:val="center"/>
          </w:tcPr>
          <w:p w14:paraId="50F89DE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59CFE07">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3CEC0DD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自主管理</w:t>
            </w:r>
          </w:p>
        </w:tc>
        <w:tc>
          <w:tcPr>
            <w:tcW w:w="5858" w:type="dxa"/>
            <w:vAlign w:val="center"/>
          </w:tcPr>
          <w:p w14:paraId="2454E294">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提供医生自主管理个人信息、排班、定价、服务等内容，满足医院灵活管理</w:t>
            </w:r>
          </w:p>
        </w:tc>
        <w:tc>
          <w:tcPr>
            <w:tcW w:w="733" w:type="dxa"/>
            <w:vMerge w:val="continue"/>
            <w:vAlign w:val="center"/>
          </w:tcPr>
          <w:p w14:paraId="5C15157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74F9170">
            <w:pPr>
              <w:jc w:val="center"/>
              <w:rPr>
                <w:rFonts w:hint="eastAsia" w:ascii="宋体" w:hAnsi="宋体" w:eastAsia="宋体" w:cs="宋体"/>
                <w:b w:val="0"/>
                <w:bCs w:val="0"/>
                <w:color w:val="auto"/>
                <w:kern w:val="0"/>
                <w:sz w:val="20"/>
                <w:szCs w:val="20"/>
                <w:highlight w:val="none"/>
                <w:lang w:val="en-US" w:eastAsia="zh-CN" w:bidi="ar-SA"/>
              </w:rPr>
            </w:pPr>
          </w:p>
        </w:tc>
      </w:tr>
      <w:tr w14:paraId="4C712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CD16CD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870</w:t>
            </w:r>
          </w:p>
        </w:tc>
        <w:tc>
          <w:tcPr>
            <w:tcW w:w="720" w:type="dxa"/>
            <w:vMerge w:val="continue"/>
            <w:vAlign w:val="center"/>
          </w:tcPr>
          <w:p w14:paraId="53623B2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6D63F56">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7AB40BA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评价记录</w:t>
            </w:r>
          </w:p>
        </w:tc>
        <w:tc>
          <w:tcPr>
            <w:tcW w:w="5858" w:type="dxa"/>
            <w:vAlign w:val="center"/>
          </w:tcPr>
          <w:p w14:paraId="4B7AA5B8">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提供评价记录功能，医生的总评分及详细的历史评价记录</w:t>
            </w:r>
          </w:p>
        </w:tc>
        <w:tc>
          <w:tcPr>
            <w:tcW w:w="733" w:type="dxa"/>
            <w:vMerge w:val="continue"/>
            <w:vAlign w:val="center"/>
          </w:tcPr>
          <w:p w14:paraId="3464B9F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84128FB">
            <w:pPr>
              <w:jc w:val="center"/>
              <w:rPr>
                <w:rFonts w:hint="eastAsia" w:ascii="宋体" w:hAnsi="宋体" w:eastAsia="宋体" w:cs="宋体"/>
                <w:b w:val="0"/>
                <w:bCs w:val="0"/>
                <w:color w:val="auto"/>
                <w:kern w:val="0"/>
                <w:sz w:val="20"/>
                <w:szCs w:val="20"/>
                <w:highlight w:val="none"/>
                <w:lang w:val="en-US" w:eastAsia="zh-CN" w:bidi="ar-SA"/>
              </w:rPr>
            </w:pPr>
          </w:p>
        </w:tc>
      </w:tr>
      <w:tr w14:paraId="28E9B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A79C3F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871</w:t>
            </w:r>
          </w:p>
        </w:tc>
        <w:tc>
          <w:tcPr>
            <w:tcW w:w="720" w:type="dxa"/>
            <w:vMerge w:val="continue"/>
            <w:vAlign w:val="center"/>
          </w:tcPr>
          <w:p w14:paraId="65138285">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1DC51AB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互联网诊疗监管平台</w:t>
            </w:r>
          </w:p>
        </w:tc>
        <w:tc>
          <w:tcPr>
            <w:tcW w:w="867" w:type="dxa"/>
            <w:vAlign w:val="center"/>
          </w:tcPr>
          <w:p w14:paraId="01DE551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医生信息管理</w:t>
            </w:r>
          </w:p>
        </w:tc>
        <w:tc>
          <w:tcPr>
            <w:tcW w:w="5858" w:type="dxa"/>
            <w:vAlign w:val="center"/>
          </w:tcPr>
          <w:p w14:paraId="6680F7B5">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提供复诊医生维护功能，对院内医生参与复诊业务的管理，参与医生的开通与关闭，医生个人信息维护</w:t>
            </w:r>
          </w:p>
        </w:tc>
        <w:tc>
          <w:tcPr>
            <w:tcW w:w="733" w:type="dxa"/>
            <w:vMerge w:val="restart"/>
            <w:vAlign w:val="center"/>
          </w:tcPr>
          <w:p w14:paraId="189A55B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4468318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14</w:t>
            </w:r>
          </w:p>
        </w:tc>
      </w:tr>
      <w:tr w14:paraId="2A9FE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858752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872</w:t>
            </w:r>
          </w:p>
        </w:tc>
        <w:tc>
          <w:tcPr>
            <w:tcW w:w="720" w:type="dxa"/>
            <w:vMerge w:val="continue"/>
            <w:vAlign w:val="center"/>
          </w:tcPr>
          <w:p w14:paraId="5018E7C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308C376">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334ADDB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统一排班</w:t>
            </w:r>
          </w:p>
        </w:tc>
        <w:tc>
          <w:tcPr>
            <w:tcW w:w="5858" w:type="dxa"/>
            <w:vAlign w:val="bottom"/>
          </w:tcPr>
          <w:p w14:paraId="0B975061">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提供统一排班功能，支持日常医院排班、临时停诊、医生自主排班、复制排班等功能</w:t>
            </w:r>
          </w:p>
        </w:tc>
        <w:tc>
          <w:tcPr>
            <w:tcW w:w="733" w:type="dxa"/>
            <w:vMerge w:val="continue"/>
            <w:vAlign w:val="center"/>
          </w:tcPr>
          <w:p w14:paraId="1016DBC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89FB80C">
            <w:pPr>
              <w:jc w:val="center"/>
              <w:rPr>
                <w:rFonts w:hint="eastAsia" w:ascii="宋体" w:hAnsi="宋体" w:eastAsia="宋体" w:cs="宋体"/>
                <w:b w:val="0"/>
                <w:bCs w:val="0"/>
                <w:color w:val="auto"/>
                <w:kern w:val="0"/>
                <w:sz w:val="20"/>
                <w:szCs w:val="20"/>
                <w:highlight w:val="none"/>
                <w:lang w:val="en-US" w:eastAsia="zh-CN" w:bidi="ar-SA"/>
              </w:rPr>
            </w:pPr>
          </w:p>
        </w:tc>
      </w:tr>
      <w:tr w14:paraId="0441D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F4662D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873</w:t>
            </w:r>
          </w:p>
        </w:tc>
        <w:tc>
          <w:tcPr>
            <w:tcW w:w="720" w:type="dxa"/>
            <w:vMerge w:val="continue"/>
            <w:vAlign w:val="center"/>
          </w:tcPr>
          <w:p w14:paraId="6A9B0A8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9B9FB55">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3B91391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服务配置</w:t>
            </w:r>
          </w:p>
        </w:tc>
        <w:tc>
          <w:tcPr>
            <w:tcW w:w="5858" w:type="dxa"/>
            <w:vAlign w:val="bottom"/>
          </w:tcPr>
          <w:p w14:paraId="5F5AA03C">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提供医生复诊服务配置功能，支持多种服务模式设置、定价及相关配置</w:t>
            </w:r>
          </w:p>
        </w:tc>
        <w:tc>
          <w:tcPr>
            <w:tcW w:w="733" w:type="dxa"/>
            <w:vMerge w:val="continue"/>
            <w:vAlign w:val="center"/>
          </w:tcPr>
          <w:p w14:paraId="1A7FF4B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A875168">
            <w:pPr>
              <w:jc w:val="center"/>
              <w:rPr>
                <w:rFonts w:hint="eastAsia" w:ascii="宋体" w:hAnsi="宋体" w:eastAsia="宋体" w:cs="宋体"/>
                <w:b w:val="0"/>
                <w:bCs w:val="0"/>
                <w:color w:val="auto"/>
                <w:kern w:val="0"/>
                <w:sz w:val="20"/>
                <w:szCs w:val="20"/>
                <w:highlight w:val="none"/>
                <w:lang w:val="en-US" w:eastAsia="zh-CN" w:bidi="ar-SA"/>
              </w:rPr>
            </w:pPr>
          </w:p>
        </w:tc>
      </w:tr>
      <w:tr w14:paraId="3F8D5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F0B4ED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874</w:t>
            </w:r>
          </w:p>
        </w:tc>
        <w:tc>
          <w:tcPr>
            <w:tcW w:w="720" w:type="dxa"/>
            <w:vMerge w:val="continue"/>
            <w:vAlign w:val="center"/>
          </w:tcPr>
          <w:p w14:paraId="1BD11D9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CF06B44">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351080A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复诊记录查询</w:t>
            </w:r>
          </w:p>
        </w:tc>
        <w:tc>
          <w:tcPr>
            <w:tcW w:w="5858" w:type="dxa"/>
            <w:vAlign w:val="bottom"/>
          </w:tcPr>
          <w:p w14:paraId="5540A35B">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提供就诊记录功能，复诊过程中产生的沟通详情均可调阅，并支持视频回放</w:t>
            </w:r>
          </w:p>
        </w:tc>
        <w:tc>
          <w:tcPr>
            <w:tcW w:w="733" w:type="dxa"/>
            <w:vMerge w:val="continue"/>
            <w:vAlign w:val="center"/>
          </w:tcPr>
          <w:p w14:paraId="3411B2F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3AC200E">
            <w:pPr>
              <w:jc w:val="center"/>
              <w:rPr>
                <w:rFonts w:hint="eastAsia" w:ascii="宋体" w:hAnsi="宋体" w:eastAsia="宋体" w:cs="宋体"/>
                <w:b w:val="0"/>
                <w:bCs w:val="0"/>
                <w:color w:val="auto"/>
                <w:kern w:val="0"/>
                <w:sz w:val="20"/>
                <w:szCs w:val="20"/>
                <w:highlight w:val="none"/>
                <w:lang w:val="en-US" w:eastAsia="zh-CN" w:bidi="ar-SA"/>
              </w:rPr>
            </w:pPr>
          </w:p>
        </w:tc>
      </w:tr>
      <w:tr w14:paraId="202B0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8FD28F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875</w:t>
            </w:r>
          </w:p>
        </w:tc>
        <w:tc>
          <w:tcPr>
            <w:tcW w:w="720" w:type="dxa"/>
            <w:vMerge w:val="continue"/>
            <w:vAlign w:val="center"/>
          </w:tcPr>
          <w:p w14:paraId="1471C3A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A3E3B40">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2C4CD08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评价管理</w:t>
            </w:r>
          </w:p>
        </w:tc>
        <w:tc>
          <w:tcPr>
            <w:tcW w:w="5858" w:type="dxa"/>
            <w:vAlign w:val="center"/>
          </w:tcPr>
          <w:p w14:paraId="6A1CC508">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提供评价记录功能，支持调阅患者对医生互联网诊疗服务的评价</w:t>
            </w:r>
          </w:p>
        </w:tc>
        <w:tc>
          <w:tcPr>
            <w:tcW w:w="733" w:type="dxa"/>
            <w:vMerge w:val="continue"/>
            <w:vAlign w:val="center"/>
          </w:tcPr>
          <w:p w14:paraId="6F57432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EB5DA53">
            <w:pPr>
              <w:jc w:val="center"/>
              <w:rPr>
                <w:rFonts w:hint="eastAsia" w:ascii="宋体" w:hAnsi="宋体" w:eastAsia="宋体" w:cs="宋体"/>
                <w:b w:val="0"/>
                <w:bCs w:val="0"/>
                <w:color w:val="auto"/>
                <w:kern w:val="0"/>
                <w:sz w:val="20"/>
                <w:szCs w:val="20"/>
                <w:highlight w:val="none"/>
                <w:lang w:val="en-US" w:eastAsia="zh-CN" w:bidi="ar-SA"/>
              </w:rPr>
            </w:pPr>
          </w:p>
        </w:tc>
      </w:tr>
      <w:tr w14:paraId="2A3B1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E9E0C9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876</w:t>
            </w:r>
          </w:p>
        </w:tc>
        <w:tc>
          <w:tcPr>
            <w:tcW w:w="720" w:type="dxa"/>
            <w:vMerge w:val="continue"/>
            <w:vAlign w:val="center"/>
          </w:tcPr>
          <w:p w14:paraId="64991B1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1F66D6E">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200948B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统计分析</w:t>
            </w:r>
          </w:p>
        </w:tc>
        <w:tc>
          <w:tcPr>
            <w:tcW w:w="5858" w:type="dxa"/>
            <w:vAlign w:val="bottom"/>
          </w:tcPr>
          <w:p w14:paraId="2E7C1AD9">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提供问诊统计功能，支持对医生问诊数量、科室分布及医生排名等维护进行统计</w:t>
            </w:r>
          </w:p>
        </w:tc>
        <w:tc>
          <w:tcPr>
            <w:tcW w:w="733" w:type="dxa"/>
            <w:vMerge w:val="continue"/>
            <w:vAlign w:val="center"/>
          </w:tcPr>
          <w:p w14:paraId="5C106CD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055B9DC">
            <w:pPr>
              <w:jc w:val="center"/>
              <w:rPr>
                <w:rFonts w:hint="eastAsia" w:ascii="宋体" w:hAnsi="宋体" w:eastAsia="宋体" w:cs="宋体"/>
                <w:b w:val="0"/>
                <w:bCs w:val="0"/>
                <w:color w:val="auto"/>
                <w:kern w:val="0"/>
                <w:sz w:val="20"/>
                <w:szCs w:val="20"/>
                <w:highlight w:val="none"/>
                <w:lang w:val="en-US" w:eastAsia="zh-CN" w:bidi="ar-SA"/>
              </w:rPr>
            </w:pPr>
          </w:p>
        </w:tc>
      </w:tr>
      <w:tr w14:paraId="63492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70ACE1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877</w:t>
            </w:r>
          </w:p>
        </w:tc>
        <w:tc>
          <w:tcPr>
            <w:tcW w:w="720" w:type="dxa"/>
            <w:vMerge w:val="continue"/>
            <w:vAlign w:val="center"/>
          </w:tcPr>
          <w:p w14:paraId="249BFD94">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3E36436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财务管理平台</w:t>
            </w:r>
          </w:p>
        </w:tc>
        <w:tc>
          <w:tcPr>
            <w:tcW w:w="867" w:type="dxa"/>
            <w:vAlign w:val="center"/>
          </w:tcPr>
          <w:p w14:paraId="22A21FC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就诊统计</w:t>
            </w:r>
          </w:p>
        </w:tc>
        <w:tc>
          <w:tcPr>
            <w:tcW w:w="5858" w:type="dxa"/>
            <w:vAlign w:val="center"/>
          </w:tcPr>
          <w:p w14:paraId="480B7AE9">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提供医生问诊、复诊业务统计和报表导出功能，支持多维度检索</w:t>
            </w:r>
          </w:p>
        </w:tc>
        <w:tc>
          <w:tcPr>
            <w:tcW w:w="733" w:type="dxa"/>
            <w:vMerge w:val="restart"/>
            <w:vAlign w:val="center"/>
          </w:tcPr>
          <w:p w14:paraId="59195F4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418948D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8</w:t>
            </w:r>
          </w:p>
        </w:tc>
      </w:tr>
      <w:tr w14:paraId="5BF86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75D91A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878</w:t>
            </w:r>
          </w:p>
        </w:tc>
        <w:tc>
          <w:tcPr>
            <w:tcW w:w="720" w:type="dxa"/>
            <w:vMerge w:val="continue"/>
            <w:vAlign w:val="center"/>
          </w:tcPr>
          <w:p w14:paraId="4739ABF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02ED5CB">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3D47F04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处方统计</w:t>
            </w:r>
          </w:p>
        </w:tc>
        <w:tc>
          <w:tcPr>
            <w:tcW w:w="5858" w:type="dxa"/>
            <w:vAlign w:val="center"/>
          </w:tcPr>
          <w:p w14:paraId="532D3394">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提供在线处方业务统计和报表导出功能，支持多维度检索</w:t>
            </w:r>
          </w:p>
        </w:tc>
        <w:tc>
          <w:tcPr>
            <w:tcW w:w="733" w:type="dxa"/>
            <w:vMerge w:val="continue"/>
            <w:vAlign w:val="center"/>
          </w:tcPr>
          <w:p w14:paraId="6BEEF89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B9DBC47">
            <w:pPr>
              <w:jc w:val="center"/>
              <w:rPr>
                <w:rFonts w:hint="eastAsia" w:ascii="宋体" w:hAnsi="宋体" w:eastAsia="宋体" w:cs="宋体"/>
                <w:b w:val="0"/>
                <w:bCs w:val="0"/>
                <w:color w:val="auto"/>
                <w:kern w:val="0"/>
                <w:sz w:val="20"/>
                <w:szCs w:val="20"/>
                <w:highlight w:val="none"/>
                <w:lang w:val="en-US" w:eastAsia="zh-CN" w:bidi="ar-SA"/>
              </w:rPr>
            </w:pPr>
          </w:p>
        </w:tc>
      </w:tr>
      <w:tr w14:paraId="2FDDF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BD998A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879</w:t>
            </w:r>
          </w:p>
        </w:tc>
        <w:tc>
          <w:tcPr>
            <w:tcW w:w="720" w:type="dxa"/>
            <w:vMerge w:val="continue"/>
            <w:vAlign w:val="center"/>
          </w:tcPr>
          <w:p w14:paraId="12571EE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D317C1A">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25A1660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订单统计</w:t>
            </w:r>
          </w:p>
        </w:tc>
        <w:tc>
          <w:tcPr>
            <w:tcW w:w="5858" w:type="dxa"/>
            <w:vAlign w:val="center"/>
          </w:tcPr>
          <w:p w14:paraId="2F2F99F2">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提供订单汇总统计，支持导出和打印，，支持多维度检索</w:t>
            </w:r>
          </w:p>
        </w:tc>
        <w:tc>
          <w:tcPr>
            <w:tcW w:w="733" w:type="dxa"/>
            <w:vMerge w:val="continue"/>
            <w:vAlign w:val="center"/>
          </w:tcPr>
          <w:p w14:paraId="295B1D6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BEB7E10">
            <w:pPr>
              <w:jc w:val="center"/>
              <w:rPr>
                <w:rFonts w:hint="eastAsia" w:ascii="宋体" w:hAnsi="宋体" w:eastAsia="宋体" w:cs="宋体"/>
                <w:b w:val="0"/>
                <w:bCs w:val="0"/>
                <w:color w:val="auto"/>
                <w:kern w:val="0"/>
                <w:sz w:val="20"/>
                <w:szCs w:val="20"/>
                <w:highlight w:val="none"/>
                <w:lang w:val="en-US" w:eastAsia="zh-CN" w:bidi="ar-SA"/>
              </w:rPr>
            </w:pPr>
          </w:p>
        </w:tc>
      </w:tr>
      <w:tr w14:paraId="51FAF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8EDFD5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880</w:t>
            </w:r>
          </w:p>
        </w:tc>
        <w:tc>
          <w:tcPr>
            <w:tcW w:w="720" w:type="dxa"/>
            <w:vMerge w:val="continue"/>
            <w:vAlign w:val="center"/>
          </w:tcPr>
          <w:p w14:paraId="0F35E3A4">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42AF4A2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省监管平台对接</w:t>
            </w:r>
          </w:p>
        </w:tc>
        <w:tc>
          <w:tcPr>
            <w:tcW w:w="867" w:type="dxa"/>
            <w:vAlign w:val="center"/>
          </w:tcPr>
          <w:p w14:paraId="70B0C02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省监管平台对接</w:t>
            </w:r>
          </w:p>
        </w:tc>
        <w:tc>
          <w:tcPr>
            <w:tcW w:w="5858" w:type="dxa"/>
            <w:vAlign w:val="center"/>
          </w:tcPr>
          <w:p w14:paraId="1383ADC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与省级互联网医院监管平台对接，能够按照政府相关部门的要求上报数据，达到合规要求</w:t>
            </w:r>
          </w:p>
        </w:tc>
        <w:tc>
          <w:tcPr>
            <w:tcW w:w="733" w:type="dxa"/>
            <w:vAlign w:val="center"/>
          </w:tcPr>
          <w:p w14:paraId="676DB3C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1CD8B53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3DF63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87F389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881</w:t>
            </w:r>
          </w:p>
        </w:tc>
        <w:tc>
          <w:tcPr>
            <w:tcW w:w="720" w:type="dxa"/>
            <w:vMerge w:val="continue"/>
            <w:vAlign w:val="center"/>
          </w:tcPr>
          <w:p w14:paraId="17D463D0">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4EB9733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护理服务监管平台</w:t>
            </w:r>
          </w:p>
        </w:tc>
        <w:tc>
          <w:tcPr>
            <w:tcW w:w="867" w:type="dxa"/>
            <w:vAlign w:val="center"/>
          </w:tcPr>
          <w:p w14:paraId="3076A05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护理问诊监管</w:t>
            </w:r>
          </w:p>
        </w:tc>
        <w:tc>
          <w:tcPr>
            <w:tcW w:w="5858" w:type="dxa"/>
            <w:vAlign w:val="bottom"/>
          </w:tcPr>
          <w:p w14:paraId="4AFE57C7">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提供护理问诊监管及统计功能，包括问诊统计、问诊记录、护士管理、统一排班、服务配置等</w:t>
            </w:r>
          </w:p>
        </w:tc>
        <w:tc>
          <w:tcPr>
            <w:tcW w:w="733" w:type="dxa"/>
            <w:vAlign w:val="center"/>
          </w:tcPr>
          <w:p w14:paraId="23E37AD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4944AC4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w:t>
            </w:r>
          </w:p>
        </w:tc>
      </w:tr>
      <w:tr w14:paraId="1A859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A5EC60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882</w:t>
            </w:r>
          </w:p>
        </w:tc>
        <w:tc>
          <w:tcPr>
            <w:tcW w:w="720" w:type="dxa"/>
            <w:vMerge w:val="continue"/>
            <w:vAlign w:val="center"/>
          </w:tcPr>
          <w:p w14:paraId="34859D7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2206AD0">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4DE4AC6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护理服务监管</w:t>
            </w:r>
          </w:p>
        </w:tc>
        <w:tc>
          <w:tcPr>
            <w:tcW w:w="5858" w:type="dxa"/>
            <w:vAlign w:val="bottom"/>
          </w:tcPr>
          <w:p w14:paraId="4C984258">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提供上门护理监管及统计功能，包括护理项目维护、护士管理、订单委派、历史服务记录、耗材管理、消息推送管理、评级记录、服务配置等</w:t>
            </w:r>
          </w:p>
        </w:tc>
        <w:tc>
          <w:tcPr>
            <w:tcW w:w="733" w:type="dxa"/>
            <w:vAlign w:val="center"/>
          </w:tcPr>
          <w:p w14:paraId="5F4D583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14432E4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bl>
    <w:p w14:paraId="5747C684">
      <w:pPr>
        <w:pStyle w:val="2"/>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both"/>
        <w:textAlignment w:val="auto"/>
        <w:rPr>
          <w:rFonts w:hint="eastAsia" w:ascii="宋体" w:hAnsi="宋体" w:eastAsia="宋体" w:cs="宋体"/>
          <w:highlight w:val="yellow"/>
          <w:lang w:val="en-US" w:eastAsia="zh-CN"/>
        </w:rPr>
      </w:pPr>
      <w:r>
        <w:rPr>
          <w:rFonts w:hint="eastAsia" w:ascii="宋体" w:hAnsi="宋体" w:eastAsia="宋体" w:cs="宋体"/>
          <w:highlight w:val="yellow"/>
          <w:lang w:val="en-US" w:eastAsia="zh-CN"/>
        </w:rPr>
        <w:t>（二）-18：院内急诊与专病信息化平台</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875"/>
        <w:gridCol w:w="884"/>
        <w:gridCol w:w="5841"/>
        <w:gridCol w:w="733"/>
        <w:gridCol w:w="714"/>
      </w:tblGrid>
      <w:tr w14:paraId="62489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A33B75C">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仿宋" w:hAnsi="仿宋" w:eastAsia="仿宋" w:cs="宋体"/>
                <w:color w:val="auto"/>
                <w:sz w:val="22"/>
                <w:szCs w:val="22"/>
                <w:highlight w:val="none"/>
                <w:lang w:val="en-US" w:eastAsia="zh-CN"/>
              </w:rPr>
            </w:pPr>
            <w:r>
              <w:rPr>
                <w:rFonts w:hint="eastAsia" w:ascii="宋体" w:hAnsi="宋体" w:eastAsia="宋体" w:cs="宋体"/>
                <w:b/>
                <w:bCs/>
                <w:color w:val="auto"/>
                <w:kern w:val="0"/>
                <w:sz w:val="20"/>
                <w:szCs w:val="20"/>
                <w:highlight w:val="none"/>
                <w:lang w:val="en-US" w:eastAsia="zh-CN"/>
              </w:rPr>
              <w:t>序号</w:t>
            </w:r>
          </w:p>
        </w:tc>
        <w:tc>
          <w:tcPr>
            <w:tcW w:w="720" w:type="dxa"/>
            <w:vAlign w:val="center"/>
          </w:tcPr>
          <w:p w14:paraId="632150D7">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bCs/>
                <w:color w:val="auto"/>
                <w:kern w:val="0"/>
                <w:sz w:val="20"/>
                <w:szCs w:val="20"/>
                <w:highlight w:val="none"/>
                <w:lang w:eastAsia="zh-CN"/>
              </w:rPr>
              <w:t>系统名称</w:t>
            </w:r>
          </w:p>
        </w:tc>
        <w:tc>
          <w:tcPr>
            <w:tcW w:w="875" w:type="dxa"/>
            <w:vAlign w:val="center"/>
          </w:tcPr>
          <w:p w14:paraId="5C1B8B11">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一级子系统</w:t>
            </w:r>
          </w:p>
        </w:tc>
        <w:tc>
          <w:tcPr>
            <w:tcW w:w="884" w:type="dxa"/>
            <w:vAlign w:val="center"/>
          </w:tcPr>
          <w:p w14:paraId="63F539F3">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二级子系统</w:t>
            </w:r>
          </w:p>
        </w:tc>
        <w:tc>
          <w:tcPr>
            <w:tcW w:w="5841" w:type="dxa"/>
            <w:vAlign w:val="center"/>
          </w:tcPr>
          <w:p w14:paraId="1426813B">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2B001BD7">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单位</w:t>
            </w:r>
          </w:p>
        </w:tc>
        <w:tc>
          <w:tcPr>
            <w:tcW w:w="714" w:type="dxa"/>
            <w:vAlign w:val="center"/>
          </w:tcPr>
          <w:p w14:paraId="48613D86">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数量</w:t>
            </w:r>
          </w:p>
        </w:tc>
      </w:tr>
      <w:tr w14:paraId="70B37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32B485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883</w:t>
            </w:r>
          </w:p>
        </w:tc>
        <w:tc>
          <w:tcPr>
            <w:tcW w:w="720" w:type="dxa"/>
            <w:vMerge w:val="restart"/>
            <w:vAlign w:val="center"/>
          </w:tcPr>
          <w:p w14:paraId="50605416">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急诊临床管理系统</w:t>
            </w:r>
          </w:p>
        </w:tc>
        <w:tc>
          <w:tcPr>
            <w:tcW w:w="875" w:type="dxa"/>
            <w:vMerge w:val="restart"/>
            <w:vAlign w:val="center"/>
          </w:tcPr>
          <w:p w14:paraId="297D91C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急诊预检分诊子系统</w:t>
            </w:r>
          </w:p>
        </w:tc>
        <w:tc>
          <w:tcPr>
            <w:tcW w:w="884" w:type="dxa"/>
            <w:vAlign w:val="center"/>
          </w:tcPr>
          <w:p w14:paraId="47EDFC9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患者登记</w:t>
            </w:r>
          </w:p>
        </w:tc>
        <w:tc>
          <w:tcPr>
            <w:tcW w:w="5841" w:type="dxa"/>
            <w:vAlign w:val="center"/>
          </w:tcPr>
          <w:p w14:paraId="7843D935">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（1）成人、儿童、孕妇预检分诊登记。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（2）通过刷身份证、医保卡、就诊卡，快速获取身份信息，并进行登记。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（3）从已挂号待诊患者列表中选择预检分诊患者信息，并自动获得和填充患者基本信息。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（4）三无患者分诊快速登记，无名氏生成规则可根据医院要求自定义生成，待明确后可以修改三无患者信息。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（5）对患者的来院方式、发病时间、过敏史、主诉/症状临床信息进行记录。</w:t>
            </w:r>
          </w:p>
        </w:tc>
        <w:tc>
          <w:tcPr>
            <w:tcW w:w="733" w:type="dxa"/>
            <w:vMerge w:val="restart"/>
            <w:vAlign w:val="center"/>
          </w:tcPr>
          <w:p w14:paraId="4F27E8B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11C7F5D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w:t>
            </w:r>
          </w:p>
        </w:tc>
      </w:tr>
      <w:tr w14:paraId="3EB8F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A5D919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884</w:t>
            </w:r>
          </w:p>
        </w:tc>
        <w:tc>
          <w:tcPr>
            <w:tcW w:w="720" w:type="dxa"/>
            <w:vMerge w:val="continue"/>
            <w:vAlign w:val="center"/>
          </w:tcPr>
          <w:p w14:paraId="5EAFA25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682A7A6">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225136A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绿色通道</w:t>
            </w:r>
          </w:p>
        </w:tc>
        <w:tc>
          <w:tcPr>
            <w:tcW w:w="5841" w:type="dxa"/>
            <w:vAlign w:val="center"/>
          </w:tcPr>
          <w:p w14:paraId="2340DB75">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(1)为胸痛、群伤、高危孕产妇、中毒、卒中、创伤等患者快速建立绿色通道功能。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为预检分诊患者绑定腕带、解除绑定、腕带归还管理；支持腕带(手环)与患者信息一一对应；支持为院前急救和危重患者快速绑定腕带；腕带(手环)一键绑定或解绑功能；腕带(手环）使用状态查询，腕带（手环）归还</w:t>
            </w:r>
          </w:p>
        </w:tc>
        <w:tc>
          <w:tcPr>
            <w:tcW w:w="733" w:type="dxa"/>
            <w:vMerge w:val="continue"/>
            <w:vAlign w:val="center"/>
          </w:tcPr>
          <w:p w14:paraId="5076F3B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E9FAF25">
            <w:pPr>
              <w:jc w:val="center"/>
              <w:rPr>
                <w:rFonts w:hint="eastAsia" w:ascii="宋体" w:hAnsi="宋体" w:eastAsia="宋体" w:cs="宋体"/>
                <w:b w:val="0"/>
                <w:bCs w:val="0"/>
                <w:color w:val="auto"/>
                <w:kern w:val="0"/>
                <w:sz w:val="20"/>
                <w:szCs w:val="20"/>
                <w:highlight w:val="none"/>
                <w:lang w:val="en-US" w:eastAsia="zh-CN" w:bidi="ar-SA"/>
              </w:rPr>
            </w:pPr>
          </w:p>
        </w:tc>
      </w:tr>
      <w:tr w14:paraId="61FC9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150BB2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885</w:t>
            </w:r>
          </w:p>
        </w:tc>
        <w:tc>
          <w:tcPr>
            <w:tcW w:w="720" w:type="dxa"/>
            <w:vMerge w:val="continue"/>
            <w:vAlign w:val="center"/>
          </w:tcPr>
          <w:p w14:paraId="56CD110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4B95D7A">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39149B8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群体事件</w:t>
            </w:r>
          </w:p>
        </w:tc>
        <w:tc>
          <w:tcPr>
            <w:tcW w:w="5841" w:type="dxa"/>
            <w:vAlign w:val="center"/>
          </w:tcPr>
          <w:p w14:paraId="5DFB58BA">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(1)记录群体事件，包括事件类型、事件人数、事件时间、发生地点等信息。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(2)批量生成群体事件患者，并与群体事件关联。</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(3)创建患者后，手动关联群体事件。</w:t>
            </w:r>
          </w:p>
        </w:tc>
        <w:tc>
          <w:tcPr>
            <w:tcW w:w="733" w:type="dxa"/>
            <w:vMerge w:val="continue"/>
            <w:vAlign w:val="center"/>
          </w:tcPr>
          <w:p w14:paraId="28874AB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3DFF1DD">
            <w:pPr>
              <w:jc w:val="center"/>
              <w:rPr>
                <w:rFonts w:hint="eastAsia" w:ascii="宋体" w:hAnsi="宋体" w:eastAsia="宋体" w:cs="宋体"/>
                <w:b w:val="0"/>
                <w:bCs w:val="0"/>
                <w:color w:val="auto"/>
                <w:kern w:val="0"/>
                <w:sz w:val="20"/>
                <w:szCs w:val="20"/>
                <w:highlight w:val="none"/>
                <w:lang w:val="en-US" w:eastAsia="zh-CN" w:bidi="ar-SA"/>
              </w:rPr>
            </w:pPr>
          </w:p>
        </w:tc>
      </w:tr>
      <w:tr w14:paraId="4EA4B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49F187E">
            <w:pPr>
              <w:spacing w:line="300" w:lineRule="exact"/>
              <w:jc w:val="both"/>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886</w:t>
            </w:r>
          </w:p>
        </w:tc>
        <w:tc>
          <w:tcPr>
            <w:tcW w:w="720" w:type="dxa"/>
            <w:vMerge w:val="continue"/>
            <w:vAlign w:val="center"/>
          </w:tcPr>
          <w:p w14:paraId="264A681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B21401F">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7AE5D62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分诊知识库</w:t>
            </w:r>
          </w:p>
        </w:tc>
        <w:tc>
          <w:tcPr>
            <w:tcW w:w="5841" w:type="dxa"/>
            <w:vAlign w:val="center"/>
          </w:tcPr>
          <w:p w14:paraId="5051F406">
            <w:pPr>
              <w:keepNext w:val="0"/>
              <w:keepLines w:val="0"/>
              <w:widowControl/>
              <w:numPr>
                <w:ilvl w:val="0"/>
                <w:numId w:val="14"/>
              </w:numPr>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提供支持成人、儿童症状描述相关的专业术语库，支持通过手工录入和页面点选方式快速录入患者症状信息；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内嵌病情分级、分诊知识库。分诊知识库支持关联患者客观体征、主诉/症状为分级依据：分诊时可通过调用知识库，输入主诉/症状后，自动进行分级并显示推荐等级；分诊时可通过调用知识库，输入生命体征后自动进行分级并显示推荐等级；允许分诊护士对自动推荐登记信息进行修正。</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支持知识库在人体图上显示，点选人体部位提示相关病症：支持用图形从正面和背面表达人体图，人体图可以根据需求划分人体部位和配置。支持基于人体图选择部位，关联部位对应的主诉及症状。                                                                                   (3)根据选择内容自动进行病情分级归类和等级推荐。</w:t>
            </w:r>
          </w:p>
        </w:tc>
        <w:tc>
          <w:tcPr>
            <w:tcW w:w="733" w:type="dxa"/>
            <w:vMerge w:val="continue"/>
            <w:vAlign w:val="center"/>
          </w:tcPr>
          <w:p w14:paraId="1FD44B2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350697D">
            <w:pPr>
              <w:jc w:val="center"/>
              <w:rPr>
                <w:rFonts w:hint="eastAsia" w:ascii="宋体" w:hAnsi="宋体" w:eastAsia="宋体" w:cs="宋体"/>
                <w:b w:val="0"/>
                <w:bCs w:val="0"/>
                <w:color w:val="auto"/>
                <w:kern w:val="0"/>
                <w:sz w:val="20"/>
                <w:szCs w:val="20"/>
                <w:highlight w:val="none"/>
                <w:lang w:val="en-US" w:eastAsia="zh-CN" w:bidi="ar-SA"/>
              </w:rPr>
            </w:pPr>
          </w:p>
        </w:tc>
      </w:tr>
      <w:tr w14:paraId="347DD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EF4541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887</w:t>
            </w:r>
          </w:p>
        </w:tc>
        <w:tc>
          <w:tcPr>
            <w:tcW w:w="720" w:type="dxa"/>
            <w:vMerge w:val="continue"/>
            <w:vAlign w:val="center"/>
          </w:tcPr>
          <w:p w14:paraId="3A5DB96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726C3A1">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09A8D9D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智能评分</w:t>
            </w:r>
          </w:p>
        </w:tc>
        <w:tc>
          <w:tcPr>
            <w:tcW w:w="5841" w:type="dxa"/>
            <w:vAlign w:val="center"/>
          </w:tcPr>
          <w:p w14:paraId="1F4AB901">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(1)特殊患者标记，提供快速评分工具，辅助护士对特殊患者进行快速评分。</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(2)评分点选操作，快速完成评分，包括：跌倒评分、MEWS评分、GCS评分、FAST-ED评分、痛疼评分、创伤评分，并根据评分要求自动计算结果，并且主界面显示评分结果。</w:t>
            </w:r>
          </w:p>
        </w:tc>
        <w:tc>
          <w:tcPr>
            <w:tcW w:w="733" w:type="dxa"/>
            <w:vMerge w:val="continue"/>
            <w:vAlign w:val="center"/>
          </w:tcPr>
          <w:p w14:paraId="4BCCFC8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667DBC4">
            <w:pPr>
              <w:jc w:val="center"/>
              <w:rPr>
                <w:rFonts w:hint="eastAsia" w:ascii="宋体" w:hAnsi="宋体" w:eastAsia="宋体" w:cs="宋体"/>
                <w:b w:val="0"/>
                <w:bCs w:val="0"/>
                <w:color w:val="auto"/>
                <w:kern w:val="0"/>
                <w:sz w:val="20"/>
                <w:szCs w:val="20"/>
                <w:highlight w:val="none"/>
                <w:lang w:val="en-US" w:eastAsia="zh-CN" w:bidi="ar-SA"/>
              </w:rPr>
            </w:pPr>
          </w:p>
        </w:tc>
      </w:tr>
      <w:tr w14:paraId="44701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583" w:type="dxa"/>
            <w:vAlign w:val="center"/>
          </w:tcPr>
          <w:p w14:paraId="22E5623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888</w:t>
            </w:r>
          </w:p>
        </w:tc>
        <w:tc>
          <w:tcPr>
            <w:tcW w:w="720" w:type="dxa"/>
            <w:vMerge w:val="continue"/>
            <w:vAlign w:val="center"/>
          </w:tcPr>
          <w:p w14:paraId="4AFC694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9F53C10">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5E23ACA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二次评估</w:t>
            </w:r>
          </w:p>
        </w:tc>
        <w:tc>
          <w:tcPr>
            <w:tcW w:w="5841" w:type="dxa"/>
            <w:vAlign w:val="center"/>
          </w:tcPr>
          <w:p w14:paraId="47E9FA78">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(1)二次评估并分诊，允许分诊护士对分级信息进行修正，对不同级别患者超过规定时间内未接诊进行提醒。</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自动按照分诊等级计算分诊超时时间，提供分诊超时预警功能，支持为超时患者重新分诊，支持重新测量生命体征，并查看历史生命体征记录；支持根据现有数据，通过知识库，自动推荐分诊等级；根据患者病情变化进行评估评分，评估结果自动计算。</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(3)根据分诊登记，选择患者分诊去向，分诊去向内容可以配置，并支持重新分诊。</w:t>
            </w:r>
          </w:p>
        </w:tc>
        <w:tc>
          <w:tcPr>
            <w:tcW w:w="733" w:type="dxa"/>
            <w:vMerge w:val="continue"/>
            <w:vAlign w:val="center"/>
          </w:tcPr>
          <w:p w14:paraId="5158C26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02CEAEE">
            <w:pPr>
              <w:jc w:val="center"/>
              <w:rPr>
                <w:rFonts w:hint="eastAsia" w:ascii="宋体" w:hAnsi="宋体" w:eastAsia="宋体" w:cs="宋体"/>
                <w:b w:val="0"/>
                <w:bCs w:val="0"/>
                <w:color w:val="auto"/>
                <w:kern w:val="0"/>
                <w:sz w:val="20"/>
                <w:szCs w:val="20"/>
                <w:highlight w:val="none"/>
                <w:lang w:val="en-US" w:eastAsia="zh-CN" w:bidi="ar-SA"/>
              </w:rPr>
            </w:pPr>
          </w:p>
        </w:tc>
      </w:tr>
      <w:tr w14:paraId="355E5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C6FFE8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889</w:t>
            </w:r>
          </w:p>
        </w:tc>
        <w:tc>
          <w:tcPr>
            <w:tcW w:w="720" w:type="dxa"/>
            <w:vMerge w:val="continue"/>
            <w:vAlign w:val="center"/>
          </w:tcPr>
          <w:p w14:paraId="2A1057C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4A38E77">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75006BD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分诊患者管理</w:t>
            </w:r>
          </w:p>
        </w:tc>
        <w:tc>
          <w:tcPr>
            <w:tcW w:w="5841" w:type="dxa"/>
            <w:vAlign w:val="center"/>
          </w:tcPr>
          <w:p w14:paraId="4394373C">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(1)病情等级筛选，遵循卫健委《急诊预检分诊分级标准（2018年版）》，支持三区四级的分诊模式，自动化分级/人工分级双操作，同时病情分级依据允许用户自定义、配置。</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(2)先挂号后分诊、先分诊后挂号两种模式。先挂号后分诊时，支持对接HIS导入患者挂号和患者信息。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(3)与院内第三方叫号系统集成，实现急诊有序就诊。</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(4)分诊确认后，自动打印腕带、分诊条、标签，可根据医院要求定制打印格式，支持重复打印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(5)自主来院、120来院、门诊来院患者标记。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在生命体征设备支持的情况下，系统支持患者生命体征数据自动采集、上传、手工录入，支持录入收缩压、舒张压、SpO2、心率、体温、脉搏、血糖；可以连接监护仪、臂式血压计等设备完成体征自动采集；支持标识拒测和无迹象生命体征患者。</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(7)生命体征按照成人、儿童进行异常值提醒；</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(8)本次就诊患者，多次分诊后，历史生命体征查看。</w:t>
            </w:r>
          </w:p>
        </w:tc>
        <w:tc>
          <w:tcPr>
            <w:tcW w:w="733" w:type="dxa"/>
            <w:vMerge w:val="continue"/>
            <w:vAlign w:val="center"/>
          </w:tcPr>
          <w:p w14:paraId="4CB6E63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01DB72A">
            <w:pPr>
              <w:jc w:val="center"/>
              <w:rPr>
                <w:rFonts w:hint="eastAsia" w:ascii="宋体" w:hAnsi="宋体" w:eastAsia="宋体" w:cs="宋体"/>
                <w:b w:val="0"/>
                <w:bCs w:val="0"/>
                <w:color w:val="auto"/>
                <w:kern w:val="0"/>
                <w:sz w:val="20"/>
                <w:szCs w:val="20"/>
                <w:highlight w:val="none"/>
                <w:lang w:val="en-US" w:eastAsia="zh-CN" w:bidi="ar-SA"/>
              </w:rPr>
            </w:pPr>
          </w:p>
        </w:tc>
      </w:tr>
      <w:tr w14:paraId="5EB5B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516B70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890</w:t>
            </w:r>
          </w:p>
        </w:tc>
        <w:tc>
          <w:tcPr>
            <w:tcW w:w="720" w:type="dxa"/>
            <w:vMerge w:val="continue"/>
            <w:vAlign w:val="center"/>
          </w:tcPr>
          <w:p w14:paraId="115868F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CA7374D">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46EBB9C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院前患者关联</w:t>
            </w:r>
          </w:p>
        </w:tc>
        <w:tc>
          <w:tcPr>
            <w:tcW w:w="5841" w:type="dxa"/>
            <w:vAlign w:val="center"/>
          </w:tcPr>
          <w:p w14:paraId="2C7C9DD4">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(1)在院前急救系统支持要求的情况下，系统与院前急救系统对接，将院前急救患者与急诊系统进行唯一关联。</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(2)在院前急救系统支持要求的情况下，系统与院前急救系统对接，获取院前急救医疗数据，实现院前院内互联互通。</w:t>
            </w:r>
          </w:p>
        </w:tc>
        <w:tc>
          <w:tcPr>
            <w:tcW w:w="733" w:type="dxa"/>
            <w:vMerge w:val="continue"/>
            <w:vAlign w:val="center"/>
          </w:tcPr>
          <w:p w14:paraId="4A2A7C2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0B8AA6F">
            <w:pPr>
              <w:jc w:val="center"/>
              <w:rPr>
                <w:rFonts w:hint="eastAsia" w:ascii="宋体" w:hAnsi="宋体" w:eastAsia="宋体" w:cs="宋体"/>
                <w:b w:val="0"/>
                <w:bCs w:val="0"/>
                <w:color w:val="auto"/>
                <w:kern w:val="0"/>
                <w:sz w:val="20"/>
                <w:szCs w:val="20"/>
                <w:highlight w:val="none"/>
                <w:lang w:val="en-US" w:eastAsia="zh-CN" w:bidi="ar-SA"/>
              </w:rPr>
            </w:pPr>
          </w:p>
        </w:tc>
      </w:tr>
      <w:tr w14:paraId="715B5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98B2D5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891</w:t>
            </w:r>
          </w:p>
        </w:tc>
        <w:tc>
          <w:tcPr>
            <w:tcW w:w="720" w:type="dxa"/>
            <w:vMerge w:val="continue"/>
            <w:vAlign w:val="center"/>
          </w:tcPr>
          <w:p w14:paraId="7441E451">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105D730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急诊排队叫号子系统</w:t>
            </w:r>
          </w:p>
        </w:tc>
        <w:tc>
          <w:tcPr>
            <w:tcW w:w="884" w:type="dxa"/>
            <w:vAlign w:val="center"/>
          </w:tcPr>
          <w:p w14:paraId="4EA2DB8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急诊排队叫号子系统</w:t>
            </w:r>
          </w:p>
        </w:tc>
        <w:tc>
          <w:tcPr>
            <w:tcW w:w="5841" w:type="dxa"/>
            <w:vAlign w:val="center"/>
          </w:tcPr>
          <w:p w14:paraId="0E99E85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叫号大屏支持按照科室显示待诊、诊中患者信息；提供按照患者就诊先后顺序自动排序叫号以及医生手动叫号；提供用高亮文字提示患者到XX就诊科室就诊，同时支持语音朗读的能力。</w:t>
            </w:r>
          </w:p>
        </w:tc>
        <w:tc>
          <w:tcPr>
            <w:tcW w:w="733" w:type="dxa"/>
            <w:vAlign w:val="center"/>
          </w:tcPr>
          <w:p w14:paraId="3B3A12E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7106C4BF">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w:t>
            </w:r>
          </w:p>
        </w:tc>
      </w:tr>
      <w:tr w14:paraId="5DD86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AB3E501">
            <w:pPr>
              <w:spacing w:line="300" w:lineRule="exact"/>
              <w:jc w:val="both"/>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892</w:t>
            </w:r>
          </w:p>
        </w:tc>
        <w:tc>
          <w:tcPr>
            <w:tcW w:w="720" w:type="dxa"/>
            <w:vMerge w:val="continue"/>
            <w:vAlign w:val="center"/>
          </w:tcPr>
          <w:p w14:paraId="397067C2">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3A0D575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急诊诊室医生站</w:t>
            </w:r>
          </w:p>
        </w:tc>
        <w:tc>
          <w:tcPr>
            <w:tcW w:w="884" w:type="dxa"/>
            <w:vAlign w:val="center"/>
          </w:tcPr>
          <w:p w14:paraId="2728CCB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患者管理</w:t>
            </w:r>
          </w:p>
        </w:tc>
        <w:tc>
          <w:tcPr>
            <w:tcW w:w="5841" w:type="dxa"/>
            <w:vAlign w:val="center"/>
          </w:tcPr>
          <w:p w14:paraId="052ED331">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(1)显示科室患者列表，按患者就诊去向进行患者筛选。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(2)区分待诊(首诊）、诊中、结束、全部诊疗状态进行患者筛选。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(3)按接诊医生本人进行患者筛选，医生登录系统一键筛选本人诊中、已结束患者</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(4)通过刷身份证、医保卡、就诊卡快速进行患者筛选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(5)输入患者姓名、就诊号快速进行患者筛选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(6)患者基本信息错误，HIS系统更改后，通过读卡、输入门诊号方式同步患者信息。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(7)患者入科后，医生可以取消患者就诊功能。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(8)标记患者家属是否已做核酸、标记患者是否弃诊。</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(9)医生对重点患者进行标注和取消关注功能，医生快速看到重点患者并查看关注内容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(10)快速为患者开启和关闭绿色通道，在条件允许的情况下，进行先抢救后付费的抢救机制；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(11)医生根据患者病情，快速标记患者为胸痛、卒中、创伤患者</w:t>
            </w:r>
          </w:p>
        </w:tc>
        <w:tc>
          <w:tcPr>
            <w:tcW w:w="733" w:type="dxa"/>
            <w:vMerge w:val="restart"/>
            <w:vAlign w:val="center"/>
          </w:tcPr>
          <w:p w14:paraId="6E31801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61C2921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w:t>
            </w:r>
          </w:p>
        </w:tc>
      </w:tr>
      <w:tr w14:paraId="059BF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AA9F507">
            <w:pPr>
              <w:spacing w:line="300" w:lineRule="exact"/>
              <w:jc w:val="both"/>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893</w:t>
            </w:r>
          </w:p>
        </w:tc>
        <w:tc>
          <w:tcPr>
            <w:tcW w:w="720" w:type="dxa"/>
            <w:vMerge w:val="continue"/>
            <w:vAlign w:val="center"/>
          </w:tcPr>
          <w:p w14:paraId="646A2B3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F5E1CD4">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62AE9D6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急诊诊疗</w:t>
            </w:r>
          </w:p>
        </w:tc>
        <w:tc>
          <w:tcPr>
            <w:tcW w:w="5841" w:type="dxa"/>
            <w:vAlign w:val="center"/>
          </w:tcPr>
          <w:p w14:paraId="3F489518">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(1)一体化设计：病人在诊室、抢救、留观的医嘱、病历连续可见。</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(2)患者存在过敏史时，医生/护士可以快速维护过敏类型和过敏内容。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(3)医生随时查看出入量，掌握患者病情变化：进行入量、出量及总平衡量汇总，用图形界面表达出入量及平衡量趋势，同页面展现出入量汇总以及出入量项目明细数据，表达24小时或者最近七天出入量趋势</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(4)根据患者病情变化需要，快速查看患者护理记录单，并且记录单支持放大缩小、打印。</w:t>
            </w:r>
          </w:p>
        </w:tc>
        <w:tc>
          <w:tcPr>
            <w:tcW w:w="733" w:type="dxa"/>
            <w:vMerge w:val="continue"/>
            <w:vAlign w:val="center"/>
          </w:tcPr>
          <w:p w14:paraId="44FC8FF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F700CD3">
            <w:pPr>
              <w:jc w:val="center"/>
              <w:rPr>
                <w:rFonts w:hint="eastAsia" w:ascii="宋体" w:hAnsi="宋体" w:eastAsia="宋体" w:cs="宋体"/>
                <w:b w:val="0"/>
                <w:bCs w:val="0"/>
                <w:color w:val="auto"/>
                <w:kern w:val="0"/>
                <w:sz w:val="20"/>
                <w:szCs w:val="20"/>
                <w:highlight w:val="none"/>
                <w:lang w:val="en-US" w:eastAsia="zh-CN" w:bidi="ar-SA"/>
              </w:rPr>
            </w:pPr>
          </w:p>
        </w:tc>
      </w:tr>
      <w:tr w14:paraId="3C222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120AE9E">
            <w:pPr>
              <w:spacing w:line="300" w:lineRule="exact"/>
              <w:jc w:val="both"/>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894</w:t>
            </w:r>
          </w:p>
        </w:tc>
        <w:tc>
          <w:tcPr>
            <w:tcW w:w="720" w:type="dxa"/>
            <w:vMerge w:val="continue"/>
            <w:vAlign w:val="center"/>
          </w:tcPr>
          <w:p w14:paraId="1A6E667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D000F30">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7FBB1C0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分诊信息查询</w:t>
            </w:r>
          </w:p>
        </w:tc>
        <w:tc>
          <w:tcPr>
            <w:tcW w:w="5841" w:type="dxa"/>
            <w:vAlign w:val="center"/>
          </w:tcPr>
          <w:p w14:paraId="09952E93">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(1)查看患者分诊信息详情，查看患者诉/症状、生命体征和评分内容。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(2)医生根据患者病情实际情况，修改分诊等级，并说明修改理由。</w:t>
            </w:r>
          </w:p>
        </w:tc>
        <w:tc>
          <w:tcPr>
            <w:tcW w:w="733" w:type="dxa"/>
            <w:vMerge w:val="continue"/>
            <w:vAlign w:val="center"/>
          </w:tcPr>
          <w:p w14:paraId="27AEA6E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278C983">
            <w:pPr>
              <w:jc w:val="center"/>
              <w:rPr>
                <w:rFonts w:hint="eastAsia" w:ascii="宋体" w:hAnsi="宋体" w:eastAsia="宋体" w:cs="宋体"/>
                <w:b w:val="0"/>
                <w:bCs w:val="0"/>
                <w:color w:val="auto"/>
                <w:kern w:val="0"/>
                <w:sz w:val="20"/>
                <w:szCs w:val="20"/>
                <w:highlight w:val="none"/>
                <w:lang w:val="en-US" w:eastAsia="zh-CN" w:bidi="ar-SA"/>
              </w:rPr>
            </w:pPr>
          </w:p>
        </w:tc>
      </w:tr>
      <w:tr w14:paraId="1308A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15A4ACA">
            <w:pPr>
              <w:spacing w:line="300" w:lineRule="exact"/>
              <w:jc w:val="both"/>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895</w:t>
            </w:r>
          </w:p>
        </w:tc>
        <w:tc>
          <w:tcPr>
            <w:tcW w:w="720" w:type="dxa"/>
            <w:vMerge w:val="continue"/>
            <w:vAlign w:val="center"/>
          </w:tcPr>
          <w:p w14:paraId="1919EFC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AF34540">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5569DFA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诊断管理</w:t>
            </w:r>
          </w:p>
        </w:tc>
        <w:tc>
          <w:tcPr>
            <w:tcW w:w="5841" w:type="dxa"/>
            <w:vAlign w:val="center"/>
          </w:tcPr>
          <w:p w14:paraId="06F066EC">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(1)医生快速维护主诊断、子诊断的功能。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(2)ICD10标准诊断库与手工录入诊断两种方式，诊断信息自动引用在病历中。</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(3)医生根据病情诊疗情况，可对初步诊断进行确认或修订；</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(4)诊断可调整顺序的功能，可区分主要诊断与次要诊断；</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(5)可推送诊断数据至院内HIS、集成平台等系统；</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(6)可设置个人常用诊断，并提供维护功能。</w:t>
            </w:r>
          </w:p>
        </w:tc>
        <w:tc>
          <w:tcPr>
            <w:tcW w:w="733" w:type="dxa"/>
            <w:vMerge w:val="continue"/>
            <w:vAlign w:val="center"/>
          </w:tcPr>
          <w:p w14:paraId="21E9233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339ED99">
            <w:pPr>
              <w:jc w:val="center"/>
              <w:rPr>
                <w:rFonts w:hint="eastAsia" w:ascii="宋体" w:hAnsi="宋体" w:eastAsia="宋体" w:cs="宋体"/>
                <w:b w:val="0"/>
                <w:bCs w:val="0"/>
                <w:color w:val="auto"/>
                <w:kern w:val="0"/>
                <w:sz w:val="20"/>
                <w:szCs w:val="20"/>
                <w:highlight w:val="none"/>
                <w:lang w:val="en-US" w:eastAsia="zh-CN" w:bidi="ar-SA"/>
              </w:rPr>
            </w:pPr>
          </w:p>
        </w:tc>
      </w:tr>
      <w:tr w14:paraId="249EF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DB4693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896</w:t>
            </w:r>
          </w:p>
        </w:tc>
        <w:tc>
          <w:tcPr>
            <w:tcW w:w="720" w:type="dxa"/>
            <w:vMerge w:val="continue"/>
            <w:vAlign w:val="center"/>
          </w:tcPr>
          <w:p w14:paraId="39AB5F3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3B820BD">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3AB2064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一键转归</w:t>
            </w:r>
          </w:p>
        </w:tc>
        <w:tc>
          <w:tcPr>
            <w:tcW w:w="5841" w:type="dxa"/>
            <w:vAlign w:val="center"/>
          </w:tcPr>
          <w:p w14:paraId="733445A2">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医生依据患者情况，指定患者去向；患者自由转归，系统记录（转抢救区/转留观区/转住院/转手术室/转外院/死亡/离院）；患者换住院时，可以选择住院科室；</w:t>
            </w:r>
          </w:p>
        </w:tc>
        <w:tc>
          <w:tcPr>
            <w:tcW w:w="733" w:type="dxa"/>
            <w:vMerge w:val="continue"/>
            <w:vAlign w:val="center"/>
          </w:tcPr>
          <w:p w14:paraId="5457491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8AB93BC">
            <w:pPr>
              <w:jc w:val="center"/>
              <w:rPr>
                <w:rFonts w:hint="eastAsia" w:ascii="宋体" w:hAnsi="宋体" w:eastAsia="宋体" w:cs="宋体"/>
                <w:b w:val="0"/>
                <w:bCs w:val="0"/>
                <w:color w:val="auto"/>
                <w:kern w:val="0"/>
                <w:sz w:val="20"/>
                <w:szCs w:val="20"/>
                <w:highlight w:val="none"/>
                <w:lang w:val="en-US" w:eastAsia="zh-CN" w:bidi="ar-SA"/>
              </w:rPr>
            </w:pPr>
          </w:p>
        </w:tc>
      </w:tr>
      <w:tr w14:paraId="0BB4D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93AB6A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897</w:t>
            </w:r>
          </w:p>
        </w:tc>
        <w:tc>
          <w:tcPr>
            <w:tcW w:w="720" w:type="dxa"/>
            <w:vMerge w:val="continue"/>
            <w:vAlign w:val="center"/>
          </w:tcPr>
          <w:p w14:paraId="229780F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1CEA539">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1951F8A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病情评估</w:t>
            </w:r>
          </w:p>
        </w:tc>
        <w:tc>
          <w:tcPr>
            <w:tcW w:w="5841" w:type="dxa"/>
            <w:vAlign w:val="center"/>
          </w:tcPr>
          <w:p w14:paraId="5592852B">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(1)病情评估，当患者病情变化时，医生可以快速为患者进行评估。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(2)某个评估量表可对患者进行多次评估，历次评分内容可查。</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(3)评估量表主观数据快速点选，自动计算分值。</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(4)评估量表所见即所得打印功能。</w:t>
            </w:r>
          </w:p>
        </w:tc>
        <w:tc>
          <w:tcPr>
            <w:tcW w:w="733" w:type="dxa"/>
            <w:vMerge w:val="continue"/>
            <w:vAlign w:val="center"/>
          </w:tcPr>
          <w:p w14:paraId="21639A9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50D6EF8">
            <w:pPr>
              <w:jc w:val="center"/>
              <w:rPr>
                <w:rFonts w:hint="eastAsia" w:ascii="宋体" w:hAnsi="宋体" w:eastAsia="宋体" w:cs="宋体"/>
                <w:b w:val="0"/>
                <w:bCs w:val="0"/>
                <w:color w:val="auto"/>
                <w:kern w:val="0"/>
                <w:sz w:val="20"/>
                <w:szCs w:val="20"/>
                <w:highlight w:val="none"/>
                <w:lang w:val="en-US" w:eastAsia="zh-CN" w:bidi="ar-SA"/>
              </w:rPr>
            </w:pPr>
          </w:p>
        </w:tc>
      </w:tr>
      <w:tr w14:paraId="3811A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AF4AAD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898</w:t>
            </w:r>
          </w:p>
        </w:tc>
        <w:tc>
          <w:tcPr>
            <w:tcW w:w="720" w:type="dxa"/>
            <w:vMerge w:val="continue"/>
            <w:vAlign w:val="center"/>
          </w:tcPr>
          <w:p w14:paraId="3A347B5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BFA68C4">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3A3755A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检查检验报告</w:t>
            </w:r>
          </w:p>
        </w:tc>
        <w:tc>
          <w:tcPr>
            <w:tcW w:w="5841" w:type="dxa"/>
            <w:vAlign w:val="center"/>
          </w:tcPr>
          <w:p w14:paraId="6697A01D">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(1)与LIS\PACS\HIS系统或者集成平台对接，调阅检查检验结果，包括图像报告和文字报告，调阅病人历史就诊信息；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(2)查看检查项目及子项目。如查看报告时间、报告内容。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(3)在条件允许的情况下，对接心电系统，查看心电图报告内容。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(4)查看检验项目及检验结果值，同时对异常结果进行标记。</w:t>
            </w:r>
          </w:p>
        </w:tc>
        <w:tc>
          <w:tcPr>
            <w:tcW w:w="733" w:type="dxa"/>
            <w:vMerge w:val="continue"/>
            <w:vAlign w:val="center"/>
          </w:tcPr>
          <w:p w14:paraId="6586102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B206A12">
            <w:pPr>
              <w:jc w:val="center"/>
              <w:rPr>
                <w:rFonts w:hint="eastAsia" w:ascii="宋体" w:hAnsi="宋体" w:eastAsia="宋体" w:cs="宋体"/>
                <w:b w:val="0"/>
                <w:bCs w:val="0"/>
                <w:color w:val="auto"/>
                <w:kern w:val="0"/>
                <w:sz w:val="20"/>
                <w:szCs w:val="20"/>
                <w:highlight w:val="none"/>
                <w:lang w:val="en-US" w:eastAsia="zh-CN" w:bidi="ar-SA"/>
              </w:rPr>
            </w:pPr>
          </w:p>
        </w:tc>
      </w:tr>
      <w:tr w14:paraId="49C62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74614C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899</w:t>
            </w:r>
          </w:p>
        </w:tc>
        <w:tc>
          <w:tcPr>
            <w:tcW w:w="720" w:type="dxa"/>
            <w:vMerge w:val="continue"/>
            <w:vAlign w:val="center"/>
          </w:tcPr>
          <w:p w14:paraId="1B1227D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39ACA75">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515AF6A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传染病上报</w:t>
            </w:r>
          </w:p>
        </w:tc>
        <w:tc>
          <w:tcPr>
            <w:tcW w:w="5841" w:type="dxa"/>
            <w:vAlign w:val="center"/>
          </w:tcPr>
          <w:p w14:paraId="40DB50FC">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对有传染病的患者，进行登记上报，在HIS允许的情况下，系统对接HIS，将传染病患者数据同步到HIS系统。</w:t>
            </w:r>
          </w:p>
        </w:tc>
        <w:tc>
          <w:tcPr>
            <w:tcW w:w="733" w:type="dxa"/>
            <w:vMerge w:val="continue"/>
            <w:vAlign w:val="center"/>
          </w:tcPr>
          <w:p w14:paraId="75D9810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F0F3109">
            <w:pPr>
              <w:jc w:val="center"/>
              <w:rPr>
                <w:rFonts w:hint="eastAsia" w:ascii="宋体" w:hAnsi="宋体" w:eastAsia="宋体" w:cs="宋体"/>
                <w:b w:val="0"/>
                <w:bCs w:val="0"/>
                <w:color w:val="auto"/>
                <w:kern w:val="0"/>
                <w:sz w:val="20"/>
                <w:szCs w:val="20"/>
                <w:highlight w:val="none"/>
                <w:lang w:val="en-US" w:eastAsia="zh-CN" w:bidi="ar-SA"/>
              </w:rPr>
            </w:pPr>
          </w:p>
        </w:tc>
      </w:tr>
      <w:tr w14:paraId="1B49C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EADC61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900</w:t>
            </w:r>
          </w:p>
        </w:tc>
        <w:tc>
          <w:tcPr>
            <w:tcW w:w="720" w:type="dxa"/>
            <w:vMerge w:val="continue"/>
            <w:vAlign w:val="center"/>
          </w:tcPr>
          <w:p w14:paraId="347B132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BE65045">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57CE991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住院登记</w:t>
            </w:r>
          </w:p>
        </w:tc>
        <w:tc>
          <w:tcPr>
            <w:tcW w:w="5841" w:type="dxa"/>
            <w:vAlign w:val="center"/>
          </w:tcPr>
          <w:p w14:paraId="37DBEA0A">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针对转住院患者，进行住院登记，在HIS允许的情况下，系统对接HIS，将申请单同步到HIS系统，实现数据多跑路，患者少跑腿。</w:t>
            </w:r>
          </w:p>
        </w:tc>
        <w:tc>
          <w:tcPr>
            <w:tcW w:w="733" w:type="dxa"/>
            <w:vMerge w:val="continue"/>
            <w:vAlign w:val="center"/>
          </w:tcPr>
          <w:p w14:paraId="08886D5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36BA9BD">
            <w:pPr>
              <w:jc w:val="center"/>
              <w:rPr>
                <w:rFonts w:hint="eastAsia" w:ascii="宋体" w:hAnsi="宋体" w:eastAsia="宋体" w:cs="宋体"/>
                <w:b w:val="0"/>
                <w:bCs w:val="0"/>
                <w:color w:val="auto"/>
                <w:kern w:val="0"/>
                <w:sz w:val="20"/>
                <w:szCs w:val="20"/>
                <w:highlight w:val="none"/>
                <w:lang w:val="en-US" w:eastAsia="zh-CN" w:bidi="ar-SA"/>
              </w:rPr>
            </w:pPr>
          </w:p>
        </w:tc>
      </w:tr>
      <w:tr w14:paraId="78B8E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908AFA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901</w:t>
            </w:r>
          </w:p>
        </w:tc>
        <w:tc>
          <w:tcPr>
            <w:tcW w:w="720" w:type="dxa"/>
            <w:vMerge w:val="continue"/>
            <w:vAlign w:val="center"/>
          </w:tcPr>
          <w:p w14:paraId="3DAE6F4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289F149">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0C8D0AC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手术登记</w:t>
            </w:r>
          </w:p>
        </w:tc>
        <w:tc>
          <w:tcPr>
            <w:tcW w:w="5841" w:type="dxa"/>
            <w:vAlign w:val="center"/>
          </w:tcPr>
          <w:p w14:paraId="08B66B90">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对病情严重需要手术治疗的患者，进行手术登记，并对接手麻系统，预约手术日期、手术科室、基本检验项目结果，为患者建立快速应急通道。</w:t>
            </w:r>
          </w:p>
        </w:tc>
        <w:tc>
          <w:tcPr>
            <w:tcW w:w="733" w:type="dxa"/>
            <w:vMerge w:val="continue"/>
            <w:vAlign w:val="center"/>
          </w:tcPr>
          <w:p w14:paraId="3F582E8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F8DF66E">
            <w:pPr>
              <w:jc w:val="center"/>
              <w:rPr>
                <w:rFonts w:hint="eastAsia" w:ascii="宋体" w:hAnsi="宋体" w:eastAsia="宋体" w:cs="宋体"/>
                <w:b w:val="0"/>
                <w:bCs w:val="0"/>
                <w:color w:val="auto"/>
                <w:kern w:val="0"/>
                <w:sz w:val="20"/>
                <w:szCs w:val="20"/>
                <w:highlight w:val="none"/>
                <w:lang w:val="en-US" w:eastAsia="zh-CN" w:bidi="ar-SA"/>
              </w:rPr>
            </w:pPr>
          </w:p>
        </w:tc>
      </w:tr>
      <w:tr w14:paraId="0EDF0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8F01E3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902</w:t>
            </w:r>
          </w:p>
        </w:tc>
        <w:tc>
          <w:tcPr>
            <w:tcW w:w="720" w:type="dxa"/>
            <w:vMerge w:val="continue"/>
            <w:vAlign w:val="center"/>
          </w:tcPr>
          <w:p w14:paraId="24DAF551">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4E50C6E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急诊留观/抢救医生站</w:t>
            </w:r>
          </w:p>
        </w:tc>
        <w:tc>
          <w:tcPr>
            <w:tcW w:w="884" w:type="dxa"/>
            <w:vAlign w:val="center"/>
          </w:tcPr>
          <w:p w14:paraId="6A3FCC9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患者管理</w:t>
            </w:r>
          </w:p>
        </w:tc>
        <w:tc>
          <w:tcPr>
            <w:tcW w:w="5841" w:type="dxa"/>
            <w:vAlign w:val="center"/>
          </w:tcPr>
          <w:p w14:paraId="56B2B88F">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(1)显示科室患者列表，支持按患者就诊去向进行患者筛选。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(2)区分待诊(首诊）、诊中、结束、全部诊疗状态进行患者筛选。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(3)按接诊医生本人进行患者筛选，医生登录系统一键筛选本人诊中、已结束患者</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(4)通过刷身份证、医保卡、就诊卡快速进行患者筛选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(5)输入患者姓名、就诊号快速进行患者筛选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(6)患者基本信息错误，HIS系统更改后，通过读卡、输入门诊号方式同步患者信息。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(7)患者入科后，医生可以取消患者就诊功能。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(8)标记患者家属是否已做核酸、标记患者是否弃诊。</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(9)医生对重点患者进行标注和取消关注功能，医生快速看到重点患者并查看关注内容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(10)快速为患者开启和关闭绿色通道，在条件允许的情况下，进行先抢救后付费的抢救机制；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(11)医生根据患者病情，快速标记患者为胸痛、卒中、创伤患者。</w:t>
            </w:r>
          </w:p>
        </w:tc>
        <w:tc>
          <w:tcPr>
            <w:tcW w:w="733" w:type="dxa"/>
            <w:vMerge w:val="restart"/>
            <w:vAlign w:val="center"/>
          </w:tcPr>
          <w:p w14:paraId="496E47B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3CA875A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w:t>
            </w:r>
          </w:p>
        </w:tc>
      </w:tr>
      <w:tr w14:paraId="3FA85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9A3B9D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903</w:t>
            </w:r>
          </w:p>
        </w:tc>
        <w:tc>
          <w:tcPr>
            <w:tcW w:w="720" w:type="dxa"/>
            <w:vMerge w:val="continue"/>
            <w:vAlign w:val="center"/>
          </w:tcPr>
          <w:p w14:paraId="731370B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B34CC9E">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71D4DDD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急诊诊疗</w:t>
            </w:r>
          </w:p>
        </w:tc>
        <w:tc>
          <w:tcPr>
            <w:tcW w:w="5841" w:type="dxa"/>
            <w:vAlign w:val="center"/>
          </w:tcPr>
          <w:p w14:paraId="6B9265B5">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(1)一体化设计：病人在诊室、抢救、留观的医嘱、病历连续可见。</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(2)患者存在过敏史时，医生/护士可以快速维护过敏类型和过敏内容。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医生随时查看出入量，掌握患者病情变化：支持进行入量、出量及总平衡量汇总，支持用图形界面表达出入量及平衡量趋势，支持同页面展现出入量汇总以及出入量项目明细数据，支持表达24小时或者最近七天出入量趋势</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(4)根据患者病情变化需要，快速查看患者护理记录单，并且记录单支持放大缩小、打印。</w:t>
            </w:r>
          </w:p>
        </w:tc>
        <w:tc>
          <w:tcPr>
            <w:tcW w:w="733" w:type="dxa"/>
            <w:vMerge w:val="continue"/>
            <w:vAlign w:val="center"/>
          </w:tcPr>
          <w:p w14:paraId="6A19EEF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9F032B4">
            <w:pPr>
              <w:jc w:val="center"/>
              <w:rPr>
                <w:rFonts w:hint="eastAsia" w:ascii="宋体" w:hAnsi="宋体" w:eastAsia="宋体" w:cs="宋体"/>
                <w:b w:val="0"/>
                <w:bCs w:val="0"/>
                <w:color w:val="auto"/>
                <w:kern w:val="0"/>
                <w:sz w:val="20"/>
                <w:szCs w:val="20"/>
                <w:highlight w:val="none"/>
                <w:lang w:val="en-US" w:eastAsia="zh-CN" w:bidi="ar-SA"/>
              </w:rPr>
            </w:pPr>
          </w:p>
        </w:tc>
      </w:tr>
      <w:tr w14:paraId="2E3DA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6D4DDE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904</w:t>
            </w:r>
          </w:p>
        </w:tc>
        <w:tc>
          <w:tcPr>
            <w:tcW w:w="720" w:type="dxa"/>
            <w:vMerge w:val="continue"/>
            <w:vAlign w:val="center"/>
          </w:tcPr>
          <w:p w14:paraId="37B124B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B376B33">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03E5F4E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分诊信息查询</w:t>
            </w:r>
          </w:p>
        </w:tc>
        <w:tc>
          <w:tcPr>
            <w:tcW w:w="5841" w:type="dxa"/>
            <w:vAlign w:val="center"/>
          </w:tcPr>
          <w:p w14:paraId="4C585DE7">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(1)查看患者分诊信息详情，查看患者诉/症状、生命体征和评分内容。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(2)医生根据患者病情实际情况，修改分诊等级，并说明修改理由。</w:t>
            </w:r>
          </w:p>
        </w:tc>
        <w:tc>
          <w:tcPr>
            <w:tcW w:w="733" w:type="dxa"/>
            <w:vMerge w:val="continue"/>
            <w:vAlign w:val="center"/>
          </w:tcPr>
          <w:p w14:paraId="578DC7D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CDC71EA">
            <w:pPr>
              <w:jc w:val="center"/>
              <w:rPr>
                <w:rFonts w:hint="eastAsia" w:ascii="宋体" w:hAnsi="宋体" w:eastAsia="宋体" w:cs="宋体"/>
                <w:b w:val="0"/>
                <w:bCs w:val="0"/>
                <w:color w:val="auto"/>
                <w:kern w:val="0"/>
                <w:sz w:val="20"/>
                <w:szCs w:val="20"/>
                <w:highlight w:val="none"/>
                <w:lang w:val="en-US" w:eastAsia="zh-CN" w:bidi="ar-SA"/>
              </w:rPr>
            </w:pPr>
          </w:p>
        </w:tc>
      </w:tr>
      <w:tr w14:paraId="738E7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B7E200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905</w:t>
            </w:r>
          </w:p>
        </w:tc>
        <w:tc>
          <w:tcPr>
            <w:tcW w:w="720" w:type="dxa"/>
            <w:vMerge w:val="continue"/>
            <w:vAlign w:val="center"/>
          </w:tcPr>
          <w:p w14:paraId="533FCE6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B01554B">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12DAADC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诊断管理</w:t>
            </w:r>
          </w:p>
        </w:tc>
        <w:tc>
          <w:tcPr>
            <w:tcW w:w="5841" w:type="dxa"/>
            <w:vAlign w:val="center"/>
          </w:tcPr>
          <w:p w14:paraId="6E2B4E10">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(1)医生快速维护主诊断、子诊断的功能。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(2)ICD10标准诊断库与手工录入诊断两种方式，诊断信息自动引用在病历中。</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(3)医生根据病情诊疗情况，可对初步诊断进行确认或修订；</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(4)诊断可调整顺序的功能，可区分主要诊断与次要诊断；</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(5)可推送诊断数据至院内HIS、集成平台等系统；</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(6)可设置个人常用诊断，并提供维护功能。</w:t>
            </w:r>
          </w:p>
        </w:tc>
        <w:tc>
          <w:tcPr>
            <w:tcW w:w="733" w:type="dxa"/>
            <w:vMerge w:val="continue"/>
            <w:vAlign w:val="center"/>
          </w:tcPr>
          <w:p w14:paraId="1B648D5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4D226D6">
            <w:pPr>
              <w:jc w:val="center"/>
              <w:rPr>
                <w:rFonts w:hint="eastAsia" w:ascii="宋体" w:hAnsi="宋体" w:eastAsia="宋体" w:cs="宋体"/>
                <w:b w:val="0"/>
                <w:bCs w:val="0"/>
                <w:color w:val="auto"/>
                <w:kern w:val="0"/>
                <w:sz w:val="20"/>
                <w:szCs w:val="20"/>
                <w:highlight w:val="none"/>
                <w:lang w:val="en-US" w:eastAsia="zh-CN" w:bidi="ar-SA"/>
              </w:rPr>
            </w:pPr>
          </w:p>
        </w:tc>
      </w:tr>
      <w:tr w14:paraId="5727A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D1F7A7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906</w:t>
            </w:r>
          </w:p>
        </w:tc>
        <w:tc>
          <w:tcPr>
            <w:tcW w:w="720" w:type="dxa"/>
            <w:vMerge w:val="continue"/>
            <w:vAlign w:val="center"/>
          </w:tcPr>
          <w:p w14:paraId="0105BCF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16722A1">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3265E6F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一键转归</w:t>
            </w:r>
          </w:p>
        </w:tc>
        <w:tc>
          <w:tcPr>
            <w:tcW w:w="5841" w:type="dxa"/>
            <w:vAlign w:val="center"/>
          </w:tcPr>
          <w:p w14:paraId="5263F86F">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医生依据患者情况，指定患者去向；患者自由转归，系统记录（转抢救区/转留观区/转住院/转手术室/转外院/死亡/离院）；患者换住院时，可以选择住院科室；</w:t>
            </w:r>
          </w:p>
        </w:tc>
        <w:tc>
          <w:tcPr>
            <w:tcW w:w="733" w:type="dxa"/>
            <w:vMerge w:val="continue"/>
            <w:vAlign w:val="center"/>
          </w:tcPr>
          <w:p w14:paraId="4026047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547103F">
            <w:pPr>
              <w:jc w:val="center"/>
              <w:rPr>
                <w:rFonts w:hint="eastAsia" w:ascii="宋体" w:hAnsi="宋体" w:eastAsia="宋体" w:cs="宋体"/>
                <w:b w:val="0"/>
                <w:bCs w:val="0"/>
                <w:color w:val="auto"/>
                <w:kern w:val="0"/>
                <w:sz w:val="20"/>
                <w:szCs w:val="20"/>
                <w:highlight w:val="none"/>
                <w:lang w:val="en-US" w:eastAsia="zh-CN" w:bidi="ar-SA"/>
              </w:rPr>
            </w:pPr>
          </w:p>
        </w:tc>
      </w:tr>
      <w:tr w14:paraId="1AE4E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D51F4E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907</w:t>
            </w:r>
          </w:p>
        </w:tc>
        <w:tc>
          <w:tcPr>
            <w:tcW w:w="720" w:type="dxa"/>
            <w:vMerge w:val="continue"/>
            <w:vAlign w:val="center"/>
          </w:tcPr>
          <w:p w14:paraId="494B576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866EBBC">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49D12C8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病情评估</w:t>
            </w:r>
          </w:p>
        </w:tc>
        <w:tc>
          <w:tcPr>
            <w:tcW w:w="5841" w:type="dxa"/>
            <w:vAlign w:val="center"/>
          </w:tcPr>
          <w:p w14:paraId="46DF5C56">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(1)病情评估，当患者病情变化时，医生可以快速为患者进行评估。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(2)某个评估量表可对患者进行多次评估，历次评分内容可查。</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(3)评估量表主观数据快速点选，自动计算分值。</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(4)评估量表所见即所得打印功能。</w:t>
            </w:r>
          </w:p>
        </w:tc>
        <w:tc>
          <w:tcPr>
            <w:tcW w:w="733" w:type="dxa"/>
            <w:vMerge w:val="continue"/>
            <w:vAlign w:val="center"/>
          </w:tcPr>
          <w:p w14:paraId="6F6F4DF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4D0CEE0">
            <w:pPr>
              <w:jc w:val="center"/>
              <w:rPr>
                <w:rFonts w:hint="eastAsia" w:ascii="宋体" w:hAnsi="宋体" w:eastAsia="宋体" w:cs="宋体"/>
                <w:b w:val="0"/>
                <w:bCs w:val="0"/>
                <w:color w:val="auto"/>
                <w:kern w:val="0"/>
                <w:sz w:val="20"/>
                <w:szCs w:val="20"/>
                <w:highlight w:val="none"/>
                <w:lang w:val="en-US" w:eastAsia="zh-CN" w:bidi="ar-SA"/>
              </w:rPr>
            </w:pPr>
          </w:p>
        </w:tc>
      </w:tr>
      <w:tr w14:paraId="5E745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635078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908</w:t>
            </w:r>
          </w:p>
        </w:tc>
        <w:tc>
          <w:tcPr>
            <w:tcW w:w="720" w:type="dxa"/>
            <w:vMerge w:val="continue"/>
            <w:vAlign w:val="center"/>
          </w:tcPr>
          <w:p w14:paraId="3D84E4E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793561C">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6116E86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检查检验报告</w:t>
            </w:r>
          </w:p>
        </w:tc>
        <w:tc>
          <w:tcPr>
            <w:tcW w:w="5841" w:type="dxa"/>
            <w:vAlign w:val="center"/>
          </w:tcPr>
          <w:p w14:paraId="40290F4F">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(1)与LIS\PACS\HIS系统或者集成平台对接，调阅检查检验结果，包括图像报告和文字报告，调阅病人历史就诊信息；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(2)查看检查项目及子项目。如查看报告时间、报告内容。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(3)在条件允许的情况下，对接心电系统，查看心电图报告内容。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(4)查看检验项目及检验结果值，同时对异常结果进行标记。</w:t>
            </w:r>
          </w:p>
        </w:tc>
        <w:tc>
          <w:tcPr>
            <w:tcW w:w="733" w:type="dxa"/>
            <w:vMerge w:val="continue"/>
            <w:vAlign w:val="center"/>
          </w:tcPr>
          <w:p w14:paraId="77C8C31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11DC9B5">
            <w:pPr>
              <w:jc w:val="center"/>
              <w:rPr>
                <w:rFonts w:hint="eastAsia" w:ascii="宋体" w:hAnsi="宋体" w:eastAsia="宋体" w:cs="宋体"/>
                <w:b w:val="0"/>
                <w:bCs w:val="0"/>
                <w:color w:val="auto"/>
                <w:kern w:val="0"/>
                <w:sz w:val="20"/>
                <w:szCs w:val="20"/>
                <w:highlight w:val="none"/>
                <w:lang w:val="en-US" w:eastAsia="zh-CN" w:bidi="ar-SA"/>
              </w:rPr>
            </w:pPr>
          </w:p>
        </w:tc>
      </w:tr>
      <w:tr w14:paraId="70E56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5829B0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909</w:t>
            </w:r>
          </w:p>
        </w:tc>
        <w:tc>
          <w:tcPr>
            <w:tcW w:w="720" w:type="dxa"/>
            <w:vMerge w:val="continue"/>
            <w:vAlign w:val="center"/>
          </w:tcPr>
          <w:p w14:paraId="5D5D1C1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5F6FB63">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6C78E34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传染病上报</w:t>
            </w:r>
          </w:p>
        </w:tc>
        <w:tc>
          <w:tcPr>
            <w:tcW w:w="5841" w:type="dxa"/>
            <w:vAlign w:val="center"/>
          </w:tcPr>
          <w:p w14:paraId="715A0773">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对有传染病的患者，进行登记上报，在HIS允许的情况下，系统对接HIS，将传染病患者数据同步到HIS系统。</w:t>
            </w:r>
          </w:p>
        </w:tc>
        <w:tc>
          <w:tcPr>
            <w:tcW w:w="733" w:type="dxa"/>
            <w:vMerge w:val="continue"/>
            <w:vAlign w:val="center"/>
          </w:tcPr>
          <w:p w14:paraId="2C83A7F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ECBEC1A">
            <w:pPr>
              <w:jc w:val="center"/>
              <w:rPr>
                <w:rFonts w:hint="eastAsia" w:ascii="宋体" w:hAnsi="宋体" w:eastAsia="宋体" w:cs="宋体"/>
                <w:b w:val="0"/>
                <w:bCs w:val="0"/>
                <w:color w:val="auto"/>
                <w:kern w:val="0"/>
                <w:sz w:val="20"/>
                <w:szCs w:val="20"/>
                <w:highlight w:val="none"/>
                <w:lang w:val="en-US" w:eastAsia="zh-CN" w:bidi="ar-SA"/>
              </w:rPr>
            </w:pPr>
          </w:p>
        </w:tc>
      </w:tr>
      <w:tr w14:paraId="16C30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69453E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910</w:t>
            </w:r>
          </w:p>
        </w:tc>
        <w:tc>
          <w:tcPr>
            <w:tcW w:w="720" w:type="dxa"/>
            <w:vMerge w:val="continue"/>
            <w:vAlign w:val="center"/>
          </w:tcPr>
          <w:p w14:paraId="76D3F0C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10D9C82">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7324846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住院登记</w:t>
            </w:r>
          </w:p>
        </w:tc>
        <w:tc>
          <w:tcPr>
            <w:tcW w:w="5841" w:type="dxa"/>
            <w:vAlign w:val="center"/>
          </w:tcPr>
          <w:p w14:paraId="7C5254B6">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对有传染病的患者，进行登记上报，在HIS允许的情况下，系统对接HIS，将传染病患者数据同步到HIS系统。</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针对转住院患者，进行住院登记，在HIS允许的情况下，系统对接HIS，将申请单同步到HIS系统，实现数据多跑路，患者少跑腿。</w:t>
            </w:r>
          </w:p>
        </w:tc>
        <w:tc>
          <w:tcPr>
            <w:tcW w:w="733" w:type="dxa"/>
            <w:vMerge w:val="continue"/>
            <w:vAlign w:val="center"/>
          </w:tcPr>
          <w:p w14:paraId="02DD946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2FEECFE">
            <w:pPr>
              <w:jc w:val="center"/>
              <w:rPr>
                <w:rFonts w:hint="eastAsia" w:ascii="宋体" w:hAnsi="宋体" w:eastAsia="宋体" w:cs="宋体"/>
                <w:b w:val="0"/>
                <w:bCs w:val="0"/>
                <w:color w:val="auto"/>
                <w:kern w:val="0"/>
                <w:sz w:val="20"/>
                <w:szCs w:val="20"/>
                <w:highlight w:val="none"/>
                <w:lang w:val="en-US" w:eastAsia="zh-CN" w:bidi="ar-SA"/>
              </w:rPr>
            </w:pPr>
          </w:p>
        </w:tc>
      </w:tr>
      <w:tr w14:paraId="51D31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61C662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911</w:t>
            </w:r>
          </w:p>
        </w:tc>
        <w:tc>
          <w:tcPr>
            <w:tcW w:w="720" w:type="dxa"/>
            <w:vMerge w:val="continue"/>
            <w:vAlign w:val="center"/>
          </w:tcPr>
          <w:p w14:paraId="2D6F7E1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E9A9F30">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61F4601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手术登记</w:t>
            </w:r>
          </w:p>
        </w:tc>
        <w:tc>
          <w:tcPr>
            <w:tcW w:w="5841" w:type="dxa"/>
            <w:vAlign w:val="center"/>
          </w:tcPr>
          <w:p w14:paraId="1D6DDA01">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对病情严重需要手术治疗的患者，进行手术登记，并对接手麻系统，预约手术日期、手术科室、基本检验项目结果，为患者建立快速应急通道。</w:t>
            </w:r>
          </w:p>
        </w:tc>
        <w:tc>
          <w:tcPr>
            <w:tcW w:w="733" w:type="dxa"/>
            <w:vMerge w:val="continue"/>
            <w:vAlign w:val="center"/>
          </w:tcPr>
          <w:p w14:paraId="7039439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A1DE22A">
            <w:pPr>
              <w:jc w:val="center"/>
              <w:rPr>
                <w:rFonts w:hint="eastAsia" w:ascii="宋体" w:hAnsi="宋体" w:eastAsia="宋体" w:cs="宋体"/>
                <w:b w:val="0"/>
                <w:bCs w:val="0"/>
                <w:color w:val="auto"/>
                <w:kern w:val="0"/>
                <w:sz w:val="20"/>
                <w:szCs w:val="20"/>
                <w:highlight w:val="none"/>
                <w:lang w:val="en-US" w:eastAsia="zh-CN" w:bidi="ar-SA"/>
              </w:rPr>
            </w:pPr>
          </w:p>
        </w:tc>
      </w:tr>
      <w:tr w14:paraId="03656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8C65E9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912</w:t>
            </w:r>
          </w:p>
        </w:tc>
        <w:tc>
          <w:tcPr>
            <w:tcW w:w="720" w:type="dxa"/>
            <w:vMerge w:val="continue"/>
            <w:vAlign w:val="center"/>
          </w:tcPr>
          <w:p w14:paraId="2F9BD7F6">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43EAE98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急诊留观/抢救护士站</w:t>
            </w:r>
          </w:p>
        </w:tc>
        <w:tc>
          <w:tcPr>
            <w:tcW w:w="884" w:type="dxa"/>
            <w:vAlign w:val="center"/>
          </w:tcPr>
          <w:p w14:paraId="220A794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患者管理</w:t>
            </w:r>
          </w:p>
        </w:tc>
        <w:tc>
          <w:tcPr>
            <w:tcW w:w="5841" w:type="dxa"/>
            <w:vAlign w:val="center"/>
          </w:tcPr>
          <w:p w14:paraId="01BCAB9D">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(1)显示抢救、留观患者列表，按区域筛选患者列表，按患者就诊状态筛选患者列表，例如全部、待诊、已诊、已结束状态</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(2)按照抢救、留观床位的分布情况，以床卡和列表的形式展示患者床位信息，展示信息可配置。</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(3)显示科室患者列表，支持按患者就诊去向、不同区域进行患者筛选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(4)通过刷身份证、医保卡、就诊卡快速进行患者筛选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(5)输入患者姓名、就诊号快速进行患者筛选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(6)标记患者家属是否已做核酸、标记患者是否弃诊。</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(7)查看患者分诊信息详情，查看患者诉/症状、生命体征和评分内容。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(8)患者基本信息错误，HIS系统更改后，通过读卡、输入门诊号方式同步患者信息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(9)护士根据患者病情实际情况，修改分诊等级，并说明修改理由。</w:t>
            </w:r>
          </w:p>
        </w:tc>
        <w:tc>
          <w:tcPr>
            <w:tcW w:w="733" w:type="dxa"/>
            <w:vMerge w:val="restart"/>
            <w:vAlign w:val="center"/>
          </w:tcPr>
          <w:p w14:paraId="3606085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26C5F6B9">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w:t>
            </w:r>
          </w:p>
        </w:tc>
      </w:tr>
      <w:tr w14:paraId="11B0A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7017E6F">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913</w:t>
            </w:r>
          </w:p>
        </w:tc>
        <w:tc>
          <w:tcPr>
            <w:tcW w:w="720" w:type="dxa"/>
            <w:vMerge w:val="continue"/>
            <w:vAlign w:val="center"/>
          </w:tcPr>
          <w:p w14:paraId="238D5A7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AFEC326">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681BDDA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床位管理</w:t>
            </w:r>
          </w:p>
        </w:tc>
        <w:tc>
          <w:tcPr>
            <w:tcW w:w="5841" w:type="dxa"/>
            <w:vAlign w:val="center"/>
          </w:tcPr>
          <w:p w14:paraId="16A91855">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(1)灵活的床位管理，支持为空床分配患者，支持以卡片和列表的形式表达患者信息、滞留时间、诊断、病情等级、是否绿通情况。</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(2)护士所见即所得，快速操作，例如补打腕带，查看患者病情详细情况、为患者指明去向，取消入室。</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(3)在床卡上直接看到患者的滞留时间；空床的床卡，护士右键可以患者分配；非空床的床卡，护士右键更换床位、单击查看患者的入室信息。</w:t>
            </w:r>
          </w:p>
        </w:tc>
        <w:tc>
          <w:tcPr>
            <w:tcW w:w="733" w:type="dxa"/>
            <w:vMerge w:val="continue"/>
            <w:vAlign w:val="center"/>
          </w:tcPr>
          <w:p w14:paraId="63A1270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0DC487C">
            <w:pPr>
              <w:jc w:val="center"/>
              <w:rPr>
                <w:rFonts w:hint="eastAsia" w:ascii="宋体" w:hAnsi="宋体" w:eastAsia="宋体" w:cs="宋体"/>
                <w:b w:val="0"/>
                <w:bCs w:val="0"/>
                <w:color w:val="auto"/>
                <w:kern w:val="0"/>
                <w:sz w:val="20"/>
                <w:szCs w:val="20"/>
                <w:highlight w:val="none"/>
                <w:lang w:val="en-US" w:eastAsia="zh-CN" w:bidi="ar-SA"/>
              </w:rPr>
            </w:pPr>
          </w:p>
        </w:tc>
      </w:tr>
      <w:tr w14:paraId="1B62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4948F97">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914</w:t>
            </w:r>
          </w:p>
        </w:tc>
        <w:tc>
          <w:tcPr>
            <w:tcW w:w="720" w:type="dxa"/>
            <w:vMerge w:val="continue"/>
            <w:vAlign w:val="center"/>
          </w:tcPr>
          <w:p w14:paraId="756ACD4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946D2E9">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20CAD0B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医嘱执行</w:t>
            </w:r>
          </w:p>
        </w:tc>
        <w:tc>
          <w:tcPr>
            <w:tcW w:w="5841" w:type="dxa"/>
            <w:vAlign w:val="center"/>
          </w:tcPr>
          <w:p w14:paraId="3AB76B00">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(1)医嘱核对与执行；支持同步电子医嘱中的医嘱信息，并将医嘱进行分类，方便医护人员核对、执行医嘱；支持显示医嘱的具体名称、剂量、单位、途径、用法等内容；执行后的医嘱可导入到抢救记录单中；</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(2)勾选多项医嘱批量核对或者逐条选择医嘱进行核对，同时支持取消核对功能，并记录核对时间与核对人。</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(3)勾选多项批量或者逐条执行医嘱，护士支持选择执行内容是否写入护理记录中；医嘱执行完成系统自动更改本条医嘱状态并记录执行信息。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(4)工作时显示有效医嘱，支持按照药品、处置、检验、检查、手术、治疗医嘱类别显示医嘱，区分历史医嘱和新开立医嘱。</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(5)医嘱下达后，自动进行分方功能。系统根据医生的给药途径、频次、药物类别、备注信息，自动拆分医嘱，辅助护士快速执行</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(6)在患者病情变化时，护士可以多次执行输液医嘱，并且根据实际情况设置备用量，系统会根据剂量自动计算实际入量也可手动更改。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(7)医生开立的皮试医嘱，护士可以录入皮试结果（阴性、阳性）并记录皮试时间，针对阳性说明理由；</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(8)在患者情况变化时，提供对已执行和未执行医嘱停用进行备注功能，包括抢救用药备注。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(9)针对转归患者，提供隐藏门诊医嘱，方便抢救留观护士快速完成医嘱执行操作。</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(10)护士在执行医嘱的过程中，针对未执行及已执行的医嘱进行输液贴打印，同时可以补打患者床头卡。</w:t>
            </w:r>
          </w:p>
        </w:tc>
        <w:tc>
          <w:tcPr>
            <w:tcW w:w="733" w:type="dxa"/>
            <w:vMerge w:val="continue"/>
            <w:vAlign w:val="center"/>
          </w:tcPr>
          <w:p w14:paraId="77F420E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2BF1E4B">
            <w:pPr>
              <w:jc w:val="center"/>
              <w:rPr>
                <w:rFonts w:hint="eastAsia" w:ascii="宋体" w:hAnsi="宋体" w:eastAsia="宋体" w:cs="宋体"/>
                <w:b w:val="0"/>
                <w:bCs w:val="0"/>
                <w:color w:val="auto"/>
                <w:kern w:val="0"/>
                <w:sz w:val="20"/>
                <w:szCs w:val="20"/>
                <w:highlight w:val="none"/>
                <w:lang w:val="en-US" w:eastAsia="zh-CN" w:bidi="ar-SA"/>
              </w:rPr>
            </w:pPr>
          </w:p>
        </w:tc>
      </w:tr>
      <w:tr w14:paraId="7494D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EC34E2B">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915</w:t>
            </w:r>
          </w:p>
        </w:tc>
        <w:tc>
          <w:tcPr>
            <w:tcW w:w="720" w:type="dxa"/>
            <w:vMerge w:val="continue"/>
            <w:vAlign w:val="center"/>
          </w:tcPr>
          <w:p w14:paraId="3D5771B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2FB4F18">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2930E87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护理记录</w:t>
            </w:r>
          </w:p>
        </w:tc>
        <w:tc>
          <w:tcPr>
            <w:tcW w:w="5841" w:type="dxa"/>
            <w:vAlign w:val="center"/>
          </w:tcPr>
          <w:p w14:paraId="0412444D">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(1)点选快速完成护理记录的功能，支持定时采集患者床旁生命体征数据并进行记录，提供采集生命体征导入到护理记录或者手工录入。</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(2)提供多种评估表单，内置到护理记录中，支持护士在完成护理操作记录的同事，点点选选快速完成自理能力评估、压疮评分、跌倒评分、疼痛评分、营养风险筛查、静脉血栓栓塞症风险因素评分、网络脱落危险因素评估。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护士支持跟患者情况变化，随时维护出入量详细信息，支持自动将输液医嘱及实际入量写回出入量；支持点选弹出页面，护士可以维护入量和出量信息；支持提供入出量名称数据集，护士可以输入快捷键快速查找定位；针对出量不仅能表达名称，而且支持表达颜色性状；支持自动计算出量和入量合计；</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(4)出入量快速统计功能，支持按照24小时内，患者转入抢救留观后以及自定义时间段方式，自动统计出入量值，并将结果写回护理记录中</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(5)提供工具辅助护士快速完成病情观察情况信息，支持护士选择医嘱信息写回护理记录，支持护士选择检验结果写回护理记录，支持选择检查结果写回护理记录，支持从护理文书中选择内容写回护理记录。</w:t>
            </w:r>
          </w:p>
        </w:tc>
        <w:tc>
          <w:tcPr>
            <w:tcW w:w="733" w:type="dxa"/>
            <w:vMerge w:val="continue"/>
            <w:vAlign w:val="center"/>
          </w:tcPr>
          <w:p w14:paraId="6748C9C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4807578">
            <w:pPr>
              <w:jc w:val="center"/>
              <w:rPr>
                <w:rFonts w:hint="eastAsia" w:ascii="宋体" w:hAnsi="宋体" w:eastAsia="宋体" w:cs="宋体"/>
                <w:b w:val="0"/>
                <w:bCs w:val="0"/>
                <w:color w:val="auto"/>
                <w:kern w:val="0"/>
                <w:sz w:val="20"/>
                <w:szCs w:val="20"/>
                <w:highlight w:val="none"/>
                <w:lang w:val="en-US" w:eastAsia="zh-CN" w:bidi="ar-SA"/>
              </w:rPr>
            </w:pPr>
          </w:p>
        </w:tc>
      </w:tr>
      <w:tr w14:paraId="48D0B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3837089">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916</w:t>
            </w:r>
          </w:p>
        </w:tc>
        <w:tc>
          <w:tcPr>
            <w:tcW w:w="720" w:type="dxa"/>
            <w:vMerge w:val="continue"/>
            <w:vAlign w:val="center"/>
          </w:tcPr>
          <w:p w14:paraId="32F34A2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DAF68D6">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0F912AD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检查检验报告</w:t>
            </w:r>
          </w:p>
        </w:tc>
        <w:tc>
          <w:tcPr>
            <w:tcW w:w="5841" w:type="dxa"/>
            <w:vAlign w:val="center"/>
          </w:tcPr>
          <w:p w14:paraId="3DEF0CAD">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(1)有权限的护士可以调阅检查项目结果，查看检验项目及报告内容、诊断所见、检查部位信息，在条件允许的情况下，调阅患者历史就诊信息；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(2)在权限允许的条件下，护士调阅患者检验报告，查看患者急诊历次检验项目以及检验结果值；支持区分检验结果异常值标记。</w:t>
            </w:r>
          </w:p>
        </w:tc>
        <w:tc>
          <w:tcPr>
            <w:tcW w:w="733" w:type="dxa"/>
            <w:vMerge w:val="continue"/>
            <w:vAlign w:val="center"/>
          </w:tcPr>
          <w:p w14:paraId="5406832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DA13F66">
            <w:pPr>
              <w:jc w:val="center"/>
              <w:rPr>
                <w:rFonts w:hint="eastAsia" w:ascii="宋体" w:hAnsi="宋体" w:eastAsia="宋体" w:cs="宋体"/>
                <w:b w:val="0"/>
                <w:bCs w:val="0"/>
                <w:color w:val="auto"/>
                <w:kern w:val="0"/>
                <w:sz w:val="20"/>
                <w:szCs w:val="20"/>
                <w:highlight w:val="none"/>
                <w:lang w:val="en-US" w:eastAsia="zh-CN" w:bidi="ar-SA"/>
              </w:rPr>
            </w:pPr>
          </w:p>
        </w:tc>
      </w:tr>
      <w:tr w14:paraId="05F4C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DD4CCE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917</w:t>
            </w:r>
          </w:p>
        </w:tc>
        <w:tc>
          <w:tcPr>
            <w:tcW w:w="720" w:type="dxa"/>
            <w:vMerge w:val="continue"/>
            <w:vAlign w:val="center"/>
          </w:tcPr>
          <w:p w14:paraId="2EDF124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21A7123">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3F53592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管路维护</w:t>
            </w:r>
          </w:p>
        </w:tc>
        <w:tc>
          <w:tcPr>
            <w:tcW w:w="5841" w:type="dxa"/>
            <w:vAlign w:val="center"/>
          </w:tcPr>
          <w:p w14:paraId="311761AB">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(1)3D人体模型，直观展示管路插管情况，按照成人、婴幼儿不同阶段展示3D人体图。</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(2)3D人体模型，按照前侧、后侧、左侧、右侧任意切换，自定义设置部位区域；点击部位快速添加和维护管路状态，</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(3)对插管部位、材料、类型、管路名称、置管深度、插管时间的维护。</w:t>
            </w:r>
          </w:p>
        </w:tc>
        <w:tc>
          <w:tcPr>
            <w:tcW w:w="733" w:type="dxa"/>
            <w:vMerge w:val="continue"/>
            <w:vAlign w:val="center"/>
          </w:tcPr>
          <w:p w14:paraId="4E07509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0B66905">
            <w:pPr>
              <w:jc w:val="center"/>
              <w:rPr>
                <w:rFonts w:hint="eastAsia" w:ascii="宋体" w:hAnsi="宋体" w:eastAsia="宋体" w:cs="宋体"/>
                <w:b w:val="0"/>
                <w:bCs w:val="0"/>
                <w:color w:val="auto"/>
                <w:kern w:val="0"/>
                <w:sz w:val="20"/>
                <w:szCs w:val="20"/>
                <w:highlight w:val="none"/>
                <w:lang w:val="en-US" w:eastAsia="zh-CN" w:bidi="ar-SA"/>
              </w:rPr>
            </w:pPr>
          </w:p>
        </w:tc>
      </w:tr>
      <w:tr w14:paraId="3CE1C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BF708B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918</w:t>
            </w:r>
          </w:p>
        </w:tc>
        <w:tc>
          <w:tcPr>
            <w:tcW w:w="720" w:type="dxa"/>
            <w:vMerge w:val="continue"/>
            <w:vAlign w:val="center"/>
          </w:tcPr>
          <w:p w14:paraId="3BE4EB7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9B5F3AD">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77208BC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皮肤护理</w:t>
            </w:r>
          </w:p>
        </w:tc>
        <w:tc>
          <w:tcPr>
            <w:tcW w:w="5841" w:type="dxa"/>
            <w:vAlign w:val="center"/>
          </w:tcPr>
          <w:p w14:paraId="336A1CE5">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(1)3D人体模型，直观展示皮肤情况，可在患者的不同部位上添加压疮或非压疮的皮肤处置操作，填写压疮报告单。</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(2)3D人体模型，从前侧、后侧、左侧、右侧四个维度分别展示，依据皮肤护理的要求自定义设置部位。</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(3)追踪已经添加的皮肤护理，提供相同部位快速添加新的皮肤护理记录。</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(4)压疮详细情况描述，例如：分泌物性状、压疮级别、压疮面积、处理措施、周边皮肤等。</w:t>
            </w:r>
          </w:p>
        </w:tc>
        <w:tc>
          <w:tcPr>
            <w:tcW w:w="733" w:type="dxa"/>
            <w:vMerge w:val="continue"/>
            <w:vAlign w:val="center"/>
          </w:tcPr>
          <w:p w14:paraId="415F083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18AB023">
            <w:pPr>
              <w:jc w:val="center"/>
              <w:rPr>
                <w:rFonts w:hint="eastAsia" w:ascii="宋体" w:hAnsi="宋体" w:eastAsia="宋体" w:cs="宋体"/>
                <w:b w:val="0"/>
                <w:bCs w:val="0"/>
                <w:color w:val="auto"/>
                <w:kern w:val="0"/>
                <w:sz w:val="20"/>
                <w:szCs w:val="20"/>
                <w:highlight w:val="none"/>
                <w:lang w:val="en-US" w:eastAsia="zh-CN" w:bidi="ar-SA"/>
              </w:rPr>
            </w:pPr>
          </w:p>
        </w:tc>
      </w:tr>
      <w:tr w14:paraId="04C08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153374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919</w:t>
            </w:r>
          </w:p>
        </w:tc>
        <w:tc>
          <w:tcPr>
            <w:tcW w:w="720" w:type="dxa"/>
            <w:vMerge w:val="continue"/>
            <w:vAlign w:val="center"/>
          </w:tcPr>
          <w:p w14:paraId="011956A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3C5503F">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260F392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护理文书</w:t>
            </w:r>
          </w:p>
        </w:tc>
        <w:tc>
          <w:tcPr>
            <w:tcW w:w="5841" w:type="dxa"/>
            <w:vAlign w:val="center"/>
          </w:tcPr>
          <w:p w14:paraId="521393BA">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(1)在授权允许的情况下，护士可以浏览患者急门诊病历、抢救病历、留观病历以及知情同意和告知书。</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(2)在输血系统允许的情况下，系统同步患者输血记录，辅助护士完成输血巡视并记录过程信息；支持记录输血开始和结束及相关责任人；支持巡视过程中记录患者状态以及患者体征情况。</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提供丰富的告知书模板库，支持护士填写压疮高危风险告知书、急诊患者预防坠床/跌倒告知书、儿童高危跌倒告知书、儿童高危压疮告知书、儿童患者安全告知书；支持患者基本信息自动导入告知书；支持同一患者创建多份相同告知书。</w:t>
            </w:r>
          </w:p>
        </w:tc>
        <w:tc>
          <w:tcPr>
            <w:tcW w:w="733" w:type="dxa"/>
            <w:vMerge w:val="continue"/>
            <w:vAlign w:val="center"/>
          </w:tcPr>
          <w:p w14:paraId="17648C0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7EA1382">
            <w:pPr>
              <w:jc w:val="center"/>
              <w:rPr>
                <w:rFonts w:hint="eastAsia" w:ascii="宋体" w:hAnsi="宋体" w:eastAsia="宋体" w:cs="宋体"/>
                <w:b w:val="0"/>
                <w:bCs w:val="0"/>
                <w:color w:val="auto"/>
                <w:kern w:val="0"/>
                <w:sz w:val="20"/>
                <w:szCs w:val="20"/>
                <w:highlight w:val="none"/>
                <w:lang w:val="en-US" w:eastAsia="zh-CN" w:bidi="ar-SA"/>
              </w:rPr>
            </w:pPr>
          </w:p>
        </w:tc>
      </w:tr>
      <w:tr w14:paraId="17C36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3D323E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920</w:t>
            </w:r>
          </w:p>
        </w:tc>
        <w:tc>
          <w:tcPr>
            <w:tcW w:w="720" w:type="dxa"/>
            <w:vMerge w:val="continue"/>
            <w:vAlign w:val="center"/>
          </w:tcPr>
          <w:p w14:paraId="5D4B6CC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90E60F3">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0358525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护理评分</w:t>
            </w:r>
          </w:p>
        </w:tc>
        <w:tc>
          <w:tcPr>
            <w:tcW w:w="5841" w:type="dxa"/>
            <w:vAlign w:val="center"/>
          </w:tcPr>
          <w:p w14:paraId="4F06B117">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(1)护士在患者情况变化时，随时创建急诊护理评估单、急诊创伤住院评估单、急诊转运单；具备查看多次评估单内容和结果的能力；支持评估内容和结果打印。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(2)提供丰富的评分模板，支持APACHEII评分、Barthe指数定量评分、跌倒压疮评分、Braden评分；护士随时对患者进行多次评分并查看评分结果；支持根据勾选内容，自动计算评分结果。</w:t>
            </w:r>
          </w:p>
        </w:tc>
        <w:tc>
          <w:tcPr>
            <w:tcW w:w="733" w:type="dxa"/>
            <w:vMerge w:val="continue"/>
            <w:vAlign w:val="center"/>
          </w:tcPr>
          <w:p w14:paraId="4CAE709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B4BCDC9">
            <w:pPr>
              <w:jc w:val="center"/>
              <w:rPr>
                <w:rFonts w:hint="eastAsia" w:ascii="宋体" w:hAnsi="宋体" w:eastAsia="宋体" w:cs="宋体"/>
                <w:b w:val="0"/>
                <w:bCs w:val="0"/>
                <w:color w:val="auto"/>
                <w:kern w:val="0"/>
                <w:sz w:val="20"/>
                <w:szCs w:val="20"/>
                <w:highlight w:val="none"/>
                <w:lang w:val="en-US" w:eastAsia="zh-CN" w:bidi="ar-SA"/>
              </w:rPr>
            </w:pPr>
          </w:p>
        </w:tc>
      </w:tr>
      <w:tr w14:paraId="3C61A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FEE3F7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921</w:t>
            </w:r>
          </w:p>
        </w:tc>
        <w:tc>
          <w:tcPr>
            <w:tcW w:w="720" w:type="dxa"/>
            <w:vMerge w:val="continue"/>
            <w:vAlign w:val="center"/>
          </w:tcPr>
          <w:p w14:paraId="1CEA0C4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4998207">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215E6E8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出入量</w:t>
            </w:r>
          </w:p>
        </w:tc>
        <w:tc>
          <w:tcPr>
            <w:tcW w:w="5841" w:type="dxa"/>
            <w:vAlign w:val="center"/>
          </w:tcPr>
          <w:p w14:paraId="6F14A37F">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(1)在抢救/留观室，辅助医生/护士分析患者体液平衡情况。</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(2)按天/小时显示入量和出量柱状图及液体平衡趋势图。</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(3)查看出入量明细。</w:t>
            </w:r>
          </w:p>
        </w:tc>
        <w:tc>
          <w:tcPr>
            <w:tcW w:w="733" w:type="dxa"/>
            <w:vMerge w:val="continue"/>
            <w:vAlign w:val="center"/>
          </w:tcPr>
          <w:p w14:paraId="42BFF44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A6C1D49">
            <w:pPr>
              <w:jc w:val="center"/>
              <w:rPr>
                <w:rFonts w:hint="eastAsia" w:ascii="宋体" w:hAnsi="宋体" w:eastAsia="宋体" w:cs="宋体"/>
                <w:b w:val="0"/>
                <w:bCs w:val="0"/>
                <w:color w:val="auto"/>
                <w:kern w:val="0"/>
                <w:sz w:val="20"/>
                <w:szCs w:val="20"/>
                <w:highlight w:val="none"/>
                <w:lang w:val="en-US" w:eastAsia="zh-CN" w:bidi="ar-SA"/>
              </w:rPr>
            </w:pPr>
          </w:p>
        </w:tc>
      </w:tr>
      <w:tr w14:paraId="63098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E2FCB9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922</w:t>
            </w:r>
          </w:p>
        </w:tc>
        <w:tc>
          <w:tcPr>
            <w:tcW w:w="720" w:type="dxa"/>
            <w:vMerge w:val="continue"/>
            <w:vAlign w:val="center"/>
          </w:tcPr>
          <w:p w14:paraId="750A5377">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6414A6C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电子医嘱集成</w:t>
            </w:r>
          </w:p>
        </w:tc>
        <w:tc>
          <w:tcPr>
            <w:tcW w:w="884" w:type="dxa"/>
            <w:vAlign w:val="center"/>
          </w:tcPr>
          <w:p w14:paraId="02B05FD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电子医嘱集成</w:t>
            </w:r>
          </w:p>
        </w:tc>
        <w:tc>
          <w:tcPr>
            <w:tcW w:w="5841" w:type="dxa"/>
            <w:vAlign w:val="center"/>
          </w:tcPr>
          <w:p w14:paraId="3259080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集成医院HIS医嘱页面，实现医嘱开立、保存、提交等功能</w:t>
            </w:r>
          </w:p>
        </w:tc>
        <w:tc>
          <w:tcPr>
            <w:tcW w:w="733" w:type="dxa"/>
            <w:vAlign w:val="center"/>
          </w:tcPr>
          <w:p w14:paraId="49EF7BC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79FD490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w:t>
            </w:r>
          </w:p>
        </w:tc>
      </w:tr>
      <w:tr w14:paraId="65EF0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9C43B9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923</w:t>
            </w:r>
          </w:p>
        </w:tc>
        <w:tc>
          <w:tcPr>
            <w:tcW w:w="720" w:type="dxa"/>
            <w:vMerge w:val="continue"/>
            <w:vAlign w:val="center"/>
          </w:tcPr>
          <w:p w14:paraId="4911784D">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2302095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急诊电子病历子系统</w:t>
            </w:r>
          </w:p>
        </w:tc>
        <w:tc>
          <w:tcPr>
            <w:tcW w:w="884" w:type="dxa"/>
            <w:vAlign w:val="center"/>
          </w:tcPr>
          <w:p w14:paraId="7FE0FBB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病历书写</w:t>
            </w:r>
          </w:p>
        </w:tc>
        <w:tc>
          <w:tcPr>
            <w:tcW w:w="5841" w:type="dxa"/>
            <w:vAlign w:val="center"/>
          </w:tcPr>
          <w:p w14:paraId="79124B5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(1)国家结构化电子病历规范和电子病历6级评审要求。</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(2)常用急诊门诊、急诊抢救、急诊留观各区域结构化电子病历书写功能。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(3)医护书写电子病历一体化展现，可以按角色权限创建修改和浏览。</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(4)在CA厂商条件允许的情况下，实现电子病历CA签名；支持电子签名手写板对接。</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(5)未签名草稿病历编辑，签名后的只允许签名者申请维护编辑</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(6)在手写板条件允许的情况下，支持跟手写板对接，实现通过手写板进行病历签名。</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(7)在病历录入中，能在任意位置插入图形图像，并对图形图像作标注，实现病历内容图文混编的格式。</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(8)勾选诊病历内容、检验结果、检查结果、治疗医嘱、药品医嘱、嘱托医嘱动态写回病历文书中；提供将选择文字设置为上下标功能。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(9)无打开电脑软键盘，支持将医学特殊符号插入病历文书中，例如℃，℉，‰，㎡，mmol 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(10)结构化录入，以元素为结点，对元素进行操作，选择你要的内容。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(11)自由文本录入，可在文中适当位置输入你要的文本信息。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(12)将书写完但未签名的病历进行保存，以防丢失。</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(13)既往病历浏览，在急救病历系统和住院病历系统允许的情况下，可以集成急救病历、住院病历形成完整病历。</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(14)常用语写回，例如既往史相关内容。支持生命体征写回到病历中。</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(15)知情同意书患者签字后电子化留档。</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(16)不带有痕迹信息的整洁打印。</w:t>
            </w:r>
          </w:p>
        </w:tc>
        <w:tc>
          <w:tcPr>
            <w:tcW w:w="733" w:type="dxa"/>
            <w:vMerge w:val="restart"/>
            <w:vAlign w:val="center"/>
          </w:tcPr>
          <w:p w14:paraId="33732F5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781EB24C">
            <w:pPr>
              <w:keepNext w:val="0"/>
              <w:keepLines w:val="0"/>
              <w:widowControl/>
              <w:suppressLineNumbers w:val="0"/>
              <w:jc w:val="center"/>
              <w:textAlignment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5.5</w:t>
            </w:r>
          </w:p>
        </w:tc>
      </w:tr>
      <w:tr w14:paraId="3D479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F113675">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924</w:t>
            </w:r>
          </w:p>
        </w:tc>
        <w:tc>
          <w:tcPr>
            <w:tcW w:w="720" w:type="dxa"/>
            <w:vMerge w:val="continue"/>
            <w:vAlign w:val="center"/>
          </w:tcPr>
          <w:p w14:paraId="600A390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F23B284">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1FC32E3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模板维护</w:t>
            </w:r>
          </w:p>
        </w:tc>
        <w:tc>
          <w:tcPr>
            <w:tcW w:w="5841" w:type="dxa"/>
            <w:vAlign w:val="center"/>
          </w:tcPr>
          <w:p w14:paraId="72AA6A1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(1)提供常用的急诊病历模板，包括急诊诊间、急诊抢救、留观急诊科常见病病历模板，例如急诊休克、心率失常、猝死、脑梗死抢救病历模板，胸痛胸闷、癫痫、脑梗死、抽搐、低钾血症急诊门诊病历模板。</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(2)病历模板配置工具，允许科室自己维护各种结构化病历模板。定制急诊门诊、抢救、留观各区域病历。</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(3)将病历另存为个人常用模板，提供自定义命名进行分类保存病历，支持保存为公共或个人进行查看，同时支持对常用模板的管理，进行查询、删除、重命名。</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(4)病历模板配置工具，支持急诊科自己维护各种结构化病历模板。</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(5)病历以XML格式存储，支持通过XML可完全恢复电子病历内容。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(6)在病历模板及文书中添加表格，支持同一患者资料的内部复制。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(7)病历以HTML、文本格式存储，在条件允许的情况下，可以被其他科室调阅。</w:t>
            </w:r>
          </w:p>
        </w:tc>
        <w:tc>
          <w:tcPr>
            <w:tcW w:w="733" w:type="dxa"/>
            <w:vMerge w:val="continue"/>
            <w:vAlign w:val="center"/>
          </w:tcPr>
          <w:p w14:paraId="7B72D12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E501D59">
            <w:pPr>
              <w:jc w:val="center"/>
              <w:rPr>
                <w:rFonts w:hint="eastAsia" w:ascii="宋体" w:hAnsi="宋体" w:eastAsia="宋体" w:cs="宋体"/>
                <w:b w:val="0"/>
                <w:bCs w:val="0"/>
                <w:color w:val="auto"/>
                <w:kern w:val="0"/>
                <w:sz w:val="20"/>
                <w:szCs w:val="20"/>
                <w:highlight w:val="none"/>
                <w:lang w:val="en-US" w:eastAsia="zh-CN" w:bidi="ar-SA"/>
              </w:rPr>
            </w:pPr>
          </w:p>
        </w:tc>
      </w:tr>
      <w:tr w14:paraId="07DE7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9368925">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925</w:t>
            </w:r>
          </w:p>
        </w:tc>
        <w:tc>
          <w:tcPr>
            <w:tcW w:w="720" w:type="dxa"/>
            <w:vMerge w:val="continue"/>
            <w:vAlign w:val="center"/>
          </w:tcPr>
          <w:p w14:paraId="25C97A6F">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1E8E912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急诊会诊子系统</w:t>
            </w:r>
          </w:p>
        </w:tc>
        <w:tc>
          <w:tcPr>
            <w:tcW w:w="884" w:type="dxa"/>
            <w:vAlign w:val="center"/>
          </w:tcPr>
          <w:p w14:paraId="49DF9C2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会诊管理</w:t>
            </w:r>
          </w:p>
        </w:tc>
        <w:tc>
          <w:tcPr>
            <w:tcW w:w="5841" w:type="dxa"/>
            <w:vAlign w:val="center"/>
          </w:tcPr>
          <w:p w14:paraId="0C5B7F0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(1)护士会诊记录预览并打印。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(2)多科室同时申请护士会诊，并做多科室会诊记录。</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(3)护士会诊时会诊信息记录的功能，例如记录会诊时间、内容、人员、摘要意见、结果信息。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(4)护士会诊申请时从护理记录中导入信息。例如生命体征、病情观察记录。</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(5)医生会诊记录预览并打印。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(6)多科室同时申请医生会诊，并做多科室会诊记录。</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(7)会诊科室医生浏览器中书写会诊记录并查看。</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(8)医生会诊时会诊信息记录功能，例如记录会诊时间、内容、人员、摘要意见、结果信息。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(9)医生会诊申请时从病历中抽取患者主诉、现病史、诊断、体格检查信息。</w:t>
            </w:r>
          </w:p>
        </w:tc>
        <w:tc>
          <w:tcPr>
            <w:tcW w:w="733" w:type="dxa"/>
            <w:vAlign w:val="center"/>
          </w:tcPr>
          <w:p w14:paraId="5D2E994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2476556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33B02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F389F13">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926</w:t>
            </w:r>
          </w:p>
        </w:tc>
        <w:tc>
          <w:tcPr>
            <w:tcW w:w="720" w:type="dxa"/>
            <w:vMerge w:val="continue"/>
            <w:vAlign w:val="center"/>
          </w:tcPr>
          <w:p w14:paraId="7D80190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5333209">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1BDA635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会诊评价</w:t>
            </w:r>
          </w:p>
        </w:tc>
        <w:tc>
          <w:tcPr>
            <w:tcW w:w="5841" w:type="dxa"/>
            <w:vAlign w:val="center"/>
          </w:tcPr>
          <w:p w14:paraId="21B9868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(1)护士会诊时会诊状态标识，例如会诊开始、会诊结束、会诊评价。</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(2)医生会诊时会诊状态标识，例如会诊开始、会诊结束、会诊评价。</w:t>
            </w:r>
          </w:p>
        </w:tc>
        <w:tc>
          <w:tcPr>
            <w:tcW w:w="733" w:type="dxa"/>
            <w:vAlign w:val="center"/>
          </w:tcPr>
          <w:p w14:paraId="38218C1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116EDED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6774D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D743D7F">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927</w:t>
            </w:r>
          </w:p>
        </w:tc>
        <w:tc>
          <w:tcPr>
            <w:tcW w:w="720" w:type="dxa"/>
            <w:vMerge w:val="continue"/>
            <w:vAlign w:val="center"/>
          </w:tcPr>
          <w:p w14:paraId="3DE240F7">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306E64D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急诊交接班子系统</w:t>
            </w:r>
          </w:p>
        </w:tc>
        <w:tc>
          <w:tcPr>
            <w:tcW w:w="884" w:type="dxa"/>
            <w:vAlign w:val="center"/>
          </w:tcPr>
          <w:p w14:paraId="17DDD03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医生交接班</w:t>
            </w:r>
          </w:p>
        </w:tc>
        <w:tc>
          <w:tcPr>
            <w:tcW w:w="5841" w:type="dxa"/>
            <w:vAlign w:val="center"/>
          </w:tcPr>
          <w:p w14:paraId="19A468E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(1)医生交班时，交接班数据修改权限控制，接班后不许修改接班信息，只有本人接班才可以取消接班。</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(2)交接班记录内容，全部打印或者选择某几项打印功能。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(3)医护接班错误时取消接班功能。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(4)根据患者病情状态和交办描述，接班医生进行评语。</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(5)交接班时，在条件允许的情况下，对接CA系统，实现交接班医生/护士CA签名</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(6)医生交班时，本班次收住院病人自动统计和基本信息展现。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(7)医生交班时，入观、出观、在观人数自动统计，支持患者诊断、去向信息抓取</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(8)医生交班时，危重病人诊断、治疗方式、转住院情况从急诊诊疗和病历中自动抓取。</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(9)医生交班时本班次患者病情自动统计，例如病人总数、收住院人数、危重任务、死亡人数、入观人数。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(10)医生单次交接班记录内容同屏显示，无须翻页；支持交接班记录批量打印。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(11)根据医生排班规则，一键添加本月交接班信息，例如交班日期、交班时间、交班班次。</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支持可快速汇总急诊抢救、留观区域患者病情状态，按照患者病情归档交代事项以及收住院病人情况，快速生成交接班记录，降低医生人工统计和书写交接班记录时长。</w:t>
            </w:r>
          </w:p>
        </w:tc>
        <w:tc>
          <w:tcPr>
            <w:tcW w:w="733" w:type="dxa"/>
            <w:vMerge w:val="restart"/>
            <w:vAlign w:val="center"/>
          </w:tcPr>
          <w:p w14:paraId="057E24E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561EBCA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w:t>
            </w:r>
          </w:p>
        </w:tc>
      </w:tr>
      <w:tr w14:paraId="77EF3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88C5A1E">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928</w:t>
            </w:r>
          </w:p>
        </w:tc>
        <w:tc>
          <w:tcPr>
            <w:tcW w:w="720" w:type="dxa"/>
            <w:vMerge w:val="continue"/>
            <w:vAlign w:val="center"/>
          </w:tcPr>
          <w:p w14:paraId="60E5C0E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66414EF">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4030C4C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护士交接班</w:t>
            </w:r>
          </w:p>
        </w:tc>
        <w:tc>
          <w:tcPr>
            <w:tcW w:w="5841" w:type="dxa"/>
            <w:vAlign w:val="center"/>
          </w:tcPr>
          <w:p w14:paraId="063F2E7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(1)自动从护理记录中获得生命体征、护士描述信息。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(2)护士交班时，自动导入患者的病情记录、观察项、出入量、医嘱信息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(3)自动计算护士本班次收治人数、抢救人数、出车人数、出车车次。</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(4)每一个护士交接班记录内容同屏显示</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(5)护士交班时，护士交接班时间自动生成，交接班人信息。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(6)患者病情交班快速提取病人病情信息、诊断信息，按需调阅病人完整病历信息。支持SBAR交班模式，保证交班内容完整、准确、及时。</w:t>
            </w:r>
          </w:p>
        </w:tc>
        <w:tc>
          <w:tcPr>
            <w:tcW w:w="733" w:type="dxa"/>
            <w:vMerge w:val="continue"/>
            <w:vAlign w:val="center"/>
          </w:tcPr>
          <w:p w14:paraId="345E921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D0FEDD7">
            <w:pPr>
              <w:jc w:val="center"/>
              <w:rPr>
                <w:rFonts w:hint="eastAsia" w:ascii="宋体" w:hAnsi="宋体" w:eastAsia="宋体" w:cs="宋体"/>
                <w:b w:val="0"/>
                <w:bCs w:val="0"/>
                <w:color w:val="auto"/>
                <w:kern w:val="0"/>
                <w:sz w:val="20"/>
                <w:szCs w:val="20"/>
                <w:highlight w:val="none"/>
                <w:lang w:val="en-US" w:eastAsia="zh-CN" w:bidi="ar-SA"/>
              </w:rPr>
            </w:pPr>
          </w:p>
        </w:tc>
      </w:tr>
      <w:tr w14:paraId="436A4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E2682A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929</w:t>
            </w:r>
          </w:p>
        </w:tc>
        <w:tc>
          <w:tcPr>
            <w:tcW w:w="720" w:type="dxa"/>
            <w:vMerge w:val="continue"/>
            <w:vAlign w:val="center"/>
          </w:tcPr>
          <w:p w14:paraId="021372A7">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7C41915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急诊质控管理子系统</w:t>
            </w:r>
          </w:p>
        </w:tc>
        <w:tc>
          <w:tcPr>
            <w:tcW w:w="884" w:type="dxa"/>
            <w:vAlign w:val="center"/>
          </w:tcPr>
          <w:p w14:paraId="2243F68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急诊质控管理子系统</w:t>
            </w:r>
          </w:p>
        </w:tc>
        <w:tc>
          <w:tcPr>
            <w:tcW w:w="5841" w:type="dxa"/>
            <w:vAlign w:val="center"/>
          </w:tcPr>
          <w:p w14:paraId="7B95B4D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急诊质控子系统，主要用于对急诊科室就诊过程的质量监控。可以根据院方的要求配置统计内容，提供打印与导出功能。满足2015版急诊专业医疗质控指标统计，提供按照最新质控标准进行维护更新。</w:t>
            </w:r>
          </w:p>
        </w:tc>
        <w:tc>
          <w:tcPr>
            <w:tcW w:w="733" w:type="dxa"/>
            <w:vAlign w:val="center"/>
          </w:tcPr>
          <w:p w14:paraId="31C198C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698329D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w:t>
            </w:r>
          </w:p>
        </w:tc>
      </w:tr>
      <w:tr w14:paraId="3A451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58A9FD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930</w:t>
            </w:r>
          </w:p>
        </w:tc>
        <w:tc>
          <w:tcPr>
            <w:tcW w:w="720" w:type="dxa"/>
            <w:vMerge w:val="continue"/>
            <w:vAlign w:val="center"/>
          </w:tcPr>
          <w:p w14:paraId="3147AB16">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62B0CF3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急诊查询统计子系统</w:t>
            </w:r>
          </w:p>
        </w:tc>
        <w:tc>
          <w:tcPr>
            <w:tcW w:w="884" w:type="dxa"/>
            <w:vAlign w:val="center"/>
          </w:tcPr>
          <w:p w14:paraId="1259695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急诊查询统计子系统</w:t>
            </w:r>
          </w:p>
        </w:tc>
        <w:tc>
          <w:tcPr>
            <w:tcW w:w="5841" w:type="dxa"/>
            <w:vAlign w:val="center"/>
          </w:tcPr>
          <w:p w14:paraId="0BCF0FC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急诊查询子系统，提供全触点数据采集，多维度数据统计分析，可根据院方需求配置统计内容，统计的内容包括并不限于以下内容：输液统计、分诊统计、其他统计。</w:t>
            </w:r>
          </w:p>
        </w:tc>
        <w:tc>
          <w:tcPr>
            <w:tcW w:w="733" w:type="dxa"/>
            <w:vAlign w:val="center"/>
          </w:tcPr>
          <w:p w14:paraId="175E044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0645FF5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w:t>
            </w:r>
          </w:p>
        </w:tc>
      </w:tr>
      <w:tr w14:paraId="1BF77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E06053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931</w:t>
            </w:r>
          </w:p>
        </w:tc>
        <w:tc>
          <w:tcPr>
            <w:tcW w:w="720" w:type="dxa"/>
            <w:vMerge w:val="continue"/>
            <w:vAlign w:val="center"/>
          </w:tcPr>
          <w:p w14:paraId="40CFCB76">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6BDA1EB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接口集成</w:t>
            </w:r>
          </w:p>
        </w:tc>
        <w:tc>
          <w:tcPr>
            <w:tcW w:w="884" w:type="dxa"/>
            <w:vAlign w:val="center"/>
          </w:tcPr>
          <w:p w14:paraId="0CC4E3C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接口集成</w:t>
            </w:r>
          </w:p>
        </w:tc>
        <w:tc>
          <w:tcPr>
            <w:tcW w:w="5841" w:type="dxa"/>
            <w:vAlign w:val="center"/>
          </w:tcPr>
          <w:p w14:paraId="6E0DCDA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系统与医院在用HIS、LIS、PACS、EMR等相关信息系统的信息交互与集成。</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系统满足HL7、Web Service、ICD10 等标准和接口</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系统能够与医院现有设备的接口信息采集。</w:t>
            </w:r>
          </w:p>
        </w:tc>
        <w:tc>
          <w:tcPr>
            <w:tcW w:w="733" w:type="dxa"/>
            <w:vAlign w:val="center"/>
          </w:tcPr>
          <w:p w14:paraId="57F1B48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39F3C2E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5</w:t>
            </w:r>
          </w:p>
        </w:tc>
      </w:tr>
      <w:tr w14:paraId="637FE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983DA2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932</w:t>
            </w:r>
          </w:p>
        </w:tc>
        <w:tc>
          <w:tcPr>
            <w:tcW w:w="720" w:type="dxa"/>
            <w:vMerge w:val="continue"/>
            <w:vAlign w:val="center"/>
          </w:tcPr>
          <w:p w14:paraId="589860FC">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36BC11F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医疗设备数据采集平台</w:t>
            </w:r>
          </w:p>
        </w:tc>
        <w:tc>
          <w:tcPr>
            <w:tcW w:w="884" w:type="dxa"/>
            <w:vAlign w:val="center"/>
          </w:tcPr>
          <w:p w14:paraId="662F333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医疗设备对接</w:t>
            </w:r>
          </w:p>
        </w:tc>
        <w:tc>
          <w:tcPr>
            <w:tcW w:w="5841" w:type="dxa"/>
            <w:vAlign w:val="center"/>
          </w:tcPr>
          <w:p w14:paraId="318FB8E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（1）提供工业级且有自主定制的数据采集器来提供数据安全性稳定性；</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（2）生命体征采集系统为独立子系统，可独立运行。生命体征采集子系统的采集端和服务器端均为Linux操作系统，保障采集平台安全、高效、稳定，</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（3）自动采集所有医疗设备支持输出的参数数据，包括监护仪、呼吸机、心电图机、POCT、超声仪等，将获取的数据传输到转运医院。</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（4）网口采集数据，配置网口号，品牌，型号，通讯格式，采数间隔监护仪的 ip地址和端口号，本地的 ip地址和端口号，范围，延时参数，设备参数，配置。</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（5）串口采集数据，配置串口号，串口名，厂家，型号，通讯格式，采数间隔，急救车信息，延时参数，设备参数，属性，配置。</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支持无线功能可以配置，Dhcp ,功能可以配置，支持静态配置。</w:t>
            </w:r>
          </w:p>
        </w:tc>
        <w:tc>
          <w:tcPr>
            <w:tcW w:w="733" w:type="dxa"/>
            <w:vMerge w:val="restart"/>
            <w:vAlign w:val="center"/>
          </w:tcPr>
          <w:p w14:paraId="1C4029E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22B1570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4.5</w:t>
            </w:r>
          </w:p>
        </w:tc>
      </w:tr>
      <w:tr w14:paraId="1A331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3" w:hRule="atLeast"/>
        </w:trPr>
        <w:tc>
          <w:tcPr>
            <w:tcW w:w="583" w:type="dxa"/>
            <w:vAlign w:val="center"/>
          </w:tcPr>
          <w:p w14:paraId="29EF9F3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933</w:t>
            </w:r>
          </w:p>
        </w:tc>
        <w:tc>
          <w:tcPr>
            <w:tcW w:w="720" w:type="dxa"/>
            <w:vMerge w:val="continue"/>
            <w:vAlign w:val="center"/>
          </w:tcPr>
          <w:p w14:paraId="333EEF7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20BFD0B">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615456F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医疗数据采集</w:t>
            </w:r>
          </w:p>
        </w:tc>
        <w:tc>
          <w:tcPr>
            <w:tcW w:w="5841" w:type="dxa"/>
            <w:vAlign w:val="center"/>
          </w:tcPr>
          <w:p w14:paraId="38CB6B5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（1）采集常见的急救车载医疗设备参数数据和波形数据。所有数据可以传输到服务器进行入库，波形数据可以读取。</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（2）设置 1og 保存开启，文件压缩功能设置，本地 IP 设置、本地端口号设置，软件版本设置等。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（3）进行手工和自动系统升级功能；修改用户名和密码功能。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（4）数据采集过程中，当网络异常时，采集端进行报警，并将数据缓存，网络恢复后，自动续传数据，以免数据丢失。</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（5）远程更新。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（6）数据采集的入库服务，实时接收的数据写入服务器，并发送至业务系统进行实时展示。</w:t>
            </w:r>
          </w:p>
        </w:tc>
        <w:tc>
          <w:tcPr>
            <w:tcW w:w="733" w:type="dxa"/>
            <w:vMerge w:val="continue"/>
            <w:vAlign w:val="center"/>
          </w:tcPr>
          <w:p w14:paraId="5C96ED9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C93F934">
            <w:pPr>
              <w:jc w:val="center"/>
              <w:rPr>
                <w:rFonts w:hint="eastAsia" w:ascii="宋体" w:hAnsi="宋体" w:eastAsia="宋体" w:cs="宋体"/>
                <w:b w:val="0"/>
                <w:bCs w:val="0"/>
                <w:color w:val="auto"/>
                <w:kern w:val="0"/>
                <w:sz w:val="20"/>
                <w:szCs w:val="20"/>
                <w:highlight w:val="none"/>
                <w:lang w:val="en-US" w:eastAsia="zh-CN" w:bidi="ar-SA"/>
              </w:rPr>
            </w:pPr>
          </w:p>
        </w:tc>
      </w:tr>
      <w:tr w14:paraId="6C10A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168914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934</w:t>
            </w:r>
          </w:p>
        </w:tc>
        <w:tc>
          <w:tcPr>
            <w:tcW w:w="720" w:type="dxa"/>
            <w:vMerge w:val="restart"/>
            <w:vAlign w:val="center"/>
          </w:tcPr>
          <w:p w14:paraId="47D8E00C">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胸痛中心</w:t>
            </w:r>
          </w:p>
        </w:tc>
        <w:tc>
          <w:tcPr>
            <w:tcW w:w="875" w:type="dxa"/>
            <w:vAlign w:val="center"/>
          </w:tcPr>
          <w:p w14:paraId="277F672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关键时间智能采集</w:t>
            </w:r>
          </w:p>
        </w:tc>
        <w:tc>
          <w:tcPr>
            <w:tcW w:w="884" w:type="dxa"/>
            <w:vAlign w:val="center"/>
          </w:tcPr>
          <w:p w14:paraId="2636C7C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关键时间智能采集</w:t>
            </w:r>
          </w:p>
        </w:tc>
        <w:tc>
          <w:tcPr>
            <w:tcW w:w="5841" w:type="dxa"/>
            <w:vAlign w:val="center"/>
          </w:tcPr>
          <w:p w14:paraId="5E8000B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通过无线感应设备进行患者时间节点采集，时间点自动导入患者时间轨迹，比如：患者到达医院时间、患者到达导管室时间。医护人员通过移动PDA扫描二维码方式、点选的方式、医疗数据中采集的方式等进行时间节点采集，时间点自动导入患者时间轨迹。</w:t>
            </w:r>
          </w:p>
        </w:tc>
        <w:tc>
          <w:tcPr>
            <w:tcW w:w="733" w:type="dxa"/>
            <w:vMerge w:val="restart"/>
            <w:vAlign w:val="center"/>
          </w:tcPr>
          <w:p w14:paraId="36C9E35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41F5AE2B">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26</w:t>
            </w:r>
          </w:p>
        </w:tc>
      </w:tr>
      <w:tr w14:paraId="4F55D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F825E6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935</w:t>
            </w:r>
          </w:p>
        </w:tc>
        <w:tc>
          <w:tcPr>
            <w:tcW w:w="720" w:type="dxa"/>
            <w:vMerge w:val="continue"/>
            <w:vAlign w:val="center"/>
          </w:tcPr>
          <w:p w14:paraId="70A552F7">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4B25ADB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时间路径展现</w:t>
            </w:r>
          </w:p>
        </w:tc>
        <w:tc>
          <w:tcPr>
            <w:tcW w:w="884" w:type="dxa"/>
            <w:vAlign w:val="center"/>
          </w:tcPr>
          <w:p w14:paraId="57CFF5B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时间路径展现</w:t>
            </w:r>
          </w:p>
        </w:tc>
        <w:tc>
          <w:tcPr>
            <w:tcW w:w="5841" w:type="dxa"/>
            <w:vAlign w:val="center"/>
          </w:tcPr>
          <w:p w14:paraId="4814DCF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胸痛时间路径展现患者诊疗过程重要时间节点，异常质控时间点提醒，异常质控时间点的异常说明记录。</w:t>
            </w:r>
          </w:p>
        </w:tc>
        <w:tc>
          <w:tcPr>
            <w:tcW w:w="733" w:type="dxa"/>
            <w:vMerge w:val="continue"/>
            <w:vAlign w:val="center"/>
          </w:tcPr>
          <w:p w14:paraId="2F321CD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3559F67">
            <w:pPr>
              <w:jc w:val="center"/>
              <w:rPr>
                <w:rFonts w:hint="eastAsia" w:ascii="宋体" w:hAnsi="宋体" w:eastAsia="宋体" w:cs="宋体"/>
                <w:b w:val="0"/>
                <w:bCs w:val="0"/>
                <w:color w:val="auto"/>
                <w:kern w:val="0"/>
                <w:sz w:val="20"/>
                <w:szCs w:val="20"/>
                <w:highlight w:val="none"/>
                <w:lang w:val="en-US" w:eastAsia="zh-CN" w:bidi="ar-SA"/>
              </w:rPr>
            </w:pPr>
          </w:p>
        </w:tc>
      </w:tr>
      <w:tr w14:paraId="56AD4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F6572A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936</w:t>
            </w:r>
          </w:p>
        </w:tc>
        <w:tc>
          <w:tcPr>
            <w:tcW w:w="720" w:type="dxa"/>
            <w:vMerge w:val="continue"/>
            <w:vAlign w:val="center"/>
          </w:tcPr>
          <w:p w14:paraId="0FBB3667">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4C2902D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关键事件轨迹质控</w:t>
            </w:r>
          </w:p>
        </w:tc>
        <w:tc>
          <w:tcPr>
            <w:tcW w:w="884" w:type="dxa"/>
            <w:vAlign w:val="center"/>
          </w:tcPr>
          <w:p w14:paraId="0DD5300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关键事件轨迹质控</w:t>
            </w:r>
          </w:p>
        </w:tc>
        <w:tc>
          <w:tcPr>
            <w:tcW w:w="5841" w:type="dxa"/>
            <w:vAlign w:val="center"/>
          </w:tcPr>
          <w:p w14:paraId="7CEBBAC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胸痛患者关键事件的可视化展示，胸痛诊疗关键事件耗时跟踪。</w:t>
            </w:r>
          </w:p>
        </w:tc>
        <w:tc>
          <w:tcPr>
            <w:tcW w:w="733" w:type="dxa"/>
            <w:vMerge w:val="continue"/>
            <w:vAlign w:val="center"/>
          </w:tcPr>
          <w:p w14:paraId="540727E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F38307F">
            <w:pPr>
              <w:jc w:val="center"/>
              <w:rPr>
                <w:rFonts w:hint="eastAsia" w:ascii="宋体" w:hAnsi="宋体" w:eastAsia="宋体" w:cs="宋体"/>
                <w:b w:val="0"/>
                <w:bCs w:val="0"/>
                <w:color w:val="auto"/>
                <w:kern w:val="0"/>
                <w:sz w:val="20"/>
                <w:szCs w:val="20"/>
                <w:highlight w:val="none"/>
                <w:lang w:val="en-US" w:eastAsia="zh-CN" w:bidi="ar-SA"/>
              </w:rPr>
            </w:pPr>
          </w:p>
        </w:tc>
      </w:tr>
      <w:tr w14:paraId="0C727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38D20F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937</w:t>
            </w:r>
          </w:p>
        </w:tc>
        <w:tc>
          <w:tcPr>
            <w:tcW w:w="720" w:type="dxa"/>
            <w:vMerge w:val="continue"/>
            <w:vAlign w:val="center"/>
          </w:tcPr>
          <w:p w14:paraId="2BC83BE6">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52A807F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时间窗质控</w:t>
            </w:r>
          </w:p>
        </w:tc>
        <w:tc>
          <w:tcPr>
            <w:tcW w:w="884" w:type="dxa"/>
            <w:vAlign w:val="center"/>
          </w:tcPr>
          <w:p w14:paraId="092AFA2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时间窗质控</w:t>
            </w:r>
          </w:p>
        </w:tc>
        <w:tc>
          <w:tcPr>
            <w:tcW w:w="5841" w:type="dxa"/>
            <w:vAlign w:val="center"/>
          </w:tcPr>
          <w:p w14:paraId="6B6C929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根据医院自定义时间窗质控规则展示时间窗质控结果，时间窗质控结果的醒目颜色标识是否达标。时间窗质控未达标结果落后值的有效提醒。</w:t>
            </w:r>
          </w:p>
        </w:tc>
        <w:tc>
          <w:tcPr>
            <w:tcW w:w="733" w:type="dxa"/>
            <w:vMerge w:val="continue"/>
            <w:vAlign w:val="center"/>
          </w:tcPr>
          <w:p w14:paraId="248DF41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FAA5199">
            <w:pPr>
              <w:jc w:val="center"/>
              <w:rPr>
                <w:rFonts w:hint="eastAsia" w:ascii="宋体" w:hAnsi="宋体" w:eastAsia="宋体" w:cs="宋体"/>
                <w:b w:val="0"/>
                <w:bCs w:val="0"/>
                <w:color w:val="auto"/>
                <w:kern w:val="0"/>
                <w:sz w:val="20"/>
                <w:szCs w:val="20"/>
                <w:highlight w:val="none"/>
                <w:lang w:val="en-US" w:eastAsia="zh-CN" w:bidi="ar-SA"/>
              </w:rPr>
            </w:pPr>
          </w:p>
        </w:tc>
      </w:tr>
      <w:tr w14:paraId="2F813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BD5D4F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938</w:t>
            </w:r>
          </w:p>
        </w:tc>
        <w:tc>
          <w:tcPr>
            <w:tcW w:w="720" w:type="dxa"/>
            <w:vMerge w:val="continue"/>
            <w:vAlign w:val="center"/>
          </w:tcPr>
          <w:p w14:paraId="5E54EE5D">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27FD4B9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多模式救治流程</w:t>
            </w:r>
          </w:p>
        </w:tc>
        <w:tc>
          <w:tcPr>
            <w:tcW w:w="884" w:type="dxa"/>
            <w:vAlign w:val="center"/>
          </w:tcPr>
          <w:p w14:paraId="0B02C7E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多模式救治流程</w:t>
            </w:r>
          </w:p>
        </w:tc>
        <w:tc>
          <w:tcPr>
            <w:tcW w:w="5841" w:type="dxa"/>
            <w:vAlign w:val="center"/>
          </w:tcPr>
          <w:p w14:paraId="29B4245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多模式救治流程全覆盖，根据不同的救治流程模式采集相应的关键事件信息，满足各模式救治流程的高效执行。</w:t>
            </w:r>
          </w:p>
        </w:tc>
        <w:tc>
          <w:tcPr>
            <w:tcW w:w="733" w:type="dxa"/>
            <w:vMerge w:val="continue"/>
            <w:vAlign w:val="center"/>
          </w:tcPr>
          <w:p w14:paraId="7981B18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1F020A9">
            <w:pPr>
              <w:jc w:val="center"/>
              <w:rPr>
                <w:rFonts w:hint="eastAsia" w:ascii="宋体" w:hAnsi="宋体" w:eastAsia="宋体" w:cs="宋体"/>
                <w:b w:val="0"/>
                <w:bCs w:val="0"/>
                <w:color w:val="auto"/>
                <w:kern w:val="0"/>
                <w:sz w:val="20"/>
                <w:szCs w:val="20"/>
                <w:highlight w:val="none"/>
                <w:lang w:val="en-US" w:eastAsia="zh-CN" w:bidi="ar-SA"/>
              </w:rPr>
            </w:pPr>
          </w:p>
        </w:tc>
      </w:tr>
      <w:tr w14:paraId="39A52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E1B7C8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939</w:t>
            </w:r>
          </w:p>
        </w:tc>
        <w:tc>
          <w:tcPr>
            <w:tcW w:w="720" w:type="dxa"/>
            <w:vMerge w:val="continue"/>
            <w:vAlign w:val="center"/>
          </w:tcPr>
          <w:p w14:paraId="52BDC138">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220770E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快速识别建档</w:t>
            </w:r>
          </w:p>
        </w:tc>
        <w:tc>
          <w:tcPr>
            <w:tcW w:w="884" w:type="dxa"/>
            <w:vAlign w:val="center"/>
          </w:tcPr>
          <w:p w14:paraId="30A6CD1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快速识别建档</w:t>
            </w:r>
          </w:p>
        </w:tc>
        <w:tc>
          <w:tcPr>
            <w:tcW w:w="5841" w:type="dxa"/>
            <w:vAlign w:val="center"/>
          </w:tcPr>
          <w:p w14:paraId="071CCB9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内置胸痛识别工具，医护人员根据胸痛识别工具快速识别患者是否为疑似胸痛。疑似胸痛患者可一键完成快速建档。通过物联网设备快速采集患者身份信息，完成快速登记。</w:t>
            </w:r>
          </w:p>
        </w:tc>
        <w:tc>
          <w:tcPr>
            <w:tcW w:w="733" w:type="dxa"/>
            <w:vMerge w:val="continue"/>
            <w:vAlign w:val="center"/>
          </w:tcPr>
          <w:p w14:paraId="53376D3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E64B9B5">
            <w:pPr>
              <w:jc w:val="center"/>
              <w:rPr>
                <w:rFonts w:hint="eastAsia" w:ascii="宋体" w:hAnsi="宋体" w:eastAsia="宋体" w:cs="宋体"/>
                <w:b w:val="0"/>
                <w:bCs w:val="0"/>
                <w:color w:val="auto"/>
                <w:kern w:val="0"/>
                <w:sz w:val="20"/>
                <w:szCs w:val="20"/>
                <w:highlight w:val="none"/>
                <w:lang w:val="en-US" w:eastAsia="zh-CN" w:bidi="ar-SA"/>
              </w:rPr>
            </w:pPr>
          </w:p>
        </w:tc>
      </w:tr>
      <w:tr w14:paraId="543A2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3688B8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940</w:t>
            </w:r>
          </w:p>
        </w:tc>
        <w:tc>
          <w:tcPr>
            <w:tcW w:w="720" w:type="dxa"/>
            <w:vMerge w:val="continue"/>
            <w:vAlign w:val="center"/>
          </w:tcPr>
          <w:p w14:paraId="7BFA8D1B">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5BC684E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新患者预警通知</w:t>
            </w:r>
          </w:p>
        </w:tc>
        <w:tc>
          <w:tcPr>
            <w:tcW w:w="884" w:type="dxa"/>
            <w:vAlign w:val="center"/>
          </w:tcPr>
          <w:p w14:paraId="5F5A14D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新患者预警通知</w:t>
            </w:r>
          </w:p>
        </w:tc>
        <w:tc>
          <w:tcPr>
            <w:tcW w:w="5841" w:type="dxa"/>
            <w:vAlign w:val="center"/>
          </w:tcPr>
          <w:p w14:paraId="3E10307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胸痛识别工具一旦识别到疑似胸痛患者，系统立即向当前所有值班人员发出紧急预警通知，开通绿色通道，告知各科室相关医护人员做好紧急联合救治准备。</w:t>
            </w:r>
          </w:p>
        </w:tc>
        <w:tc>
          <w:tcPr>
            <w:tcW w:w="733" w:type="dxa"/>
            <w:vMerge w:val="continue"/>
            <w:vAlign w:val="center"/>
          </w:tcPr>
          <w:p w14:paraId="2BB0974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3B90D58">
            <w:pPr>
              <w:jc w:val="center"/>
              <w:rPr>
                <w:rFonts w:hint="eastAsia" w:ascii="宋体" w:hAnsi="宋体" w:eastAsia="宋体" w:cs="宋体"/>
                <w:b w:val="0"/>
                <w:bCs w:val="0"/>
                <w:color w:val="auto"/>
                <w:kern w:val="0"/>
                <w:sz w:val="20"/>
                <w:szCs w:val="20"/>
                <w:highlight w:val="none"/>
                <w:lang w:val="en-US" w:eastAsia="zh-CN" w:bidi="ar-SA"/>
              </w:rPr>
            </w:pPr>
          </w:p>
        </w:tc>
      </w:tr>
      <w:tr w14:paraId="2A942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71DB8D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941</w:t>
            </w:r>
          </w:p>
        </w:tc>
        <w:tc>
          <w:tcPr>
            <w:tcW w:w="720" w:type="dxa"/>
            <w:vMerge w:val="continue"/>
            <w:vAlign w:val="center"/>
          </w:tcPr>
          <w:p w14:paraId="0A7ADA9F">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28611EB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专业智能评分</w:t>
            </w:r>
          </w:p>
        </w:tc>
        <w:tc>
          <w:tcPr>
            <w:tcW w:w="884" w:type="dxa"/>
            <w:vAlign w:val="center"/>
          </w:tcPr>
          <w:p w14:paraId="5AB041B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专业智能评分</w:t>
            </w:r>
          </w:p>
        </w:tc>
        <w:tc>
          <w:tcPr>
            <w:tcW w:w="5841" w:type="dxa"/>
            <w:vAlign w:val="center"/>
          </w:tcPr>
          <w:p w14:paraId="02E87C7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提供专业的专病评分工具，医护人员通过点选方式智能计算评分分值及分级结果。重点评估评分可以多次记录。</w:t>
            </w:r>
          </w:p>
        </w:tc>
        <w:tc>
          <w:tcPr>
            <w:tcW w:w="733" w:type="dxa"/>
            <w:vMerge w:val="continue"/>
            <w:vAlign w:val="center"/>
          </w:tcPr>
          <w:p w14:paraId="0207A7A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275DEC0">
            <w:pPr>
              <w:jc w:val="center"/>
              <w:rPr>
                <w:rFonts w:hint="eastAsia" w:ascii="宋体" w:hAnsi="宋体" w:eastAsia="宋体" w:cs="宋体"/>
                <w:b w:val="0"/>
                <w:bCs w:val="0"/>
                <w:color w:val="auto"/>
                <w:kern w:val="0"/>
                <w:sz w:val="20"/>
                <w:szCs w:val="20"/>
                <w:highlight w:val="none"/>
                <w:lang w:val="en-US" w:eastAsia="zh-CN" w:bidi="ar-SA"/>
              </w:rPr>
            </w:pPr>
          </w:p>
        </w:tc>
      </w:tr>
      <w:tr w14:paraId="3FF29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378616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942</w:t>
            </w:r>
          </w:p>
        </w:tc>
        <w:tc>
          <w:tcPr>
            <w:tcW w:w="720" w:type="dxa"/>
            <w:vMerge w:val="continue"/>
            <w:vAlign w:val="center"/>
          </w:tcPr>
          <w:p w14:paraId="7EB9DB76">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5877251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临床数据实时共享</w:t>
            </w:r>
          </w:p>
        </w:tc>
        <w:tc>
          <w:tcPr>
            <w:tcW w:w="884" w:type="dxa"/>
            <w:vAlign w:val="center"/>
          </w:tcPr>
          <w:p w14:paraId="7A7BE81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临床数据实时共享</w:t>
            </w:r>
          </w:p>
        </w:tc>
        <w:tc>
          <w:tcPr>
            <w:tcW w:w="5841" w:type="dxa"/>
            <w:vAlign w:val="center"/>
          </w:tcPr>
          <w:p w14:paraId="1678F2D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临床检查报告以即时消息的形式推送。对接院内系统自动获取到报告后第一时间推送至移动端，医护可通过移动端查看患者相关实验室检查报告、影像检查报告等检验检查数据，有效协助临床医生提升诊疗效率。</w:t>
            </w:r>
          </w:p>
        </w:tc>
        <w:tc>
          <w:tcPr>
            <w:tcW w:w="733" w:type="dxa"/>
            <w:vMerge w:val="continue"/>
            <w:vAlign w:val="center"/>
          </w:tcPr>
          <w:p w14:paraId="51D3F8B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8295690">
            <w:pPr>
              <w:jc w:val="center"/>
              <w:rPr>
                <w:rFonts w:hint="eastAsia" w:ascii="宋体" w:hAnsi="宋体" w:eastAsia="宋体" w:cs="宋体"/>
                <w:b w:val="0"/>
                <w:bCs w:val="0"/>
                <w:color w:val="auto"/>
                <w:kern w:val="0"/>
                <w:sz w:val="20"/>
                <w:szCs w:val="20"/>
                <w:highlight w:val="none"/>
                <w:lang w:val="en-US" w:eastAsia="zh-CN" w:bidi="ar-SA"/>
              </w:rPr>
            </w:pPr>
          </w:p>
        </w:tc>
      </w:tr>
      <w:tr w14:paraId="3AC5C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B12A2CE">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943</w:t>
            </w:r>
          </w:p>
        </w:tc>
        <w:tc>
          <w:tcPr>
            <w:tcW w:w="720" w:type="dxa"/>
            <w:vMerge w:val="continue"/>
            <w:vAlign w:val="center"/>
          </w:tcPr>
          <w:p w14:paraId="5DBEE84E">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50E2F0A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自动创建救治小组</w:t>
            </w:r>
          </w:p>
        </w:tc>
        <w:tc>
          <w:tcPr>
            <w:tcW w:w="884" w:type="dxa"/>
            <w:vAlign w:val="center"/>
          </w:tcPr>
          <w:p w14:paraId="20C628F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自动创建救治小组</w:t>
            </w:r>
          </w:p>
        </w:tc>
        <w:tc>
          <w:tcPr>
            <w:tcW w:w="5841" w:type="dxa"/>
            <w:vAlign w:val="center"/>
          </w:tcPr>
          <w:p w14:paraId="18B15C6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(1)一旦识别疑似胸痛患者，则系统自动创建该患者救治小组。</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(2)救治小组创建后，相关救治人员自动入组。</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(3)手动邀请医护人员加入救治小组参与讨论。</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(4)救治小组讨论消息留痕。</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(5)救治小组多种讨论形式，包括文字、语音、图片、视频等，群组成员可实时获取的相关信息传递。</w:t>
            </w:r>
          </w:p>
        </w:tc>
        <w:tc>
          <w:tcPr>
            <w:tcW w:w="733" w:type="dxa"/>
            <w:vMerge w:val="continue"/>
            <w:vAlign w:val="center"/>
          </w:tcPr>
          <w:p w14:paraId="7399DFC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772496F">
            <w:pPr>
              <w:jc w:val="center"/>
              <w:rPr>
                <w:rFonts w:hint="eastAsia" w:ascii="宋体" w:hAnsi="宋体" w:eastAsia="宋体" w:cs="宋体"/>
                <w:b w:val="0"/>
                <w:bCs w:val="0"/>
                <w:color w:val="auto"/>
                <w:kern w:val="0"/>
                <w:sz w:val="20"/>
                <w:szCs w:val="20"/>
                <w:highlight w:val="none"/>
                <w:lang w:val="en-US" w:eastAsia="zh-CN" w:bidi="ar-SA"/>
              </w:rPr>
            </w:pPr>
          </w:p>
        </w:tc>
      </w:tr>
      <w:tr w14:paraId="5B30D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46962D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944</w:t>
            </w:r>
          </w:p>
        </w:tc>
        <w:tc>
          <w:tcPr>
            <w:tcW w:w="720" w:type="dxa"/>
            <w:vMerge w:val="continue"/>
            <w:vAlign w:val="center"/>
          </w:tcPr>
          <w:p w14:paraId="50A97D28">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2048CE6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病案质控提醒</w:t>
            </w:r>
          </w:p>
        </w:tc>
        <w:tc>
          <w:tcPr>
            <w:tcW w:w="884" w:type="dxa"/>
            <w:vAlign w:val="center"/>
          </w:tcPr>
          <w:p w14:paraId="315B394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病案质控提醒</w:t>
            </w:r>
          </w:p>
        </w:tc>
        <w:tc>
          <w:tcPr>
            <w:tcW w:w="5841" w:type="dxa"/>
            <w:vAlign w:val="center"/>
          </w:tcPr>
          <w:p w14:paraId="1B0B5C3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系统自动校验关键质控项是否完成登记，关键质控项未完成登记的强制提醒。</w:t>
            </w:r>
          </w:p>
        </w:tc>
        <w:tc>
          <w:tcPr>
            <w:tcW w:w="733" w:type="dxa"/>
            <w:vMerge w:val="continue"/>
            <w:vAlign w:val="center"/>
          </w:tcPr>
          <w:p w14:paraId="5AF60BB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9509C82">
            <w:pPr>
              <w:jc w:val="center"/>
              <w:rPr>
                <w:rFonts w:hint="eastAsia" w:ascii="宋体" w:hAnsi="宋体" w:eastAsia="宋体" w:cs="宋体"/>
                <w:b w:val="0"/>
                <w:bCs w:val="0"/>
                <w:color w:val="auto"/>
                <w:kern w:val="0"/>
                <w:sz w:val="20"/>
                <w:szCs w:val="20"/>
                <w:highlight w:val="none"/>
                <w:lang w:val="en-US" w:eastAsia="zh-CN" w:bidi="ar-SA"/>
              </w:rPr>
            </w:pPr>
          </w:p>
        </w:tc>
      </w:tr>
      <w:tr w14:paraId="5345D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C1BA35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945</w:t>
            </w:r>
          </w:p>
        </w:tc>
        <w:tc>
          <w:tcPr>
            <w:tcW w:w="720" w:type="dxa"/>
            <w:vMerge w:val="continue"/>
            <w:vAlign w:val="center"/>
          </w:tcPr>
          <w:p w14:paraId="50BAF0E9">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48743ED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病历填报</w:t>
            </w:r>
          </w:p>
        </w:tc>
        <w:tc>
          <w:tcPr>
            <w:tcW w:w="884" w:type="dxa"/>
            <w:vAlign w:val="center"/>
          </w:tcPr>
          <w:p w14:paraId="2E50A0C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病历填报</w:t>
            </w:r>
          </w:p>
        </w:tc>
        <w:tc>
          <w:tcPr>
            <w:tcW w:w="5841" w:type="dxa"/>
            <w:vAlign w:val="center"/>
          </w:tcPr>
          <w:p w14:paraId="5E6A36A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按国家标准病历进行填报，内容包括：患者信息、诊断信息、生命体征、急诊部分、辅助检查、治疗部分、转归等数据的查询与编辑。</w:t>
            </w:r>
          </w:p>
        </w:tc>
        <w:tc>
          <w:tcPr>
            <w:tcW w:w="733" w:type="dxa"/>
            <w:vMerge w:val="continue"/>
            <w:vAlign w:val="center"/>
          </w:tcPr>
          <w:p w14:paraId="0A00E76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CF6AC5C">
            <w:pPr>
              <w:jc w:val="center"/>
              <w:rPr>
                <w:rFonts w:hint="eastAsia" w:ascii="宋体" w:hAnsi="宋体" w:eastAsia="宋体" w:cs="宋体"/>
                <w:b w:val="0"/>
                <w:bCs w:val="0"/>
                <w:color w:val="auto"/>
                <w:kern w:val="0"/>
                <w:sz w:val="20"/>
                <w:szCs w:val="20"/>
                <w:highlight w:val="none"/>
                <w:lang w:val="en-US" w:eastAsia="zh-CN" w:bidi="ar-SA"/>
              </w:rPr>
            </w:pPr>
          </w:p>
        </w:tc>
      </w:tr>
      <w:tr w14:paraId="2A24C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440F42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946</w:t>
            </w:r>
          </w:p>
        </w:tc>
        <w:tc>
          <w:tcPr>
            <w:tcW w:w="720" w:type="dxa"/>
            <w:vMerge w:val="continue"/>
            <w:vAlign w:val="center"/>
          </w:tcPr>
          <w:p w14:paraId="333041E9">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0A9E6A3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质控分析</w:t>
            </w:r>
          </w:p>
        </w:tc>
        <w:tc>
          <w:tcPr>
            <w:tcW w:w="884" w:type="dxa"/>
            <w:vAlign w:val="center"/>
          </w:tcPr>
          <w:p w14:paraId="1948657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质控分析</w:t>
            </w:r>
          </w:p>
        </w:tc>
        <w:tc>
          <w:tcPr>
            <w:tcW w:w="5841" w:type="dxa"/>
            <w:vAlign w:val="center"/>
          </w:tcPr>
          <w:p w14:paraId="46E8C3A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将已产生的数据进行挖掘分析，数据通过列表、饼状图等方式进行展现。质控统计的内容包括并不限于以下的内容：STEMI症状患者到首次医疗接触时间、患者首次医疗接触到导丝通过的时间、首次医疗接触到首份心电图（FMC2ECG）时间&lt;=10分钟的比例等。</w:t>
            </w:r>
          </w:p>
        </w:tc>
        <w:tc>
          <w:tcPr>
            <w:tcW w:w="733" w:type="dxa"/>
            <w:vMerge w:val="continue"/>
            <w:vAlign w:val="center"/>
          </w:tcPr>
          <w:p w14:paraId="7654F1D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2530822">
            <w:pPr>
              <w:jc w:val="center"/>
              <w:rPr>
                <w:rFonts w:hint="eastAsia" w:ascii="宋体" w:hAnsi="宋体" w:eastAsia="宋体" w:cs="宋体"/>
                <w:b w:val="0"/>
                <w:bCs w:val="0"/>
                <w:color w:val="auto"/>
                <w:kern w:val="0"/>
                <w:sz w:val="20"/>
                <w:szCs w:val="20"/>
                <w:highlight w:val="none"/>
                <w:lang w:val="en-US" w:eastAsia="zh-CN" w:bidi="ar-SA"/>
              </w:rPr>
            </w:pPr>
          </w:p>
        </w:tc>
      </w:tr>
      <w:tr w14:paraId="69851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C67230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947</w:t>
            </w:r>
          </w:p>
        </w:tc>
        <w:tc>
          <w:tcPr>
            <w:tcW w:w="720" w:type="dxa"/>
            <w:vMerge w:val="continue"/>
            <w:vAlign w:val="center"/>
          </w:tcPr>
          <w:p w14:paraId="06127833">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6C6E3F6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胸痛中心认证数据采集上报</w:t>
            </w:r>
          </w:p>
        </w:tc>
        <w:tc>
          <w:tcPr>
            <w:tcW w:w="884" w:type="dxa"/>
            <w:vAlign w:val="center"/>
          </w:tcPr>
          <w:p w14:paraId="1FE8B1A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胸痛中心认证数据采集上报</w:t>
            </w:r>
          </w:p>
        </w:tc>
        <w:tc>
          <w:tcPr>
            <w:tcW w:w="5841" w:type="dxa"/>
            <w:vAlign w:val="center"/>
          </w:tcPr>
          <w:p w14:paraId="765D21A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对接国家胸痛中心上报系统进行数据上报。</w:t>
            </w:r>
          </w:p>
        </w:tc>
        <w:tc>
          <w:tcPr>
            <w:tcW w:w="733" w:type="dxa"/>
            <w:vMerge w:val="continue"/>
            <w:vAlign w:val="center"/>
          </w:tcPr>
          <w:p w14:paraId="5BF99AC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99BBB92">
            <w:pPr>
              <w:jc w:val="center"/>
              <w:rPr>
                <w:rFonts w:hint="eastAsia" w:ascii="宋体" w:hAnsi="宋体" w:eastAsia="宋体" w:cs="宋体"/>
                <w:b w:val="0"/>
                <w:bCs w:val="0"/>
                <w:color w:val="auto"/>
                <w:kern w:val="0"/>
                <w:sz w:val="20"/>
                <w:szCs w:val="20"/>
                <w:highlight w:val="none"/>
                <w:lang w:val="en-US" w:eastAsia="zh-CN" w:bidi="ar-SA"/>
              </w:rPr>
            </w:pPr>
          </w:p>
        </w:tc>
      </w:tr>
      <w:tr w14:paraId="7AD68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9845EC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948</w:t>
            </w:r>
          </w:p>
        </w:tc>
        <w:tc>
          <w:tcPr>
            <w:tcW w:w="720" w:type="dxa"/>
            <w:vMerge w:val="restart"/>
            <w:vAlign w:val="center"/>
          </w:tcPr>
          <w:p w14:paraId="63D3E4E7">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卒中中心</w:t>
            </w:r>
          </w:p>
        </w:tc>
        <w:tc>
          <w:tcPr>
            <w:tcW w:w="875" w:type="dxa"/>
            <w:vAlign w:val="center"/>
          </w:tcPr>
          <w:p w14:paraId="381F81F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关键时间智能采集</w:t>
            </w:r>
          </w:p>
        </w:tc>
        <w:tc>
          <w:tcPr>
            <w:tcW w:w="884" w:type="dxa"/>
            <w:vAlign w:val="center"/>
          </w:tcPr>
          <w:p w14:paraId="195A098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关键时间智能采集</w:t>
            </w:r>
          </w:p>
        </w:tc>
        <w:tc>
          <w:tcPr>
            <w:tcW w:w="5841" w:type="dxa"/>
            <w:vAlign w:val="center"/>
          </w:tcPr>
          <w:p w14:paraId="0E30CA9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通过无线感应设备进行患者时间节点采集，时间点自动导入患者时间轨迹，比如：患者到达医院时间、患者到达导管室时间。医护人员通过移动PDA扫描二维码方式、点选的方式、医疗数据中采集的方式等进行时间节点采集，时间点自动导入患者时间轨迹。</w:t>
            </w:r>
          </w:p>
        </w:tc>
        <w:tc>
          <w:tcPr>
            <w:tcW w:w="733" w:type="dxa"/>
            <w:vMerge w:val="restart"/>
            <w:vAlign w:val="center"/>
          </w:tcPr>
          <w:p w14:paraId="77366D8D">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1021FF1D">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26</w:t>
            </w:r>
          </w:p>
        </w:tc>
      </w:tr>
      <w:tr w14:paraId="71554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26C61A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949</w:t>
            </w:r>
          </w:p>
        </w:tc>
        <w:tc>
          <w:tcPr>
            <w:tcW w:w="720" w:type="dxa"/>
            <w:vMerge w:val="continue"/>
            <w:vAlign w:val="center"/>
          </w:tcPr>
          <w:p w14:paraId="76EEC912">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2661F23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时间路径展现</w:t>
            </w:r>
          </w:p>
        </w:tc>
        <w:tc>
          <w:tcPr>
            <w:tcW w:w="884" w:type="dxa"/>
            <w:vAlign w:val="center"/>
          </w:tcPr>
          <w:p w14:paraId="663CAB2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时间路径展现</w:t>
            </w:r>
          </w:p>
        </w:tc>
        <w:tc>
          <w:tcPr>
            <w:tcW w:w="5841" w:type="dxa"/>
            <w:vAlign w:val="center"/>
          </w:tcPr>
          <w:p w14:paraId="222254B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卒中时间路径展现患者诊疗过程重要时间节点，异常质控时间点提醒，异常质控时间点的异常说明记录。</w:t>
            </w:r>
          </w:p>
        </w:tc>
        <w:tc>
          <w:tcPr>
            <w:tcW w:w="733" w:type="dxa"/>
            <w:vMerge w:val="continue"/>
            <w:vAlign w:val="center"/>
          </w:tcPr>
          <w:p w14:paraId="3F12F01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87AB587">
            <w:pPr>
              <w:jc w:val="center"/>
              <w:rPr>
                <w:rFonts w:hint="eastAsia" w:ascii="宋体" w:hAnsi="宋体" w:eastAsia="宋体" w:cs="宋体"/>
                <w:b w:val="0"/>
                <w:bCs w:val="0"/>
                <w:color w:val="auto"/>
                <w:kern w:val="0"/>
                <w:sz w:val="20"/>
                <w:szCs w:val="20"/>
                <w:highlight w:val="none"/>
                <w:lang w:val="en-US" w:eastAsia="zh-CN" w:bidi="ar-SA"/>
              </w:rPr>
            </w:pPr>
          </w:p>
        </w:tc>
      </w:tr>
      <w:tr w14:paraId="029D6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649EFF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950</w:t>
            </w:r>
          </w:p>
        </w:tc>
        <w:tc>
          <w:tcPr>
            <w:tcW w:w="720" w:type="dxa"/>
            <w:vMerge w:val="continue"/>
            <w:vAlign w:val="center"/>
          </w:tcPr>
          <w:p w14:paraId="5B1A6B05">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7488749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关键事件轨迹质控</w:t>
            </w:r>
          </w:p>
        </w:tc>
        <w:tc>
          <w:tcPr>
            <w:tcW w:w="884" w:type="dxa"/>
            <w:vAlign w:val="center"/>
          </w:tcPr>
          <w:p w14:paraId="3C75DD0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关键事件轨迹质控</w:t>
            </w:r>
          </w:p>
        </w:tc>
        <w:tc>
          <w:tcPr>
            <w:tcW w:w="5841" w:type="dxa"/>
            <w:vAlign w:val="center"/>
          </w:tcPr>
          <w:p w14:paraId="08ACF6E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卒中患者关键事件的可视化展示，卒中诊疗关键事件耗时跟踪。</w:t>
            </w:r>
          </w:p>
        </w:tc>
        <w:tc>
          <w:tcPr>
            <w:tcW w:w="733" w:type="dxa"/>
            <w:vMerge w:val="continue"/>
            <w:vAlign w:val="center"/>
          </w:tcPr>
          <w:p w14:paraId="4F89EBF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D272628">
            <w:pPr>
              <w:jc w:val="center"/>
              <w:rPr>
                <w:rFonts w:hint="eastAsia" w:ascii="宋体" w:hAnsi="宋体" w:eastAsia="宋体" w:cs="宋体"/>
                <w:b w:val="0"/>
                <w:bCs w:val="0"/>
                <w:color w:val="auto"/>
                <w:kern w:val="0"/>
                <w:sz w:val="20"/>
                <w:szCs w:val="20"/>
                <w:highlight w:val="none"/>
                <w:lang w:val="en-US" w:eastAsia="zh-CN" w:bidi="ar-SA"/>
              </w:rPr>
            </w:pPr>
          </w:p>
        </w:tc>
      </w:tr>
      <w:tr w14:paraId="7768A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FC18CA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951</w:t>
            </w:r>
          </w:p>
        </w:tc>
        <w:tc>
          <w:tcPr>
            <w:tcW w:w="720" w:type="dxa"/>
            <w:vMerge w:val="continue"/>
            <w:vAlign w:val="center"/>
          </w:tcPr>
          <w:p w14:paraId="7435D4DD">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4E28F70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时间窗质控</w:t>
            </w:r>
          </w:p>
        </w:tc>
        <w:tc>
          <w:tcPr>
            <w:tcW w:w="884" w:type="dxa"/>
            <w:vAlign w:val="center"/>
          </w:tcPr>
          <w:p w14:paraId="7F243CD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时间窗质控</w:t>
            </w:r>
          </w:p>
        </w:tc>
        <w:tc>
          <w:tcPr>
            <w:tcW w:w="5841" w:type="dxa"/>
            <w:vAlign w:val="center"/>
          </w:tcPr>
          <w:p w14:paraId="55F2F8B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根据医院自定义时间窗质控规则展示时间窗质控结果，时间窗质控结果的醒目颜色标识是否达标。时间窗质控未达标结果落后值的有效提醒。</w:t>
            </w:r>
          </w:p>
        </w:tc>
        <w:tc>
          <w:tcPr>
            <w:tcW w:w="733" w:type="dxa"/>
            <w:vMerge w:val="continue"/>
            <w:vAlign w:val="center"/>
          </w:tcPr>
          <w:p w14:paraId="190772E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F0FDA72">
            <w:pPr>
              <w:jc w:val="center"/>
              <w:rPr>
                <w:rFonts w:hint="eastAsia" w:ascii="宋体" w:hAnsi="宋体" w:eastAsia="宋体" w:cs="宋体"/>
                <w:b w:val="0"/>
                <w:bCs w:val="0"/>
                <w:color w:val="auto"/>
                <w:kern w:val="0"/>
                <w:sz w:val="20"/>
                <w:szCs w:val="20"/>
                <w:highlight w:val="none"/>
                <w:lang w:val="en-US" w:eastAsia="zh-CN" w:bidi="ar-SA"/>
              </w:rPr>
            </w:pPr>
          </w:p>
        </w:tc>
      </w:tr>
      <w:tr w14:paraId="2BB56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0CB260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952</w:t>
            </w:r>
          </w:p>
        </w:tc>
        <w:tc>
          <w:tcPr>
            <w:tcW w:w="720" w:type="dxa"/>
            <w:vMerge w:val="continue"/>
            <w:vAlign w:val="center"/>
          </w:tcPr>
          <w:p w14:paraId="009BB327">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3700AD1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多模式救治流程</w:t>
            </w:r>
          </w:p>
        </w:tc>
        <w:tc>
          <w:tcPr>
            <w:tcW w:w="884" w:type="dxa"/>
            <w:vAlign w:val="center"/>
          </w:tcPr>
          <w:p w14:paraId="69B7702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多模式救治流程</w:t>
            </w:r>
          </w:p>
        </w:tc>
        <w:tc>
          <w:tcPr>
            <w:tcW w:w="5841" w:type="dxa"/>
            <w:vAlign w:val="center"/>
          </w:tcPr>
          <w:p w14:paraId="3EE8AAF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多模式救治流程全覆盖，根据不同的救治流程模式采集相应的关键事件信息，满足各模式救治流程的高效执行。</w:t>
            </w:r>
          </w:p>
        </w:tc>
        <w:tc>
          <w:tcPr>
            <w:tcW w:w="733" w:type="dxa"/>
            <w:vMerge w:val="continue"/>
            <w:vAlign w:val="center"/>
          </w:tcPr>
          <w:p w14:paraId="61237AC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5B7CDDD">
            <w:pPr>
              <w:jc w:val="center"/>
              <w:rPr>
                <w:rFonts w:hint="eastAsia" w:ascii="宋体" w:hAnsi="宋体" w:eastAsia="宋体" w:cs="宋体"/>
                <w:b w:val="0"/>
                <w:bCs w:val="0"/>
                <w:color w:val="auto"/>
                <w:kern w:val="0"/>
                <w:sz w:val="20"/>
                <w:szCs w:val="20"/>
                <w:highlight w:val="none"/>
                <w:lang w:val="en-US" w:eastAsia="zh-CN" w:bidi="ar-SA"/>
              </w:rPr>
            </w:pPr>
          </w:p>
        </w:tc>
      </w:tr>
      <w:tr w14:paraId="197E6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01C348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953</w:t>
            </w:r>
          </w:p>
        </w:tc>
        <w:tc>
          <w:tcPr>
            <w:tcW w:w="720" w:type="dxa"/>
            <w:vMerge w:val="continue"/>
            <w:vAlign w:val="center"/>
          </w:tcPr>
          <w:p w14:paraId="26B7B0D7">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090AD64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快速识别建档</w:t>
            </w:r>
          </w:p>
        </w:tc>
        <w:tc>
          <w:tcPr>
            <w:tcW w:w="884" w:type="dxa"/>
            <w:vAlign w:val="center"/>
          </w:tcPr>
          <w:p w14:paraId="20D6039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快速识别建档</w:t>
            </w:r>
          </w:p>
        </w:tc>
        <w:tc>
          <w:tcPr>
            <w:tcW w:w="5841" w:type="dxa"/>
            <w:vAlign w:val="center"/>
          </w:tcPr>
          <w:p w14:paraId="7A8B564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内置卒中识别工具，医护人员根据卒中识别工具快速识别患者是否为疑似卒中。疑似卒中患者可一键完成快速建档。通过物联网设备快速采集患者身份信息，完成快速登记。</w:t>
            </w:r>
          </w:p>
        </w:tc>
        <w:tc>
          <w:tcPr>
            <w:tcW w:w="733" w:type="dxa"/>
            <w:vMerge w:val="continue"/>
            <w:vAlign w:val="center"/>
          </w:tcPr>
          <w:p w14:paraId="2BA91B9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C83355D">
            <w:pPr>
              <w:jc w:val="center"/>
              <w:rPr>
                <w:rFonts w:hint="eastAsia" w:ascii="宋体" w:hAnsi="宋体" w:eastAsia="宋体" w:cs="宋体"/>
                <w:b w:val="0"/>
                <w:bCs w:val="0"/>
                <w:color w:val="auto"/>
                <w:kern w:val="0"/>
                <w:sz w:val="20"/>
                <w:szCs w:val="20"/>
                <w:highlight w:val="none"/>
                <w:lang w:val="en-US" w:eastAsia="zh-CN" w:bidi="ar-SA"/>
              </w:rPr>
            </w:pPr>
          </w:p>
        </w:tc>
      </w:tr>
      <w:tr w14:paraId="621FF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50E74E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954</w:t>
            </w:r>
          </w:p>
        </w:tc>
        <w:tc>
          <w:tcPr>
            <w:tcW w:w="720" w:type="dxa"/>
            <w:vMerge w:val="continue"/>
            <w:vAlign w:val="center"/>
          </w:tcPr>
          <w:p w14:paraId="137C895D">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49616C1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新患者预警通知</w:t>
            </w:r>
          </w:p>
        </w:tc>
        <w:tc>
          <w:tcPr>
            <w:tcW w:w="884" w:type="dxa"/>
            <w:vAlign w:val="center"/>
          </w:tcPr>
          <w:p w14:paraId="3C914E2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新患者预警通知</w:t>
            </w:r>
          </w:p>
        </w:tc>
        <w:tc>
          <w:tcPr>
            <w:tcW w:w="5841" w:type="dxa"/>
            <w:vAlign w:val="center"/>
          </w:tcPr>
          <w:p w14:paraId="5481AA4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卒中识别工具一旦识别到疑似卒中患者，系统立即向当前所有值班人员发出紧急预警通知，开通绿色通道，告知各科室相关医护人员做好紧急联合救治准备。</w:t>
            </w:r>
          </w:p>
        </w:tc>
        <w:tc>
          <w:tcPr>
            <w:tcW w:w="733" w:type="dxa"/>
            <w:vMerge w:val="continue"/>
            <w:vAlign w:val="center"/>
          </w:tcPr>
          <w:p w14:paraId="72C98D6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F7B4393">
            <w:pPr>
              <w:jc w:val="center"/>
              <w:rPr>
                <w:rFonts w:hint="eastAsia" w:ascii="宋体" w:hAnsi="宋体" w:eastAsia="宋体" w:cs="宋体"/>
                <w:b w:val="0"/>
                <w:bCs w:val="0"/>
                <w:color w:val="auto"/>
                <w:kern w:val="0"/>
                <w:sz w:val="20"/>
                <w:szCs w:val="20"/>
                <w:highlight w:val="none"/>
                <w:lang w:val="en-US" w:eastAsia="zh-CN" w:bidi="ar-SA"/>
              </w:rPr>
            </w:pPr>
          </w:p>
        </w:tc>
      </w:tr>
      <w:tr w14:paraId="460EA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439C7F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955</w:t>
            </w:r>
          </w:p>
        </w:tc>
        <w:tc>
          <w:tcPr>
            <w:tcW w:w="720" w:type="dxa"/>
            <w:vMerge w:val="continue"/>
            <w:vAlign w:val="center"/>
          </w:tcPr>
          <w:p w14:paraId="69AE008E">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436D690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专业智能评分</w:t>
            </w:r>
          </w:p>
        </w:tc>
        <w:tc>
          <w:tcPr>
            <w:tcW w:w="884" w:type="dxa"/>
            <w:vAlign w:val="center"/>
          </w:tcPr>
          <w:p w14:paraId="7B629FD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专业智能评分</w:t>
            </w:r>
          </w:p>
        </w:tc>
        <w:tc>
          <w:tcPr>
            <w:tcW w:w="5841" w:type="dxa"/>
            <w:vAlign w:val="center"/>
          </w:tcPr>
          <w:p w14:paraId="02ABAD5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提供专业的专病评分工具，医护人员通过点选方式智能计算评分分值及分级结果。重点评估评分可以多次记录。系统提供FAST-ED、NIHSS评分、GCS评分、MRS评分、TICI分级、APECTS评分等评分。</w:t>
            </w:r>
          </w:p>
        </w:tc>
        <w:tc>
          <w:tcPr>
            <w:tcW w:w="733" w:type="dxa"/>
            <w:vMerge w:val="continue"/>
            <w:vAlign w:val="center"/>
          </w:tcPr>
          <w:p w14:paraId="0CE1A0F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42A30B4">
            <w:pPr>
              <w:jc w:val="center"/>
              <w:rPr>
                <w:rFonts w:hint="eastAsia" w:ascii="宋体" w:hAnsi="宋体" w:eastAsia="宋体" w:cs="宋体"/>
                <w:b w:val="0"/>
                <w:bCs w:val="0"/>
                <w:color w:val="auto"/>
                <w:kern w:val="0"/>
                <w:sz w:val="20"/>
                <w:szCs w:val="20"/>
                <w:highlight w:val="none"/>
                <w:lang w:val="en-US" w:eastAsia="zh-CN" w:bidi="ar-SA"/>
              </w:rPr>
            </w:pPr>
          </w:p>
        </w:tc>
      </w:tr>
      <w:tr w14:paraId="5343F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34B83D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956</w:t>
            </w:r>
          </w:p>
        </w:tc>
        <w:tc>
          <w:tcPr>
            <w:tcW w:w="720" w:type="dxa"/>
            <w:vMerge w:val="continue"/>
            <w:vAlign w:val="center"/>
          </w:tcPr>
          <w:p w14:paraId="039DCA19">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1D8F23F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临床数据实时共享</w:t>
            </w:r>
          </w:p>
        </w:tc>
        <w:tc>
          <w:tcPr>
            <w:tcW w:w="884" w:type="dxa"/>
            <w:vAlign w:val="center"/>
          </w:tcPr>
          <w:p w14:paraId="4A1D03B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临床数据实时共享</w:t>
            </w:r>
          </w:p>
        </w:tc>
        <w:tc>
          <w:tcPr>
            <w:tcW w:w="5841" w:type="dxa"/>
            <w:vAlign w:val="center"/>
          </w:tcPr>
          <w:p w14:paraId="1639FA0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临床检查报告以即时消息的形式推送。对接院内系统自动获取到报告后第一时间推送至移动端，医护可通过移动端查看患者相关实验室检查报告、影像检查报告等检验检查数据，有效协助临床医生提升诊疗效率。</w:t>
            </w:r>
          </w:p>
        </w:tc>
        <w:tc>
          <w:tcPr>
            <w:tcW w:w="733" w:type="dxa"/>
            <w:vMerge w:val="continue"/>
            <w:vAlign w:val="center"/>
          </w:tcPr>
          <w:p w14:paraId="0EF0155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A4CDC83">
            <w:pPr>
              <w:jc w:val="center"/>
              <w:rPr>
                <w:rFonts w:hint="eastAsia" w:ascii="宋体" w:hAnsi="宋体" w:eastAsia="宋体" w:cs="宋体"/>
                <w:b w:val="0"/>
                <w:bCs w:val="0"/>
                <w:color w:val="auto"/>
                <w:kern w:val="0"/>
                <w:sz w:val="20"/>
                <w:szCs w:val="20"/>
                <w:highlight w:val="none"/>
                <w:lang w:val="en-US" w:eastAsia="zh-CN" w:bidi="ar-SA"/>
              </w:rPr>
            </w:pPr>
          </w:p>
        </w:tc>
      </w:tr>
      <w:tr w14:paraId="486CE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C1ABD3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957</w:t>
            </w:r>
          </w:p>
        </w:tc>
        <w:tc>
          <w:tcPr>
            <w:tcW w:w="720" w:type="dxa"/>
            <w:vMerge w:val="continue"/>
            <w:vAlign w:val="center"/>
          </w:tcPr>
          <w:p w14:paraId="2A47AB1B">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4AC2C33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自动创建救治小组</w:t>
            </w:r>
          </w:p>
        </w:tc>
        <w:tc>
          <w:tcPr>
            <w:tcW w:w="884" w:type="dxa"/>
            <w:vAlign w:val="center"/>
          </w:tcPr>
          <w:p w14:paraId="366F51F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自动创建救治小组</w:t>
            </w:r>
          </w:p>
        </w:tc>
        <w:tc>
          <w:tcPr>
            <w:tcW w:w="5841" w:type="dxa"/>
            <w:vAlign w:val="center"/>
          </w:tcPr>
          <w:p w14:paraId="287B590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(1)一旦识别疑似卒中患者，则系统自动创建该患者救治小组。</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(2)救治小组创建后，相关救治人员自动入组。</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(3)手动邀请医护人员加入救治小组参与讨论。</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(4)救治小组讨论消息留痕。</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(5)救治小组多种讨论形式，包括文字、语音、图片、视频等，群组成员可实时获取的相关信息传递。</w:t>
            </w:r>
          </w:p>
        </w:tc>
        <w:tc>
          <w:tcPr>
            <w:tcW w:w="733" w:type="dxa"/>
            <w:vMerge w:val="continue"/>
            <w:vAlign w:val="center"/>
          </w:tcPr>
          <w:p w14:paraId="35CDCC6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19BC5D1">
            <w:pPr>
              <w:jc w:val="center"/>
              <w:rPr>
                <w:rFonts w:hint="eastAsia" w:ascii="宋体" w:hAnsi="宋体" w:eastAsia="宋体" w:cs="宋体"/>
                <w:b w:val="0"/>
                <w:bCs w:val="0"/>
                <w:color w:val="auto"/>
                <w:kern w:val="0"/>
                <w:sz w:val="20"/>
                <w:szCs w:val="20"/>
                <w:highlight w:val="none"/>
                <w:lang w:val="en-US" w:eastAsia="zh-CN" w:bidi="ar-SA"/>
              </w:rPr>
            </w:pPr>
          </w:p>
        </w:tc>
      </w:tr>
      <w:tr w14:paraId="4E19E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BBAE82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958</w:t>
            </w:r>
          </w:p>
        </w:tc>
        <w:tc>
          <w:tcPr>
            <w:tcW w:w="720" w:type="dxa"/>
            <w:vMerge w:val="continue"/>
            <w:vAlign w:val="center"/>
          </w:tcPr>
          <w:p w14:paraId="4422D8DD">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413AF07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知情同意谈话辅助工具</w:t>
            </w:r>
          </w:p>
        </w:tc>
        <w:tc>
          <w:tcPr>
            <w:tcW w:w="884" w:type="dxa"/>
            <w:vAlign w:val="center"/>
          </w:tcPr>
          <w:p w14:paraId="4BDD160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知情同意谈话辅助工具</w:t>
            </w:r>
          </w:p>
        </w:tc>
        <w:tc>
          <w:tcPr>
            <w:tcW w:w="5841" w:type="dxa"/>
            <w:vAlign w:val="center"/>
          </w:tcPr>
          <w:p w14:paraId="3F7999F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提供卒中知情同意谈话辅助工具，方便患者及家属的快速理解，有效提高谈话效率。</w:t>
            </w:r>
          </w:p>
        </w:tc>
        <w:tc>
          <w:tcPr>
            <w:tcW w:w="733" w:type="dxa"/>
            <w:vMerge w:val="continue"/>
            <w:vAlign w:val="center"/>
          </w:tcPr>
          <w:p w14:paraId="11AF239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BFFBDEE">
            <w:pPr>
              <w:jc w:val="center"/>
              <w:rPr>
                <w:rFonts w:hint="eastAsia" w:ascii="宋体" w:hAnsi="宋体" w:eastAsia="宋体" w:cs="宋体"/>
                <w:b w:val="0"/>
                <w:bCs w:val="0"/>
                <w:color w:val="auto"/>
                <w:kern w:val="0"/>
                <w:sz w:val="20"/>
                <w:szCs w:val="20"/>
                <w:highlight w:val="none"/>
                <w:lang w:val="en-US" w:eastAsia="zh-CN" w:bidi="ar-SA"/>
              </w:rPr>
            </w:pPr>
          </w:p>
        </w:tc>
      </w:tr>
      <w:tr w14:paraId="6038D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CFA72B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959</w:t>
            </w:r>
          </w:p>
        </w:tc>
        <w:tc>
          <w:tcPr>
            <w:tcW w:w="720" w:type="dxa"/>
            <w:vMerge w:val="continue"/>
            <w:vAlign w:val="center"/>
          </w:tcPr>
          <w:p w14:paraId="62292437">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22AEDA8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病案质控提醒</w:t>
            </w:r>
          </w:p>
        </w:tc>
        <w:tc>
          <w:tcPr>
            <w:tcW w:w="884" w:type="dxa"/>
            <w:vAlign w:val="center"/>
          </w:tcPr>
          <w:p w14:paraId="63856E4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病案质控提醒</w:t>
            </w:r>
          </w:p>
        </w:tc>
        <w:tc>
          <w:tcPr>
            <w:tcW w:w="5841" w:type="dxa"/>
            <w:vAlign w:val="center"/>
          </w:tcPr>
          <w:p w14:paraId="6F0677F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系统自动校验关键质控项是否完成登记，关键质控项未完成登记的强制提醒。</w:t>
            </w:r>
          </w:p>
        </w:tc>
        <w:tc>
          <w:tcPr>
            <w:tcW w:w="733" w:type="dxa"/>
            <w:vMerge w:val="continue"/>
            <w:vAlign w:val="center"/>
          </w:tcPr>
          <w:p w14:paraId="5AC9E8D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DEB1920">
            <w:pPr>
              <w:jc w:val="center"/>
              <w:rPr>
                <w:rFonts w:hint="eastAsia" w:ascii="宋体" w:hAnsi="宋体" w:eastAsia="宋体" w:cs="宋体"/>
                <w:b w:val="0"/>
                <w:bCs w:val="0"/>
                <w:color w:val="auto"/>
                <w:kern w:val="0"/>
                <w:sz w:val="20"/>
                <w:szCs w:val="20"/>
                <w:highlight w:val="none"/>
                <w:lang w:val="en-US" w:eastAsia="zh-CN" w:bidi="ar-SA"/>
              </w:rPr>
            </w:pPr>
          </w:p>
        </w:tc>
      </w:tr>
      <w:tr w14:paraId="2373A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7FE7D9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960</w:t>
            </w:r>
          </w:p>
        </w:tc>
        <w:tc>
          <w:tcPr>
            <w:tcW w:w="720" w:type="dxa"/>
            <w:vMerge w:val="continue"/>
            <w:vAlign w:val="center"/>
          </w:tcPr>
          <w:p w14:paraId="6D7369C3">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78F092C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病历填报</w:t>
            </w:r>
          </w:p>
        </w:tc>
        <w:tc>
          <w:tcPr>
            <w:tcW w:w="884" w:type="dxa"/>
            <w:vAlign w:val="center"/>
          </w:tcPr>
          <w:p w14:paraId="4EA11CF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病历填报</w:t>
            </w:r>
          </w:p>
        </w:tc>
        <w:tc>
          <w:tcPr>
            <w:tcW w:w="5841" w:type="dxa"/>
            <w:vAlign w:val="center"/>
          </w:tcPr>
          <w:p w14:paraId="50AE66F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按国家标准病历进行填报，内容包括：患者信息、诊断信息、生命体征、急诊部分、辅助检查、治疗部分、转归等数据的查询与编辑。</w:t>
            </w:r>
          </w:p>
        </w:tc>
        <w:tc>
          <w:tcPr>
            <w:tcW w:w="733" w:type="dxa"/>
            <w:vMerge w:val="continue"/>
            <w:vAlign w:val="center"/>
          </w:tcPr>
          <w:p w14:paraId="6EC5DF0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E796F00">
            <w:pPr>
              <w:jc w:val="center"/>
              <w:rPr>
                <w:rFonts w:hint="eastAsia" w:ascii="宋体" w:hAnsi="宋体" w:eastAsia="宋体" w:cs="宋体"/>
                <w:b w:val="0"/>
                <w:bCs w:val="0"/>
                <w:color w:val="auto"/>
                <w:kern w:val="0"/>
                <w:sz w:val="20"/>
                <w:szCs w:val="20"/>
                <w:highlight w:val="none"/>
                <w:lang w:val="en-US" w:eastAsia="zh-CN" w:bidi="ar-SA"/>
              </w:rPr>
            </w:pPr>
          </w:p>
        </w:tc>
      </w:tr>
      <w:tr w14:paraId="21B1E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BF0FD8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961</w:t>
            </w:r>
          </w:p>
        </w:tc>
        <w:tc>
          <w:tcPr>
            <w:tcW w:w="720" w:type="dxa"/>
            <w:vMerge w:val="continue"/>
            <w:vAlign w:val="center"/>
          </w:tcPr>
          <w:p w14:paraId="3C9EF177">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1058E38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质控分析</w:t>
            </w:r>
          </w:p>
        </w:tc>
        <w:tc>
          <w:tcPr>
            <w:tcW w:w="884" w:type="dxa"/>
            <w:vAlign w:val="center"/>
          </w:tcPr>
          <w:p w14:paraId="3CD6195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质控分析</w:t>
            </w:r>
          </w:p>
        </w:tc>
        <w:tc>
          <w:tcPr>
            <w:tcW w:w="5841" w:type="dxa"/>
            <w:vAlign w:val="center"/>
          </w:tcPr>
          <w:p w14:paraId="30B40D0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将已产生的数据进行挖掘分析，数据通过列表、饼状图等方式进行展现。质控统计的内容包括并不限于以下的内容：卒中执行时间分布情况、卒中执行情况、卒中中心人次详情等。</w:t>
            </w:r>
          </w:p>
        </w:tc>
        <w:tc>
          <w:tcPr>
            <w:tcW w:w="733" w:type="dxa"/>
            <w:vMerge w:val="continue"/>
            <w:vAlign w:val="center"/>
          </w:tcPr>
          <w:p w14:paraId="276CD92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D5C398C">
            <w:pPr>
              <w:jc w:val="center"/>
              <w:rPr>
                <w:rFonts w:hint="eastAsia" w:ascii="宋体" w:hAnsi="宋体" w:eastAsia="宋体" w:cs="宋体"/>
                <w:b w:val="0"/>
                <w:bCs w:val="0"/>
                <w:color w:val="auto"/>
                <w:kern w:val="0"/>
                <w:sz w:val="20"/>
                <w:szCs w:val="20"/>
                <w:highlight w:val="none"/>
                <w:lang w:val="en-US" w:eastAsia="zh-CN" w:bidi="ar-SA"/>
              </w:rPr>
            </w:pPr>
          </w:p>
        </w:tc>
      </w:tr>
      <w:tr w14:paraId="4ECC2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487643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962</w:t>
            </w:r>
          </w:p>
        </w:tc>
        <w:tc>
          <w:tcPr>
            <w:tcW w:w="720" w:type="dxa"/>
            <w:vMerge w:val="continue"/>
            <w:vAlign w:val="center"/>
          </w:tcPr>
          <w:p w14:paraId="062BBABE">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0C1BFF9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卒中中心认证数据采集上报</w:t>
            </w:r>
          </w:p>
        </w:tc>
        <w:tc>
          <w:tcPr>
            <w:tcW w:w="884" w:type="dxa"/>
            <w:vAlign w:val="center"/>
          </w:tcPr>
          <w:p w14:paraId="16C3DF1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卒中中心认证数据采集上报</w:t>
            </w:r>
          </w:p>
        </w:tc>
        <w:tc>
          <w:tcPr>
            <w:tcW w:w="5841" w:type="dxa"/>
            <w:vAlign w:val="center"/>
          </w:tcPr>
          <w:p w14:paraId="7110C8F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对接国家卒中中心上报系统进行数据上报。</w:t>
            </w:r>
          </w:p>
        </w:tc>
        <w:tc>
          <w:tcPr>
            <w:tcW w:w="733" w:type="dxa"/>
            <w:vMerge w:val="continue"/>
            <w:vAlign w:val="center"/>
          </w:tcPr>
          <w:p w14:paraId="13749B3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957F262">
            <w:pPr>
              <w:jc w:val="center"/>
              <w:rPr>
                <w:rFonts w:hint="eastAsia" w:ascii="宋体" w:hAnsi="宋体" w:eastAsia="宋体" w:cs="宋体"/>
                <w:b w:val="0"/>
                <w:bCs w:val="0"/>
                <w:color w:val="auto"/>
                <w:kern w:val="0"/>
                <w:sz w:val="20"/>
                <w:szCs w:val="20"/>
                <w:highlight w:val="none"/>
                <w:lang w:val="en-US" w:eastAsia="zh-CN" w:bidi="ar-SA"/>
              </w:rPr>
            </w:pPr>
          </w:p>
        </w:tc>
      </w:tr>
      <w:tr w14:paraId="1B366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0E3B63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963</w:t>
            </w:r>
          </w:p>
        </w:tc>
        <w:tc>
          <w:tcPr>
            <w:tcW w:w="720" w:type="dxa"/>
            <w:vMerge w:val="restart"/>
            <w:vAlign w:val="center"/>
          </w:tcPr>
          <w:p w14:paraId="10EE45F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创伤中心</w:t>
            </w:r>
          </w:p>
        </w:tc>
        <w:tc>
          <w:tcPr>
            <w:tcW w:w="875" w:type="dxa"/>
            <w:vAlign w:val="center"/>
          </w:tcPr>
          <w:p w14:paraId="40CE15E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关键时间智能采集</w:t>
            </w:r>
          </w:p>
        </w:tc>
        <w:tc>
          <w:tcPr>
            <w:tcW w:w="884" w:type="dxa"/>
            <w:vAlign w:val="center"/>
          </w:tcPr>
          <w:p w14:paraId="1F6267C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关键时间智能采集</w:t>
            </w:r>
          </w:p>
        </w:tc>
        <w:tc>
          <w:tcPr>
            <w:tcW w:w="5841" w:type="dxa"/>
            <w:vAlign w:val="center"/>
          </w:tcPr>
          <w:p w14:paraId="64BB52B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通过无线感应设备进行患者时间节点采集，时间点自动导入患者时间轨迹，比如：患者到达医院时间、患者到达导管室时间。医护人员通过移动PDA扫描二维码方式、点选的方式、医疗数据中采集的方式等进行时间节点采集，时间点自动导入患者时间轨迹。</w:t>
            </w:r>
          </w:p>
        </w:tc>
        <w:tc>
          <w:tcPr>
            <w:tcW w:w="733" w:type="dxa"/>
            <w:vMerge w:val="restart"/>
            <w:vAlign w:val="center"/>
          </w:tcPr>
          <w:p w14:paraId="34BAB4E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580A622D">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27</w:t>
            </w:r>
          </w:p>
        </w:tc>
      </w:tr>
      <w:tr w14:paraId="3DB12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22AD72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964</w:t>
            </w:r>
          </w:p>
        </w:tc>
        <w:tc>
          <w:tcPr>
            <w:tcW w:w="720" w:type="dxa"/>
            <w:vMerge w:val="continue"/>
            <w:vAlign w:val="center"/>
          </w:tcPr>
          <w:p w14:paraId="6F4950A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875" w:type="dxa"/>
            <w:vAlign w:val="center"/>
          </w:tcPr>
          <w:p w14:paraId="2936291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时间路径展现</w:t>
            </w:r>
          </w:p>
        </w:tc>
        <w:tc>
          <w:tcPr>
            <w:tcW w:w="884" w:type="dxa"/>
            <w:vAlign w:val="center"/>
          </w:tcPr>
          <w:p w14:paraId="11D1B1E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时间路径展现</w:t>
            </w:r>
          </w:p>
        </w:tc>
        <w:tc>
          <w:tcPr>
            <w:tcW w:w="5841" w:type="dxa"/>
            <w:vAlign w:val="center"/>
          </w:tcPr>
          <w:p w14:paraId="11AE78A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创伤时间路径展现患者诊疗过程重要时间节点，异常质控时间点提醒，异常质控时间点的异常说明记录。</w:t>
            </w:r>
          </w:p>
        </w:tc>
        <w:tc>
          <w:tcPr>
            <w:tcW w:w="733" w:type="dxa"/>
            <w:vMerge w:val="continue"/>
            <w:vAlign w:val="center"/>
          </w:tcPr>
          <w:p w14:paraId="0EE2CB9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D1A1A76">
            <w:pPr>
              <w:jc w:val="center"/>
              <w:rPr>
                <w:rFonts w:hint="eastAsia" w:ascii="宋体" w:hAnsi="宋体" w:eastAsia="宋体" w:cs="宋体"/>
                <w:b w:val="0"/>
                <w:bCs w:val="0"/>
                <w:color w:val="auto"/>
                <w:kern w:val="0"/>
                <w:sz w:val="20"/>
                <w:szCs w:val="20"/>
                <w:highlight w:val="none"/>
                <w:lang w:val="en-US" w:eastAsia="zh-CN" w:bidi="ar-SA"/>
              </w:rPr>
            </w:pPr>
          </w:p>
        </w:tc>
      </w:tr>
      <w:tr w14:paraId="1E263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D698D8C">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965</w:t>
            </w:r>
          </w:p>
        </w:tc>
        <w:tc>
          <w:tcPr>
            <w:tcW w:w="720" w:type="dxa"/>
            <w:vMerge w:val="continue"/>
            <w:vAlign w:val="center"/>
          </w:tcPr>
          <w:p w14:paraId="753C745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875" w:type="dxa"/>
            <w:vAlign w:val="center"/>
          </w:tcPr>
          <w:p w14:paraId="485C692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关键事件轨迹质控</w:t>
            </w:r>
          </w:p>
        </w:tc>
        <w:tc>
          <w:tcPr>
            <w:tcW w:w="884" w:type="dxa"/>
            <w:vAlign w:val="center"/>
          </w:tcPr>
          <w:p w14:paraId="35BD914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关键事件轨迹质控</w:t>
            </w:r>
          </w:p>
        </w:tc>
        <w:tc>
          <w:tcPr>
            <w:tcW w:w="5841" w:type="dxa"/>
            <w:vAlign w:val="center"/>
          </w:tcPr>
          <w:p w14:paraId="71C6474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创伤患者关键事件的可视化展示，创伤诊疗关键事件耗时跟踪。</w:t>
            </w:r>
          </w:p>
        </w:tc>
        <w:tc>
          <w:tcPr>
            <w:tcW w:w="733" w:type="dxa"/>
            <w:vMerge w:val="continue"/>
            <w:vAlign w:val="center"/>
          </w:tcPr>
          <w:p w14:paraId="48D19D9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F74E0B8">
            <w:pPr>
              <w:jc w:val="center"/>
              <w:rPr>
                <w:rFonts w:hint="eastAsia" w:ascii="宋体" w:hAnsi="宋体" w:eastAsia="宋体" w:cs="宋体"/>
                <w:b w:val="0"/>
                <w:bCs w:val="0"/>
                <w:color w:val="auto"/>
                <w:kern w:val="0"/>
                <w:sz w:val="20"/>
                <w:szCs w:val="20"/>
                <w:highlight w:val="none"/>
                <w:lang w:val="en-US" w:eastAsia="zh-CN" w:bidi="ar-SA"/>
              </w:rPr>
            </w:pPr>
          </w:p>
        </w:tc>
      </w:tr>
      <w:tr w14:paraId="038C7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F9A10F4">
            <w:pPr>
              <w:spacing w:line="300" w:lineRule="exact"/>
              <w:jc w:val="center"/>
              <w:rPr>
                <w:rFonts w:hint="eastAsia" w:ascii="仿宋" w:hAnsi="仿宋" w:eastAsia="仿宋" w:cs="宋体"/>
                <w:b/>
                <w:bCs/>
                <w:color w:val="auto"/>
                <w:sz w:val="22"/>
                <w:szCs w:val="22"/>
                <w:highlight w:val="none"/>
                <w:lang w:val="en-US" w:eastAsia="zh-CN"/>
              </w:rPr>
            </w:pPr>
            <w:r>
              <w:rPr>
                <w:rFonts w:hint="eastAsia" w:ascii="仿宋" w:hAnsi="仿宋" w:eastAsia="仿宋" w:cs="宋体"/>
                <w:color w:val="auto"/>
                <w:sz w:val="22"/>
                <w:szCs w:val="22"/>
                <w:highlight w:val="none"/>
                <w:lang w:val="en-US" w:eastAsia="zh-CN"/>
              </w:rPr>
              <w:t>966</w:t>
            </w:r>
          </w:p>
        </w:tc>
        <w:tc>
          <w:tcPr>
            <w:tcW w:w="720" w:type="dxa"/>
            <w:vMerge w:val="continue"/>
            <w:vAlign w:val="center"/>
          </w:tcPr>
          <w:p w14:paraId="3ECCEBD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875" w:type="dxa"/>
            <w:vAlign w:val="center"/>
          </w:tcPr>
          <w:p w14:paraId="2CB31AE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时间窗质控</w:t>
            </w:r>
          </w:p>
        </w:tc>
        <w:tc>
          <w:tcPr>
            <w:tcW w:w="884" w:type="dxa"/>
            <w:vAlign w:val="center"/>
          </w:tcPr>
          <w:p w14:paraId="178CD09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时间窗质控</w:t>
            </w:r>
          </w:p>
        </w:tc>
        <w:tc>
          <w:tcPr>
            <w:tcW w:w="5841" w:type="dxa"/>
            <w:vAlign w:val="center"/>
          </w:tcPr>
          <w:p w14:paraId="7034FF3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根据医院自定义时间窗质控规则展示时间窗质控结果，时间窗质控结果的醒目颜色标识是否达标。时间窗质控未达标结果落后值的有效提醒。</w:t>
            </w:r>
          </w:p>
        </w:tc>
        <w:tc>
          <w:tcPr>
            <w:tcW w:w="733" w:type="dxa"/>
            <w:vMerge w:val="continue"/>
            <w:vAlign w:val="center"/>
          </w:tcPr>
          <w:p w14:paraId="5E217BB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6BE31F0">
            <w:pPr>
              <w:jc w:val="center"/>
              <w:rPr>
                <w:rFonts w:hint="eastAsia" w:ascii="宋体" w:hAnsi="宋体" w:eastAsia="宋体" w:cs="宋体"/>
                <w:b w:val="0"/>
                <w:bCs w:val="0"/>
                <w:color w:val="auto"/>
                <w:kern w:val="0"/>
                <w:sz w:val="20"/>
                <w:szCs w:val="20"/>
                <w:highlight w:val="none"/>
                <w:lang w:val="en-US" w:eastAsia="zh-CN" w:bidi="ar-SA"/>
              </w:rPr>
            </w:pPr>
          </w:p>
        </w:tc>
      </w:tr>
      <w:tr w14:paraId="1CEB3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7AF6125">
            <w:pPr>
              <w:spacing w:line="300" w:lineRule="exact"/>
              <w:jc w:val="center"/>
              <w:rPr>
                <w:rFonts w:hint="eastAsia" w:ascii="仿宋" w:hAnsi="仿宋" w:eastAsia="仿宋" w:cs="宋体"/>
                <w:b/>
                <w:bCs/>
                <w:color w:val="auto"/>
                <w:sz w:val="22"/>
                <w:szCs w:val="22"/>
                <w:highlight w:val="none"/>
                <w:lang w:val="en-US" w:eastAsia="zh-CN"/>
              </w:rPr>
            </w:pPr>
            <w:r>
              <w:rPr>
                <w:rFonts w:hint="eastAsia" w:ascii="仿宋" w:hAnsi="仿宋" w:eastAsia="仿宋" w:cs="宋体"/>
                <w:color w:val="auto"/>
                <w:sz w:val="22"/>
                <w:szCs w:val="22"/>
                <w:highlight w:val="none"/>
                <w:lang w:val="en-US" w:eastAsia="zh-CN"/>
              </w:rPr>
              <w:t>967</w:t>
            </w:r>
          </w:p>
        </w:tc>
        <w:tc>
          <w:tcPr>
            <w:tcW w:w="720" w:type="dxa"/>
            <w:vMerge w:val="continue"/>
            <w:vAlign w:val="center"/>
          </w:tcPr>
          <w:p w14:paraId="16014E6F">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0B00C4F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多模式救治流程</w:t>
            </w:r>
          </w:p>
        </w:tc>
        <w:tc>
          <w:tcPr>
            <w:tcW w:w="884" w:type="dxa"/>
            <w:vAlign w:val="center"/>
          </w:tcPr>
          <w:p w14:paraId="2907B82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多模式救治流程</w:t>
            </w:r>
          </w:p>
        </w:tc>
        <w:tc>
          <w:tcPr>
            <w:tcW w:w="5841" w:type="dxa"/>
            <w:vAlign w:val="center"/>
          </w:tcPr>
          <w:p w14:paraId="214494B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多模式救治流程全覆盖，根据不同的救治流程模式采集相应的关键事件信息，满足各模式救治流程的高效执行。</w:t>
            </w:r>
          </w:p>
        </w:tc>
        <w:tc>
          <w:tcPr>
            <w:tcW w:w="733" w:type="dxa"/>
            <w:vMerge w:val="continue"/>
            <w:vAlign w:val="center"/>
          </w:tcPr>
          <w:p w14:paraId="34AEBAF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E567B35">
            <w:pPr>
              <w:jc w:val="center"/>
              <w:rPr>
                <w:rFonts w:hint="eastAsia" w:ascii="宋体" w:hAnsi="宋体" w:eastAsia="宋体" w:cs="宋体"/>
                <w:b w:val="0"/>
                <w:bCs w:val="0"/>
                <w:color w:val="auto"/>
                <w:kern w:val="0"/>
                <w:sz w:val="20"/>
                <w:szCs w:val="20"/>
                <w:highlight w:val="none"/>
                <w:lang w:val="en-US" w:eastAsia="zh-CN" w:bidi="ar-SA"/>
              </w:rPr>
            </w:pPr>
          </w:p>
        </w:tc>
      </w:tr>
      <w:tr w14:paraId="2D79C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AA29423">
            <w:pPr>
              <w:spacing w:line="300" w:lineRule="exact"/>
              <w:jc w:val="center"/>
              <w:rPr>
                <w:rFonts w:hint="eastAsia" w:ascii="仿宋" w:hAnsi="仿宋" w:eastAsia="仿宋" w:cs="宋体"/>
                <w:b/>
                <w:bCs/>
                <w:color w:val="auto"/>
                <w:sz w:val="22"/>
                <w:szCs w:val="22"/>
                <w:highlight w:val="none"/>
                <w:lang w:val="en-US" w:eastAsia="zh-CN"/>
              </w:rPr>
            </w:pPr>
            <w:r>
              <w:rPr>
                <w:rFonts w:hint="eastAsia" w:ascii="仿宋" w:hAnsi="仿宋" w:eastAsia="仿宋" w:cs="宋体"/>
                <w:color w:val="auto"/>
                <w:sz w:val="22"/>
                <w:szCs w:val="22"/>
                <w:highlight w:val="none"/>
                <w:lang w:val="en-US" w:eastAsia="zh-CN"/>
              </w:rPr>
              <w:t>968</w:t>
            </w:r>
          </w:p>
        </w:tc>
        <w:tc>
          <w:tcPr>
            <w:tcW w:w="720" w:type="dxa"/>
            <w:vMerge w:val="continue"/>
            <w:vAlign w:val="center"/>
          </w:tcPr>
          <w:p w14:paraId="60233116">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6534106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快速识别建档</w:t>
            </w:r>
          </w:p>
        </w:tc>
        <w:tc>
          <w:tcPr>
            <w:tcW w:w="884" w:type="dxa"/>
            <w:vAlign w:val="center"/>
          </w:tcPr>
          <w:p w14:paraId="7EF3112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快速识别建档</w:t>
            </w:r>
          </w:p>
        </w:tc>
        <w:tc>
          <w:tcPr>
            <w:tcW w:w="5841" w:type="dxa"/>
            <w:vAlign w:val="center"/>
          </w:tcPr>
          <w:p w14:paraId="1ABEAEA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内置创伤识别工具，医护人员根据创伤识别工具快速识别患者是否为创伤。创伤患者可一键完成快速建档。通过物联网设备快速采集患者身份信息，完成快速登记。</w:t>
            </w:r>
          </w:p>
        </w:tc>
        <w:tc>
          <w:tcPr>
            <w:tcW w:w="733" w:type="dxa"/>
            <w:vMerge w:val="continue"/>
            <w:vAlign w:val="center"/>
          </w:tcPr>
          <w:p w14:paraId="4B50A68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17A7BAB">
            <w:pPr>
              <w:jc w:val="center"/>
              <w:rPr>
                <w:rFonts w:hint="eastAsia" w:ascii="宋体" w:hAnsi="宋体" w:eastAsia="宋体" w:cs="宋体"/>
                <w:b w:val="0"/>
                <w:bCs w:val="0"/>
                <w:color w:val="auto"/>
                <w:kern w:val="0"/>
                <w:sz w:val="20"/>
                <w:szCs w:val="20"/>
                <w:highlight w:val="none"/>
                <w:lang w:val="en-US" w:eastAsia="zh-CN" w:bidi="ar-SA"/>
              </w:rPr>
            </w:pPr>
          </w:p>
        </w:tc>
      </w:tr>
      <w:tr w14:paraId="093B9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D1F97ED">
            <w:pPr>
              <w:spacing w:line="300" w:lineRule="exact"/>
              <w:jc w:val="center"/>
              <w:rPr>
                <w:rFonts w:hint="eastAsia" w:ascii="仿宋" w:hAnsi="仿宋" w:eastAsia="仿宋" w:cs="宋体"/>
                <w:b/>
                <w:bCs/>
                <w:color w:val="auto"/>
                <w:sz w:val="22"/>
                <w:szCs w:val="22"/>
                <w:highlight w:val="none"/>
                <w:lang w:val="en-US" w:eastAsia="zh-CN"/>
              </w:rPr>
            </w:pPr>
            <w:r>
              <w:rPr>
                <w:rFonts w:hint="eastAsia" w:ascii="仿宋" w:hAnsi="仿宋" w:eastAsia="仿宋" w:cs="宋体"/>
                <w:color w:val="auto"/>
                <w:sz w:val="22"/>
                <w:szCs w:val="22"/>
                <w:highlight w:val="none"/>
                <w:lang w:val="en-US" w:eastAsia="zh-CN"/>
              </w:rPr>
              <w:t>969</w:t>
            </w:r>
          </w:p>
        </w:tc>
        <w:tc>
          <w:tcPr>
            <w:tcW w:w="720" w:type="dxa"/>
            <w:vMerge w:val="continue"/>
            <w:vAlign w:val="center"/>
          </w:tcPr>
          <w:p w14:paraId="2DC55FFF">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036EE67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新患者预警通知</w:t>
            </w:r>
          </w:p>
        </w:tc>
        <w:tc>
          <w:tcPr>
            <w:tcW w:w="884" w:type="dxa"/>
            <w:vAlign w:val="center"/>
          </w:tcPr>
          <w:p w14:paraId="701B4F7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新患者预警通知</w:t>
            </w:r>
          </w:p>
        </w:tc>
        <w:tc>
          <w:tcPr>
            <w:tcW w:w="5841" w:type="dxa"/>
            <w:vAlign w:val="center"/>
          </w:tcPr>
          <w:p w14:paraId="2CA194A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创伤识别工具一旦识别到创伤患者，系统立即向当前所有值班人员发出紧急预警通知，开通绿色通道，告知各科室相关医护人员做好紧急联合救治准备。</w:t>
            </w:r>
          </w:p>
        </w:tc>
        <w:tc>
          <w:tcPr>
            <w:tcW w:w="733" w:type="dxa"/>
            <w:vMerge w:val="continue"/>
            <w:vAlign w:val="center"/>
          </w:tcPr>
          <w:p w14:paraId="06810CF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F08D00D">
            <w:pPr>
              <w:jc w:val="center"/>
              <w:rPr>
                <w:rFonts w:hint="eastAsia" w:ascii="宋体" w:hAnsi="宋体" w:eastAsia="宋体" w:cs="宋体"/>
                <w:b w:val="0"/>
                <w:bCs w:val="0"/>
                <w:color w:val="auto"/>
                <w:kern w:val="0"/>
                <w:sz w:val="20"/>
                <w:szCs w:val="20"/>
                <w:highlight w:val="none"/>
                <w:lang w:val="en-US" w:eastAsia="zh-CN" w:bidi="ar-SA"/>
              </w:rPr>
            </w:pPr>
          </w:p>
        </w:tc>
      </w:tr>
      <w:tr w14:paraId="1D714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3F14F30">
            <w:pPr>
              <w:spacing w:line="300" w:lineRule="exact"/>
              <w:jc w:val="center"/>
              <w:rPr>
                <w:rFonts w:hint="eastAsia" w:ascii="仿宋" w:hAnsi="仿宋" w:eastAsia="仿宋" w:cs="宋体"/>
                <w:b/>
                <w:bCs/>
                <w:color w:val="auto"/>
                <w:sz w:val="22"/>
                <w:szCs w:val="22"/>
                <w:highlight w:val="none"/>
                <w:lang w:val="en-US" w:eastAsia="zh-CN"/>
              </w:rPr>
            </w:pPr>
            <w:r>
              <w:rPr>
                <w:rFonts w:hint="eastAsia" w:ascii="仿宋" w:hAnsi="仿宋" w:eastAsia="仿宋" w:cs="宋体"/>
                <w:color w:val="auto"/>
                <w:sz w:val="22"/>
                <w:szCs w:val="22"/>
                <w:highlight w:val="none"/>
                <w:lang w:val="en-US" w:eastAsia="zh-CN"/>
              </w:rPr>
              <w:t>970</w:t>
            </w:r>
          </w:p>
        </w:tc>
        <w:tc>
          <w:tcPr>
            <w:tcW w:w="720" w:type="dxa"/>
            <w:vMerge w:val="continue"/>
            <w:vAlign w:val="center"/>
          </w:tcPr>
          <w:p w14:paraId="1C389ABF">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3878D5B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专业智能评分</w:t>
            </w:r>
          </w:p>
        </w:tc>
        <w:tc>
          <w:tcPr>
            <w:tcW w:w="884" w:type="dxa"/>
            <w:vAlign w:val="center"/>
          </w:tcPr>
          <w:p w14:paraId="6310BE0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专业智能评分</w:t>
            </w:r>
          </w:p>
        </w:tc>
        <w:tc>
          <w:tcPr>
            <w:tcW w:w="5841" w:type="dxa"/>
            <w:vAlign w:val="center"/>
          </w:tcPr>
          <w:p w14:paraId="5F28C47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提供专业的专病评分工具，医护人员通过点选方式智能计算评分分值及分级结果。重点评估评分可以多次记录。系统提供ABCDE评分、ISS评分、GCS评分、RTS评分、TI评分、疼痛评分等内容。</w:t>
            </w:r>
          </w:p>
        </w:tc>
        <w:tc>
          <w:tcPr>
            <w:tcW w:w="733" w:type="dxa"/>
            <w:vMerge w:val="continue"/>
            <w:vAlign w:val="center"/>
          </w:tcPr>
          <w:p w14:paraId="58D7BF0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1DE065F">
            <w:pPr>
              <w:jc w:val="center"/>
              <w:rPr>
                <w:rFonts w:hint="eastAsia" w:ascii="宋体" w:hAnsi="宋体" w:eastAsia="宋体" w:cs="宋体"/>
                <w:b w:val="0"/>
                <w:bCs w:val="0"/>
                <w:color w:val="auto"/>
                <w:kern w:val="0"/>
                <w:sz w:val="20"/>
                <w:szCs w:val="20"/>
                <w:highlight w:val="none"/>
                <w:lang w:val="en-US" w:eastAsia="zh-CN" w:bidi="ar-SA"/>
              </w:rPr>
            </w:pPr>
          </w:p>
        </w:tc>
      </w:tr>
      <w:tr w14:paraId="5C2B6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4AFFBD9">
            <w:pPr>
              <w:spacing w:line="300" w:lineRule="exact"/>
              <w:jc w:val="center"/>
              <w:rPr>
                <w:rFonts w:hint="eastAsia" w:ascii="仿宋" w:hAnsi="仿宋" w:eastAsia="仿宋" w:cs="宋体"/>
                <w:b/>
                <w:bCs/>
                <w:color w:val="auto"/>
                <w:sz w:val="22"/>
                <w:szCs w:val="22"/>
                <w:highlight w:val="none"/>
                <w:lang w:val="en-US" w:eastAsia="zh-CN"/>
              </w:rPr>
            </w:pPr>
            <w:r>
              <w:rPr>
                <w:rFonts w:hint="eastAsia" w:ascii="仿宋" w:hAnsi="仿宋" w:eastAsia="仿宋" w:cs="宋体"/>
                <w:color w:val="auto"/>
                <w:sz w:val="22"/>
                <w:szCs w:val="22"/>
                <w:highlight w:val="none"/>
                <w:lang w:val="en-US" w:eastAsia="zh-CN"/>
              </w:rPr>
              <w:t>971</w:t>
            </w:r>
          </w:p>
        </w:tc>
        <w:tc>
          <w:tcPr>
            <w:tcW w:w="720" w:type="dxa"/>
            <w:vMerge w:val="continue"/>
            <w:vAlign w:val="center"/>
          </w:tcPr>
          <w:p w14:paraId="56FE445C">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262307C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临床数据实时共享</w:t>
            </w:r>
          </w:p>
        </w:tc>
        <w:tc>
          <w:tcPr>
            <w:tcW w:w="884" w:type="dxa"/>
            <w:vAlign w:val="center"/>
          </w:tcPr>
          <w:p w14:paraId="0C53D19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临床数据实时共享</w:t>
            </w:r>
          </w:p>
        </w:tc>
        <w:tc>
          <w:tcPr>
            <w:tcW w:w="5841" w:type="dxa"/>
            <w:vAlign w:val="center"/>
          </w:tcPr>
          <w:p w14:paraId="3681491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临床检查报告以即时消息的形式推送。对接院内系统自动获取到报告后第一时间推送至移动端，医护可通过移动端查看患者相关实验室检查报告、影像检查报告等检验检查数据，有效协助临床医生提升诊疗效率。</w:t>
            </w:r>
          </w:p>
        </w:tc>
        <w:tc>
          <w:tcPr>
            <w:tcW w:w="733" w:type="dxa"/>
            <w:vMerge w:val="continue"/>
            <w:vAlign w:val="center"/>
          </w:tcPr>
          <w:p w14:paraId="39B014A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68E3D9B">
            <w:pPr>
              <w:jc w:val="center"/>
              <w:rPr>
                <w:rFonts w:hint="eastAsia" w:ascii="宋体" w:hAnsi="宋体" w:eastAsia="宋体" w:cs="宋体"/>
                <w:b w:val="0"/>
                <w:bCs w:val="0"/>
                <w:color w:val="auto"/>
                <w:kern w:val="0"/>
                <w:sz w:val="20"/>
                <w:szCs w:val="20"/>
                <w:highlight w:val="none"/>
                <w:lang w:val="en-US" w:eastAsia="zh-CN" w:bidi="ar-SA"/>
              </w:rPr>
            </w:pPr>
          </w:p>
        </w:tc>
      </w:tr>
      <w:tr w14:paraId="2F297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625D82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972</w:t>
            </w:r>
          </w:p>
        </w:tc>
        <w:tc>
          <w:tcPr>
            <w:tcW w:w="720" w:type="dxa"/>
            <w:vMerge w:val="continue"/>
            <w:vAlign w:val="center"/>
          </w:tcPr>
          <w:p w14:paraId="4C8B2C81">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15BC771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自动创建救治小组</w:t>
            </w:r>
          </w:p>
        </w:tc>
        <w:tc>
          <w:tcPr>
            <w:tcW w:w="884" w:type="dxa"/>
            <w:vAlign w:val="center"/>
          </w:tcPr>
          <w:p w14:paraId="22FF705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自动创建救治小组</w:t>
            </w:r>
          </w:p>
        </w:tc>
        <w:tc>
          <w:tcPr>
            <w:tcW w:w="5841" w:type="dxa"/>
            <w:vAlign w:val="center"/>
          </w:tcPr>
          <w:p w14:paraId="56B8203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(1)一旦发现创伤患者，则系统自动创建该患者救治小组。</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(2)救治小组创建后，相关救治人员自动入组。</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(3)手动邀请医护人员加入救治小组参与讨论。</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(4)救治小组讨论消息留痕。</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(5)救治小组多种讨论形式，包括文字、语音、图片、视频等，群组成员可实时获取的相关信息传递。</w:t>
            </w:r>
          </w:p>
        </w:tc>
        <w:tc>
          <w:tcPr>
            <w:tcW w:w="733" w:type="dxa"/>
            <w:vMerge w:val="continue"/>
            <w:vAlign w:val="center"/>
          </w:tcPr>
          <w:p w14:paraId="070620F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316513A">
            <w:pPr>
              <w:jc w:val="center"/>
              <w:rPr>
                <w:rFonts w:hint="eastAsia" w:ascii="宋体" w:hAnsi="宋体" w:eastAsia="宋体" w:cs="宋体"/>
                <w:b w:val="0"/>
                <w:bCs w:val="0"/>
                <w:color w:val="auto"/>
                <w:kern w:val="0"/>
                <w:sz w:val="20"/>
                <w:szCs w:val="20"/>
                <w:highlight w:val="none"/>
                <w:lang w:val="en-US" w:eastAsia="zh-CN" w:bidi="ar-SA"/>
              </w:rPr>
            </w:pPr>
          </w:p>
        </w:tc>
      </w:tr>
      <w:tr w14:paraId="08A4D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6CB27A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973</w:t>
            </w:r>
          </w:p>
        </w:tc>
        <w:tc>
          <w:tcPr>
            <w:tcW w:w="720" w:type="dxa"/>
            <w:vMerge w:val="continue"/>
            <w:vAlign w:val="center"/>
          </w:tcPr>
          <w:p w14:paraId="13A9A2AA">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64B43B8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病案质控提醒</w:t>
            </w:r>
          </w:p>
        </w:tc>
        <w:tc>
          <w:tcPr>
            <w:tcW w:w="884" w:type="dxa"/>
            <w:vAlign w:val="center"/>
          </w:tcPr>
          <w:p w14:paraId="453DC22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病案质控提醒</w:t>
            </w:r>
          </w:p>
        </w:tc>
        <w:tc>
          <w:tcPr>
            <w:tcW w:w="5841" w:type="dxa"/>
            <w:vAlign w:val="center"/>
          </w:tcPr>
          <w:p w14:paraId="2709032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系统自动校验关键质控项是否完成登记，关键质控项未完成登记的强制提醒。</w:t>
            </w:r>
          </w:p>
        </w:tc>
        <w:tc>
          <w:tcPr>
            <w:tcW w:w="733" w:type="dxa"/>
            <w:vMerge w:val="continue"/>
            <w:vAlign w:val="center"/>
          </w:tcPr>
          <w:p w14:paraId="3FF826A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95BD6AA">
            <w:pPr>
              <w:jc w:val="center"/>
              <w:rPr>
                <w:rFonts w:hint="eastAsia" w:ascii="宋体" w:hAnsi="宋体" w:eastAsia="宋体" w:cs="宋体"/>
                <w:b w:val="0"/>
                <w:bCs w:val="0"/>
                <w:color w:val="auto"/>
                <w:kern w:val="0"/>
                <w:sz w:val="20"/>
                <w:szCs w:val="20"/>
                <w:highlight w:val="none"/>
                <w:lang w:val="en-US" w:eastAsia="zh-CN" w:bidi="ar-SA"/>
              </w:rPr>
            </w:pPr>
          </w:p>
        </w:tc>
      </w:tr>
      <w:tr w14:paraId="242F1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2C93FA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974</w:t>
            </w:r>
          </w:p>
        </w:tc>
        <w:tc>
          <w:tcPr>
            <w:tcW w:w="720" w:type="dxa"/>
            <w:vMerge w:val="continue"/>
            <w:vAlign w:val="center"/>
          </w:tcPr>
          <w:p w14:paraId="3F79FCF3">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20D03D1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病历填报</w:t>
            </w:r>
          </w:p>
        </w:tc>
        <w:tc>
          <w:tcPr>
            <w:tcW w:w="884" w:type="dxa"/>
            <w:vAlign w:val="center"/>
          </w:tcPr>
          <w:p w14:paraId="074FAD5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病历填报</w:t>
            </w:r>
          </w:p>
        </w:tc>
        <w:tc>
          <w:tcPr>
            <w:tcW w:w="5841" w:type="dxa"/>
            <w:vAlign w:val="center"/>
          </w:tcPr>
          <w:p w14:paraId="6B2E372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按国家标准病历进行填报，内容包括：患者信息、诊断信息、生命体征、急诊部分、辅助检查、治疗部分、转归等数据的查询与编辑。</w:t>
            </w:r>
          </w:p>
        </w:tc>
        <w:tc>
          <w:tcPr>
            <w:tcW w:w="733" w:type="dxa"/>
            <w:vMerge w:val="continue"/>
            <w:vAlign w:val="center"/>
          </w:tcPr>
          <w:p w14:paraId="206AA34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1EEE62B">
            <w:pPr>
              <w:jc w:val="center"/>
              <w:rPr>
                <w:rFonts w:hint="eastAsia" w:ascii="宋体" w:hAnsi="宋体" w:eastAsia="宋体" w:cs="宋体"/>
                <w:b w:val="0"/>
                <w:bCs w:val="0"/>
                <w:color w:val="auto"/>
                <w:kern w:val="0"/>
                <w:sz w:val="20"/>
                <w:szCs w:val="20"/>
                <w:highlight w:val="none"/>
                <w:lang w:val="en-US" w:eastAsia="zh-CN" w:bidi="ar-SA"/>
              </w:rPr>
            </w:pPr>
          </w:p>
        </w:tc>
      </w:tr>
      <w:tr w14:paraId="750CD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746F88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975</w:t>
            </w:r>
          </w:p>
        </w:tc>
        <w:tc>
          <w:tcPr>
            <w:tcW w:w="720" w:type="dxa"/>
            <w:vMerge w:val="continue"/>
            <w:vAlign w:val="center"/>
          </w:tcPr>
          <w:p w14:paraId="333DEDF4">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48C8FCD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质控分析</w:t>
            </w:r>
          </w:p>
        </w:tc>
        <w:tc>
          <w:tcPr>
            <w:tcW w:w="884" w:type="dxa"/>
            <w:vAlign w:val="center"/>
          </w:tcPr>
          <w:p w14:paraId="5A5F173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质控分析</w:t>
            </w:r>
          </w:p>
        </w:tc>
        <w:tc>
          <w:tcPr>
            <w:tcW w:w="5841" w:type="dxa"/>
            <w:vAlign w:val="center"/>
          </w:tcPr>
          <w:p w14:paraId="2FA4690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将已产生的数据进行挖掘分析，数据通过列表、饼状图等方式进行展现。质控统计的内容包括并不限于以下的内容：抢救室滞留时间、创伤执行时间分布情况、严重创伤患者抢救成功率等。</w:t>
            </w:r>
          </w:p>
        </w:tc>
        <w:tc>
          <w:tcPr>
            <w:tcW w:w="733" w:type="dxa"/>
            <w:vMerge w:val="continue"/>
            <w:vAlign w:val="center"/>
          </w:tcPr>
          <w:p w14:paraId="74D7FB9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0B7EE86">
            <w:pPr>
              <w:jc w:val="center"/>
              <w:rPr>
                <w:rFonts w:hint="eastAsia" w:ascii="宋体" w:hAnsi="宋体" w:eastAsia="宋体" w:cs="宋体"/>
                <w:b w:val="0"/>
                <w:bCs w:val="0"/>
                <w:color w:val="auto"/>
                <w:kern w:val="0"/>
                <w:sz w:val="20"/>
                <w:szCs w:val="20"/>
                <w:highlight w:val="none"/>
                <w:lang w:val="en-US" w:eastAsia="zh-CN" w:bidi="ar-SA"/>
              </w:rPr>
            </w:pPr>
          </w:p>
        </w:tc>
      </w:tr>
      <w:tr w14:paraId="1AC45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8258AA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976</w:t>
            </w:r>
          </w:p>
        </w:tc>
        <w:tc>
          <w:tcPr>
            <w:tcW w:w="720" w:type="dxa"/>
            <w:vMerge w:val="continue"/>
            <w:vAlign w:val="center"/>
          </w:tcPr>
          <w:p w14:paraId="3938D414">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2EE6B2E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创伤数据采集上报</w:t>
            </w:r>
          </w:p>
        </w:tc>
        <w:tc>
          <w:tcPr>
            <w:tcW w:w="884" w:type="dxa"/>
            <w:vAlign w:val="center"/>
          </w:tcPr>
          <w:p w14:paraId="739CB0A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创伤数据采集上报</w:t>
            </w:r>
          </w:p>
        </w:tc>
        <w:tc>
          <w:tcPr>
            <w:tcW w:w="5841" w:type="dxa"/>
            <w:vAlign w:val="center"/>
          </w:tcPr>
          <w:p w14:paraId="3946304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创伤中心数据上报到指定数据平台。</w:t>
            </w:r>
          </w:p>
        </w:tc>
        <w:tc>
          <w:tcPr>
            <w:tcW w:w="733" w:type="dxa"/>
            <w:vMerge w:val="continue"/>
            <w:vAlign w:val="center"/>
          </w:tcPr>
          <w:p w14:paraId="696DB79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C9AC90E">
            <w:pPr>
              <w:jc w:val="center"/>
              <w:rPr>
                <w:rFonts w:hint="eastAsia" w:ascii="宋体" w:hAnsi="宋体" w:eastAsia="宋体" w:cs="宋体"/>
                <w:b w:val="0"/>
                <w:bCs w:val="0"/>
                <w:color w:val="auto"/>
                <w:kern w:val="0"/>
                <w:sz w:val="20"/>
                <w:szCs w:val="20"/>
                <w:highlight w:val="none"/>
                <w:lang w:val="en-US" w:eastAsia="zh-CN" w:bidi="ar-SA"/>
              </w:rPr>
            </w:pPr>
          </w:p>
        </w:tc>
      </w:tr>
    </w:tbl>
    <w:p w14:paraId="004EED26">
      <w:pPr>
        <w:pStyle w:val="2"/>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highlight w:val="yellow"/>
          <w:lang w:val="en-US" w:eastAsia="zh-CN"/>
        </w:rPr>
        <w:t>（二）-19：HIS接口改造</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625"/>
        <w:gridCol w:w="2525"/>
        <w:gridCol w:w="5075"/>
        <w:gridCol w:w="733"/>
        <w:gridCol w:w="714"/>
      </w:tblGrid>
      <w:tr w14:paraId="4779A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64953E18">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序号</w:t>
            </w:r>
          </w:p>
        </w:tc>
        <w:tc>
          <w:tcPr>
            <w:tcW w:w="3150" w:type="dxa"/>
            <w:gridSpan w:val="2"/>
            <w:vAlign w:val="center"/>
          </w:tcPr>
          <w:p w14:paraId="149932F2">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建设概要</w:t>
            </w:r>
          </w:p>
        </w:tc>
        <w:tc>
          <w:tcPr>
            <w:tcW w:w="5075" w:type="dxa"/>
            <w:vAlign w:val="center"/>
          </w:tcPr>
          <w:p w14:paraId="7D32A7F9">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343D78EB">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单位</w:t>
            </w:r>
          </w:p>
        </w:tc>
        <w:tc>
          <w:tcPr>
            <w:tcW w:w="714" w:type="dxa"/>
            <w:vAlign w:val="center"/>
          </w:tcPr>
          <w:p w14:paraId="1AC11AC4">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数量</w:t>
            </w:r>
          </w:p>
        </w:tc>
      </w:tr>
      <w:tr w14:paraId="4E088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678" w:type="dxa"/>
            <w:vAlign w:val="center"/>
          </w:tcPr>
          <w:p w14:paraId="268AA172">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977</w:t>
            </w:r>
          </w:p>
        </w:tc>
        <w:tc>
          <w:tcPr>
            <w:tcW w:w="625" w:type="dxa"/>
            <w:vMerge w:val="restart"/>
            <w:vAlign w:val="center"/>
          </w:tcPr>
          <w:p w14:paraId="0E6D4204">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互联网医院对接</w:t>
            </w:r>
          </w:p>
        </w:tc>
        <w:tc>
          <w:tcPr>
            <w:tcW w:w="2525" w:type="dxa"/>
            <w:vAlign w:val="center"/>
          </w:tcPr>
          <w:p w14:paraId="42EF63B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预约挂号判断</w:t>
            </w:r>
          </w:p>
        </w:tc>
        <w:tc>
          <w:tcPr>
            <w:tcW w:w="5075" w:type="dxa"/>
            <w:vAlign w:val="center"/>
          </w:tcPr>
          <w:p w14:paraId="379511C1">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对互联网医院提供预约挂号判断接口。</w:t>
            </w:r>
          </w:p>
        </w:tc>
        <w:tc>
          <w:tcPr>
            <w:tcW w:w="733" w:type="dxa"/>
            <w:vMerge w:val="restart"/>
            <w:vAlign w:val="center"/>
          </w:tcPr>
          <w:p w14:paraId="4AD60A4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2C32A170">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12</w:t>
            </w:r>
          </w:p>
        </w:tc>
      </w:tr>
      <w:tr w14:paraId="1B75E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2CD6481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978</w:t>
            </w:r>
          </w:p>
        </w:tc>
        <w:tc>
          <w:tcPr>
            <w:tcW w:w="625" w:type="dxa"/>
            <w:vMerge w:val="continue"/>
            <w:vAlign w:val="center"/>
          </w:tcPr>
          <w:p w14:paraId="193FB5E6">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4328E80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挂号信息回写</w:t>
            </w:r>
          </w:p>
        </w:tc>
        <w:tc>
          <w:tcPr>
            <w:tcW w:w="5075" w:type="dxa"/>
            <w:vAlign w:val="center"/>
          </w:tcPr>
          <w:p w14:paraId="67C25CFA">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对互联网医院提供挂号信息回写接口。</w:t>
            </w:r>
          </w:p>
        </w:tc>
        <w:tc>
          <w:tcPr>
            <w:tcW w:w="733" w:type="dxa"/>
            <w:vMerge w:val="continue"/>
            <w:vAlign w:val="center"/>
          </w:tcPr>
          <w:p w14:paraId="151FF13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BCBD3EC">
            <w:pPr>
              <w:jc w:val="center"/>
              <w:rPr>
                <w:rFonts w:hint="eastAsia" w:ascii="宋体" w:hAnsi="宋体" w:eastAsia="宋体" w:cs="宋体"/>
                <w:b w:val="0"/>
                <w:bCs w:val="0"/>
                <w:color w:val="auto"/>
                <w:kern w:val="0"/>
                <w:sz w:val="20"/>
                <w:szCs w:val="20"/>
                <w:highlight w:val="none"/>
                <w:lang w:val="en-US" w:eastAsia="zh-CN" w:bidi="ar-SA"/>
              </w:rPr>
            </w:pPr>
          </w:p>
        </w:tc>
      </w:tr>
      <w:tr w14:paraId="6E9D5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6CFC49B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979</w:t>
            </w:r>
          </w:p>
        </w:tc>
        <w:tc>
          <w:tcPr>
            <w:tcW w:w="625" w:type="dxa"/>
            <w:vMerge w:val="continue"/>
            <w:vAlign w:val="center"/>
          </w:tcPr>
          <w:p w14:paraId="066E4874">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40072C5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处方条件判断</w:t>
            </w:r>
          </w:p>
        </w:tc>
        <w:tc>
          <w:tcPr>
            <w:tcW w:w="5075" w:type="dxa"/>
            <w:vAlign w:val="center"/>
          </w:tcPr>
          <w:p w14:paraId="0B914CA0">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对互联网医院提供处方条件判断接口。</w:t>
            </w:r>
          </w:p>
        </w:tc>
        <w:tc>
          <w:tcPr>
            <w:tcW w:w="733" w:type="dxa"/>
            <w:vMerge w:val="continue"/>
            <w:vAlign w:val="center"/>
          </w:tcPr>
          <w:p w14:paraId="2E4906A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4D77F53">
            <w:pPr>
              <w:jc w:val="center"/>
              <w:rPr>
                <w:rFonts w:hint="eastAsia" w:ascii="宋体" w:hAnsi="宋体" w:eastAsia="宋体" w:cs="宋体"/>
                <w:b w:val="0"/>
                <w:bCs w:val="0"/>
                <w:color w:val="auto"/>
                <w:kern w:val="0"/>
                <w:sz w:val="20"/>
                <w:szCs w:val="20"/>
                <w:highlight w:val="none"/>
                <w:lang w:val="en-US" w:eastAsia="zh-CN" w:bidi="ar-SA"/>
              </w:rPr>
            </w:pPr>
          </w:p>
        </w:tc>
      </w:tr>
      <w:tr w14:paraId="1E086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6887938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980</w:t>
            </w:r>
          </w:p>
        </w:tc>
        <w:tc>
          <w:tcPr>
            <w:tcW w:w="625" w:type="dxa"/>
            <w:vMerge w:val="continue"/>
            <w:vAlign w:val="center"/>
          </w:tcPr>
          <w:p w14:paraId="2842238C">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2FE6F99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处方、检查、检验信息回写</w:t>
            </w:r>
          </w:p>
        </w:tc>
        <w:tc>
          <w:tcPr>
            <w:tcW w:w="5075" w:type="dxa"/>
            <w:vAlign w:val="center"/>
          </w:tcPr>
          <w:p w14:paraId="5F87D794">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对互联网医院提供处方、检查、检验信息回写接口。</w:t>
            </w:r>
          </w:p>
        </w:tc>
        <w:tc>
          <w:tcPr>
            <w:tcW w:w="733" w:type="dxa"/>
            <w:vMerge w:val="continue"/>
            <w:vAlign w:val="center"/>
          </w:tcPr>
          <w:p w14:paraId="5CF4BE4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4EFED3E">
            <w:pPr>
              <w:jc w:val="center"/>
              <w:rPr>
                <w:rFonts w:hint="eastAsia" w:ascii="宋体" w:hAnsi="宋体" w:eastAsia="宋体" w:cs="宋体"/>
                <w:b w:val="0"/>
                <w:bCs w:val="0"/>
                <w:color w:val="auto"/>
                <w:kern w:val="0"/>
                <w:sz w:val="20"/>
                <w:szCs w:val="20"/>
                <w:highlight w:val="none"/>
                <w:lang w:val="en-US" w:eastAsia="zh-CN" w:bidi="ar-SA"/>
              </w:rPr>
            </w:pPr>
          </w:p>
        </w:tc>
      </w:tr>
      <w:tr w14:paraId="5D70B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7DC1364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981</w:t>
            </w:r>
          </w:p>
        </w:tc>
        <w:tc>
          <w:tcPr>
            <w:tcW w:w="625" w:type="dxa"/>
            <w:vMerge w:val="continue"/>
            <w:vAlign w:val="center"/>
          </w:tcPr>
          <w:p w14:paraId="105D8253">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6C29195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挂号费退费判断</w:t>
            </w:r>
          </w:p>
        </w:tc>
        <w:tc>
          <w:tcPr>
            <w:tcW w:w="5075" w:type="dxa"/>
            <w:vAlign w:val="center"/>
          </w:tcPr>
          <w:p w14:paraId="392F88A5">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对互联网医院提供挂号费退费判断接口。</w:t>
            </w:r>
          </w:p>
        </w:tc>
        <w:tc>
          <w:tcPr>
            <w:tcW w:w="733" w:type="dxa"/>
            <w:vMerge w:val="continue"/>
            <w:vAlign w:val="center"/>
          </w:tcPr>
          <w:p w14:paraId="72C6E94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28BEAFC">
            <w:pPr>
              <w:jc w:val="center"/>
              <w:rPr>
                <w:rFonts w:hint="eastAsia" w:ascii="宋体" w:hAnsi="宋体" w:eastAsia="宋体" w:cs="宋体"/>
                <w:b w:val="0"/>
                <w:bCs w:val="0"/>
                <w:color w:val="auto"/>
                <w:kern w:val="0"/>
                <w:sz w:val="20"/>
                <w:szCs w:val="20"/>
                <w:highlight w:val="none"/>
                <w:lang w:val="en-US" w:eastAsia="zh-CN" w:bidi="ar-SA"/>
              </w:rPr>
            </w:pPr>
          </w:p>
        </w:tc>
      </w:tr>
      <w:tr w14:paraId="01301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599BC29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982</w:t>
            </w:r>
          </w:p>
        </w:tc>
        <w:tc>
          <w:tcPr>
            <w:tcW w:w="625" w:type="dxa"/>
            <w:vMerge w:val="continue"/>
            <w:vAlign w:val="center"/>
          </w:tcPr>
          <w:p w14:paraId="1630EF2D">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4239E1E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挂号退费完成通知</w:t>
            </w:r>
          </w:p>
        </w:tc>
        <w:tc>
          <w:tcPr>
            <w:tcW w:w="5075" w:type="dxa"/>
            <w:vAlign w:val="center"/>
          </w:tcPr>
          <w:p w14:paraId="26E26CC9">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对互联网医院提供挂号退费完成通知接口。</w:t>
            </w:r>
          </w:p>
        </w:tc>
        <w:tc>
          <w:tcPr>
            <w:tcW w:w="733" w:type="dxa"/>
            <w:vMerge w:val="continue"/>
            <w:vAlign w:val="center"/>
          </w:tcPr>
          <w:p w14:paraId="1017A92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A8874BE">
            <w:pPr>
              <w:jc w:val="center"/>
              <w:rPr>
                <w:rFonts w:hint="eastAsia" w:ascii="宋体" w:hAnsi="宋体" w:eastAsia="宋体" w:cs="宋体"/>
                <w:b w:val="0"/>
                <w:bCs w:val="0"/>
                <w:color w:val="auto"/>
                <w:kern w:val="0"/>
                <w:sz w:val="20"/>
                <w:szCs w:val="20"/>
                <w:highlight w:val="none"/>
                <w:lang w:val="en-US" w:eastAsia="zh-CN" w:bidi="ar-SA"/>
              </w:rPr>
            </w:pPr>
          </w:p>
        </w:tc>
      </w:tr>
      <w:tr w14:paraId="4B9B5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6EF5F01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983</w:t>
            </w:r>
          </w:p>
        </w:tc>
        <w:tc>
          <w:tcPr>
            <w:tcW w:w="625" w:type="dxa"/>
            <w:vMerge w:val="continue"/>
            <w:vAlign w:val="center"/>
          </w:tcPr>
          <w:p w14:paraId="6DDFCD5D">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74EADE9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就诊完成后患者诊断等信息</w:t>
            </w:r>
          </w:p>
        </w:tc>
        <w:tc>
          <w:tcPr>
            <w:tcW w:w="5075" w:type="dxa"/>
            <w:vAlign w:val="center"/>
          </w:tcPr>
          <w:p w14:paraId="1CB5E5FA">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对互联网医院提供就诊完成后患者诊断等信息接口。</w:t>
            </w:r>
          </w:p>
        </w:tc>
        <w:tc>
          <w:tcPr>
            <w:tcW w:w="733" w:type="dxa"/>
            <w:vMerge w:val="continue"/>
            <w:vAlign w:val="center"/>
          </w:tcPr>
          <w:p w14:paraId="58A112D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D07C493">
            <w:pPr>
              <w:jc w:val="center"/>
              <w:rPr>
                <w:rFonts w:hint="eastAsia" w:ascii="宋体" w:hAnsi="宋体" w:eastAsia="宋体" w:cs="宋体"/>
                <w:b w:val="0"/>
                <w:bCs w:val="0"/>
                <w:color w:val="auto"/>
                <w:kern w:val="0"/>
                <w:sz w:val="20"/>
                <w:szCs w:val="20"/>
                <w:highlight w:val="none"/>
                <w:lang w:val="en-US" w:eastAsia="zh-CN" w:bidi="ar-SA"/>
              </w:rPr>
            </w:pPr>
          </w:p>
        </w:tc>
      </w:tr>
      <w:tr w14:paraId="677F5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206929E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984</w:t>
            </w:r>
          </w:p>
        </w:tc>
        <w:tc>
          <w:tcPr>
            <w:tcW w:w="625" w:type="dxa"/>
            <w:vMerge w:val="continue"/>
            <w:vAlign w:val="center"/>
          </w:tcPr>
          <w:p w14:paraId="149B647D">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548AE60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药师端发药信息回传</w:t>
            </w:r>
          </w:p>
        </w:tc>
        <w:tc>
          <w:tcPr>
            <w:tcW w:w="5075" w:type="dxa"/>
            <w:vAlign w:val="center"/>
          </w:tcPr>
          <w:p w14:paraId="35786F42">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对互联网医院提供药师端发药信息回传接口。</w:t>
            </w:r>
          </w:p>
        </w:tc>
        <w:tc>
          <w:tcPr>
            <w:tcW w:w="733" w:type="dxa"/>
            <w:vMerge w:val="continue"/>
            <w:vAlign w:val="center"/>
          </w:tcPr>
          <w:p w14:paraId="7596AA9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82C70FD">
            <w:pPr>
              <w:jc w:val="center"/>
              <w:rPr>
                <w:rFonts w:hint="eastAsia" w:ascii="宋体" w:hAnsi="宋体" w:eastAsia="宋体" w:cs="宋体"/>
                <w:b w:val="0"/>
                <w:bCs w:val="0"/>
                <w:color w:val="auto"/>
                <w:kern w:val="0"/>
                <w:sz w:val="20"/>
                <w:szCs w:val="20"/>
                <w:highlight w:val="none"/>
                <w:lang w:val="en-US" w:eastAsia="zh-CN" w:bidi="ar-SA"/>
              </w:rPr>
            </w:pPr>
          </w:p>
        </w:tc>
      </w:tr>
      <w:tr w14:paraId="40A99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1B9F2B2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985</w:t>
            </w:r>
          </w:p>
        </w:tc>
        <w:tc>
          <w:tcPr>
            <w:tcW w:w="625" w:type="dxa"/>
            <w:vMerge w:val="continue"/>
            <w:vAlign w:val="center"/>
          </w:tcPr>
          <w:p w14:paraId="47ABBE20">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5703D40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缴费单退费判断</w:t>
            </w:r>
          </w:p>
        </w:tc>
        <w:tc>
          <w:tcPr>
            <w:tcW w:w="5075" w:type="dxa"/>
            <w:vAlign w:val="center"/>
          </w:tcPr>
          <w:p w14:paraId="66D1CD89">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对互联网医院提供缴费单退费判断接口。</w:t>
            </w:r>
          </w:p>
        </w:tc>
        <w:tc>
          <w:tcPr>
            <w:tcW w:w="733" w:type="dxa"/>
            <w:vMerge w:val="continue"/>
            <w:vAlign w:val="center"/>
          </w:tcPr>
          <w:p w14:paraId="6E1E6D0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B38E000">
            <w:pPr>
              <w:jc w:val="center"/>
              <w:rPr>
                <w:rFonts w:hint="eastAsia" w:ascii="宋体" w:hAnsi="宋体" w:eastAsia="宋体" w:cs="宋体"/>
                <w:b w:val="0"/>
                <w:bCs w:val="0"/>
                <w:color w:val="auto"/>
                <w:kern w:val="0"/>
                <w:sz w:val="20"/>
                <w:szCs w:val="20"/>
                <w:highlight w:val="none"/>
                <w:lang w:val="en-US" w:eastAsia="zh-CN" w:bidi="ar-SA"/>
              </w:rPr>
            </w:pPr>
          </w:p>
        </w:tc>
      </w:tr>
      <w:tr w14:paraId="17485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4C837CC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986</w:t>
            </w:r>
          </w:p>
        </w:tc>
        <w:tc>
          <w:tcPr>
            <w:tcW w:w="625" w:type="dxa"/>
            <w:vMerge w:val="continue"/>
            <w:vAlign w:val="center"/>
          </w:tcPr>
          <w:p w14:paraId="54768527">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3D6E2D6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云端缴费单退费信息回传</w:t>
            </w:r>
          </w:p>
        </w:tc>
        <w:tc>
          <w:tcPr>
            <w:tcW w:w="5075" w:type="dxa"/>
            <w:vAlign w:val="center"/>
          </w:tcPr>
          <w:p w14:paraId="402C6009">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对互联网医院提供云端缴费单退费信息回传接口。</w:t>
            </w:r>
          </w:p>
        </w:tc>
        <w:tc>
          <w:tcPr>
            <w:tcW w:w="733" w:type="dxa"/>
            <w:vMerge w:val="continue"/>
            <w:vAlign w:val="center"/>
          </w:tcPr>
          <w:p w14:paraId="061DCF7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9B5CF04">
            <w:pPr>
              <w:jc w:val="center"/>
              <w:rPr>
                <w:rFonts w:hint="eastAsia" w:ascii="宋体" w:hAnsi="宋体" w:eastAsia="宋体" w:cs="宋体"/>
                <w:b w:val="0"/>
                <w:bCs w:val="0"/>
                <w:color w:val="auto"/>
                <w:kern w:val="0"/>
                <w:sz w:val="20"/>
                <w:szCs w:val="20"/>
                <w:highlight w:val="none"/>
                <w:lang w:val="en-US" w:eastAsia="zh-CN" w:bidi="ar-SA"/>
              </w:rPr>
            </w:pPr>
          </w:p>
        </w:tc>
      </w:tr>
      <w:tr w14:paraId="7B37A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64DBA00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987</w:t>
            </w:r>
          </w:p>
        </w:tc>
        <w:tc>
          <w:tcPr>
            <w:tcW w:w="625" w:type="dxa"/>
            <w:vMerge w:val="continue"/>
            <w:vAlign w:val="center"/>
          </w:tcPr>
          <w:p w14:paraId="7680A6BA">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425A2B3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HIS发药消息回写</w:t>
            </w:r>
          </w:p>
        </w:tc>
        <w:tc>
          <w:tcPr>
            <w:tcW w:w="5075" w:type="dxa"/>
            <w:vAlign w:val="center"/>
          </w:tcPr>
          <w:p w14:paraId="7487EB5D">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对互联网医院提供HIS发药消息回写接口。</w:t>
            </w:r>
          </w:p>
        </w:tc>
        <w:tc>
          <w:tcPr>
            <w:tcW w:w="733" w:type="dxa"/>
            <w:vMerge w:val="continue"/>
            <w:vAlign w:val="center"/>
          </w:tcPr>
          <w:p w14:paraId="501AAF1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57C14C4">
            <w:pPr>
              <w:jc w:val="center"/>
              <w:rPr>
                <w:rFonts w:hint="eastAsia" w:ascii="宋体" w:hAnsi="宋体" w:eastAsia="宋体" w:cs="宋体"/>
                <w:b w:val="0"/>
                <w:bCs w:val="0"/>
                <w:color w:val="auto"/>
                <w:kern w:val="0"/>
                <w:sz w:val="20"/>
                <w:szCs w:val="20"/>
                <w:highlight w:val="none"/>
                <w:lang w:val="en-US" w:eastAsia="zh-CN" w:bidi="ar-SA"/>
              </w:rPr>
            </w:pPr>
          </w:p>
        </w:tc>
      </w:tr>
      <w:tr w14:paraId="5C203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304B48D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988</w:t>
            </w:r>
          </w:p>
        </w:tc>
        <w:tc>
          <w:tcPr>
            <w:tcW w:w="625" w:type="dxa"/>
            <w:vMerge w:val="continue"/>
            <w:vAlign w:val="center"/>
          </w:tcPr>
          <w:p w14:paraId="787FE961">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450DB13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线下退挂号费，同步线上</w:t>
            </w:r>
          </w:p>
        </w:tc>
        <w:tc>
          <w:tcPr>
            <w:tcW w:w="5075" w:type="dxa"/>
            <w:vAlign w:val="center"/>
          </w:tcPr>
          <w:p w14:paraId="4753C50F">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对互联网医院提供线下退挂号费，同步线上接口。</w:t>
            </w:r>
          </w:p>
        </w:tc>
        <w:tc>
          <w:tcPr>
            <w:tcW w:w="733" w:type="dxa"/>
            <w:vMerge w:val="continue"/>
            <w:vAlign w:val="center"/>
          </w:tcPr>
          <w:p w14:paraId="5664F06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AB45206">
            <w:pPr>
              <w:jc w:val="center"/>
              <w:rPr>
                <w:rFonts w:hint="eastAsia" w:ascii="宋体" w:hAnsi="宋体" w:eastAsia="宋体" w:cs="宋体"/>
                <w:b w:val="0"/>
                <w:bCs w:val="0"/>
                <w:color w:val="auto"/>
                <w:kern w:val="0"/>
                <w:sz w:val="20"/>
                <w:szCs w:val="20"/>
                <w:highlight w:val="none"/>
                <w:lang w:val="en-US" w:eastAsia="zh-CN" w:bidi="ar-SA"/>
              </w:rPr>
            </w:pPr>
          </w:p>
        </w:tc>
      </w:tr>
      <w:tr w14:paraId="2425F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6CCA054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989</w:t>
            </w:r>
          </w:p>
        </w:tc>
        <w:tc>
          <w:tcPr>
            <w:tcW w:w="625" w:type="dxa"/>
            <w:vMerge w:val="continue"/>
            <w:vAlign w:val="center"/>
          </w:tcPr>
          <w:p w14:paraId="5E1FE5C7">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646F8D6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线下退缴费单，同步线上</w:t>
            </w:r>
          </w:p>
        </w:tc>
        <w:tc>
          <w:tcPr>
            <w:tcW w:w="5075" w:type="dxa"/>
            <w:vAlign w:val="center"/>
          </w:tcPr>
          <w:p w14:paraId="181DBFAB">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对互联网医院提供线下退缴费单，同步线上接口。</w:t>
            </w:r>
          </w:p>
        </w:tc>
        <w:tc>
          <w:tcPr>
            <w:tcW w:w="733" w:type="dxa"/>
            <w:vMerge w:val="continue"/>
            <w:vAlign w:val="center"/>
          </w:tcPr>
          <w:p w14:paraId="0CEE2C5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C6AE219">
            <w:pPr>
              <w:jc w:val="center"/>
              <w:rPr>
                <w:rFonts w:hint="eastAsia" w:ascii="宋体" w:hAnsi="宋体" w:eastAsia="宋体" w:cs="宋体"/>
                <w:b w:val="0"/>
                <w:bCs w:val="0"/>
                <w:color w:val="auto"/>
                <w:kern w:val="0"/>
                <w:sz w:val="20"/>
                <w:szCs w:val="20"/>
                <w:highlight w:val="none"/>
                <w:lang w:val="en-US" w:eastAsia="zh-CN" w:bidi="ar-SA"/>
              </w:rPr>
            </w:pPr>
          </w:p>
        </w:tc>
      </w:tr>
      <w:tr w14:paraId="2B9AD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05BA961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990</w:t>
            </w:r>
          </w:p>
        </w:tc>
        <w:tc>
          <w:tcPr>
            <w:tcW w:w="625" w:type="dxa"/>
            <w:vMerge w:val="continue"/>
            <w:vAlign w:val="center"/>
          </w:tcPr>
          <w:p w14:paraId="6415762B">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4227A7E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互联网电子病历回写到EMR</w:t>
            </w:r>
          </w:p>
        </w:tc>
        <w:tc>
          <w:tcPr>
            <w:tcW w:w="5075" w:type="dxa"/>
            <w:vAlign w:val="center"/>
          </w:tcPr>
          <w:p w14:paraId="42C28174">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对互联网医院提供互联网电子病历回写到EMR接口。</w:t>
            </w:r>
          </w:p>
        </w:tc>
        <w:tc>
          <w:tcPr>
            <w:tcW w:w="733" w:type="dxa"/>
            <w:vMerge w:val="continue"/>
            <w:vAlign w:val="center"/>
          </w:tcPr>
          <w:p w14:paraId="635702F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C12C093">
            <w:pPr>
              <w:jc w:val="center"/>
              <w:rPr>
                <w:rFonts w:hint="eastAsia" w:ascii="宋体" w:hAnsi="宋体" w:eastAsia="宋体" w:cs="宋体"/>
                <w:b w:val="0"/>
                <w:bCs w:val="0"/>
                <w:color w:val="auto"/>
                <w:kern w:val="0"/>
                <w:sz w:val="20"/>
                <w:szCs w:val="20"/>
                <w:highlight w:val="none"/>
                <w:lang w:val="en-US" w:eastAsia="zh-CN" w:bidi="ar-SA"/>
              </w:rPr>
            </w:pPr>
          </w:p>
        </w:tc>
      </w:tr>
      <w:tr w14:paraId="2B158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1602BFB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991</w:t>
            </w:r>
          </w:p>
        </w:tc>
        <w:tc>
          <w:tcPr>
            <w:tcW w:w="625" w:type="dxa"/>
            <w:vMerge w:val="continue"/>
            <w:vAlign w:val="center"/>
          </w:tcPr>
          <w:p w14:paraId="181C5192">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31DCC89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可开立药品查询字典</w:t>
            </w:r>
          </w:p>
        </w:tc>
        <w:tc>
          <w:tcPr>
            <w:tcW w:w="5075" w:type="dxa"/>
            <w:vAlign w:val="center"/>
          </w:tcPr>
          <w:p w14:paraId="05968B92">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对互联网医院提供可开立药品查询字典（南北院）接口。</w:t>
            </w:r>
          </w:p>
        </w:tc>
        <w:tc>
          <w:tcPr>
            <w:tcW w:w="733" w:type="dxa"/>
            <w:vMerge w:val="continue"/>
            <w:vAlign w:val="center"/>
          </w:tcPr>
          <w:p w14:paraId="695B831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EE21411">
            <w:pPr>
              <w:jc w:val="center"/>
              <w:rPr>
                <w:rFonts w:hint="eastAsia" w:ascii="宋体" w:hAnsi="宋体" w:eastAsia="宋体" w:cs="宋体"/>
                <w:b w:val="0"/>
                <w:bCs w:val="0"/>
                <w:color w:val="auto"/>
                <w:kern w:val="0"/>
                <w:sz w:val="20"/>
                <w:szCs w:val="20"/>
                <w:highlight w:val="none"/>
                <w:lang w:val="en-US" w:eastAsia="zh-CN" w:bidi="ar-SA"/>
              </w:rPr>
            </w:pPr>
          </w:p>
        </w:tc>
      </w:tr>
      <w:tr w14:paraId="03C84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636A028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992</w:t>
            </w:r>
          </w:p>
        </w:tc>
        <w:tc>
          <w:tcPr>
            <w:tcW w:w="625" w:type="dxa"/>
            <w:vMerge w:val="continue"/>
            <w:vAlign w:val="center"/>
          </w:tcPr>
          <w:p w14:paraId="1FE3C75E">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1E48F49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检查项目字典</w:t>
            </w:r>
          </w:p>
        </w:tc>
        <w:tc>
          <w:tcPr>
            <w:tcW w:w="5075" w:type="dxa"/>
            <w:vAlign w:val="center"/>
          </w:tcPr>
          <w:p w14:paraId="0013DCE5">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对互联网医院提供检查项目字典接口。</w:t>
            </w:r>
          </w:p>
        </w:tc>
        <w:tc>
          <w:tcPr>
            <w:tcW w:w="733" w:type="dxa"/>
            <w:vMerge w:val="continue"/>
            <w:vAlign w:val="center"/>
          </w:tcPr>
          <w:p w14:paraId="20A9731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386B21B">
            <w:pPr>
              <w:jc w:val="center"/>
              <w:rPr>
                <w:rFonts w:hint="eastAsia" w:ascii="宋体" w:hAnsi="宋体" w:eastAsia="宋体" w:cs="宋体"/>
                <w:b w:val="0"/>
                <w:bCs w:val="0"/>
                <w:color w:val="auto"/>
                <w:kern w:val="0"/>
                <w:sz w:val="20"/>
                <w:szCs w:val="20"/>
                <w:highlight w:val="none"/>
                <w:lang w:val="en-US" w:eastAsia="zh-CN" w:bidi="ar-SA"/>
              </w:rPr>
            </w:pPr>
          </w:p>
        </w:tc>
      </w:tr>
      <w:tr w14:paraId="6C53B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1FE92B2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993</w:t>
            </w:r>
          </w:p>
        </w:tc>
        <w:tc>
          <w:tcPr>
            <w:tcW w:w="625" w:type="dxa"/>
            <w:vMerge w:val="continue"/>
            <w:vAlign w:val="center"/>
          </w:tcPr>
          <w:p w14:paraId="06BE077D">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3161CC0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检验项目字典</w:t>
            </w:r>
          </w:p>
        </w:tc>
        <w:tc>
          <w:tcPr>
            <w:tcW w:w="5075" w:type="dxa"/>
            <w:vAlign w:val="center"/>
          </w:tcPr>
          <w:p w14:paraId="19F5A247">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对互联网医院提供检验项目字典接口。</w:t>
            </w:r>
          </w:p>
        </w:tc>
        <w:tc>
          <w:tcPr>
            <w:tcW w:w="733" w:type="dxa"/>
            <w:vMerge w:val="continue"/>
            <w:vAlign w:val="center"/>
          </w:tcPr>
          <w:p w14:paraId="7AFF6A7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661430D">
            <w:pPr>
              <w:jc w:val="center"/>
              <w:rPr>
                <w:rFonts w:hint="eastAsia" w:ascii="宋体" w:hAnsi="宋体" w:eastAsia="宋体" w:cs="宋体"/>
                <w:b w:val="0"/>
                <w:bCs w:val="0"/>
                <w:color w:val="auto"/>
                <w:kern w:val="0"/>
                <w:sz w:val="20"/>
                <w:szCs w:val="20"/>
                <w:highlight w:val="none"/>
                <w:lang w:val="en-US" w:eastAsia="zh-CN" w:bidi="ar-SA"/>
              </w:rPr>
            </w:pPr>
          </w:p>
        </w:tc>
      </w:tr>
      <w:tr w14:paraId="062AE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11FE8B9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994</w:t>
            </w:r>
          </w:p>
        </w:tc>
        <w:tc>
          <w:tcPr>
            <w:tcW w:w="625" w:type="dxa"/>
            <w:vMerge w:val="restart"/>
            <w:vAlign w:val="center"/>
          </w:tcPr>
          <w:p w14:paraId="2CF3B76C">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院内急诊对接</w:t>
            </w:r>
          </w:p>
        </w:tc>
        <w:tc>
          <w:tcPr>
            <w:tcW w:w="2525" w:type="dxa"/>
            <w:vAlign w:val="center"/>
          </w:tcPr>
          <w:p w14:paraId="5259497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人员字典</w:t>
            </w:r>
          </w:p>
        </w:tc>
        <w:tc>
          <w:tcPr>
            <w:tcW w:w="5075" w:type="dxa"/>
            <w:vAlign w:val="center"/>
          </w:tcPr>
          <w:p w14:paraId="26FCE1D4">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对院内急诊提供人员字典接口。</w:t>
            </w:r>
          </w:p>
        </w:tc>
        <w:tc>
          <w:tcPr>
            <w:tcW w:w="733" w:type="dxa"/>
            <w:vMerge w:val="restart"/>
            <w:vAlign w:val="center"/>
          </w:tcPr>
          <w:p w14:paraId="31B9BC4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4F800318">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22</w:t>
            </w:r>
          </w:p>
        </w:tc>
      </w:tr>
      <w:tr w14:paraId="6E3CB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6B08988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995</w:t>
            </w:r>
          </w:p>
        </w:tc>
        <w:tc>
          <w:tcPr>
            <w:tcW w:w="625" w:type="dxa"/>
            <w:vMerge w:val="continue"/>
            <w:vAlign w:val="center"/>
          </w:tcPr>
          <w:p w14:paraId="7F6B881C">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4F6F907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科室字典</w:t>
            </w:r>
          </w:p>
        </w:tc>
        <w:tc>
          <w:tcPr>
            <w:tcW w:w="5075" w:type="dxa"/>
            <w:vAlign w:val="center"/>
          </w:tcPr>
          <w:p w14:paraId="38711115">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对院内急诊提供科室字典接口。</w:t>
            </w:r>
          </w:p>
        </w:tc>
        <w:tc>
          <w:tcPr>
            <w:tcW w:w="733" w:type="dxa"/>
            <w:vMerge w:val="continue"/>
            <w:vAlign w:val="center"/>
          </w:tcPr>
          <w:p w14:paraId="448FEFA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5548896">
            <w:pPr>
              <w:jc w:val="center"/>
              <w:rPr>
                <w:rFonts w:hint="eastAsia" w:ascii="宋体" w:hAnsi="宋体" w:eastAsia="宋体" w:cs="宋体"/>
                <w:b w:val="0"/>
                <w:bCs w:val="0"/>
                <w:color w:val="auto"/>
                <w:kern w:val="0"/>
                <w:sz w:val="20"/>
                <w:szCs w:val="20"/>
                <w:highlight w:val="none"/>
                <w:lang w:val="en-US" w:eastAsia="zh-CN" w:bidi="ar-SA"/>
              </w:rPr>
            </w:pPr>
          </w:p>
        </w:tc>
      </w:tr>
      <w:tr w14:paraId="771E2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3160B50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996</w:t>
            </w:r>
          </w:p>
        </w:tc>
        <w:tc>
          <w:tcPr>
            <w:tcW w:w="625" w:type="dxa"/>
            <w:vMerge w:val="continue"/>
            <w:vAlign w:val="center"/>
          </w:tcPr>
          <w:p w14:paraId="34491C8A">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506C348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床位字典</w:t>
            </w:r>
          </w:p>
        </w:tc>
        <w:tc>
          <w:tcPr>
            <w:tcW w:w="5075" w:type="dxa"/>
            <w:vAlign w:val="center"/>
          </w:tcPr>
          <w:p w14:paraId="2341C51C">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对院内急诊提供床位字典接口。</w:t>
            </w:r>
          </w:p>
        </w:tc>
        <w:tc>
          <w:tcPr>
            <w:tcW w:w="733" w:type="dxa"/>
            <w:vMerge w:val="continue"/>
            <w:vAlign w:val="center"/>
          </w:tcPr>
          <w:p w14:paraId="20E14E8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09025CF">
            <w:pPr>
              <w:jc w:val="center"/>
              <w:rPr>
                <w:rFonts w:hint="eastAsia" w:ascii="宋体" w:hAnsi="宋体" w:eastAsia="宋体" w:cs="宋体"/>
                <w:b w:val="0"/>
                <w:bCs w:val="0"/>
                <w:color w:val="auto"/>
                <w:kern w:val="0"/>
                <w:sz w:val="20"/>
                <w:szCs w:val="20"/>
                <w:highlight w:val="none"/>
                <w:lang w:val="en-US" w:eastAsia="zh-CN" w:bidi="ar-SA"/>
              </w:rPr>
            </w:pPr>
          </w:p>
        </w:tc>
      </w:tr>
      <w:tr w14:paraId="71CFA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5AC31C9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997</w:t>
            </w:r>
          </w:p>
        </w:tc>
        <w:tc>
          <w:tcPr>
            <w:tcW w:w="625" w:type="dxa"/>
            <w:vMerge w:val="continue"/>
            <w:vAlign w:val="center"/>
          </w:tcPr>
          <w:p w14:paraId="129A7C3B">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63A69C5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医嘱频次字典</w:t>
            </w:r>
          </w:p>
        </w:tc>
        <w:tc>
          <w:tcPr>
            <w:tcW w:w="5075" w:type="dxa"/>
            <w:vAlign w:val="center"/>
          </w:tcPr>
          <w:p w14:paraId="7718B2B2">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对院内急诊提供医嘱频次字典接口。</w:t>
            </w:r>
          </w:p>
        </w:tc>
        <w:tc>
          <w:tcPr>
            <w:tcW w:w="733" w:type="dxa"/>
            <w:vMerge w:val="continue"/>
            <w:vAlign w:val="center"/>
          </w:tcPr>
          <w:p w14:paraId="2FAAD94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6AFB124">
            <w:pPr>
              <w:jc w:val="center"/>
              <w:rPr>
                <w:rFonts w:hint="eastAsia" w:ascii="宋体" w:hAnsi="宋体" w:eastAsia="宋体" w:cs="宋体"/>
                <w:b w:val="0"/>
                <w:bCs w:val="0"/>
                <w:color w:val="auto"/>
                <w:kern w:val="0"/>
                <w:sz w:val="20"/>
                <w:szCs w:val="20"/>
                <w:highlight w:val="none"/>
                <w:lang w:val="en-US" w:eastAsia="zh-CN" w:bidi="ar-SA"/>
              </w:rPr>
            </w:pPr>
          </w:p>
        </w:tc>
      </w:tr>
      <w:tr w14:paraId="1E54E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53806A0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998</w:t>
            </w:r>
          </w:p>
        </w:tc>
        <w:tc>
          <w:tcPr>
            <w:tcW w:w="625" w:type="dxa"/>
            <w:vMerge w:val="continue"/>
            <w:vAlign w:val="center"/>
          </w:tcPr>
          <w:p w14:paraId="766581CF">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68399A8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医嘱频次拆分字典</w:t>
            </w:r>
          </w:p>
        </w:tc>
        <w:tc>
          <w:tcPr>
            <w:tcW w:w="5075" w:type="dxa"/>
            <w:vAlign w:val="center"/>
          </w:tcPr>
          <w:p w14:paraId="2268890B">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对院内急诊提供医嘱频次拆分字典接口。</w:t>
            </w:r>
          </w:p>
        </w:tc>
        <w:tc>
          <w:tcPr>
            <w:tcW w:w="733" w:type="dxa"/>
            <w:vMerge w:val="continue"/>
            <w:vAlign w:val="center"/>
          </w:tcPr>
          <w:p w14:paraId="2159441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FCF6B3F">
            <w:pPr>
              <w:jc w:val="center"/>
              <w:rPr>
                <w:rFonts w:hint="eastAsia" w:ascii="宋体" w:hAnsi="宋体" w:eastAsia="宋体" w:cs="宋体"/>
                <w:b w:val="0"/>
                <w:bCs w:val="0"/>
                <w:color w:val="auto"/>
                <w:kern w:val="0"/>
                <w:sz w:val="20"/>
                <w:szCs w:val="20"/>
                <w:highlight w:val="none"/>
                <w:lang w:val="en-US" w:eastAsia="zh-CN" w:bidi="ar-SA"/>
              </w:rPr>
            </w:pPr>
          </w:p>
        </w:tc>
      </w:tr>
      <w:tr w14:paraId="1CE5D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405A306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999</w:t>
            </w:r>
          </w:p>
        </w:tc>
        <w:tc>
          <w:tcPr>
            <w:tcW w:w="625" w:type="dxa"/>
            <w:vMerge w:val="continue"/>
            <w:vAlign w:val="center"/>
          </w:tcPr>
          <w:p w14:paraId="405246E0">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4CE763D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药品用法字典</w:t>
            </w:r>
          </w:p>
        </w:tc>
        <w:tc>
          <w:tcPr>
            <w:tcW w:w="5075" w:type="dxa"/>
            <w:vAlign w:val="center"/>
          </w:tcPr>
          <w:p w14:paraId="4A6221A0">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对院内急诊提供药品用法字典接口。</w:t>
            </w:r>
          </w:p>
        </w:tc>
        <w:tc>
          <w:tcPr>
            <w:tcW w:w="733" w:type="dxa"/>
            <w:vMerge w:val="continue"/>
            <w:vAlign w:val="center"/>
          </w:tcPr>
          <w:p w14:paraId="752908E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62373CD">
            <w:pPr>
              <w:jc w:val="center"/>
              <w:rPr>
                <w:rFonts w:hint="eastAsia" w:ascii="宋体" w:hAnsi="宋体" w:eastAsia="宋体" w:cs="宋体"/>
                <w:b w:val="0"/>
                <w:bCs w:val="0"/>
                <w:color w:val="auto"/>
                <w:kern w:val="0"/>
                <w:sz w:val="20"/>
                <w:szCs w:val="20"/>
                <w:highlight w:val="none"/>
                <w:lang w:val="en-US" w:eastAsia="zh-CN" w:bidi="ar-SA"/>
              </w:rPr>
            </w:pPr>
          </w:p>
        </w:tc>
      </w:tr>
      <w:tr w14:paraId="0F91E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760BCD9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1000</w:t>
            </w:r>
          </w:p>
        </w:tc>
        <w:tc>
          <w:tcPr>
            <w:tcW w:w="625" w:type="dxa"/>
            <w:vMerge w:val="continue"/>
            <w:vAlign w:val="center"/>
          </w:tcPr>
          <w:p w14:paraId="6A6E30A0">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7908E50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费别字典</w:t>
            </w:r>
          </w:p>
        </w:tc>
        <w:tc>
          <w:tcPr>
            <w:tcW w:w="5075" w:type="dxa"/>
            <w:vAlign w:val="center"/>
          </w:tcPr>
          <w:p w14:paraId="7C5EC4FF">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对院内急诊提供费别字典接口。</w:t>
            </w:r>
          </w:p>
        </w:tc>
        <w:tc>
          <w:tcPr>
            <w:tcW w:w="733" w:type="dxa"/>
            <w:vMerge w:val="continue"/>
            <w:vAlign w:val="center"/>
          </w:tcPr>
          <w:p w14:paraId="625FB58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023773C">
            <w:pPr>
              <w:jc w:val="center"/>
              <w:rPr>
                <w:rFonts w:hint="eastAsia" w:ascii="宋体" w:hAnsi="宋体" w:eastAsia="宋体" w:cs="宋体"/>
                <w:b w:val="0"/>
                <w:bCs w:val="0"/>
                <w:color w:val="auto"/>
                <w:kern w:val="0"/>
                <w:sz w:val="20"/>
                <w:szCs w:val="20"/>
                <w:highlight w:val="none"/>
                <w:lang w:val="en-US" w:eastAsia="zh-CN" w:bidi="ar-SA"/>
              </w:rPr>
            </w:pPr>
          </w:p>
        </w:tc>
      </w:tr>
      <w:tr w14:paraId="4C0E2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0D547C2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1001</w:t>
            </w:r>
          </w:p>
        </w:tc>
        <w:tc>
          <w:tcPr>
            <w:tcW w:w="625" w:type="dxa"/>
            <w:vMerge w:val="continue"/>
            <w:vAlign w:val="center"/>
          </w:tcPr>
          <w:p w14:paraId="3D98CB17">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1AA58466">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民族字典</w:t>
            </w:r>
          </w:p>
        </w:tc>
        <w:tc>
          <w:tcPr>
            <w:tcW w:w="5075" w:type="dxa"/>
            <w:vAlign w:val="center"/>
          </w:tcPr>
          <w:p w14:paraId="228237A7">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对院内急诊提供民族字典接口。</w:t>
            </w:r>
          </w:p>
        </w:tc>
        <w:tc>
          <w:tcPr>
            <w:tcW w:w="733" w:type="dxa"/>
            <w:vMerge w:val="continue"/>
            <w:vAlign w:val="center"/>
          </w:tcPr>
          <w:p w14:paraId="162EB11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00F3EE2">
            <w:pPr>
              <w:jc w:val="center"/>
              <w:rPr>
                <w:rFonts w:hint="eastAsia" w:ascii="宋体" w:hAnsi="宋体" w:eastAsia="宋体" w:cs="宋体"/>
                <w:b w:val="0"/>
                <w:bCs w:val="0"/>
                <w:color w:val="auto"/>
                <w:kern w:val="0"/>
                <w:sz w:val="20"/>
                <w:szCs w:val="20"/>
                <w:highlight w:val="none"/>
                <w:lang w:val="en-US" w:eastAsia="zh-CN" w:bidi="ar-SA"/>
              </w:rPr>
            </w:pPr>
          </w:p>
        </w:tc>
      </w:tr>
      <w:tr w14:paraId="6BCDE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1680F6C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1002</w:t>
            </w:r>
          </w:p>
        </w:tc>
        <w:tc>
          <w:tcPr>
            <w:tcW w:w="625" w:type="dxa"/>
            <w:vMerge w:val="continue"/>
            <w:vAlign w:val="center"/>
          </w:tcPr>
          <w:p w14:paraId="616546B7">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72AC5DB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国籍字典</w:t>
            </w:r>
          </w:p>
        </w:tc>
        <w:tc>
          <w:tcPr>
            <w:tcW w:w="5075" w:type="dxa"/>
            <w:vAlign w:val="center"/>
          </w:tcPr>
          <w:p w14:paraId="4EF3326E">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对院内急诊提供国籍字典接口。</w:t>
            </w:r>
          </w:p>
        </w:tc>
        <w:tc>
          <w:tcPr>
            <w:tcW w:w="733" w:type="dxa"/>
            <w:vMerge w:val="continue"/>
            <w:vAlign w:val="center"/>
          </w:tcPr>
          <w:p w14:paraId="1B550CD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FFF6572">
            <w:pPr>
              <w:jc w:val="center"/>
              <w:rPr>
                <w:rFonts w:hint="eastAsia" w:ascii="宋体" w:hAnsi="宋体" w:eastAsia="宋体" w:cs="宋体"/>
                <w:b w:val="0"/>
                <w:bCs w:val="0"/>
                <w:color w:val="auto"/>
                <w:kern w:val="0"/>
                <w:sz w:val="20"/>
                <w:szCs w:val="20"/>
                <w:highlight w:val="none"/>
                <w:lang w:val="en-US" w:eastAsia="zh-CN" w:bidi="ar-SA"/>
              </w:rPr>
            </w:pPr>
          </w:p>
        </w:tc>
      </w:tr>
      <w:tr w14:paraId="158FF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307984C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1003</w:t>
            </w:r>
          </w:p>
        </w:tc>
        <w:tc>
          <w:tcPr>
            <w:tcW w:w="625" w:type="dxa"/>
            <w:vMerge w:val="continue"/>
            <w:vAlign w:val="center"/>
          </w:tcPr>
          <w:p w14:paraId="3BF08AC0">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0BA1750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诊断字典</w:t>
            </w:r>
          </w:p>
        </w:tc>
        <w:tc>
          <w:tcPr>
            <w:tcW w:w="5075" w:type="dxa"/>
            <w:vAlign w:val="center"/>
          </w:tcPr>
          <w:p w14:paraId="5272BA8A">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对院内急诊提供诊断字典接口。</w:t>
            </w:r>
          </w:p>
        </w:tc>
        <w:tc>
          <w:tcPr>
            <w:tcW w:w="733" w:type="dxa"/>
            <w:vMerge w:val="continue"/>
            <w:vAlign w:val="center"/>
          </w:tcPr>
          <w:p w14:paraId="5BCFA42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0650991">
            <w:pPr>
              <w:jc w:val="center"/>
              <w:rPr>
                <w:rFonts w:hint="eastAsia" w:ascii="宋体" w:hAnsi="宋体" w:eastAsia="宋体" w:cs="宋体"/>
                <w:b w:val="0"/>
                <w:bCs w:val="0"/>
                <w:color w:val="auto"/>
                <w:kern w:val="0"/>
                <w:sz w:val="20"/>
                <w:szCs w:val="20"/>
                <w:highlight w:val="none"/>
                <w:lang w:val="en-US" w:eastAsia="zh-CN" w:bidi="ar-SA"/>
              </w:rPr>
            </w:pPr>
          </w:p>
        </w:tc>
      </w:tr>
      <w:tr w14:paraId="05CC0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26A5813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1004</w:t>
            </w:r>
          </w:p>
        </w:tc>
        <w:tc>
          <w:tcPr>
            <w:tcW w:w="625" w:type="dxa"/>
            <w:vMerge w:val="continue"/>
            <w:vAlign w:val="center"/>
          </w:tcPr>
          <w:p w14:paraId="0C1C7D08">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7BD2973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获取患者档案信息</w:t>
            </w:r>
          </w:p>
        </w:tc>
        <w:tc>
          <w:tcPr>
            <w:tcW w:w="5075" w:type="dxa"/>
            <w:vAlign w:val="center"/>
          </w:tcPr>
          <w:p w14:paraId="74462467">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对院内急诊提供获取患者档案信息接口。</w:t>
            </w:r>
          </w:p>
        </w:tc>
        <w:tc>
          <w:tcPr>
            <w:tcW w:w="733" w:type="dxa"/>
            <w:vMerge w:val="continue"/>
            <w:vAlign w:val="center"/>
          </w:tcPr>
          <w:p w14:paraId="393C548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4F441F6">
            <w:pPr>
              <w:jc w:val="center"/>
              <w:rPr>
                <w:rFonts w:hint="eastAsia" w:ascii="宋体" w:hAnsi="宋体" w:eastAsia="宋体" w:cs="宋体"/>
                <w:b w:val="0"/>
                <w:bCs w:val="0"/>
                <w:color w:val="auto"/>
                <w:kern w:val="0"/>
                <w:sz w:val="20"/>
                <w:szCs w:val="20"/>
                <w:highlight w:val="none"/>
                <w:lang w:val="en-US" w:eastAsia="zh-CN" w:bidi="ar-SA"/>
              </w:rPr>
            </w:pPr>
          </w:p>
        </w:tc>
      </w:tr>
      <w:tr w14:paraId="531F4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5B5221A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1005</w:t>
            </w:r>
          </w:p>
        </w:tc>
        <w:tc>
          <w:tcPr>
            <w:tcW w:w="625" w:type="dxa"/>
            <w:vMerge w:val="continue"/>
            <w:vAlign w:val="center"/>
          </w:tcPr>
          <w:p w14:paraId="637FFD9C">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20D0D7C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获取患者挂号信息</w:t>
            </w:r>
          </w:p>
        </w:tc>
        <w:tc>
          <w:tcPr>
            <w:tcW w:w="5075" w:type="dxa"/>
            <w:vAlign w:val="center"/>
          </w:tcPr>
          <w:p w14:paraId="0EA08D35">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对院内急诊提供获取患者挂号信息接口。</w:t>
            </w:r>
          </w:p>
        </w:tc>
        <w:tc>
          <w:tcPr>
            <w:tcW w:w="733" w:type="dxa"/>
            <w:vMerge w:val="continue"/>
            <w:vAlign w:val="center"/>
          </w:tcPr>
          <w:p w14:paraId="3EBD671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9E51E34">
            <w:pPr>
              <w:jc w:val="center"/>
              <w:rPr>
                <w:rFonts w:hint="eastAsia" w:ascii="宋体" w:hAnsi="宋体" w:eastAsia="宋体" w:cs="宋体"/>
                <w:b w:val="0"/>
                <w:bCs w:val="0"/>
                <w:color w:val="auto"/>
                <w:kern w:val="0"/>
                <w:sz w:val="20"/>
                <w:szCs w:val="20"/>
                <w:highlight w:val="none"/>
                <w:lang w:val="en-US" w:eastAsia="zh-CN" w:bidi="ar-SA"/>
              </w:rPr>
            </w:pPr>
          </w:p>
        </w:tc>
      </w:tr>
      <w:tr w14:paraId="72D5C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06DCEFC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1006</w:t>
            </w:r>
          </w:p>
        </w:tc>
        <w:tc>
          <w:tcPr>
            <w:tcW w:w="625" w:type="dxa"/>
            <w:vMerge w:val="continue"/>
            <w:vAlign w:val="center"/>
          </w:tcPr>
          <w:p w14:paraId="2F564197">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4456B87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急诊调用HIS建档接口</w:t>
            </w:r>
          </w:p>
        </w:tc>
        <w:tc>
          <w:tcPr>
            <w:tcW w:w="5075" w:type="dxa"/>
            <w:vAlign w:val="center"/>
          </w:tcPr>
          <w:p w14:paraId="01E95D19">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对院内急诊提供HIS建档接口。</w:t>
            </w:r>
          </w:p>
        </w:tc>
        <w:tc>
          <w:tcPr>
            <w:tcW w:w="733" w:type="dxa"/>
            <w:vMerge w:val="continue"/>
            <w:vAlign w:val="center"/>
          </w:tcPr>
          <w:p w14:paraId="1FC4F7F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5877A1A">
            <w:pPr>
              <w:jc w:val="center"/>
              <w:rPr>
                <w:rFonts w:hint="eastAsia" w:ascii="宋体" w:hAnsi="宋体" w:eastAsia="宋体" w:cs="宋体"/>
                <w:b w:val="0"/>
                <w:bCs w:val="0"/>
                <w:color w:val="auto"/>
                <w:kern w:val="0"/>
                <w:sz w:val="20"/>
                <w:szCs w:val="20"/>
                <w:highlight w:val="none"/>
                <w:lang w:val="en-US" w:eastAsia="zh-CN" w:bidi="ar-SA"/>
              </w:rPr>
            </w:pPr>
          </w:p>
        </w:tc>
      </w:tr>
      <w:tr w14:paraId="23D23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4CB0801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1007</w:t>
            </w:r>
          </w:p>
        </w:tc>
        <w:tc>
          <w:tcPr>
            <w:tcW w:w="625" w:type="dxa"/>
            <w:vMerge w:val="continue"/>
            <w:vAlign w:val="center"/>
          </w:tcPr>
          <w:p w14:paraId="18003E22">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7DE4EF9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急诊调用挂号接口</w:t>
            </w:r>
          </w:p>
        </w:tc>
        <w:tc>
          <w:tcPr>
            <w:tcW w:w="5075" w:type="dxa"/>
            <w:vAlign w:val="center"/>
          </w:tcPr>
          <w:p w14:paraId="4EFFDD04">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对院内急诊提供挂号接口。</w:t>
            </w:r>
          </w:p>
        </w:tc>
        <w:tc>
          <w:tcPr>
            <w:tcW w:w="733" w:type="dxa"/>
            <w:vMerge w:val="continue"/>
            <w:vAlign w:val="center"/>
          </w:tcPr>
          <w:p w14:paraId="2A19DEF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047E30A">
            <w:pPr>
              <w:jc w:val="center"/>
              <w:rPr>
                <w:rFonts w:hint="eastAsia" w:ascii="宋体" w:hAnsi="宋体" w:eastAsia="宋体" w:cs="宋体"/>
                <w:b w:val="0"/>
                <w:bCs w:val="0"/>
                <w:color w:val="auto"/>
                <w:kern w:val="0"/>
                <w:sz w:val="20"/>
                <w:szCs w:val="20"/>
                <w:highlight w:val="none"/>
                <w:lang w:val="en-US" w:eastAsia="zh-CN" w:bidi="ar-SA"/>
              </w:rPr>
            </w:pPr>
          </w:p>
        </w:tc>
      </w:tr>
      <w:tr w14:paraId="012DC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77112C8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1008</w:t>
            </w:r>
          </w:p>
        </w:tc>
        <w:tc>
          <w:tcPr>
            <w:tcW w:w="625" w:type="dxa"/>
            <w:vMerge w:val="continue"/>
            <w:vAlign w:val="center"/>
          </w:tcPr>
          <w:p w14:paraId="3F759B33">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755A870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推送分诊信息</w:t>
            </w:r>
          </w:p>
        </w:tc>
        <w:tc>
          <w:tcPr>
            <w:tcW w:w="5075" w:type="dxa"/>
            <w:vAlign w:val="center"/>
          </w:tcPr>
          <w:p w14:paraId="5745245D">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对院内急诊推送分诊信息接口。</w:t>
            </w:r>
          </w:p>
        </w:tc>
        <w:tc>
          <w:tcPr>
            <w:tcW w:w="733" w:type="dxa"/>
            <w:vMerge w:val="continue"/>
            <w:vAlign w:val="center"/>
          </w:tcPr>
          <w:p w14:paraId="40B2A5D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7953B2F">
            <w:pPr>
              <w:jc w:val="center"/>
              <w:rPr>
                <w:rFonts w:hint="eastAsia" w:ascii="宋体" w:hAnsi="宋体" w:eastAsia="宋体" w:cs="宋体"/>
                <w:b w:val="0"/>
                <w:bCs w:val="0"/>
                <w:color w:val="auto"/>
                <w:kern w:val="0"/>
                <w:sz w:val="20"/>
                <w:szCs w:val="20"/>
                <w:highlight w:val="none"/>
                <w:lang w:val="en-US" w:eastAsia="zh-CN" w:bidi="ar-SA"/>
              </w:rPr>
            </w:pPr>
          </w:p>
        </w:tc>
      </w:tr>
      <w:tr w14:paraId="1B6DC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75EBE6A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1009</w:t>
            </w:r>
          </w:p>
        </w:tc>
        <w:tc>
          <w:tcPr>
            <w:tcW w:w="625" w:type="dxa"/>
            <w:vMerge w:val="continue"/>
            <w:vAlign w:val="center"/>
          </w:tcPr>
          <w:p w14:paraId="38B99D55">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3E0B708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诊断保存后回写</w:t>
            </w:r>
          </w:p>
        </w:tc>
        <w:tc>
          <w:tcPr>
            <w:tcW w:w="5075" w:type="dxa"/>
            <w:vAlign w:val="center"/>
          </w:tcPr>
          <w:p w14:paraId="7131D245">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对院内急诊提供诊断保存后回写接口。</w:t>
            </w:r>
          </w:p>
        </w:tc>
        <w:tc>
          <w:tcPr>
            <w:tcW w:w="733" w:type="dxa"/>
            <w:vMerge w:val="continue"/>
            <w:vAlign w:val="center"/>
          </w:tcPr>
          <w:p w14:paraId="060B14E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1CDF2F1">
            <w:pPr>
              <w:jc w:val="center"/>
              <w:rPr>
                <w:rFonts w:hint="eastAsia" w:ascii="宋体" w:hAnsi="宋体" w:eastAsia="宋体" w:cs="宋体"/>
                <w:b w:val="0"/>
                <w:bCs w:val="0"/>
                <w:color w:val="auto"/>
                <w:kern w:val="0"/>
                <w:sz w:val="20"/>
                <w:szCs w:val="20"/>
                <w:highlight w:val="none"/>
                <w:lang w:val="en-US" w:eastAsia="zh-CN" w:bidi="ar-SA"/>
              </w:rPr>
            </w:pPr>
          </w:p>
        </w:tc>
      </w:tr>
      <w:tr w14:paraId="140FB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38E8DB6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1010</w:t>
            </w:r>
          </w:p>
        </w:tc>
        <w:tc>
          <w:tcPr>
            <w:tcW w:w="625" w:type="dxa"/>
            <w:vMerge w:val="continue"/>
            <w:vAlign w:val="center"/>
          </w:tcPr>
          <w:p w14:paraId="417CDE02">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6267D5D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绿通患者缴费结清返回急诊</w:t>
            </w:r>
          </w:p>
        </w:tc>
        <w:tc>
          <w:tcPr>
            <w:tcW w:w="5075" w:type="dxa"/>
            <w:vAlign w:val="center"/>
          </w:tcPr>
          <w:p w14:paraId="521BFC97">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对院内急诊提供绿通患者缴费结清返回急诊接口。</w:t>
            </w:r>
          </w:p>
        </w:tc>
        <w:tc>
          <w:tcPr>
            <w:tcW w:w="733" w:type="dxa"/>
            <w:vMerge w:val="continue"/>
            <w:vAlign w:val="center"/>
          </w:tcPr>
          <w:p w14:paraId="564CBED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7B382B4">
            <w:pPr>
              <w:jc w:val="center"/>
              <w:rPr>
                <w:rFonts w:hint="eastAsia" w:ascii="宋体" w:hAnsi="宋体" w:eastAsia="宋体" w:cs="宋体"/>
                <w:b w:val="0"/>
                <w:bCs w:val="0"/>
                <w:color w:val="auto"/>
                <w:kern w:val="0"/>
                <w:sz w:val="20"/>
                <w:szCs w:val="20"/>
                <w:highlight w:val="none"/>
                <w:lang w:val="en-US" w:eastAsia="zh-CN" w:bidi="ar-SA"/>
              </w:rPr>
            </w:pPr>
          </w:p>
        </w:tc>
      </w:tr>
      <w:tr w14:paraId="5A781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7E621D0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1011</w:t>
            </w:r>
          </w:p>
        </w:tc>
        <w:tc>
          <w:tcPr>
            <w:tcW w:w="625" w:type="dxa"/>
            <w:vMerge w:val="continue"/>
            <w:vAlign w:val="center"/>
          </w:tcPr>
          <w:p w14:paraId="7F96BB8D">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3DAC36A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急诊开立项目后回传</w:t>
            </w:r>
          </w:p>
        </w:tc>
        <w:tc>
          <w:tcPr>
            <w:tcW w:w="5075" w:type="dxa"/>
            <w:vAlign w:val="center"/>
          </w:tcPr>
          <w:p w14:paraId="1E9B2D31">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急诊开立项目后回传接口。</w:t>
            </w:r>
          </w:p>
        </w:tc>
        <w:tc>
          <w:tcPr>
            <w:tcW w:w="733" w:type="dxa"/>
            <w:vMerge w:val="continue"/>
            <w:vAlign w:val="center"/>
          </w:tcPr>
          <w:p w14:paraId="1E7B807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2B24447">
            <w:pPr>
              <w:jc w:val="center"/>
              <w:rPr>
                <w:rFonts w:hint="eastAsia" w:ascii="宋体" w:hAnsi="宋体" w:eastAsia="宋体" w:cs="宋体"/>
                <w:b w:val="0"/>
                <w:bCs w:val="0"/>
                <w:color w:val="auto"/>
                <w:kern w:val="0"/>
                <w:sz w:val="20"/>
                <w:szCs w:val="20"/>
                <w:highlight w:val="none"/>
                <w:lang w:val="en-US" w:eastAsia="zh-CN" w:bidi="ar-SA"/>
              </w:rPr>
            </w:pPr>
          </w:p>
        </w:tc>
      </w:tr>
      <w:tr w14:paraId="15BE2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7C99CCA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1012</w:t>
            </w:r>
          </w:p>
        </w:tc>
        <w:tc>
          <w:tcPr>
            <w:tcW w:w="625" w:type="dxa"/>
            <w:vMerge w:val="continue"/>
            <w:vAlign w:val="center"/>
          </w:tcPr>
          <w:p w14:paraId="460BC6C8">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29E90A0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推送医嘱执行状态</w:t>
            </w:r>
          </w:p>
        </w:tc>
        <w:tc>
          <w:tcPr>
            <w:tcW w:w="5075" w:type="dxa"/>
            <w:vAlign w:val="center"/>
          </w:tcPr>
          <w:p w14:paraId="2111CD3E">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推送医嘱执行状态接口。</w:t>
            </w:r>
          </w:p>
        </w:tc>
        <w:tc>
          <w:tcPr>
            <w:tcW w:w="733" w:type="dxa"/>
            <w:vMerge w:val="continue"/>
            <w:vAlign w:val="center"/>
          </w:tcPr>
          <w:p w14:paraId="5B5AEC9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0B1A247">
            <w:pPr>
              <w:jc w:val="center"/>
              <w:rPr>
                <w:rFonts w:hint="eastAsia" w:ascii="宋体" w:hAnsi="宋体" w:eastAsia="宋体" w:cs="宋体"/>
                <w:b w:val="0"/>
                <w:bCs w:val="0"/>
                <w:color w:val="auto"/>
                <w:kern w:val="0"/>
                <w:sz w:val="20"/>
                <w:szCs w:val="20"/>
                <w:highlight w:val="none"/>
                <w:lang w:val="en-US" w:eastAsia="zh-CN" w:bidi="ar-SA"/>
              </w:rPr>
            </w:pPr>
          </w:p>
        </w:tc>
      </w:tr>
      <w:tr w14:paraId="788F0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0182935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1013</w:t>
            </w:r>
          </w:p>
        </w:tc>
        <w:tc>
          <w:tcPr>
            <w:tcW w:w="625" w:type="dxa"/>
            <w:vMerge w:val="continue"/>
            <w:vAlign w:val="center"/>
          </w:tcPr>
          <w:p w14:paraId="5E8E575D">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78E116B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推送医嘱皮试结果</w:t>
            </w:r>
          </w:p>
        </w:tc>
        <w:tc>
          <w:tcPr>
            <w:tcW w:w="5075" w:type="dxa"/>
            <w:vAlign w:val="center"/>
          </w:tcPr>
          <w:p w14:paraId="10B8EA19">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推送医嘱皮试结果接口。</w:t>
            </w:r>
          </w:p>
        </w:tc>
        <w:tc>
          <w:tcPr>
            <w:tcW w:w="733" w:type="dxa"/>
            <w:vMerge w:val="continue"/>
            <w:vAlign w:val="center"/>
          </w:tcPr>
          <w:p w14:paraId="3F2412D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2DCD7C3">
            <w:pPr>
              <w:jc w:val="center"/>
              <w:rPr>
                <w:rFonts w:hint="eastAsia" w:ascii="宋体" w:hAnsi="宋体" w:eastAsia="宋体" w:cs="宋体"/>
                <w:b w:val="0"/>
                <w:bCs w:val="0"/>
                <w:color w:val="auto"/>
                <w:kern w:val="0"/>
                <w:sz w:val="20"/>
                <w:szCs w:val="20"/>
                <w:highlight w:val="none"/>
                <w:lang w:val="en-US" w:eastAsia="zh-CN" w:bidi="ar-SA"/>
              </w:rPr>
            </w:pPr>
          </w:p>
        </w:tc>
      </w:tr>
      <w:tr w14:paraId="3E9A9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39A5790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1014</w:t>
            </w:r>
          </w:p>
        </w:tc>
        <w:tc>
          <w:tcPr>
            <w:tcW w:w="625" w:type="dxa"/>
            <w:vMerge w:val="continue"/>
            <w:vAlign w:val="center"/>
          </w:tcPr>
          <w:p w14:paraId="4F1C9A4C">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2B7D8C5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获取医嘱缴费状态</w:t>
            </w:r>
          </w:p>
        </w:tc>
        <w:tc>
          <w:tcPr>
            <w:tcW w:w="5075" w:type="dxa"/>
            <w:vAlign w:val="center"/>
          </w:tcPr>
          <w:p w14:paraId="3D0737D8">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获取医嘱缴费状态接口。</w:t>
            </w:r>
          </w:p>
        </w:tc>
        <w:tc>
          <w:tcPr>
            <w:tcW w:w="733" w:type="dxa"/>
            <w:vMerge w:val="continue"/>
            <w:vAlign w:val="center"/>
          </w:tcPr>
          <w:p w14:paraId="10B92FB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2F86053">
            <w:pPr>
              <w:jc w:val="center"/>
              <w:rPr>
                <w:rFonts w:hint="eastAsia" w:ascii="宋体" w:hAnsi="宋体" w:eastAsia="宋体" w:cs="宋体"/>
                <w:b w:val="0"/>
                <w:bCs w:val="0"/>
                <w:color w:val="auto"/>
                <w:kern w:val="0"/>
                <w:sz w:val="20"/>
                <w:szCs w:val="20"/>
                <w:highlight w:val="none"/>
                <w:lang w:val="en-US" w:eastAsia="zh-CN" w:bidi="ar-SA"/>
              </w:rPr>
            </w:pPr>
          </w:p>
        </w:tc>
      </w:tr>
      <w:tr w14:paraId="41506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2786D89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1015</w:t>
            </w:r>
          </w:p>
        </w:tc>
        <w:tc>
          <w:tcPr>
            <w:tcW w:w="625" w:type="dxa"/>
            <w:vMerge w:val="continue"/>
            <w:vAlign w:val="center"/>
          </w:tcPr>
          <w:p w14:paraId="70DC050D">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1D7B615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推送患者接诊信息</w:t>
            </w:r>
          </w:p>
        </w:tc>
        <w:tc>
          <w:tcPr>
            <w:tcW w:w="5075" w:type="dxa"/>
            <w:vAlign w:val="center"/>
          </w:tcPr>
          <w:p w14:paraId="309F23FB">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推送患者接诊信息接口。</w:t>
            </w:r>
          </w:p>
        </w:tc>
        <w:tc>
          <w:tcPr>
            <w:tcW w:w="733" w:type="dxa"/>
            <w:vMerge w:val="continue"/>
            <w:vAlign w:val="center"/>
          </w:tcPr>
          <w:p w14:paraId="53707D9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35E214D">
            <w:pPr>
              <w:jc w:val="center"/>
              <w:rPr>
                <w:rFonts w:hint="eastAsia" w:ascii="宋体" w:hAnsi="宋体" w:eastAsia="宋体" w:cs="宋体"/>
                <w:b w:val="0"/>
                <w:bCs w:val="0"/>
                <w:color w:val="auto"/>
                <w:kern w:val="0"/>
                <w:sz w:val="20"/>
                <w:szCs w:val="20"/>
                <w:highlight w:val="none"/>
                <w:lang w:val="en-US" w:eastAsia="zh-CN" w:bidi="ar-SA"/>
              </w:rPr>
            </w:pPr>
          </w:p>
        </w:tc>
      </w:tr>
      <w:tr w14:paraId="65BD8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39FFB0E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1016</w:t>
            </w:r>
          </w:p>
        </w:tc>
        <w:tc>
          <w:tcPr>
            <w:tcW w:w="625" w:type="dxa"/>
            <w:vMerge w:val="continue"/>
            <w:vAlign w:val="center"/>
          </w:tcPr>
          <w:p w14:paraId="1107E1B8">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62829A8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推送患者取消就诊信息</w:t>
            </w:r>
          </w:p>
        </w:tc>
        <w:tc>
          <w:tcPr>
            <w:tcW w:w="5075" w:type="dxa"/>
            <w:vAlign w:val="center"/>
          </w:tcPr>
          <w:p w14:paraId="31BE82A2">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推送患者取消就诊信息接口。</w:t>
            </w:r>
          </w:p>
        </w:tc>
        <w:tc>
          <w:tcPr>
            <w:tcW w:w="733" w:type="dxa"/>
            <w:vMerge w:val="continue"/>
            <w:vAlign w:val="center"/>
          </w:tcPr>
          <w:p w14:paraId="2EA04C9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8EF9F27">
            <w:pPr>
              <w:jc w:val="center"/>
              <w:rPr>
                <w:rFonts w:hint="eastAsia" w:ascii="宋体" w:hAnsi="宋体" w:eastAsia="宋体" w:cs="宋体"/>
                <w:b w:val="0"/>
                <w:bCs w:val="0"/>
                <w:color w:val="auto"/>
                <w:kern w:val="0"/>
                <w:sz w:val="20"/>
                <w:szCs w:val="20"/>
                <w:highlight w:val="none"/>
                <w:lang w:val="en-US" w:eastAsia="zh-CN" w:bidi="ar-SA"/>
              </w:rPr>
            </w:pPr>
          </w:p>
        </w:tc>
      </w:tr>
      <w:tr w14:paraId="07727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42A9E8A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1017</w:t>
            </w:r>
          </w:p>
        </w:tc>
        <w:tc>
          <w:tcPr>
            <w:tcW w:w="625" w:type="dxa"/>
            <w:vMerge w:val="continue"/>
            <w:vAlign w:val="center"/>
          </w:tcPr>
          <w:p w14:paraId="78553CCF">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0EF1F6E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推送患者出科信息</w:t>
            </w:r>
          </w:p>
        </w:tc>
        <w:tc>
          <w:tcPr>
            <w:tcW w:w="5075" w:type="dxa"/>
            <w:vAlign w:val="center"/>
          </w:tcPr>
          <w:p w14:paraId="3D020C6B">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推送患者出科信息接口。</w:t>
            </w:r>
          </w:p>
        </w:tc>
        <w:tc>
          <w:tcPr>
            <w:tcW w:w="733" w:type="dxa"/>
            <w:vMerge w:val="continue"/>
            <w:vAlign w:val="center"/>
          </w:tcPr>
          <w:p w14:paraId="2ED3F40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652433F">
            <w:pPr>
              <w:jc w:val="center"/>
              <w:rPr>
                <w:rFonts w:hint="eastAsia" w:ascii="宋体" w:hAnsi="宋体" w:eastAsia="宋体" w:cs="宋体"/>
                <w:b w:val="0"/>
                <w:bCs w:val="0"/>
                <w:color w:val="auto"/>
                <w:kern w:val="0"/>
                <w:sz w:val="20"/>
                <w:szCs w:val="20"/>
                <w:highlight w:val="none"/>
                <w:lang w:val="en-US" w:eastAsia="zh-CN" w:bidi="ar-SA"/>
              </w:rPr>
            </w:pPr>
          </w:p>
        </w:tc>
      </w:tr>
      <w:tr w14:paraId="61A55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77166EA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1018</w:t>
            </w:r>
          </w:p>
        </w:tc>
        <w:tc>
          <w:tcPr>
            <w:tcW w:w="625" w:type="dxa"/>
            <w:vMerge w:val="continue"/>
            <w:vAlign w:val="center"/>
          </w:tcPr>
          <w:p w14:paraId="61BBAC34">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3492E1A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住院预约</w:t>
            </w:r>
          </w:p>
        </w:tc>
        <w:tc>
          <w:tcPr>
            <w:tcW w:w="5075" w:type="dxa"/>
            <w:vAlign w:val="center"/>
          </w:tcPr>
          <w:p w14:paraId="22FB301C">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对院内急诊提供住院预约接口。</w:t>
            </w:r>
          </w:p>
        </w:tc>
        <w:tc>
          <w:tcPr>
            <w:tcW w:w="733" w:type="dxa"/>
            <w:vMerge w:val="continue"/>
            <w:vAlign w:val="center"/>
          </w:tcPr>
          <w:p w14:paraId="660364F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C8BE6BC">
            <w:pPr>
              <w:jc w:val="center"/>
              <w:rPr>
                <w:rFonts w:hint="eastAsia" w:ascii="宋体" w:hAnsi="宋体" w:eastAsia="宋体" w:cs="宋体"/>
                <w:b w:val="0"/>
                <w:bCs w:val="0"/>
                <w:color w:val="auto"/>
                <w:kern w:val="0"/>
                <w:sz w:val="20"/>
                <w:szCs w:val="20"/>
                <w:highlight w:val="none"/>
                <w:lang w:val="en-US" w:eastAsia="zh-CN" w:bidi="ar-SA"/>
              </w:rPr>
            </w:pPr>
          </w:p>
        </w:tc>
      </w:tr>
      <w:tr w14:paraId="261C0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2FD868E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1019</w:t>
            </w:r>
          </w:p>
        </w:tc>
        <w:tc>
          <w:tcPr>
            <w:tcW w:w="625" w:type="dxa"/>
            <w:vMerge w:val="continue"/>
            <w:vAlign w:val="center"/>
          </w:tcPr>
          <w:p w14:paraId="59B14A2B">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7430E33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取消住院预约</w:t>
            </w:r>
          </w:p>
        </w:tc>
        <w:tc>
          <w:tcPr>
            <w:tcW w:w="5075" w:type="dxa"/>
            <w:vAlign w:val="center"/>
          </w:tcPr>
          <w:p w14:paraId="5764F9C3">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取消住院预约接口。</w:t>
            </w:r>
          </w:p>
        </w:tc>
        <w:tc>
          <w:tcPr>
            <w:tcW w:w="733" w:type="dxa"/>
            <w:vMerge w:val="continue"/>
            <w:vAlign w:val="center"/>
          </w:tcPr>
          <w:p w14:paraId="02907DC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4E81950">
            <w:pPr>
              <w:jc w:val="center"/>
              <w:rPr>
                <w:rFonts w:hint="eastAsia" w:ascii="宋体" w:hAnsi="宋体" w:eastAsia="宋体" w:cs="宋体"/>
                <w:b w:val="0"/>
                <w:bCs w:val="0"/>
                <w:color w:val="auto"/>
                <w:kern w:val="0"/>
                <w:sz w:val="20"/>
                <w:szCs w:val="20"/>
                <w:highlight w:val="none"/>
                <w:lang w:val="en-US" w:eastAsia="zh-CN" w:bidi="ar-SA"/>
              </w:rPr>
            </w:pPr>
          </w:p>
        </w:tc>
      </w:tr>
      <w:tr w14:paraId="0315D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0EE2192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1020</w:t>
            </w:r>
          </w:p>
        </w:tc>
        <w:tc>
          <w:tcPr>
            <w:tcW w:w="625" w:type="dxa"/>
            <w:vMerge w:val="continue"/>
            <w:vAlign w:val="center"/>
          </w:tcPr>
          <w:p w14:paraId="6A078D88">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4342C69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接收患者入院状态</w:t>
            </w:r>
          </w:p>
        </w:tc>
        <w:tc>
          <w:tcPr>
            <w:tcW w:w="5075" w:type="dxa"/>
            <w:vAlign w:val="center"/>
          </w:tcPr>
          <w:p w14:paraId="0CF19127">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对院内急诊提供接收患者入院状态接口。</w:t>
            </w:r>
          </w:p>
        </w:tc>
        <w:tc>
          <w:tcPr>
            <w:tcW w:w="733" w:type="dxa"/>
            <w:vMerge w:val="continue"/>
            <w:vAlign w:val="center"/>
          </w:tcPr>
          <w:p w14:paraId="3735AB8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7EF7D63">
            <w:pPr>
              <w:jc w:val="center"/>
              <w:rPr>
                <w:rFonts w:hint="eastAsia" w:ascii="宋体" w:hAnsi="宋体" w:eastAsia="宋体" w:cs="宋体"/>
                <w:b w:val="0"/>
                <w:bCs w:val="0"/>
                <w:color w:val="auto"/>
                <w:kern w:val="0"/>
                <w:sz w:val="20"/>
                <w:szCs w:val="20"/>
                <w:highlight w:val="none"/>
                <w:lang w:val="en-US" w:eastAsia="zh-CN" w:bidi="ar-SA"/>
              </w:rPr>
            </w:pPr>
          </w:p>
        </w:tc>
      </w:tr>
      <w:tr w14:paraId="6926B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7427403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1021</w:t>
            </w:r>
          </w:p>
        </w:tc>
        <w:tc>
          <w:tcPr>
            <w:tcW w:w="625" w:type="dxa"/>
            <w:vMerge w:val="continue"/>
            <w:vAlign w:val="center"/>
          </w:tcPr>
          <w:p w14:paraId="0B1F9400">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7691CDC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会诊业务</w:t>
            </w:r>
          </w:p>
        </w:tc>
        <w:tc>
          <w:tcPr>
            <w:tcW w:w="5075" w:type="dxa"/>
            <w:vAlign w:val="center"/>
          </w:tcPr>
          <w:p w14:paraId="4755D5A7">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对院内急诊提供会诊业务接口。</w:t>
            </w:r>
          </w:p>
        </w:tc>
        <w:tc>
          <w:tcPr>
            <w:tcW w:w="733" w:type="dxa"/>
            <w:vMerge w:val="continue"/>
            <w:vAlign w:val="center"/>
          </w:tcPr>
          <w:p w14:paraId="093C907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6520AA2">
            <w:pPr>
              <w:jc w:val="center"/>
              <w:rPr>
                <w:rFonts w:hint="eastAsia" w:ascii="宋体" w:hAnsi="宋体" w:eastAsia="宋体" w:cs="宋体"/>
                <w:b w:val="0"/>
                <w:bCs w:val="0"/>
                <w:color w:val="auto"/>
                <w:kern w:val="0"/>
                <w:sz w:val="20"/>
                <w:szCs w:val="20"/>
                <w:highlight w:val="none"/>
                <w:lang w:val="en-US" w:eastAsia="zh-CN" w:bidi="ar-SA"/>
              </w:rPr>
            </w:pPr>
          </w:p>
        </w:tc>
      </w:tr>
      <w:tr w14:paraId="45F05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7F0E58A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1022</w:t>
            </w:r>
          </w:p>
        </w:tc>
        <w:tc>
          <w:tcPr>
            <w:tcW w:w="625" w:type="dxa"/>
            <w:vMerge w:val="continue"/>
            <w:vAlign w:val="center"/>
          </w:tcPr>
          <w:p w14:paraId="21CB4E6C">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2A322ED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推送急诊病历</w:t>
            </w:r>
          </w:p>
        </w:tc>
        <w:tc>
          <w:tcPr>
            <w:tcW w:w="5075" w:type="dxa"/>
            <w:vAlign w:val="center"/>
          </w:tcPr>
          <w:p w14:paraId="0B3F2AA9">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对院内急诊提供推送急诊病历接口。</w:t>
            </w:r>
          </w:p>
        </w:tc>
        <w:tc>
          <w:tcPr>
            <w:tcW w:w="733" w:type="dxa"/>
            <w:vMerge w:val="continue"/>
            <w:vAlign w:val="center"/>
          </w:tcPr>
          <w:p w14:paraId="695E14F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D95431E">
            <w:pPr>
              <w:jc w:val="center"/>
              <w:rPr>
                <w:rFonts w:hint="eastAsia" w:ascii="宋体" w:hAnsi="宋体" w:eastAsia="宋体" w:cs="宋体"/>
                <w:b w:val="0"/>
                <w:bCs w:val="0"/>
                <w:color w:val="auto"/>
                <w:kern w:val="0"/>
                <w:sz w:val="20"/>
                <w:szCs w:val="20"/>
                <w:highlight w:val="none"/>
                <w:lang w:val="en-US" w:eastAsia="zh-CN" w:bidi="ar-SA"/>
              </w:rPr>
            </w:pPr>
          </w:p>
        </w:tc>
      </w:tr>
      <w:tr w14:paraId="24736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1B7DD46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1023</w:t>
            </w:r>
          </w:p>
        </w:tc>
        <w:tc>
          <w:tcPr>
            <w:tcW w:w="625" w:type="dxa"/>
            <w:vMerge w:val="continue"/>
            <w:vAlign w:val="center"/>
          </w:tcPr>
          <w:p w14:paraId="7870F7D2">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22E721A6">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集成门诊病历</w:t>
            </w:r>
          </w:p>
        </w:tc>
        <w:tc>
          <w:tcPr>
            <w:tcW w:w="5075" w:type="dxa"/>
            <w:vAlign w:val="center"/>
          </w:tcPr>
          <w:p w14:paraId="0E6CC663">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对院内急诊提供集成门诊病历方式。</w:t>
            </w:r>
          </w:p>
        </w:tc>
        <w:tc>
          <w:tcPr>
            <w:tcW w:w="733" w:type="dxa"/>
            <w:vMerge w:val="continue"/>
            <w:vAlign w:val="center"/>
          </w:tcPr>
          <w:p w14:paraId="197A63E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9980402">
            <w:pPr>
              <w:jc w:val="center"/>
              <w:rPr>
                <w:rFonts w:hint="eastAsia" w:ascii="宋体" w:hAnsi="宋体" w:eastAsia="宋体" w:cs="宋体"/>
                <w:b w:val="0"/>
                <w:bCs w:val="0"/>
                <w:color w:val="auto"/>
                <w:kern w:val="0"/>
                <w:sz w:val="20"/>
                <w:szCs w:val="20"/>
                <w:highlight w:val="none"/>
                <w:lang w:val="en-US" w:eastAsia="zh-CN" w:bidi="ar-SA"/>
              </w:rPr>
            </w:pPr>
          </w:p>
        </w:tc>
      </w:tr>
      <w:tr w14:paraId="72AD0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2E3541B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1024</w:t>
            </w:r>
          </w:p>
        </w:tc>
        <w:tc>
          <w:tcPr>
            <w:tcW w:w="625" w:type="dxa"/>
            <w:vMerge w:val="continue"/>
            <w:vAlign w:val="center"/>
          </w:tcPr>
          <w:p w14:paraId="4792EC0F">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165E9F1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急诊系统调阅患者360视图</w:t>
            </w:r>
          </w:p>
        </w:tc>
        <w:tc>
          <w:tcPr>
            <w:tcW w:w="5075" w:type="dxa"/>
            <w:vAlign w:val="center"/>
          </w:tcPr>
          <w:p w14:paraId="33596874">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急诊系统调阅患者360视图调用地址。</w:t>
            </w:r>
          </w:p>
        </w:tc>
        <w:tc>
          <w:tcPr>
            <w:tcW w:w="733" w:type="dxa"/>
            <w:vMerge w:val="continue"/>
            <w:vAlign w:val="center"/>
          </w:tcPr>
          <w:p w14:paraId="7ED4C9D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8726E43">
            <w:pPr>
              <w:jc w:val="center"/>
              <w:rPr>
                <w:rFonts w:hint="eastAsia" w:ascii="宋体" w:hAnsi="宋体" w:eastAsia="宋体" w:cs="宋体"/>
                <w:b w:val="0"/>
                <w:bCs w:val="0"/>
                <w:color w:val="auto"/>
                <w:kern w:val="0"/>
                <w:sz w:val="20"/>
                <w:szCs w:val="20"/>
                <w:highlight w:val="none"/>
                <w:lang w:val="en-US" w:eastAsia="zh-CN" w:bidi="ar-SA"/>
              </w:rPr>
            </w:pPr>
          </w:p>
        </w:tc>
      </w:tr>
      <w:tr w14:paraId="415D7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6B07AE1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1025</w:t>
            </w:r>
          </w:p>
        </w:tc>
        <w:tc>
          <w:tcPr>
            <w:tcW w:w="625" w:type="dxa"/>
            <w:vMerge w:val="restart"/>
            <w:vAlign w:val="center"/>
          </w:tcPr>
          <w:p w14:paraId="75A3F4F0">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院内急诊专病中心对接</w:t>
            </w:r>
          </w:p>
        </w:tc>
        <w:tc>
          <w:tcPr>
            <w:tcW w:w="2525" w:type="dxa"/>
            <w:vAlign w:val="center"/>
          </w:tcPr>
          <w:p w14:paraId="07D6802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门诊患者信息</w:t>
            </w:r>
          </w:p>
        </w:tc>
        <w:tc>
          <w:tcPr>
            <w:tcW w:w="5075" w:type="dxa"/>
            <w:vAlign w:val="center"/>
          </w:tcPr>
          <w:p w14:paraId="58D30674">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对院内急诊专病中心提供门诊患者信息接口。</w:t>
            </w:r>
          </w:p>
        </w:tc>
        <w:tc>
          <w:tcPr>
            <w:tcW w:w="733" w:type="dxa"/>
            <w:vMerge w:val="restart"/>
            <w:vAlign w:val="center"/>
          </w:tcPr>
          <w:p w14:paraId="3C7F58C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38C4033B">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6</w:t>
            </w:r>
          </w:p>
        </w:tc>
      </w:tr>
      <w:tr w14:paraId="5FA38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0F30444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1026</w:t>
            </w:r>
          </w:p>
        </w:tc>
        <w:tc>
          <w:tcPr>
            <w:tcW w:w="625" w:type="dxa"/>
            <w:vMerge w:val="continue"/>
            <w:vAlign w:val="center"/>
          </w:tcPr>
          <w:p w14:paraId="4C9FDC25">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6F3349E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用户信息</w:t>
            </w:r>
          </w:p>
        </w:tc>
        <w:tc>
          <w:tcPr>
            <w:tcW w:w="5075" w:type="dxa"/>
            <w:vAlign w:val="center"/>
          </w:tcPr>
          <w:p w14:paraId="470BBB5D">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对院内急诊专病中心提供用户信息接口。</w:t>
            </w:r>
          </w:p>
        </w:tc>
        <w:tc>
          <w:tcPr>
            <w:tcW w:w="733" w:type="dxa"/>
            <w:vMerge w:val="continue"/>
            <w:vAlign w:val="center"/>
          </w:tcPr>
          <w:p w14:paraId="0419D02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7EDFB51">
            <w:pPr>
              <w:jc w:val="center"/>
              <w:rPr>
                <w:rFonts w:hint="eastAsia" w:ascii="宋体" w:hAnsi="宋体" w:eastAsia="宋体" w:cs="宋体"/>
                <w:b w:val="0"/>
                <w:bCs w:val="0"/>
                <w:color w:val="auto"/>
                <w:kern w:val="0"/>
                <w:sz w:val="20"/>
                <w:szCs w:val="20"/>
                <w:highlight w:val="none"/>
                <w:lang w:val="en-US" w:eastAsia="zh-CN" w:bidi="ar-SA"/>
              </w:rPr>
            </w:pPr>
          </w:p>
        </w:tc>
      </w:tr>
      <w:tr w14:paraId="6155A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0489658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1027</w:t>
            </w:r>
          </w:p>
        </w:tc>
        <w:tc>
          <w:tcPr>
            <w:tcW w:w="625" w:type="dxa"/>
            <w:vMerge w:val="continue"/>
            <w:vAlign w:val="center"/>
          </w:tcPr>
          <w:p w14:paraId="15146140">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04E59D3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科室信息</w:t>
            </w:r>
          </w:p>
        </w:tc>
        <w:tc>
          <w:tcPr>
            <w:tcW w:w="5075" w:type="dxa"/>
            <w:vAlign w:val="center"/>
          </w:tcPr>
          <w:p w14:paraId="7902E47F">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对院内急诊专病中心提供科室信息接口。</w:t>
            </w:r>
          </w:p>
        </w:tc>
        <w:tc>
          <w:tcPr>
            <w:tcW w:w="733" w:type="dxa"/>
            <w:vMerge w:val="continue"/>
            <w:vAlign w:val="center"/>
          </w:tcPr>
          <w:p w14:paraId="1ADE592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EF28CC1">
            <w:pPr>
              <w:jc w:val="center"/>
              <w:rPr>
                <w:rFonts w:hint="eastAsia" w:ascii="宋体" w:hAnsi="宋体" w:eastAsia="宋体" w:cs="宋体"/>
                <w:b w:val="0"/>
                <w:bCs w:val="0"/>
                <w:color w:val="auto"/>
                <w:kern w:val="0"/>
                <w:sz w:val="20"/>
                <w:szCs w:val="20"/>
                <w:highlight w:val="none"/>
                <w:lang w:val="en-US" w:eastAsia="zh-CN" w:bidi="ar-SA"/>
              </w:rPr>
            </w:pPr>
          </w:p>
        </w:tc>
      </w:tr>
      <w:tr w14:paraId="05D42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7063BB7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1028</w:t>
            </w:r>
          </w:p>
        </w:tc>
        <w:tc>
          <w:tcPr>
            <w:tcW w:w="625" w:type="dxa"/>
            <w:vMerge w:val="continue"/>
            <w:vAlign w:val="center"/>
          </w:tcPr>
          <w:p w14:paraId="30BE734F">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6CD8ABB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住院患者信息</w:t>
            </w:r>
          </w:p>
        </w:tc>
        <w:tc>
          <w:tcPr>
            <w:tcW w:w="5075" w:type="dxa"/>
            <w:vAlign w:val="center"/>
          </w:tcPr>
          <w:p w14:paraId="427FF1A9">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对院内急诊专病中心提供住院患者信息接口。</w:t>
            </w:r>
          </w:p>
        </w:tc>
        <w:tc>
          <w:tcPr>
            <w:tcW w:w="733" w:type="dxa"/>
            <w:vMerge w:val="continue"/>
            <w:vAlign w:val="center"/>
          </w:tcPr>
          <w:p w14:paraId="3240AF2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89C40C2">
            <w:pPr>
              <w:jc w:val="center"/>
              <w:rPr>
                <w:rFonts w:hint="eastAsia" w:ascii="宋体" w:hAnsi="宋体" w:eastAsia="宋体" w:cs="宋体"/>
                <w:b w:val="0"/>
                <w:bCs w:val="0"/>
                <w:color w:val="auto"/>
                <w:kern w:val="0"/>
                <w:sz w:val="20"/>
                <w:szCs w:val="20"/>
                <w:highlight w:val="none"/>
                <w:lang w:val="en-US" w:eastAsia="zh-CN" w:bidi="ar-SA"/>
              </w:rPr>
            </w:pPr>
          </w:p>
        </w:tc>
      </w:tr>
      <w:tr w14:paraId="18EA9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5936F8D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1029</w:t>
            </w:r>
          </w:p>
        </w:tc>
        <w:tc>
          <w:tcPr>
            <w:tcW w:w="625" w:type="dxa"/>
            <w:vMerge w:val="continue"/>
            <w:vAlign w:val="center"/>
          </w:tcPr>
          <w:p w14:paraId="0AAD124B">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273004A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诊断信息</w:t>
            </w:r>
          </w:p>
        </w:tc>
        <w:tc>
          <w:tcPr>
            <w:tcW w:w="5075" w:type="dxa"/>
            <w:vAlign w:val="center"/>
          </w:tcPr>
          <w:p w14:paraId="456FD208">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对院内急诊专病中心提供诊断信息接口。</w:t>
            </w:r>
          </w:p>
        </w:tc>
        <w:tc>
          <w:tcPr>
            <w:tcW w:w="733" w:type="dxa"/>
            <w:vMerge w:val="continue"/>
            <w:vAlign w:val="center"/>
          </w:tcPr>
          <w:p w14:paraId="537B3E6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4C170DA">
            <w:pPr>
              <w:jc w:val="center"/>
              <w:rPr>
                <w:rFonts w:hint="eastAsia" w:ascii="宋体" w:hAnsi="宋体" w:eastAsia="宋体" w:cs="宋体"/>
                <w:b w:val="0"/>
                <w:bCs w:val="0"/>
                <w:color w:val="auto"/>
                <w:kern w:val="0"/>
                <w:sz w:val="20"/>
                <w:szCs w:val="20"/>
                <w:highlight w:val="none"/>
                <w:lang w:val="en-US" w:eastAsia="zh-CN" w:bidi="ar-SA"/>
              </w:rPr>
            </w:pPr>
          </w:p>
        </w:tc>
      </w:tr>
      <w:tr w14:paraId="54907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2092213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1030</w:t>
            </w:r>
          </w:p>
        </w:tc>
        <w:tc>
          <w:tcPr>
            <w:tcW w:w="625" w:type="dxa"/>
            <w:vMerge w:val="continue"/>
            <w:vAlign w:val="center"/>
          </w:tcPr>
          <w:p w14:paraId="7A9C668A">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3FCC7C2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患者医嘱信息</w:t>
            </w:r>
          </w:p>
        </w:tc>
        <w:tc>
          <w:tcPr>
            <w:tcW w:w="5075" w:type="dxa"/>
            <w:vAlign w:val="center"/>
          </w:tcPr>
          <w:p w14:paraId="14B3502A">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对院内急诊专病中心提供患者医嘱信息接口。</w:t>
            </w:r>
          </w:p>
        </w:tc>
        <w:tc>
          <w:tcPr>
            <w:tcW w:w="733" w:type="dxa"/>
            <w:vMerge w:val="continue"/>
            <w:vAlign w:val="center"/>
          </w:tcPr>
          <w:p w14:paraId="31800A6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E427016">
            <w:pPr>
              <w:jc w:val="center"/>
              <w:rPr>
                <w:rFonts w:hint="eastAsia" w:ascii="宋体" w:hAnsi="宋体" w:eastAsia="宋体" w:cs="宋体"/>
                <w:b w:val="0"/>
                <w:bCs w:val="0"/>
                <w:color w:val="auto"/>
                <w:kern w:val="0"/>
                <w:sz w:val="20"/>
                <w:szCs w:val="20"/>
                <w:highlight w:val="none"/>
                <w:lang w:val="en-US" w:eastAsia="zh-CN" w:bidi="ar-SA"/>
              </w:rPr>
            </w:pPr>
          </w:p>
        </w:tc>
      </w:tr>
      <w:tr w14:paraId="0B4BE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16AB16B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1031</w:t>
            </w:r>
          </w:p>
        </w:tc>
        <w:tc>
          <w:tcPr>
            <w:tcW w:w="625" w:type="dxa"/>
            <w:vMerge w:val="continue"/>
            <w:vAlign w:val="center"/>
          </w:tcPr>
          <w:p w14:paraId="38EAAFEE">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403B8B36">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结构化病历内容</w:t>
            </w:r>
          </w:p>
        </w:tc>
        <w:tc>
          <w:tcPr>
            <w:tcW w:w="5075" w:type="dxa"/>
            <w:vAlign w:val="center"/>
          </w:tcPr>
          <w:p w14:paraId="316CB14F">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对院内急诊专病中心提供结构化病历内容接口。</w:t>
            </w:r>
          </w:p>
        </w:tc>
        <w:tc>
          <w:tcPr>
            <w:tcW w:w="733" w:type="dxa"/>
            <w:vMerge w:val="continue"/>
            <w:vAlign w:val="center"/>
          </w:tcPr>
          <w:p w14:paraId="798A21C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EFC1527">
            <w:pPr>
              <w:jc w:val="center"/>
              <w:rPr>
                <w:rFonts w:hint="eastAsia" w:ascii="宋体" w:hAnsi="宋体" w:eastAsia="宋体" w:cs="宋体"/>
                <w:b w:val="0"/>
                <w:bCs w:val="0"/>
                <w:color w:val="auto"/>
                <w:kern w:val="0"/>
                <w:sz w:val="20"/>
                <w:szCs w:val="20"/>
                <w:highlight w:val="none"/>
                <w:lang w:val="en-US" w:eastAsia="zh-CN" w:bidi="ar-SA"/>
              </w:rPr>
            </w:pPr>
          </w:p>
        </w:tc>
      </w:tr>
      <w:tr w14:paraId="6E219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8" w:type="dxa"/>
            <w:vAlign w:val="center"/>
          </w:tcPr>
          <w:p w14:paraId="63929B9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1032</w:t>
            </w:r>
          </w:p>
        </w:tc>
        <w:tc>
          <w:tcPr>
            <w:tcW w:w="625" w:type="dxa"/>
            <w:vMerge w:val="continue"/>
            <w:vAlign w:val="center"/>
          </w:tcPr>
          <w:p w14:paraId="71AEFF23">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0D3F5DF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分诊列表</w:t>
            </w:r>
          </w:p>
        </w:tc>
        <w:tc>
          <w:tcPr>
            <w:tcW w:w="5075" w:type="dxa"/>
            <w:vAlign w:val="center"/>
          </w:tcPr>
          <w:p w14:paraId="62AAD8F4">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对院内急诊专病中心提供分诊列表接口。</w:t>
            </w:r>
          </w:p>
        </w:tc>
        <w:tc>
          <w:tcPr>
            <w:tcW w:w="733" w:type="dxa"/>
            <w:vMerge w:val="continue"/>
            <w:vAlign w:val="center"/>
          </w:tcPr>
          <w:p w14:paraId="6CA787D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98AA770">
            <w:pPr>
              <w:jc w:val="center"/>
              <w:rPr>
                <w:rFonts w:hint="eastAsia" w:ascii="宋体" w:hAnsi="宋体" w:eastAsia="宋体" w:cs="宋体"/>
                <w:b w:val="0"/>
                <w:bCs w:val="0"/>
                <w:color w:val="auto"/>
                <w:kern w:val="0"/>
                <w:sz w:val="20"/>
                <w:szCs w:val="20"/>
                <w:highlight w:val="none"/>
                <w:lang w:val="en-US" w:eastAsia="zh-CN" w:bidi="ar-SA"/>
              </w:rPr>
            </w:pPr>
          </w:p>
        </w:tc>
      </w:tr>
      <w:tr w14:paraId="733CA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3411E3B3">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1033</w:t>
            </w:r>
          </w:p>
        </w:tc>
        <w:tc>
          <w:tcPr>
            <w:tcW w:w="625" w:type="dxa"/>
            <w:vMerge w:val="continue"/>
            <w:vAlign w:val="center"/>
          </w:tcPr>
          <w:p w14:paraId="4516432E">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1F9A957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查询门急诊患者信息</w:t>
            </w:r>
          </w:p>
        </w:tc>
        <w:tc>
          <w:tcPr>
            <w:tcW w:w="5075" w:type="dxa"/>
            <w:vAlign w:val="center"/>
          </w:tcPr>
          <w:p w14:paraId="75F99651">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查询门急诊患者信息接口。</w:t>
            </w:r>
          </w:p>
        </w:tc>
        <w:tc>
          <w:tcPr>
            <w:tcW w:w="733" w:type="dxa"/>
            <w:vMerge w:val="continue"/>
            <w:vAlign w:val="center"/>
          </w:tcPr>
          <w:p w14:paraId="6366B98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B936680">
            <w:pPr>
              <w:jc w:val="center"/>
              <w:rPr>
                <w:rFonts w:hint="eastAsia" w:ascii="宋体" w:hAnsi="宋体" w:eastAsia="宋体" w:cs="宋体"/>
                <w:b w:val="0"/>
                <w:bCs w:val="0"/>
                <w:color w:val="auto"/>
                <w:kern w:val="0"/>
                <w:sz w:val="20"/>
                <w:szCs w:val="20"/>
                <w:highlight w:val="none"/>
                <w:lang w:val="en-US" w:eastAsia="zh-CN" w:bidi="ar-SA"/>
              </w:rPr>
            </w:pPr>
          </w:p>
        </w:tc>
      </w:tr>
    </w:tbl>
    <w:p w14:paraId="329F07A6">
      <w:pPr>
        <w:pStyle w:val="2"/>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highlight w:val="yellow"/>
          <w:lang w:val="en-US" w:eastAsia="zh-CN"/>
        </w:rPr>
        <w:t>（二）-20：数据中心（硬件）</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441"/>
        <w:gridCol w:w="6767"/>
        <w:gridCol w:w="733"/>
        <w:gridCol w:w="714"/>
      </w:tblGrid>
      <w:tr w14:paraId="3B92C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695" w:type="dxa"/>
            <w:vAlign w:val="center"/>
          </w:tcPr>
          <w:p w14:paraId="70EF25D4">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序号</w:t>
            </w:r>
          </w:p>
        </w:tc>
        <w:tc>
          <w:tcPr>
            <w:tcW w:w="1441" w:type="dxa"/>
            <w:vAlign w:val="center"/>
          </w:tcPr>
          <w:p w14:paraId="504585BC">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产品名称</w:t>
            </w:r>
          </w:p>
        </w:tc>
        <w:tc>
          <w:tcPr>
            <w:tcW w:w="6767" w:type="dxa"/>
            <w:vAlign w:val="center"/>
          </w:tcPr>
          <w:p w14:paraId="06D73C2D">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054A9702">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单位</w:t>
            </w:r>
          </w:p>
        </w:tc>
        <w:tc>
          <w:tcPr>
            <w:tcW w:w="714" w:type="dxa"/>
            <w:vAlign w:val="center"/>
          </w:tcPr>
          <w:p w14:paraId="1FB97AF7">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数量</w:t>
            </w:r>
          </w:p>
        </w:tc>
      </w:tr>
      <w:tr w14:paraId="78E07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10350" w:type="dxa"/>
            <w:gridSpan w:val="5"/>
            <w:vAlign w:val="center"/>
          </w:tcPr>
          <w:p w14:paraId="37C402A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二期主机房外网</w:t>
            </w:r>
          </w:p>
        </w:tc>
      </w:tr>
      <w:tr w14:paraId="11988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5FF3AF9F">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1034</w:t>
            </w:r>
          </w:p>
        </w:tc>
        <w:tc>
          <w:tcPr>
            <w:tcW w:w="1441" w:type="dxa"/>
            <w:vAlign w:val="center"/>
          </w:tcPr>
          <w:p w14:paraId="509FECC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外网出口防火墙</w:t>
            </w:r>
          </w:p>
        </w:tc>
        <w:tc>
          <w:tcPr>
            <w:tcW w:w="6767" w:type="dxa"/>
            <w:vAlign w:val="center"/>
          </w:tcPr>
          <w:p w14:paraId="6B02DB21">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1、1U机架式设备，产品支持智能DNS 、NAT功能、应用审计、带宽限速、DDOS攻击防御、入侵防御、防病毒、虚拟防火墙、数据防泄漏、URL过滤、服务器负载均衡、链路负载均衡、SSL VPN功能；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2、配置≥4个千兆光电复用口+8个万兆光口，主机吞吐量≥20Gbps，最大并发连接数≥200万，每秒新建连接数≥10万；</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3、支持威胁情报、IP信誉功能、DNS域名信誉功能，提供产品功能界面截图；</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4、支持网页诊断功能，用于当内网用户访问网页出现故障时，对网络进行基本的诊断，并给出故障原因；</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支持虚拟防火墙的创建、启动、删除，可独立分配虚拟设备的CPU、内存等资源，虚拟设备可独立管理、独立保存配置，虚拟设备具备独立会话管理、NAT、路由等功能，提供虚拟防火墙资源独立分配功能界面截图；</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6、支持高可靠集群部署，设备集群后可作为1台设备来统一配置管理；</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7、终端流量流经设备时，设备可分析并提取出终端信息，支持在终端信息发生变更时向用户发送日志；</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8、实配智能DNS 、NAT功能、DDOS攻击防御、数据防泄漏、服务器负载均衡、链路负载均衡、SSL VPN功能，配置3年应用识别功能模块、1年URL功能模块。</w:t>
            </w:r>
          </w:p>
        </w:tc>
        <w:tc>
          <w:tcPr>
            <w:tcW w:w="733" w:type="dxa"/>
            <w:vAlign w:val="center"/>
          </w:tcPr>
          <w:p w14:paraId="6433D75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0CC69DB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23BE2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3EF34A9B">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1035</w:t>
            </w:r>
          </w:p>
        </w:tc>
        <w:tc>
          <w:tcPr>
            <w:tcW w:w="1441" w:type="dxa"/>
            <w:vAlign w:val="center"/>
          </w:tcPr>
          <w:p w14:paraId="319922A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外网WAF</w:t>
            </w:r>
          </w:p>
        </w:tc>
        <w:tc>
          <w:tcPr>
            <w:tcW w:w="6767" w:type="dxa"/>
            <w:shd w:val="clear" w:color="auto" w:fill="auto"/>
            <w:vAlign w:val="center"/>
          </w:tcPr>
          <w:p w14:paraId="629A09C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1、业务接口：千兆电口8个，光口2个，扩展槽2个，双交流电源；</w:t>
            </w:r>
          </w:p>
          <w:p w14:paraId="33FA7321">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 xml:space="preserve">2、网络层吞吐量4Gbps，并发连接400万,新建3万； </w:t>
            </w:r>
          </w:p>
          <w:p w14:paraId="12DE4F60">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 xml:space="preserve">3、支持请求行正规化、头域负载正规化、Cookie正规化、漏洞攻击防护（sql注入、命令行注入、XSS跨站脚本等）、信息泄露防护、上传文件检查、网络爬虫防护、网页盗链防护、CC攻击防护、慢速DDoS防护、下载文件检查、敏感字过滤、HTTP访问控制、CSRF防护、文件扫描防护、弱口令防护、参数篡改防护、密码破解防护等web防护； </w:t>
            </w:r>
          </w:p>
          <w:p w14:paraId="12D47872">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 xml:space="preserve">4、支持黑名单联动、网页防篡改、基于五元组防护控制功能、基于地理位置的访问控制能力、网站一键下线、网站一键锁定、DDoS防护等功能 </w:t>
            </w:r>
          </w:p>
          <w:p w14:paraId="75DE63AD">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5、支持透明部署、反向代理、旁路部署模式</w:t>
            </w:r>
          </w:p>
          <w:p w14:paraId="1100D341">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b w:val="0"/>
                <w:bCs w:val="0"/>
                <w:color w:val="auto"/>
                <w:kern w:val="0"/>
                <w:sz w:val="20"/>
                <w:szCs w:val="20"/>
                <w:highlight w:val="yellow"/>
                <w:lang w:val="en-US" w:eastAsia="zh-CN" w:bidi="ar-SA"/>
              </w:rPr>
            </w:pPr>
            <w:r>
              <w:rPr>
                <w:rFonts w:hint="eastAsia" w:ascii="宋体" w:hAnsi="宋体" w:eastAsia="宋体" w:cs="宋体"/>
                <w:b w:val="0"/>
                <w:bCs w:val="0"/>
                <w:color w:val="auto"/>
                <w:kern w:val="0"/>
                <w:sz w:val="20"/>
                <w:szCs w:val="20"/>
                <w:highlight w:val="none"/>
                <w:lang w:val="en-US" w:eastAsia="zh-CN" w:bidi="ar-SA"/>
              </w:rPr>
              <w:t>6、支持对Web流量的镜像阻断功能，并且支持指定阻断报文发送接口。                                                                         7、支持通过虚拟化技术实现将一台物理设备虚拟成不少于1000个虚拟WAF；并且可对每个虚拟WAF使用的资源进行限制，例如会话数、新建速率、吞吐量、CPU及内存使用率。</w:t>
            </w:r>
          </w:p>
          <w:p w14:paraId="66F38FB3">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b w:val="0"/>
                <w:bCs w:val="0"/>
                <w:color w:val="auto"/>
                <w:kern w:val="0"/>
                <w:sz w:val="20"/>
                <w:szCs w:val="20"/>
                <w:highlight w:val="yellow"/>
                <w:lang w:val="en-US" w:eastAsia="zh-CN" w:bidi="ar-SA"/>
              </w:rPr>
            </w:pPr>
            <w:r>
              <w:rPr>
                <w:rFonts w:hint="eastAsia" w:ascii="宋体" w:hAnsi="宋体" w:eastAsia="宋体" w:cs="宋体"/>
                <w:b w:val="0"/>
                <w:bCs w:val="0"/>
                <w:color w:val="auto"/>
                <w:kern w:val="0"/>
                <w:sz w:val="20"/>
                <w:szCs w:val="20"/>
                <w:highlight w:val="yellow"/>
                <w:lang w:val="en-US" w:eastAsia="zh-CN" w:bidi="ar-SA"/>
              </w:rPr>
              <w:t xml:space="preserve"> </w:t>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 xml:space="preserve">8、支持通过设定前置参数名、正则表达式、参数范围等匹配特定的主机名、URL，对容易被篡改或者篡改会产生重大风险的参数名的取值进行限定。（提供CNAS或CMA标识的检测报告原件彩色扫描件或复印件加盖投标人公章）                                                                                                                   </w:t>
            </w:r>
          </w:p>
          <w:p w14:paraId="63D0EA4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 xml:space="preserve">9、支持跨物理设备的端口聚合，扩展带宽节省链路资源以及方便部署。 </w:t>
            </w:r>
            <w:r>
              <w:rPr>
                <w:rFonts w:hint="eastAsia" w:ascii="宋体" w:hAnsi="宋体" w:eastAsia="宋体" w:cs="宋体"/>
                <w:b w:val="0"/>
                <w:bCs w:val="0"/>
                <w:color w:val="auto"/>
                <w:kern w:val="0"/>
                <w:sz w:val="20"/>
                <w:szCs w:val="20"/>
                <w:highlight w:val="yellow"/>
                <w:lang w:val="en-US" w:eastAsia="zh-CN" w:bidi="ar-SA"/>
              </w:rPr>
              <w:t xml:space="preserve">                                                                         </w:t>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10、支持对访问的URL流量进行控制，支持设定最大上行速率、最大下行速率，确保网站在遇到大流量访问时可以正常运行。（提供CNAS或CMA标识的检测报告原件彩色扫描件或复印件加盖投标人公章）</w:t>
            </w:r>
          </w:p>
        </w:tc>
        <w:tc>
          <w:tcPr>
            <w:tcW w:w="733" w:type="dxa"/>
            <w:vAlign w:val="center"/>
          </w:tcPr>
          <w:p w14:paraId="6A84BCB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3214C09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6256B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5E3FB802">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1036</w:t>
            </w:r>
          </w:p>
        </w:tc>
        <w:tc>
          <w:tcPr>
            <w:tcW w:w="1441" w:type="dxa"/>
            <w:vAlign w:val="center"/>
          </w:tcPr>
          <w:p w14:paraId="20A0AA2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外网日志审计</w:t>
            </w:r>
          </w:p>
        </w:tc>
        <w:tc>
          <w:tcPr>
            <w:tcW w:w="6767" w:type="dxa"/>
            <w:vAlign w:val="center"/>
          </w:tcPr>
          <w:p w14:paraId="0C59D17A">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1、系统主机(含系统软件)。性能：综合日志处理性能≥10000EPS，日志采集处理均值≥15000EPS。硬件规格：标准机箱，≥6个千兆电口，≥2个扩展插槽（可选2万兆光、4千兆电、4千兆光、PCI-E密码卡），1个Console接口，单电源，≥2TB硬盘。包含35个日志源授权。</w:t>
            </w:r>
          </w:p>
          <w:p w14:paraId="3EF57A1D">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2、采用B/S模式，无需安装客户端，使用WEB浏览器访问管理中心，浏览器端无需安装Java运行环境。支持chrome浏览。</w:t>
            </w:r>
          </w:p>
          <w:p w14:paraId="18565118">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3、系统可自动识别收集的日志并自动选择范化策略，也可由人工设置设备的范化策略。针对匹配的多条范化策略，系统支持用户手工设置策略匹配优先级，保证最佳范化策略匹配。</w:t>
            </w:r>
          </w:p>
          <w:p w14:paraId="29360217">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4、所投产品须支持对日志中的源和目的IP地址进行自动补全，补全IP地址的国家、区域和城市等信息；</w:t>
            </w:r>
          </w:p>
          <w:p w14:paraId="51213047">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5、解析时间格式字段时能够自动匹配推荐格式。范化绑定支持添加多IP；范化策略可以进行复制操作，下面的二级策略也可以一同复制。新建策略时进行自动编号。字段查询，支持使用汉语拼音首字母查询。</w:t>
            </w:r>
          </w:p>
          <w:p w14:paraId="356F377E">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6、系统支持即席在线查询，支持嵌套查询，可针对查询结果任意回退，收敛事件范围；用户可根据需要配置事件显示的字段内容等。查询结果可支持加密导出。</w:t>
            </w:r>
          </w:p>
        </w:tc>
        <w:tc>
          <w:tcPr>
            <w:tcW w:w="733" w:type="dxa"/>
            <w:vAlign w:val="center"/>
          </w:tcPr>
          <w:p w14:paraId="152DD01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7480722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75373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0350" w:type="dxa"/>
            <w:gridSpan w:val="5"/>
            <w:vAlign w:val="center"/>
          </w:tcPr>
          <w:p w14:paraId="51090B04">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二期主机房内网</w:t>
            </w:r>
          </w:p>
        </w:tc>
      </w:tr>
      <w:tr w14:paraId="1F971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6A161EC0">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1037</w:t>
            </w:r>
          </w:p>
        </w:tc>
        <w:tc>
          <w:tcPr>
            <w:tcW w:w="1441" w:type="dxa"/>
            <w:vAlign w:val="center"/>
          </w:tcPr>
          <w:p w14:paraId="15005E0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虚拟化服务器</w:t>
            </w:r>
          </w:p>
        </w:tc>
        <w:tc>
          <w:tcPr>
            <w:tcW w:w="6767" w:type="dxa"/>
            <w:vAlign w:val="center"/>
          </w:tcPr>
          <w:p w14:paraId="556A381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1、机架式服务器，配置原厂导轨,支持≥10个PCIE4.0插槽；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2、配置2颗性能不低于2.1GHz、24核处理器，配置768GB DDR4内存，可扩展≥32根DDR4内存；</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3、实配≥2*960G SATA SSD硬盘，配置≥8个2.5寸热插拔硬盘槽位；</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4、配置独立Raid阵列卡，支持RAID0/1/10/5/6/50/60，≥2GB缓存，支持缓存数据保护，且后备保护时间不受限制；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5、配置≥4个千兆以太网电接口+4个万兆以太网光接口，配置≥2个16Gb单端口HBA卡；</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6、支持≥4个企业级GPU，配置VGA、USB3.0接口；</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7、实配热插拔冗余电源，热插拔冗余风扇≥4个；</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8、配置≥1Gb独立的远程管理控制端口，配置虚拟KVM功能, 可实现远程的开机、关机、重启、更新Firmware、虚拟光驱、虚拟文件夹等操作。</w:t>
            </w:r>
          </w:p>
        </w:tc>
        <w:tc>
          <w:tcPr>
            <w:tcW w:w="733" w:type="dxa"/>
            <w:vAlign w:val="center"/>
          </w:tcPr>
          <w:p w14:paraId="39E45C0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413F0F0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6</w:t>
            </w:r>
          </w:p>
        </w:tc>
      </w:tr>
      <w:tr w14:paraId="1D8CD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45C8B0E7">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1038</w:t>
            </w:r>
          </w:p>
        </w:tc>
        <w:tc>
          <w:tcPr>
            <w:tcW w:w="1441" w:type="dxa"/>
            <w:vAlign w:val="center"/>
          </w:tcPr>
          <w:p w14:paraId="38B074A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虚拟化软件扩容</w:t>
            </w:r>
          </w:p>
        </w:tc>
        <w:tc>
          <w:tcPr>
            <w:tcW w:w="6767" w:type="dxa"/>
            <w:vAlign w:val="center"/>
          </w:tcPr>
          <w:p w14:paraId="542DF52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1、虚拟化软件应基于KVM开发，可维护性好，支持市场上主流的国内外操作系统，包括Windows、RedHat、CentOS、Ubuntu、SUSE、Fedora、FreeBSD、统信、银河麒麟、中标麒麟、普华、深度、一铭、凝思等；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2、提供统一的虚拟机管理界面，在同一界面上提供虚拟机启动、暂停、恢复、休眠、重启、关闭、关闭电源、克隆、迁移、备份、模板导出、快照等功能；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3、支持批量修改虚拟机的配置参数，包括：I/O优先级、启动优先级、是否自动迁移、CPU调度优先级、CPU个数、内存大小等；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4、支持虚拟交换机端口分布和虚拟机网卡出入流量的图形化展示；</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5、支持根据业务的负载情况实现业务系统虚拟机的动态扩展和回收，可根据虚拟机CPU、内存、连接数、存储容量、磁盘IO等参数动态地克隆或删除虚拟机，满足业务突发流量响应需求；</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6、支持当虚拟机的CPU、内存利用率超过设置的阈值时，系统将自动为该虚拟机增加相应的CPU和内存资源，无需人工干预（提供产品功能截图加盖投标人公章后的彩色扫描件）；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7、支持存储一键清除功能，对共享存储中无效的存储卷可以进行集中清除（提供CNAS或CMA标识的检测报告原件彩色扫描件或复印件加盖投标人公章后的彩色扫描件）；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8、虚拟化管理平台支持通过拖拽虚拟设备图标和连线完成网络拓扑的构建，快速实现整个业务逻辑，提升运维管理的工作效率。</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9、虚拟化软件界面支持界面背景、产品LOGO、产品名称等信息的客户定制化修改；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10、可兼容现网虚拟化管理平台，纳入统一集群统一纳管，新建虚拟化集群可与现网虚拟化集群互为容灾集群，无需借助第三方软件。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11、配置12个CPU授权许可。</w:t>
            </w:r>
          </w:p>
        </w:tc>
        <w:tc>
          <w:tcPr>
            <w:tcW w:w="733" w:type="dxa"/>
            <w:vAlign w:val="center"/>
          </w:tcPr>
          <w:p w14:paraId="69610AD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046305D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71112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36DEEE70">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1039</w:t>
            </w:r>
          </w:p>
        </w:tc>
        <w:tc>
          <w:tcPr>
            <w:tcW w:w="1441" w:type="dxa"/>
            <w:vAlign w:val="center"/>
          </w:tcPr>
          <w:p w14:paraId="4050B0D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虚拟化杀毒软件扩容</w:t>
            </w:r>
          </w:p>
        </w:tc>
        <w:tc>
          <w:tcPr>
            <w:tcW w:w="6767" w:type="dxa"/>
            <w:vAlign w:val="center"/>
          </w:tcPr>
          <w:p w14:paraId="29BC3D5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1.1个控制中心,11个linux服务器终端授权许可。原厂三年程序版本与三年病毒库升级服务</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 其自主研发恶意代码检测引擎为三家或以上国内安全企业提供OEM。</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 要求控制中心平台可以部署在以下操作系统上：Windows 7、Windows 8、Windows 8.1、Windows 10、Windows Server 2003、Windows Server 2008、Windows Server 2012、Windows Server 2016、Windows Server 2019、Ubuntu 16.04、Ubuntu 22.04、CentOS 7、CentOS 8、RedHat6.1、openSUSE 15、UOS-20（统信）、Kylin-v10-sp1 (麒麟)等。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 要求客户端安装后占用硬盘空间60M以内， 病毒库大小不超过10M，日常使用内存占用30M左右，有效节省电脑资源。</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 要求中心支持容灾备份功能，可使用linux控制台进行异构备份，当主中心计算机遭受如宕机、断电、硬件/软件故障等意外情况或人为操作错误导致主中心计算机无法正常使用时，备用中心将自动顶替宕机的主中心且同步数据。</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 支持违规外联功能可实现外联能力探测，检测到违规外联后进行重启或者断网。</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 Windows 7或以上系统，Windows2008或以上系统，具有终端动态口令验证功能，当终端用户登录计算机时都将弹出动态口令安全认证窗口，若用户设置了计算机密码，该弹窗将在用户输入正确的账户密码后弹出。用户需再次输入正确的动态口令才可登入计算机，且可设置应用范围：远程登录时启用或本地登录时启用。阻止终端遭遇密码泄露、弱口令暴破、撞库等黑客破解行为带来的危害。</w:t>
            </w:r>
          </w:p>
        </w:tc>
        <w:tc>
          <w:tcPr>
            <w:tcW w:w="733" w:type="dxa"/>
            <w:vAlign w:val="center"/>
          </w:tcPr>
          <w:p w14:paraId="2B2A93B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5912817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7CDBB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3891A8B4">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1040</w:t>
            </w:r>
          </w:p>
        </w:tc>
        <w:tc>
          <w:tcPr>
            <w:tcW w:w="1441" w:type="dxa"/>
            <w:vAlign w:val="center"/>
          </w:tcPr>
          <w:p w14:paraId="2C68848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虚拟化存储扩容</w:t>
            </w:r>
          </w:p>
        </w:tc>
        <w:tc>
          <w:tcPr>
            <w:tcW w:w="6767" w:type="dxa"/>
            <w:vAlign w:val="center"/>
          </w:tcPr>
          <w:p w14:paraId="7E62DC7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1、硬盘笼扩容：扩容1个硬盘笼，要求新扩容的硬盘笼与现网存储系统兼容适配，不影响现有系统的稳定运行。</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2、硬盘供应：提供5.76TB SSD硬盘，用于提升系统的高性能存储能力。提供84TB HDD硬盘，用于扩充系统的总存储容量。</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3、配置数据容灾复制功能许可证和双活许可，无容量限制。要求支持存储系统之间、存储系统到存储集群、存储集群之间的多对一数据复制、双向数据复制。要求对Oracle, Exchange, MS Sql Server等应用必须配置一致性数据卷组保护功能；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4、技术安装服务：供应商需提供原厂技术服务。</w:t>
            </w:r>
          </w:p>
        </w:tc>
        <w:tc>
          <w:tcPr>
            <w:tcW w:w="733" w:type="dxa"/>
            <w:vAlign w:val="center"/>
          </w:tcPr>
          <w:p w14:paraId="2B7218D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42281CC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7A838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21F9AA60">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1041</w:t>
            </w:r>
          </w:p>
        </w:tc>
        <w:tc>
          <w:tcPr>
            <w:tcW w:w="1441" w:type="dxa"/>
            <w:vAlign w:val="center"/>
          </w:tcPr>
          <w:p w14:paraId="111D047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云存储</w:t>
            </w:r>
          </w:p>
        </w:tc>
        <w:tc>
          <w:tcPr>
            <w:tcW w:w="6767" w:type="dxa"/>
            <w:vAlign w:val="center"/>
          </w:tcPr>
          <w:p w14:paraId="0F34677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1、横向扩展的分布式架构，节点间完全对称，无需独立的元数据物理服务器或索引服务器；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bidi="ar-SA"/>
              </w:rPr>
              <w:t>2、</w:t>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同一节点可同时提供块、文件、对象存储（提供CNAS或CMA标识的检测报告原件彩色扫描件或复印件加盖投标人公章后的彩色扫描件）。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3、每台配置≥2颗性能不低于2.2GHz、24核、缓存≥256GB，配置硬盘≥2* 480G SSD+4* 3.2T NVMe SSD+30* 12T HDD，配置≥4个万兆以太网光接口（含模块）；</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4、支持iSCSI连接，支持Windows、Linux、UNIX、Mac OS、Vmware ESXi等操作系统，支持KVM、vSphere、Xen、Hyper-V等虚拟化平台；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集群最大支持卷数量≥80000个，单卷最大支持容量≥64TB，单个节点IOPS性能≥1.2万；支持基于时间点的卷克隆，实现跨故障域的数据保护，支持重新同步和自动实时同步；支持完全的卷拷贝，支持立即拷贝和手动拷贝，支持暂停拷贝和重新启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6、支持精简配置技术，应用实际写数据时才分配相应的物理存储空间；支持厚配置，根据业务需求分配固定的物理存储空间；</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7、兼容POSIX标准接口，支持NFS、CIFS、FTP共享（提供CNAS或CMA标识的检测报告原件彩色扫描件或复印件加盖投标人公章后的彩色扫描件）；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8、单个文件规模支持≥64TB，系统最大支持文件数≥100亿个，单个目录最大支持文件数≥100万个，系统最大支持创建≥5000万个目录，单个节点大文件带宽性能≥1.6GB/s；</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提供鉴权认证功能，包括用户鉴权、匿名鉴权、AD鉴权、LDAP认证、CHAP鉴权；提供权限控制功能，包括完全控制、读写、只读、禁止等；提供配额管理功能，包括目录配额、用户配额、容量配额、文件数配额、计算配额、强制配额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10、支持文件回收站功能，支持文件删除后自动保存一段时间，可以从回收站恢复文件，支持文件过期后自动删除（提供CNAS或CMA标识的检测报告原件彩色扫描件或复印件加盖投标人公章后的彩色扫描件）；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11、兼容S3、Swift接口，支持通过http或CLI进行管理；</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12、每TB数据重构恢复时间≤15分钟（提供CNAS或CMA标识的检测报告原件彩色扫描件或复印件加盖投标人公章后的彩色扫描件）；</w:t>
            </w:r>
            <w:r>
              <w:rPr>
                <w:rFonts w:hint="eastAsia" w:ascii="宋体" w:hAnsi="宋体" w:eastAsia="宋体" w:cs="宋体"/>
                <w:b w:val="0"/>
                <w:bCs w:val="0"/>
                <w:color w:val="3B3BFF"/>
                <w:kern w:val="0"/>
                <w:sz w:val="20"/>
                <w:szCs w:val="20"/>
                <w:highlight w:val="yellow"/>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13、支持多副本保护，支持2到8个副本；</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14、支持N+1到N+4的纠删码保护，最大支持任意4个节点故障而数据不丢失、系统不停机；</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15、支持快照数据保护，支持创建只读快照、可写快照、定时快照、一致性组快照；支持管理节点HA高可用，管理平台部署于主备两个节点，主节点故障时，自动完成主备切换；提供对存储系统各个参数的实时监测，管理界面内可查看各个存储池的信息，包括冗余策略、所属硬盘池、数据健康度和状态等，支持对硬盘容量、硬盘负载、内存占用、CPU占用的监控；</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16、支持智能化一键巡检，支持针对不同存储业务类型各个时间段（部署、升级、扩容等）的一键巡检、支持问题定位分析、支持场景参数检查等功能。</w:t>
            </w:r>
          </w:p>
        </w:tc>
        <w:tc>
          <w:tcPr>
            <w:tcW w:w="733" w:type="dxa"/>
            <w:vAlign w:val="center"/>
          </w:tcPr>
          <w:p w14:paraId="754C3EC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0EE9E95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w:t>
            </w:r>
          </w:p>
        </w:tc>
      </w:tr>
      <w:tr w14:paraId="69A12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7D2343E1">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1042</w:t>
            </w:r>
          </w:p>
        </w:tc>
        <w:tc>
          <w:tcPr>
            <w:tcW w:w="1441" w:type="dxa"/>
            <w:vAlign w:val="center"/>
          </w:tcPr>
          <w:p w14:paraId="41D9BFB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48口千兆管理交换机</w:t>
            </w:r>
          </w:p>
        </w:tc>
        <w:tc>
          <w:tcPr>
            <w:tcW w:w="6767" w:type="dxa"/>
            <w:vAlign w:val="center"/>
          </w:tcPr>
          <w:p w14:paraId="3E690A8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1、交换容量≥430Gbps，包转发率≥166Mpps（以官网最小值为准），整机提供≥48个千兆以太网电口+4个万兆以太网光口；</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2、MAC地址表≥16K，路由表容量≥1K，ARP表容量≥1K，ACL容量≥1K，最大VLAN数≥4K，支持RIP、OSPF。</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3、最大堆叠台数≥9台，支持通过标准以太端口进行堆叠（万兆或千兆均支持）；</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4、端口防雷≥10KV；</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5、支持 Telemetry 技术，实时采集设备数据并上送至网络分析组件平台，实现流量可视化。</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6、实现CPU保护功能，能限制非法报文对CPU的攻击，保护交换机在各种环境下稳定工作。</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7、支持G.8032（ERPS）标准环网协议，故障倒换收敛时间小于50毫秒，</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8、配置智能管理平台，对网络整体运维管理，实现整网拓扑可视，实现在对整网交换机的统一管理。</w:t>
            </w:r>
          </w:p>
        </w:tc>
        <w:tc>
          <w:tcPr>
            <w:tcW w:w="733" w:type="dxa"/>
            <w:vAlign w:val="center"/>
          </w:tcPr>
          <w:p w14:paraId="72851EC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05DBFD7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w:t>
            </w:r>
          </w:p>
        </w:tc>
      </w:tr>
      <w:tr w14:paraId="6A33A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05D9396C">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1043</w:t>
            </w:r>
          </w:p>
        </w:tc>
        <w:tc>
          <w:tcPr>
            <w:tcW w:w="1441" w:type="dxa"/>
            <w:vAlign w:val="center"/>
          </w:tcPr>
          <w:p w14:paraId="64682E9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万兆多模光模块</w:t>
            </w:r>
          </w:p>
        </w:tc>
        <w:tc>
          <w:tcPr>
            <w:tcW w:w="6767" w:type="dxa"/>
            <w:vAlign w:val="center"/>
          </w:tcPr>
          <w:p w14:paraId="4F54E26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波长：850nm            传输距离：300米</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接口类型：LC           传输速率：10Gbps（万兆）</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封装形式：SFP+</w:t>
            </w:r>
          </w:p>
        </w:tc>
        <w:tc>
          <w:tcPr>
            <w:tcW w:w="733" w:type="dxa"/>
            <w:vAlign w:val="center"/>
          </w:tcPr>
          <w:p w14:paraId="239ADDE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个</w:t>
            </w:r>
          </w:p>
        </w:tc>
        <w:tc>
          <w:tcPr>
            <w:tcW w:w="714" w:type="dxa"/>
            <w:vAlign w:val="center"/>
          </w:tcPr>
          <w:p w14:paraId="4A4AE37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52</w:t>
            </w:r>
          </w:p>
        </w:tc>
      </w:tr>
      <w:tr w14:paraId="76273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10350" w:type="dxa"/>
            <w:gridSpan w:val="5"/>
            <w:vAlign w:val="center"/>
          </w:tcPr>
          <w:p w14:paraId="48A1A548">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bidi="ar-SA"/>
              </w:rPr>
              <w:t>其他设备</w:t>
            </w:r>
          </w:p>
        </w:tc>
      </w:tr>
      <w:tr w14:paraId="23C5F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24CD6BE0">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1044</w:t>
            </w:r>
          </w:p>
        </w:tc>
        <w:tc>
          <w:tcPr>
            <w:tcW w:w="1441" w:type="dxa"/>
            <w:vAlign w:val="center"/>
          </w:tcPr>
          <w:p w14:paraId="2E13CA7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等保测评</w:t>
            </w:r>
          </w:p>
        </w:tc>
        <w:tc>
          <w:tcPr>
            <w:tcW w:w="6767" w:type="dxa"/>
            <w:vAlign w:val="center"/>
          </w:tcPr>
          <w:p w14:paraId="4B486E2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每套系统按照国家要求完成等保三级测评，1次</w:t>
            </w:r>
          </w:p>
        </w:tc>
        <w:tc>
          <w:tcPr>
            <w:tcW w:w="733" w:type="dxa"/>
            <w:vAlign w:val="center"/>
          </w:tcPr>
          <w:p w14:paraId="00FD90E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307AFBA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w:t>
            </w:r>
          </w:p>
        </w:tc>
      </w:tr>
    </w:tbl>
    <w:p w14:paraId="478AC74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highlight w:val="yellow"/>
          <w:lang w:val="en-US" w:eastAsia="zh-CN"/>
        </w:rPr>
        <w:t>（二）-21：院内急诊与专病信息化平台（硬件）</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483"/>
        <w:gridCol w:w="6725"/>
        <w:gridCol w:w="733"/>
        <w:gridCol w:w="714"/>
      </w:tblGrid>
      <w:tr w14:paraId="79D58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95" w:type="dxa"/>
            <w:vAlign w:val="center"/>
          </w:tcPr>
          <w:p w14:paraId="62D64FA6">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仿宋" w:hAnsi="仿宋" w:eastAsia="仿宋" w:cs="宋体"/>
                <w:color w:val="auto"/>
                <w:sz w:val="22"/>
                <w:szCs w:val="22"/>
                <w:highlight w:val="none"/>
                <w:lang w:val="en-US" w:eastAsia="zh-CN"/>
              </w:rPr>
            </w:pPr>
            <w:r>
              <w:rPr>
                <w:rFonts w:hint="eastAsia" w:ascii="宋体" w:hAnsi="宋体" w:eastAsia="宋体" w:cs="宋体"/>
                <w:b/>
                <w:bCs/>
                <w:color w:val="auto"/>
                <w:kern w:val="0"/>
                <w:sz w:val="20"/>
                <w:szCs w:val="20"/>
                <w:highlight w:val="none"/>
                <w:lang w:val="en-US" w:eastAsia="zh-CN"/>
              </w:rPr>
              <w:t>序号</w:t>
            </w:r>
          </w:p>
        </w:tc>
        <w:tc>
          <w:tcPr>
            <w:tcW w:w="1483" w:type="dxa"/>
            <w:vAlign w:val="center"/>
          </w:tcPr>
          <w:p w14:paraId="7AE9B4F3">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产品名称</w:t>
            </w:r>
          </w:p>
        </w:tc>
        <w:tc>
          <w:tcPr>
            <w:tcW w:w="6725" w:type="dxa"/>
            <w:vAlign w:val="center"/>
          </w:tcPr>
          <w:p w14:paraId="69A9078B">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5053C467">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单位</w:t>
            </w:r>
          </w:p>
        </w:tc>
        <w:tc>
          <w:tcPr>
            <w:tcW w:w="714" w:type="dxa"/>
            <w:vAlign w:val="center"/>
          </w:tcPr>
          <w:p w14:paraId="6C266017">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数量</w:t>
            </w:r>
          </w:p>
        </w:tc>
      </w:tr>
      <w:tr w14:paraId="67C9F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32060583">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1045</w:t>
            </w:r>
          </w:p>
        </w:tc>
        <w:tc>
          <w:tcPr>
            <w:tcW w:w="1483" w:type="dxa"/>
            <w:vAlign w:val="center"/>
          </w:tcPr>
          <w:p w14:paraId="2184EEA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定位基站</w:t>
            </w:r>
          </w:p>
        </w:tc>
        <w:tc>
          <w:tcPr>
            <w:tcW w:w="6725" w:type="dxa"/>
            <w:vAlign w:val="center"/>
          </w:tcPr>
          <w:p w14:paraId="78E43E1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 xml:space="preserve">1、频段范围：2.4GHz-2.485GHz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2、定位原理：AOA</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3、定位精度：无遮挡最高精度≤30cm</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4、协议标准：Bluetooth 4.0及以上</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5、兼容性：终端系统兼容 iOS/Android，终端应用程序兼容APP/小程序</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6、网络接口：10/100/1000M RJ45，可内置4G/Wi-Fi模块</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7、系统架构：采用标准以太网架构，不使用额外时间同步设备</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8、ID标识：唯一ID标识</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9、天线类型：内置全向天线</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10、供电方式：IEEE 802.3af POE</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11、升级方式：OTA</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12、颜色尺寸：白色，≤230mm×230mm×35mm</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13、安装方式：吸顶、吊装，最大安装高度20m</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14、基站功率：≤2W</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15、工作温度：-20℃-70℃</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16、工作湿度：10%-90%无凝结</w:t>
            </w:r>
          </w:p>
        </w:tc>
        <w:tc>
          <w:tcPr>
            <w:tcW w:w="733" w:type="dxa"/>
            <w:vAlign w:val="center"/>
          </w:tcPr>
          <w:p w14:paraId="5B393C4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13904090">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7</w:t>
            </w:r>
          </w:p>
        </w:tc>
      </w:tr>
      <w:tr w14:paraId="29CB1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6C278133">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1046</w:t>
            </w:r>
          </w:p>
        </w:tc>
        <w:tc>
          <w:tcPr>
            <w:tcW w:w="1483" w:type="dxa"/>
            <w:vAlign w:val="center"/>
          </w:tcPr>
          <w:p w14:paraId="0CCF3CE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发卡器</w:t>
            </w:r>
          </w:p>
        </w:tc>
        <w:tc>
          <w:tcPr>
            <w:tcW w:w="6725" w:type="dxa"/>
            <w:vAlign w:val="center"/>
          </w:tcPr>
          <w:p w14:paraId="003BBEC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1、支持系统： Window XP、7、8、10，Linux</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2、指示灯： LED指示灯，指示电源或通讯状态</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3、其他特性： 提供通用接口函数库，可支持多种操作系统和语言开发平台,支持定制开发</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4、符合标准： EMV、PBOC3.0 L1、qPBOC3.0L1、卫健委、住建部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5、通讯线： 附1.5M长的连接通讯线</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6、工作环境： 温度：-10°C~50°C;相对湿度：5%~93%(非冷凝)</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7、存储环境： 温度：-20°C~60°C;相对湿度：5%~95%(非冷凝)</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8、通讯接口： USB、RS232</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9、接触式卡： 支持1个ISO7816标准卡</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10、非接触卡： 支持ISO14443 TypeA/B标准感应IC卡</w:t>
            </w:r>
          </w:p>
        </w:tc>
        <w:tc>
          <w:tcPr>
            <w:tcW w:w="733" w:type="dxa"/>
            <w:vAlign w:val="center"/>
          </w:tcPr>
          <w:p w14:paraId="351C01B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13B2BAAE">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A940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150E0C03">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1047</w:t>
            </w:r>
          </w:p>
        </w:tc>
        <w:tc>
          <w:tcPr>
            <w:tcW w:w="1483" w:type="dxa"/>
            <w:vAlign w:val="center"/>
          </w:tcPr>
          <w:p w14:paraId="62CEA41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手环标签</w:t>
            </w:r>
          </w:p>
        </w:tc>
        <w:tc>
          <w:tcPr>
            <w:tcW w:w="6725" w:type="dxa"/>
            <w:vAlign w:val="center"/>
          </w:tcPr>
          <w:p w14:paraId="73FFAFA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1、高精度定位，定位精度可达0.1~1m</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2、亲肤材质腕带，佩戴感受高度舒适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3、频段范围：2.4GHz-2.485GHz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4、天线类型：内置全向天线</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5、测距精度：0.1~1m</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6、刷新率：0.1Hz~30Hz，可调</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7、产品编号：全球唯一固化ID，不可更改</w:t>
            </w:r>
          </w:p>
        </w:tc>
        <w:tc>
          <w:tcPr>
            <w:tcW w:w="733" w:type="dxa"/>
            <w:vAlign w:val="center"/>
          </w:tcPr>
          <w:p w14:paraId="7E72BE3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26399DEA">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60</w:t>
            </w:r>
          </w:p>
        </w:tc>
      </w:tr>
      <w:tr w14:paraId="0DC86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598C8DBC">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1048</w:t>
            </w:r>
          </w:p>
        </w:tc>
        <w:tc>
          <w:tcPr>
            <w:tcW w:w="1483" w:type="dxa"/>
            <w:vAlign w:val="center"/>
          </w:tcPr>
          <w:p w14:paraId="44FD23F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移动PDA</w:t>
            </w:r>
          </w:p>
        </w:tc>
        <w:tc>
          <w:tcPr>
            <w:tcW w:w="6725" w:type="dxa"/>
            <w:vAlign w:val="center"/>
          </w:tcPr>
          <w:p w14:paraId="48505B6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1、高通八核处理器，频率≥2.0GHZ</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2、操作系统≥Android 11.0</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3、运行内存≥4GB</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4、存储内存≥64GB</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5、续航能力：配置可充电的锂离子电池，容量≥5000mAh，工作时间≥10小时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6、屏幕分辨率≥1440*720</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7、键盘：为便于消毒清洗设备正面必须为触控按键，不得有实体按键</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8、防摔抗震：可承受1.5m高处到地面的多次跌落，室温下6个面每面不少于2次跌落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9、外壳材料：白色抑菌材料，可耐受医用酒精、医用过氧化氢等医院常用消毒剂（含屏幕部分），整机支持紫外线消毒</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10、防水防尘工业等级：≥IP68</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11、WIFI网络：支持802.11a/b/g/n/ac协议，2.4G/5G双频，支持wifi6</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12、条码扫描引擎：专业条码解码引擎，支持一维条码和二维条码读取</w:t>
            </w:r>
          </w:p>
        </w:tc>
        <w:tc>
          <w:tcPr>
            <w:tcW w:w="733" w:type="dxa"/>
            <w:vAlign w:val="center"/>
          </w:tcPr>
          <w:p w14:paraId="7A35F2D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2E2009AF">
            <w:pPr>
              <w:keepNext w:val="0"/>
              <w:keepLines w:val="0"/>
              <w:widowControl/>
              <w:suppressLineNumbers w:val="0"/>
              <w:jc w:val="center"/>
              <w:textAlignment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6</w:t>
            </w:r>
          </w:p>
        </w:tc>
      </w:tr>
    </w:tbl>
    <w:p w14:paraId="4A947D6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482" w:firstLineChars="200"/>
        <w:textAlignment w:val="auto"/>
        <w:rPr>
          <w:rFonts w:hint="eastAsia" w:ascii="宋体" w:hAnsi="宋体" w:eastAsia="宋体" w:cs="宋体"/>
          <w:b/>
          <w:color w:val="auto"/>
          <w:sz w:val="24"/>
          <w:szCs w:val="24"/>
          <w:highlight w:val="none"/>
          <w:lang w:eastAsia="zh-CN"/>
        </w:rPr>
      </w:pPr>
    </w:p>
    <w:p w14:paraId="08CF989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（三）</w:t>
      </w:r>
      <w:r>
        <w:rPr>
          <w:rFonts w:hint="eastAsia" w:ascii="宋体" w:hAnsi="宋体" w:eastAsia="宋体" w:cs="宋体"/>
          <w:b/>
          <w:color w:val="auto"/>
          <w:sz w:val="24"/>
          <w:szCs w:val="24"/>
          <w:highlight w:val="none"/>
        </w:rPr>
        <w:t>采购总说明</w:t>
      </w:r>
    </w:p>
    <w:p w14:paraId="6251BD1D">
      <w:pPr>
        <w:pageBreakBefore w:val="0"/>
        <w:spacing w:line="460" w:lineRule="exact"/>
        <w:ind w:firstLine="42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项目建设</w:t>
      </w:r>
      <w:r>
        <w:rPr>
          <w:rFonts w:hint="eastAsia" w:ascii="宋体" w:hAnsi="宋体" w:eastAsia="宋体" w:cs="宋体"/>
          <w:b/>
          <w:bCs/>
          <w:color w:val="auto"/>
          <w:sz w:val="24"/>
          <w:szCs w:val="24"/>
          <w:highlight w:val="none"/>
          <w:lang w:val="en-US" w:eastAsia="zh-CN"/>
        </w:rPr>
        <w:t>标准及要</w:t>
      </w:r>
      <w:r>
        <w:rPr>
          <w:rFonts w:hint="eastAsia" w:ascii="宋体" w:hAnsi="宋体" w:eastAsia="宋体" w:cs="宋体"/>
          <w:b/>
          <w:bCs/>
          <w:color w:val="auto"/>
          <w:sz w:val="24"/>
          <w:szCs w:val="24"/>
          <w:highlight w:val="none"/>
        </w:rPr>
        <w:t>求：</w:t>
      </w:r>
    </w:p>
    <w:p w14:paraId="06684486">
      <w:pPr>
        <w:keepNext w:val="0"/>
        <w:keepLines w:val="0"/>
        <w:pageBreakBefore w:val="0"/>
        <w:widowControl w:val="0"/>
        <w:spacing w:line="460" w:lineRule="exact"/>
        <w:ind w:left="0"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十张网</w:t>
      </w:r>
      <w:r>
        <w:rPr>
          <w:rFonts w:hint="eastAsia" w:ascii="宋体" w:hAnsi="宋体" w:eastAsia="宋体" w:cs="宋体"/>
          <w:color w:val="auto"/>
          <w:sz w:val="24"/>
          <w:szCs w:val="24"/>
          <w:highlight w:val="none"/>
        </w:rPr>
        <w:t>相关业务系统满足</w:t>
      </w:r>
      <w:r>
        <w:rPr>
          <w:rFonts w:hint="eastAsia" w:ascii="宋体" w:hAnsi="宋体" w:eastAsia="宋体" w:cs="宋体"/>
          <w:color w:val="auto"/>
          <w:sz w:val="24"/>
          <w:szCs w:val="24"/>
          <w:highlight w:val="none"/>
          <w:shd w:val="clear" w:color="auto" w:fill="FFFFFF"/>
          <w:lang w:val="en-US" w:eastAsia="zh-CN" w:bidi="ar-SA"/>
        </w:rPr>
        <w:t>《关于印发〈盐城市县域数字化医共体“十张网”建设考评标准〉（试行）的通知》（盐卫基层〔2023〕6号）</w:t>
      </w:r>
      <w:r>
        <w:rPr>
          <w:rFonts w:hint="eastAsia" w:ascii="宋体" w:hAnsi="宋体" w:eastAsia="宋体" w:cs="宋体"/>
          <w:color w:val="auto"/>
          <w:sz w:val="24"/>
          <w:szCs w:val="24"/>
          <w:highlight w:val="none"/>
          <w:lang w:val="en-US" w:eastAsia="zh-CN"/>
        </w:rPr>
        <w:t>。</w:t>
      </w:r>
    </w:p>
    <w:p w14:paraId="081B3944">
      <w:pPr>
        <w:pageBreakBefore w:val="0"/>
        <w:widowControl w:val="0"/>
        <w:spacing w:line="460" w:lineRule="exact"/>
        <w:ind w:left="0" w:firstLine="482"/>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分层架构：</w:t>
      </w:r>
      <w:r>
        <w:rPr>
          <w:rFonts w:hint="eastAsia" w:ascii="宋体" w:hAnsi="宋体" w:eastAsia="宋体" w:cs="宋体"/>
          <w:color w:val="auto"/>
          <w:sz w:val="24"/>
          <w:szCs w:val="24"/>
        </w:rPr>
        <w:t>采用大前端、中间层、后端的数据库分层架构。</w:t>
      </w:r>
    </w:p>
    <w:p w14:paraId="580373AE">
      <w:pPr>
        <w:keepNext w:val="0"/>
        <w:keepLines w:val="0"/>
        <w:pageBreakBefore w:val="0"/>
        <w:widowControl w:val="0"/>
        <w:spacing w:line="460" w:lineRule="exact"/>
        <w:ind w:left="0"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用户接口层：提供给用户的界面，包括Web端、移动端等，实现用户注册、登录、健康档案管理、预约挂号等功能满足不同用户群体的需求。</w:t>
      </w:r>
    </w:p>
    <w:p w14:paraId="42031446">
      <w:pPr>
        <w:keepNext w:val="0"/>
        <w:keepLines w:val="0"/>
        <w:pageBreakBefore w:val="0"/>
        <w:widowControl w:val="0"/>
        <w:numPr>
          <w:ilvl w:val="0"/>
          <w:numId w:val="0"/>
        </w:numPr>
        <w:spacing w:line="460" w:lineRule="exact"/>
        <w:ind w:left="0"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服务层：包括用户管理服务、医疗资源管理服务、健康档案管理服务、预约挂号服务、远程医疗服务等，负责具体的业务逻辑处理。</w:t>
      </w:r>
    </w:p>
    <w:p w14:paraId="30387EFB">
      <w:pPr>
        <w:keepNext w:val="0"/>
        <w:keepLines w:val="0"/>
        <w:pageBreakBefore w:val="0"/>
        <w:widowControl w:val="0"/>
        <w:numPr>
          <w:ilvl w:val="0"/>
          <w:numId w:val="0"/>
        </w:numPr>
        <w:spacing w:line="460" w:lineRule="exact"/>
        <w:ind w:left="0"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数据存储层：使用分布式数据库存储用户信息、医疗数据、健康档案等。</w:t>
      </w:r>
    </w:p>
    <w:p w14:paraId="4AE4BA1F">
      <w:pPr>
        <w:keepNext w:val="0"/>
        <w:keepLines w:val="0"/>
        <w:pageBreakBefore w:val="0"/>
        <w:widowControl w:val="0"/>
        <w:numPr>
          <w:ilvl w:val="0"/>
          <w:numId w:val="0"/>
        </w:numPr>
        <w:spacing w:line="460" w:lineRule="exact"/>
        <w:ind w:left="0"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安全层：负责用户身份认证、数据加密解密等安全相关功能。</w:t>
      </w:r>
    </w:p>
    <w:p w14:paraId="7E05FEB9">
      <w:pPr>
        <w:keepNext w:val="0"/>
        <w:keepLines w:val="0"/>
        <w:pageBreakBefore w:val="0"/>
        <w:widowControl w:val="0"/>
        <w:spacing w:line="460" w:lineRule="exact"/>
        <w:ind w:left="0" w:firstLine="482"/>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3、</w:t>
      </w:r>
      <w:r>
        <w:rPr>
          <w:rFonts w:hint="eastAsia" w:ascii="宋体" w:hAnsi="宋体" w:eastAsia="宋体" w:cs="宋体"/>
          <w:b/>
          <w:bCs/>
          <w:color w:val="auto"/>
          <w:sz w:val="24"/>
          <w:szCs w:val="24"/>
        </w:rPr>
        <w:t>技术选型：</w:t>
      </w:r>
      <w:r>
        <w:rPr>
          <w:rFonts w:hint="eastAsia" w:ascii="宋体" w:hAnsi="宋体" w:eastAsia="宋体" w:cs="宋体"/>
          <w:color w:val="auto"/>
          <w:sz w:val="24"/>
          <w:szCs w:val="24"/>
        </w:rPr>
        <w:t>选择适合的技术堆栈，</w:t>
      </w:r>
      <w:r>
        <w:rPr>
          <w:rFonts w:hint="eastAsia" w:ascii="宋体" w:hAnsi="宋体" w:eastAsia="宋体" w:cs="宋体"/>
          <w:color w:val="auto"/>
          <w:sz w:val="24"/>
          <w:szCs w:val="24"/>
          <w:lang w:val="en-US" w:eastAsia="zh-CN"/>
        </w:rPr>
        <w:t>可采用云计算、大数据、人工智能等技术，构建稳定可靠的技术支撑体系，且</w:t>
      </w:r>
      <w:r>
        <w:rPr>
          <w:rFonts w:hint="eastAsia" w:ascii="宋体" w:hAnsi="宋体" w:eastAsia="宋体" w:cs="宋体"/>
          <w:color w:val="auto"/>
          <w:sz w:val="24"/>
          <w:szCs w:val="24"/>
        </w:rPr>
        <w:t>技术</w:t>
      </w:r>
      <w:r>
        <w:rPr>
          <w:rFonts w:hint="eastAsia" w:ascii="宋体" w:hAnsi="宋体" w:eastAsia="宋体" w:cs="宋体"/>
          <w:color w:val="auto"/>
          <w:sz w:val="24"/>
          <w:szCs w:val="24"/>
          <w:lang w:eastAsia="zh-CN"/>
        </w:rPr>
        <w:t>符合</w:t>
      </w:r>
      <w:r>
        <w:rPr>
          <w:rFonts w:hint="eastAsia" w:ascii="宋体" w:hAnsi="宋体" w:eastAsia="宋体" w:cs="宋体"/>
          <w:color w:val="auto"/>
          <w:sz w:val="24"/>
          <w:szCs w:val="24"/>
          <w:lang w:val="en-US" w:eastAsia="zh-CN"/>
        </w:rPr>
        <w:t>规范和现行的要求。</w:t>
      </w:r>
    </w:p>
    <w:p w14:paraId="6CEE3649">
      <w:pPr>
        <w:keepNext w:val="0"/>
        <w:keepLines w:val="0"/>
        <w:pageBreakBefore w:val="0"/>
        <w:widowControl w:val="0"/>
        <w:spacing w:line="460" w:lineRule="exact"/>
        <w:ind w:left="0" w:firstLine="482"/>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4、</w:t>
      </w:r>
      <w:r>
        <w:rPr>
          <w:rFonts w:hint="eastAsia" w:ascii="宋体" w:hAnsi="宋体" w:eastAsia="宋体" w:cs="宋体"/>
          <w:b/>
          <w:bCs/>
          <w:color w:val="auto"/>
          <w:sz w:val="24"/>
          <w:szCs w:val="24"/>
        </w:rPr>
        <w:t>数据存储设计：</w:t>
      </w:r>
    </w:p>
    <w:p w14:paraId="49AD938C">
      <w:pPr>
        <w:keepNext w:val="0"/>
        <w:keepLines w:val="0"/>
        <w:pageBreakBefore w:val="0"/>
        <w:widowControl w:val="0"/>
        <w:spacing w:line="460" w:lineRule="exact"/>
        <w:ind w:left="0" w:firstLine="480"/>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4.1</w:t>
      </w:r>
      <w:r>
        <w:rPr>
          <w:rFonts w:hint="eastAsia" w:ascii="宋体" w:hAnsi="宋体" w:eastAsia="宋体" w:cs="宋体"/>
          <w:b w:val="0"/>
          <w:bCs w:val="0"/>
          <w:color w:val="auto"/>
          <w:sz w:val="24"/>
          <w:szCs w:val="24"/>
        </w:rPr>
        <w:t>确</w:t>
      </w:r>
      <w:r>
        <w:rPr>
          <w:rFonts w:hint="eastAsia" w:ascii="宋体" w:hAnsi="宋体" w:eastAsia="宋体" w:cs="宋体"/>
          <w:color w:val="auto"/>
          <w:sz w:val="24"/>
          <w:szCs w:val="24"/>
        </w:rPr>
        <w:t>定数据存储方案，包括数据库的选择、数据模型的设计、索引策略等，确保数据存取的高效性和数据的安全性。</w:t>
      </w:r>
    </w:p>
    <w:p w14:paraId="0F8224AB">
      <w:pPr>
        <w:keepNext w:val="0"/>
        <w:keepLines w:val="0"/>
        <w:pageBreakBefore w:val="0"/>
        <w:widowControl w:val="0"/>
        <w:spacing w:line="460" w:lineRule="exact"/>
        <w:ind w:left="0"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4.2建立区域健康数据仓库，采用数据挖掘和AI机器学习算法，实现数据的智能分析和应用。</w:t>
      </w:r>
    </w:p>
    <w:p w14:paraId="5752ACB0">
      <w:pPr>
        <w:keepNext w:val="0"/>
        <w:keepLines w:val="0"/>
        <w:pageBreakBefore w:val="0"/>
        <w:widowControl w:val="0"/>
        <w:spacing w:line="460" w:lineRule="exact"/>
        <w:ind w:left="0" w:firstLine="480"/>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szCs w:val="24"/>
          <w:lang w:val="en-US" w:eastAsia="zh-CN"/>
        </w:rPr>
        <w:t>4.3全县各医疗卫生单位</w:t>
      </w:r>
      <w:r>
        <w:rPr>
          <w:rFonts w:hint="eastAsia" w:ascii="宋体" w:hAnsi="宋体" w:eastAsia="宋体" w:cs="宋体"/>
          <w:b w:val="0"/>
          <w:bCs w:val="0"/>
          <w:color w:val="auto"/>
          <w:sz w:val="24"/>
          <w:szCs w:val="24"/>
          <w:lang w:val="en-US" w:eastAsia="zh-CN"/>
        </w:rPr>
        <w:t>大量历史数据的迁移、整合。</w:t>
      </w:r>
    </w:p>
    <w:p w14:paraId="16CD8742">
      <w:pPr>
        <w:pStyle w:val="44"/>
        <w:keepNext w:val="0"/>
        <w:keepLines w:val="0"/>
        <w:pageBreakBefore w:val="0"/>
        <w:widowControl w:val="0"/>
        <w:numPr>
          <w:ilvl w:val="0"/>
          <w:numId w:val="0"/>
        </w:numPr>
        <w:spacing w:after="0" w:line="46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4.4</w:t>
      </w:r>
      <w:r>
        <w:rPr>
          <w:rFonts w:hint="eastAsia" w:ascii="宋体" w:hAnsi="宋体" w:eastAsia="宋体" w:cs="宋体"/>
          <w:color w:val="auto"/>
          <w:sz w:val="24"/>
          <w:szCs w:val="24"/>
        </w:rPr>
        <w:t>整个系统数据中涉及日期和时间的读写以服务器系统时钟为标准，保证临床事件记录和处理的时间一致性。</w:t>
      </w:r>
    </w:p>
    <w:p w14:paraId="306BD0A8">
      <w:pPr>
        <w:pageBreakBefore w:val="0"/>
        <w:widowControl w:val="0"/>
        <w:spacing w:line="460" w:lineRule="exact"/>
        <w:ind w:left="0" w:firstLine="482"/>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rPr>
        <w:t>接口设计</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合理</w:t>
      </w:r>
      <w:r>
        <w:rPr>
          <w:rFonts w:hint="eastAsia" w:ascii="宋体" w:hAnsi="宋体" w:eastAsia="宋体" w:cs="宋体"/>
          <w:color w:val="auto"/>
          <w:sz w:val="24"/>
          <w:szCs w:val="24"/>
        </w:rPr>
        <w:t>设计API或其他服务接口，以便不同模块或服务之间能够通过HTTP等协议进行通信。</w:t>
      </w:r>
      <w:r>
        <w:rPr>
          <w:rFonts w:hint="eastAsia" w:ascii="宋体" w:hAnsi="宋体" w:eastAsia="宋体" w:cs="宋体"/>
          <w:color w:val="auto"/>
          <w:sz w:val="24"/>
          <w:szCs w:val="24"/>
          <w:lang w:val="en-US" w:eastAsia="zh-CN"/>
        </w:rPr>
        <w:t>这里的接口含各医疗卫生机构所有硬件接口、所有医保接口、支付平台接口、牵头医院和成员单位系统接口、各单位内部其他系统接口、上连省市下通镇村接口，在运维期内上级部门或县域内部门来文需对接的接口。</w:t>
      </w:r>
    </w:p>
    <w:p w14:paraId="54C8C7BA">
      <w:pPr>
        <w:pageBreakBefore w:val="0"/>
        <w:widowControl w:val="0"/>
        <w:spacing w:line="460" w:lineRule="exact"/>
        <w:ind w:left="0" w:firstLine="482"/>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6、</w:t>
      </w:r>
      <w:r>
        <w:rPr>
          <w:rFonts w:hint="eastAsia" w:ascii="宋体" w:hAnsi="宋体" w:eastAsia="宋体" w:cs="宋体"/>
          <w:b/>
          <w:bCs/>
          <w:color w:val="auto"/>
          <w:sz w:val="24"/>
          <w:szCs w:val="24"/>
        </w:rPr>
        <w:t>安全性设计</w:t>
      </w:r>
      <w:r>
        <w:rPr>
          <w:rFonts w:hint="eastAsia" w:ascii="宋体" w:hAnsi="宋体" w:eastAsia="宋体" w:cs="宋体"/>
          <w:color w:val="auto"/>
          <w:sz w:val="24"/>
          <w:szCs w:val="24"/>
        </w:rPr>
        <w:t>：包括用户认证授权、数据加密、传输安全（如使用HTTPS）、系统安全审计等措施，</w:t>
      </w:r>
      <w:r>
        <w:rPr>
          <w:rFonts w:hint="eastAsia" w:ascii="宋体" w:hAnsi="宋体" w:eastAsia="宋体" w:cs="宋体"/>
          <w:color w:val="auto"/>
          <w:sz w:val="24"/>
          <w:szCs w:val="24"/>
          <w:lang w:val="en-US" w:eastAsia="zh-CN"/>
        </w:rPr>
        <w:t>确保数据安全和隐私保护，符合国家相关法律法规和标准。</w:t>
      </w:r>
    </w:p>
    <w:p w14:paraId="58E31FA4">
      <w:pPr>
        <w:keepNext w:val="0"/>
        <w:keepLines w:val="0"/>
        <w:pageBreakBefore w:val="0"/>
        <w:widowControl w:val="0"/>
        <w:spacing w:line="460" w:lineRule="exact"/>
        <w:ind w:left="0"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6.1用户权限管理：建立用户权限管理体系，确保平台数据的安全性和隐私性。</w:t>
      </w:r>
    </w:p>
    <w:p w14:paraId="6A5CA798">
      <w:pPr>
        <w:keepNext w:val="0"/>
        <w:keepLines w:val="0"/>
        <w:pageBreakBefore w:val="0"/>
        <w:widowControl w:val="0"/>
        <w:spacing w:line="460" w:lineRule="exact"/>
        <w:ind w:left="0"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6.2加密传输：对于敏感数据的传输进行加密处理，确保数据传输的安全性。</w:t>
      </w:r>
    </w:p>
    <w:p w14:paraId="3037CCAB">
      <w:pPr>
        <w:keepNext w:val="0"/>
        <w:keepLines w:val="0"/>
        <w:pageBreakBefore w:val="0"/>
        <w:widowControl w:val="0"/>
        <w:spacing w:line="460" w:lineRule="exact"/>
        <w:ind w:left="0"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6.3定期安全审计：对平台进行定期安全审计，及时发现和解决潜在的安全问题。</w:t>
      </w:r>
    </w:p>
    <w:p w14:paraId="468076A6">
      <w:pPr>
        <w:keepNext w:val="0"/>
        <w:keepLines w:val="0"/>
        <w:pageBreakBefore w:val="0"/>
        <w:widowControl w:val="0"/>
        <w:spacing w:line="460" w:lineRule="exact"/>
        <w:ind w:left="0"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6.4应急响应机制：建立应急响应机制，应对可能的网络攻击、数据泄露等安全事件。</w:t>
      </w:r>
    </w:p>
    <w:p w14:paraId="36491A03">
      <w:pPr>
        <w:pageBreakBefore w:val="0"/>
        <w:widowControl w:val="0"/>
        <w:spacing w:line="460" w:lineRule="exact"/>
        <w:ind w:left="0" w:firstLine="48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6.5其他安全措施。</w:t>
      </w:r>
    </w:p>
    <w:p w14:paraId="00999C9E">
      <w:pPr>
        <w:pageBreakBefore w:val="0"/>
        <w:widowControl w:val="0"/>
        <w:spacing w:line="460" w:lineRule="exact"/>
        <w:ind w:left="0" w:firstLine="482"/>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7、</w:t>
      </w:r>
      <w:r>
        <w:rPr>
          <w:rFonts w:hint="eastAsia" w:ascii="宋体" w:hAnsi="宋体" w:eastAsia="宋体" w:cs="宋体"/>
          <w:b/>
          <w:bCs/>
          <w:color w:val="auto"/>
          <w:sz w:val="24"/>
          <w:szCs w:val="24"/>
        </w:rPr>
        <w:t>性能优化：</w:t>
      </w:r>
      <w:r>
        <w:rPr>
          <w:rFonts w:hint="eastAsia" w:ascii="宋体" w:hAnsi="宋体" w:eastAsia="宋体" w:cs="宋体"/>
          <w:color w:val="auto"/>
          <w:sz w:val="24"/>
          <w:szCs w:val="24"/>
        </w:rPr>
        <w:t>设计高效的查询算法、缓存策略、负载均衡等，以保证系统良好的性能和用户体验。</w:t>
      </w:r>
    </w:p>
    <w:p w14:paraId="0BBAE9F2">
      <w:pPr>
        <w:pageBreakBefore w:val="0"/>
        <w:widowControl w:val="0"/>
        <w:spacing w:line="460" w:lineRule="exact"/>
        <w:ind w:left="0" w:firstLine="482"/>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8、</w:t>
      </w:r>
      <w:r>
        <w:rPr>
          <w:rFonts w:hint="eastAsia" w:ascii="宋体" w:hAnsi="宋体" w:eastAsia="宋体" w:cs="宋体"/>
          <w:b/>
          <w:bCs/>
          <w:color w:val="auto"/>
          <w:sz w:val="24"/>
          <w:szCs w:val="24"/>
        </w:rPr>
        <w:t>可维护性和扩展性</w:t>
      </w:r>
      <w:r>
        <w:rPr>
          <w:rFonts w:hint="eastAsia" w:ascii="宋体" w:hAnsi="宋体" w:eastAsia="宋体" w:cs="宋体"/>
          <w:color w:val="auto"/>
          <w:sz w:val="24"/>
          <w:szCs w:val="24"/>
        </w:rPr>
        <w:t>：设计灵活的系统架构，使系统易于维护和升级，能够方便地引入新的功能和模块。</w:t>
      </w:r>
    </w:p>
    <w:p w14:paraId="05A21A09">
      <w:pPr>
        <w:pStyle w:val="44"/>
        <w:keepNext w:val="0"/>
        <w:keepLines w:val="0"/>
        <w:pageBreakBefore w:val="0"/>
        <w:widowControl w:val="0"/>
        <w:numPr>
          <w:ilvl w:val="0"/>
          <w:numId w:val="0"/>
        </w:numPr>
        <w:spacing w:after="0" w:line="460" w:lineRule="exact"/>
        <w:ind w:left="0" w:firstLine="482"/>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9、</w:t>
      </w:r>
      <w:r>
        <w:rPr>
          <w:rFonts w:hint="eastAsia" w:ascii="宋体" w:hAnsi="宋体" w:eastAsia="宋体" w:cs="宋体"/>
          <w:b/>
          <w:bCs/>
          <w:color w:val="auto"/>
          <w:sz w:val="24"/>
          <w:szCs w:val="24"/>
        </w:rPr>
        <w:t>遵循标准和法规：</w:t>
      </w:r>
      <w:r>
        <w:rPr>
          <w:rFonts w:hint="eastAsia" w:ascii="宋体" w:hAnsi="宋体" w:eastAsia="宋体" w:cs="宋体"/>
          <w:color w:val="auto"/>
          <w:sz w:val="24"/>
          <w:szCs w:val="24"/>
        </w:rPr>
        <w:t>统一编码规则</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系统中不同模块协作时采用统一的编码规则</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有相应国家或原卫生部颁标准的严格遵照执行，暂无统一标准之外的采用射阳县卫生系统</w:t>
      </w:r>
      <w:r>
        <w:rPr>
          <w:rFonts w:hint="eastAsia" w:ascii="宋体" w:hAnsi="宋体" w:eastAsia="宋体" w:cs="宋体"/>
          <w:color w:val="auto"/>
          <w:sz w:val="24"/>
          <w:szCs w:val="24"/>
          <w:lang w:eastAsia="zh-CN"/>
        </w:rPr>
        <w:t>十张网</w:t>
      </w:r>
      <w:r>
        <w:rPr>
          <w:rFonts w:hint="eastAsia" w:ascii="宋体" w:hAnsi="宋体" w:eastAsia="宋体" w:cs="宋体"/>
          <w:color w:val="auto"/>
          <w:sz w:val="24"/>
          <w:szCs w:val="24"/>
        </w:rPr>
        <w:t>管理平台制定的统一编码。确保架构设计符合国家和行业的相关标准、法规要求，如信息安全法规、医疗数据保护规定等。</w:t>
      </w:r>
    </w:p>
    <w:p w14:paraId="522A56A1">
      <w:pPr>
        <w:pageBreakBefore w:val="0"/>
        <w:widowControl w:val="0"/>
        <w:spacing w:line="460" w:lineRule="exact"/>
        <w:ind w:left="0" w:firstLine="482"/>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10、</w:t>
      </w:r>
      <w:r>
        <w:rPr>
          <w:rFonts w:hint="eastAsia" w:ascii="宋体" w:hAnsi="宋体" w:eastAsia="宋体" w:cs="宋体"/>
          <w:b/>
          <w:bCs/>
          <w:color w:val="auto"/>
          <w:sz w:val="24"/>
          <w:szCs w:val="24"/>
        </w:rPr>
        <w:t>错误处理和容错设计：</w:t>
      </w:r>
      <w:r>
        <w:rPr>
          <w:rFonts w:hint="eastAsia" w:ascii="宋体" w:hAnsi="宋体" w:eastAsia="宋体" w:cs="宋体"/>
          <w:color w:val="auto"/>
          <w:sz w:val="24"/>
          <w:szCs w:val="24"/>
        </w:rPr>
        <w:t>考虑系统出错的情况，设计合理的错误处理机制和容错机制，以提高系统的稳定性和可靠性。</w:t>
      </w:r>
      <w:r>
        <w:rPr>
          <w:rFonts w:hint="eastAsia" w:ascii="宋体" w:hAnsi="宋体" w:eastAsia="宋体" w:cs="宋体"/>
          <w:color w:val="auto"/>
          <w:sz w:val="24"/>
          <w:szCs w:val="24"/>
          <w:lang w:val="en-US" w:eastAsia="zh-CN"/>
        </w:rPr>
        <w:t>软件使用过程中因人为因素造成数据或者程序文件丢失，可手工恢复数据。</w:t>
      </w:r>
    </w:p>
    <w:p w14:paraId="4861D7E3">
      <w:pPr>
        <w:pageBreakBefore w:val="0"/>
        <w:widowControl w:val="0"/>
        <w:spacing w:line="460" w:lineRule="exact"/>
        <w:ind w:left="0" w:firstLine="482"/>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11、</w:t>
      </w:r>
      <w:r>
        <w:rPr>
          <w:rFonts w:hint="eastAsia" w:ascii="宋体" w:hAnsi="宋体" w:eastAsia="宋体" w:cs="宋体"/>
          <w:b/>
          <w:bCs/>
          <w:color w:val="auto"/>
          <w:sz w:val="24"/>
          <w:szCs w:val="24"/>
        </w:rPr>
        <w:t>文档和标准：</w:t>
      </w:r>
      <w:r>
        <w:rPr>
          <w:rFonts w:hint="eastAsia" w:ascii="宋体" w:hAnsi="宋体" w:eastAsia="宋体" w:cs="宋体"/>
          <w:color w:val="auto"/>
          <w:sz w:val="24"/>
          <w:szCs w:val="24"/>
        </w:rPr>
        <w:t>编写系统设计文档，描述系统的整体架构、模块设计和接口定义，并遵循</w:t>
      </w:r>
      <w:r>
        <w:rPr>
          <w:rFonts w:hint="eastAsia" w:ascii="宋体" w:hAnsi="宋体" w:eastAsia="宋体" w:cs="宋体"/>
          <w:color w:val="auto"/>
          <w:sz w:val="24"/>
          <w:szCs w:val="24"/>
          <w:lang w:val="en-US" w:eastAsia="zh-CN"/>
        </w:rPr>
        <w:t>卫健系统</w:t>
      </w:r>
      <w:r>
        <w:rPr>
          <w:rFonts w:hint="eastAsia" w:ascii="宋体" w:hAnsi="宋体" w:eastAsia="宋体" w:cs="宋体"/>
          <w:color w:val="auto"/>
          <w:sz w:val="24"/>
          <w:szCs w:val="24"/>
        </w:rPr>
        <w:t>的设计标准和规范。</w:t>
      </w:r>
    </w:p>
    <w:p w14:paraId="26EE7EEA">
      <w:pPr>
        <w:pageBreakBefore w:val="0"/>
        <w:widowControl w:val="0"/>
        <w:spacing w:line="460" w:lineRule="exact"/>
        <w:ind w:left="0" w:firstLine="482"/>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12、</w:t>
      </w:r>
      <w:r>
        <w:rPr>
          <w:rFonts w:hint="eastAsia" w:ascii="宋体" w:hAnsi="宋体" w:eastAsia="宋体" w:cs="宋体"/>
          <w:b/>
          <w:bCs/>
          <w:color w:val="auto"/>
          <w:sz w:val="24"/>
          <w:szCs w:val="24"/>
        </w:rPr>
        <w:t>测试策略和验证：</w:t>
      </w:r>
      <w:r>
        <w:rPr>
          <w:rFonts w:hint="eastAsia" w:ascii="宋体" w:hAnsi="宋体" w:eastAsia="宋体" w:cs="宋体"/>
          <w:color w:val="auto"/>
          <w:sz w:val="24"/>
          <w:szCs w:val="24"/>
        </w:rPr>
        <w:t>设计测试策略，包括功能测试、性能测试、安全测试等，验证系统设计是否满足需求，并确保系统的质量和稳定性。</w:t>
      </w:r>
    </w:p>
    <w:p w14:paraId="324A8DAF">
      <w:pPr>
        <w:keepNext w:val="0"/>
        <w:keepLines w:val="0"/>
        <w:pageBreakBefore w:val="0"/>
        <w:widowControl w:val="0"/>
        <w:numPr>
          <w:ilvl w:val="0"/>
          <w:numId w:val="0"/>
        </w:numPr>
        <w:spacing w:line="460" w:lineRule="exact"/>
        <w:ind w:left="0" w:firstLine="482"/>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13、系统技术架构达到以下要求：</w:t>
      </w:r>
      <w:r>
        <w:rPr>
          <w:rFonts w:hint="eastAsia" w:ascii="宋体" w:hAnsi="宋体" w:eastAsia="宋体" w:cs="宋体"/>
          <w:color w:val="auto"/>
          <w:sz w:val="24"/>
          <w:szCs w:val="24"/>
          <w:lang w:val="en-US" w:eastAsia="zh-CN"/>
        </w:rPr>
        <w:t xml:space="preserve"> </w:t>
      </w:r>
    </w:p>
    <w:p w14:paraId="5F640FD1">
      <w:pPr>
        <w:keepNext w:val="0"/>
        <w:keepLines w:val="0"/>
        <w:pageBreakBefore w:val="0"/>
        <w:widowControl w:val="0"/>
        <w:numPr>
          <w:ilvl w:val="0"/>
          <w:numId w:val="0"/>
        </w:numPr>
        <w:spacing w:line="460" w:lineRule="exact"/>
        <w:ind w:left="0"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 xml:space="preserve">.1基于 B/S 结构，无需安装客户端软件。 </w:t>
      </w:r>
    </w:p>
    <w:p w14:paraId="2BDCE906">
      <w:pPr>
        <w:keepNext w:val="0"/>
        <w:keepLines w:val="0"/>
        <w:pageBreakBefore w:val="0"/>
        <w:widowControl w:val="0"/>
        <w:numPr>
          <w:ilvl w:val="0"/>
          <w:numId w:val="0"/>
        </w:numPr>
        <w:spacing w:line="460" w:lineRule="exact"/>
        <w:ind w:left="0"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 xml:space="preserve">.2系统具备良好的浏览器兼容性，所有用户都能在IE、谷歌、火狐等主流浏览器下进行所有的功能操作。 </w:t>
      </w:r>
    </w:p>
    <w:p w14:paraId="7C5BFA9D">
      <w:pPr>
        <w:keepNext w:val="0"/>
        <w:keepLines w:val="0"/>
        <w:pageBreakBefore w:val="0"/>
        <w:widowControl w:val="0"/>
        <w:numPr>
          <w:ilvl w:val="0"/>
          <w:numId w:val="0"/>
        </w:numPr>
        <w:spacing w:line="460" w:lineRule="exact"/>
        <w:ind w:left="0"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13.3采用基于服务的设计理念，支持中间件技术，提高系统的可维护性和软件代码的重用性，降低用户对IT资源的投资。 </w:t>
      </w:r>
    </w:p>
    <w:p w14:paraId="0233B07C">
      <w:pPr>
        <w:keepNext w:val="0"/>
        <w:keepLines w:val="0"/>
        <w:pageBreakBefore w:val="0"/>
        <w:widowControl w:val="0"/>
        <w:numPr>
          <w:ilvl w:val="0"/>
          <w:numId w:val="0"/>
        </w:numPr>
        <w:spacing w:line="460" w:lineRule="exact"/>
        <w:ind w:left="0"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 xml:space="preserve">.4采用基于面向对象的组件开发技术，构建可重用的业务组件，利用这些组件能系统业务变更，搭建和扩展新的应用。 </w:t>
      </w:r>
    </w:p>
    <w:p w14:paraId="1AAEE515">
      <w:pPr>
        <w:keepNext w:val="0"/>
        <w:keepLines w:val="0"/>
        <w:pageBreakBefore w:val="0"/>
        <w:widowControl w:val="0"/>
        <w:numPr>
          <w:ilvl w:val="0"/>
          <w:numId w:val="0"/>
        </w:numPr>
        <w:spacing w:line="460" w:lineRule="exact"/>
        <w:ind w:left="0"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 xml:space="preserve">.5支持工作流引擎机制，提供流程自定义功能。 </w:t>
      </w:r>
    </w:p>
    <w:p w14:paraId="4680E719">
      <w:pPr>
        <w:keepNext w:val="0"/>
        <w:keepLines w:val="0"/>
        <w:pageBreakBefore w:val="0"/>
        <w:widowControl w:val="0"/>
        <w:numPr>
          <w:ilvl w:val="0"/>
          <w:numId w:val="0"/>
        </w:numPr>
        <w:spacing w:line="460" w:lineRule="exact"/>
        <w:ind w:left="0"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 xml:space="preserve">.6系统的开发严格遵循相关行业信息化标准，并符合政府特定要求的相关信息标准。 </w:t>
      </w:r>
    </w:p>
    <w:p w14:paraId="03044210">
      <w:pPr>
        <w:keepNext w:val="0"/>
        <w:keepLines w:val="0"/>
        <w:pageBreakBefore w:val="0"/>
        <w:widowControl w:val="0"/>
        <w:numPr>
          <w:ilvl w:val="0"/>
          <w:numId w:val="0"/>
        </w:numPr>
        <w:spacing w:line="460" w:lineRule="exact"/>
        <w:ind w:left="0"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 xml:space="preserve">.7系统集成要求：系统提供标准统一且开放的接口，支持与政府相关其他业务系统集成。支持与政府部门现有的官方微信公众号或小程序集成。 </w:t>
      </w:r>
    </w:p>
    <w:p w14:paraId="0F47DA3A">
      <w:pPr>
        <w:pStyle w:val="44"/>
        <w:keepNext w:val="0"/>
        <w:keepLines w:val="0"/>
        <w:pageBreakBefore w:val="0"/>
        <w:widowControl w:val="0"/>
        <w:numPr>
          <w:ilvl w:val="0"/>
          <w:numId w:val="0"/>
        </w:numPr>
        <w:spacing w:after="0" w:line="460" w:lineRule="exact"/>
        <w:ind w:left="0" w:firstLine="48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1</w:t>
      </w:r>
      <w:r>
        <w:rPr>
          <w:rFonts w:hint="eastAsia" w:ascii="宋体" w:hAnsi="宋体" w:cs="宋体"/>
          <w:color w:val="auto"/>
          <w:sz w:val="24"/>
          <w:szCs w:val="24"/>
          <w:lang w:val="en-US" w:eastAsia="zh-CN" w:bidi="ar-SA"/>
        </w:rPr>
        <w:t>3</w:t>
      </w:r>
      <w:r>
        <w:rPr>
          <w:rFonts w:hint="eastAsia" w:ascii="宋体" w:hAnsi="宋体" w:eastAsia="宋体" w:cs="宋体"/>
          <w:color w:val="auto"/>
          <w:sz w:val="24"/>
          <w:szCs w:val="24"/>
          <w:lang w:val="en-US" w:eastAsia="zh-CN" w:bidi="ar-SA"/>
        </w:rPr>
        <w:t>.8界面友好性：用户界面友好、美观大方，风格一致，操作流程清晰简洁，给用户提供良好的操作体验。</w:t>
      </w:r>
    </w:p>
    <w:p w14:paraId="295D5D7D">
      <w:pPr>
        <w:keepNext w:val="0"/>
        <w:keepLines w:val="0"/>
        <w:pageBreakBefore w:val="0"/>
        <w:widowControl w:val="0"/>
        <w:numPr>
          <w:ilvl w:val="0"/>
          <w:numId w:val="0"/>
        </w:numPr>
        <w:spacing w:line="460" w:lineRule="exact"/>
        <w:ind w:left="0"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9安全性和保密性：系统设计时考虑了整体的安全性，从数据访问操作、用户认证、数据加密等多个方面进行安全性设计，提高系统的安全性。系统应分别针对不同的应用和不同的环境，采取不同的措施，包括系统安全机制、数据存取权限控制和数据存储加密机制。</w:t>
      </w:r>
    </w:p>
    <w:p w14:paraId="207AF5AF">
      <w:pPr>
        <w:keepNext w:val="0"/>
        <w:keepLines w:val="0"/>
        <w:pageBreakBefore w:val="0"/>
        <w:widowControl w:val="0"/>
        <w:numPr>
          <w:ilvl w:val="0"/>
          <w:numId w:val="0"/>
        </w:numPr>
        <w:spacing w:line="460" w:lineRule="exact"/>
        <w:ind w:left="0"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.10可管理性：系统的设计有很好的可管理性，业务流程清晰，权限划分合理，提供便捷的搜索功能和工作流控制功能。</w:t>
      </w:r>
    </w:p>
    <w:p w14:paraId="75BAC935">
      <w:pPr>
        <w:pStyle w:val="44"/>
        <w:keepNext w:val="0"/>
        <w:keepLines w:val="0"/>
        <w:pageBreakBefore w:val="0"/>
        <w:widowControl w:val="0"/>
        <w:numPr>
          <w:ilvl w:val="0"/>
          <w:numId w:val="0"/>
        </w:numPr>
        <w:spacing w:after="0" w:line="460" w:lineRule="exact"/>
        <w:ind w:firstLine="482"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14、响应速度。</w:t>
      </w:r>
    </w:p>
    <w:p w14:paraId="7229A063">
      <w:pPr>
        <w:pStyle w:val="12"/>
        <w:keepNext w:val="0"/>
        <w:keepLines w:val="0"/>
        <w:pageBreakBefore w:val="0"/>
        <w:widowControl w:val="0"/>
        <w:spacing w:after="0" w:line="460" w:lineRule="exact"/>
        <w:ind w:left="0" w:firstLine="480"/>
        <w:rPr>
          <w:rFonts w:hint="eastAsia" w:ascii="宋体" w:hAnsi="宋体" w:cs="宋体"/>
          <w:color w:val="auto"/>
          <w:sz w:val="24"/>
          <w:szCs w:val="24"/>
          <w:lang w:val="en-US" w:eastAsia="zh-CN"/>
        </w:rPr>
      </w:pPr>
      <w:r>
        <w:rPr>
          <w:rFonts w:hint="eastAsia" w:ascii="宋体" w:hAnsi="宋体" w:eastAsia="宋体" w:cs="宋体"/>
          <w:color w:val="auto"/>
          <w:sz w:val="24"/>
          <w:szCs w:val="24"/>
          <w:lang w:val="en-US" w:eastAsia="zh-CN"/>
        </w:rPr>
        <w:t>至少支持4000人同时在线。业务处理：单笔业务录入/修改的响应时间≤1秒。单笔业务以外的其他业务响应时间≤2秒。查询响应百万级数据量下单记录本地查询的响应时间≤3 秒。简单统计报表查询的响应时间≤2 秒。生成复杂统计报表的响应时间≤10 秒。</w:t>
      </w:r>
    </w:p>
    <w:p w14:paraId="540EA4EC">
      <w:pPr>
        <w:keepNext w:val="0"/>
        <w:keepLines w:val="0"/>
        <w:pageBreakBefore w:val="0"/>
        <w:widowControl w:val="0"/>
        <w:kinsoku/>
        <w:wordWrap/>
        <w:overflowPunct/>
        <w:topLinePunct w:val="0"/>
        <w:autoSpaceDE/>
        <w:autoSpaceDN/>
        <w:bidi w:val="0"/>
        <w:adjustRightInd/>
        <w:snapToGrid/>
        <w:spacing w:line="420" w:lineRule="exact"/>
        <w:ind w:left="0" w:lef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（四）</w:t>
      </w:r>
      <w:r>
        <w:rPr>
          <w:rFonts w:hint="eastAsia" w:ascii="宋体" w:hAnsi="宋体" w:eastAsia="宋体" w:cs="宋体"/>
          <w:b/>
          <w:color w:val="auto"/>
          <w:sz w:val="24"/>
          <w:szCs w:val="24"/>
          <w:highlight w:val="none"/>
        </w:rPr>
        <w:t>其他要求</w:t>
      </w:r>
    </w:p>
    <w:p w14:paraId="5F4532B9">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w:t>
      </w:r>
      <w:r>
        <w:rPr>
          <w:rFonts w:hint="eastAsia" w:ascii="宋体" w:hAnsi="宋体" w:eastAsia="宋体" w:cs="宋体"/>
          <w:color w:val="auto"/>
          <w:sz w:val="24"/>
          <w:szCs w:val="24"/>
          <w:highlight w:val="none"/>
          <w:lang w:eastAsia="zh-CN"/>
        </w:rPr>
        <w:t>次招标技术参数</w:t>
      </w:r>
      <w:r>
        <w:rPr>
          <w:rFonts w:hint="eastAsia" w:ascii="宋体" w:hAnsi="宋体" w:eastAsia="宋体" w:cs="宋体"/>
          <w:color w:val="auto"/>
          <w:sz w:val="24"/>
          <w:szCs w:val="24"/>
          <w:highlight w:val="none"/>
        </w:rPr>
        <w:t>要求提出的是最低限度的基本技术要求，并未对所有技术细节作出规定，</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应提供符合本技术要求和国家标准、行业标准的优质产品。</w:t>
      </w:r>
    </w:p>
    <w:p w14:paraId="55A03EC6">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投标人所提供产品与本文件中相关技术要求不一致时，投标人应在投标文件中予以说明，并由评标委员会鉴定投标人产品能否达到要求。如投标人没有在投标文件中提出异议，则视为投标人提供的产品完全按照本</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文件要求。</w:t>
      </w:r>
    </w:p>
    <w:p w14:paraId="29D364A4">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、技术要求及标准的执行</w:t>
      </w:r>
    </w:p>
    <w:p w14:paraId="10DADD31">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投标人提供的产品应标明所执行的质量标准，若同一标准己颁发新标准，则按最新标准执行。若同一产品同时有几个标准（国际标准、国家标准、行业标准），则按最高层次的标准执行。</w:t>
      </w:r>
    </w:p>
    <w:p w14:paraId="2A2FE9DE">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、投标人须按国家有关规定及标准完成本次采购产品的</w:t>
      </w:r>
      <w:r>
        <w:rPr>
          <w:rFonts w:hint="eastAsia" w:ascii="宋体" w:hAnsi="宋体" w:eastAsia="宋体" w:cs="宋体"/>
          <w:color w:val="auto"/>
          <w:sz w:val="24"/>
          <w:szCs w:val="24"/>
          <w:highlight w:val="none"/>
          <w:lang w:eastAsia="zh-CN"/>
        </w:rPr>
        <w:t>软件开发、</w:t>
      </w:r>
      <w:r>
        <w:rPr>
          <w:rFonts w:hint="eastAsia" w:ascii="宋体" w:hAnsi="宋体" w:eastAsia="宋体" w:cs="宋体"/>
          <w:color w:val="auto"/>
          <w:sz w:val="24"/>
          <w:szCs w:val="24"/>
          <w:highlight w:val="none"/>
        </w:rPr>
        <w:t>采购、包装、运输、供货、装卸、</w:t>
      </w:r>
      <w:r>
        <w:rPr>
          <w:rFonts w:hint="eastAsia" w:ascii="宋体" w:hAnsi="宋体" w:eastAsia="宋体" w:cs="宋体"/>
          <w:color w:val="auto"/>
          <w:sz w:val="24"/>
          <w:szCs w:val="24"/>
          <w:highlight w:val="none"/>
          <w:lang w:eastAsia="zh-CN"/>
        </w:rPr>
        <w:t>保管</w:t>
      </w:r>
      <w:r>
        <w:rPr>
          <w:rFonts w:hint="eastAsia" w:ascii="宋体" w:hAnsi="宋体" w:eastAsia="宋体" w:cs="宋体"/>
          <w:color w:val="auto"/>
          <w:sz w:val="24"/>
          <w:szCs w:val="24"/>
          <w:highlight w:val="none"/>
        </w:rPr>
        <w:t>、安装、</w:t>
      </w:r>
      <w:r>
        <w:rPr>
          <w:rFonts w:hint="eastAsia" w:ascii="宋体" w:hAnsi="宋体" w:eastAsia="宋体" w:cs="宋体"/>
          <w:color w:val="auto"/>
          <w:sz w:val="24"/>
          <w:szCs w:val="24"/>
          <w:highlight w:val="none"/>
          <w:lang w:eastAsia="zh-CN"/>
        </w:rPr>
        <w:t>调试（含测试）</w:t>
      </w:r>
      <w:r>
        <w:rPr>
          <w:rFonts w:hint="eastAsia" w:ascii="宋体" w:hAnsi="宋体" w:eastAsia="宋体" w:cs="宋体"/>
          <w:color w:val="auto"/>
          <w:sz w:val="24"/>
          <w:szCs w:val="24"/>
          <w:highlight w:val="none"/>
        </w:rPr>
        <w:t>、技术培训、</w:t>
      </w:r>
      <w:r>
        <w:rPr>
          <w:rFonts w:hint="eastAsia" w:ascii="宋体" w:hAnsi="宋体" w:eastAsia="宋体" w:cs="宋体"/>
          <w:color w:val="auto"/>
          <w:sz w:val="24"/>
          <w:szCs w:val="24"/>
          <w:highlight w:val="none"/>
          <w:lang w:eastAsia="zh-CN"/>
        </w:rPr>
        <w:t>工程作业、</w:t>
      </w:r>
      <w:r>
        <w:rPr>
          <w:rFonts w:hint="eastAsia" w:ascii="宋体" w:hAnsi="宋体" w:eastAsia="宋体" w:cs="宋体"/>
          <w:color w:val="auto"/>
          <w:sz w:val="24"/>
          <w:szCs w:val="24"/>
          <w:highlight w:val="none"/>
        </w:rPr>
        <w:t>检验、通过有关部门验收、维保期服务、产品终身维修等各项工作，并保证投标产品使用的安全性能与检测结果的可靠性。如中标，中标人及制造商对中标产品使用的安全性能与可靠性负全部责任。</w:t>
      </w:r>
    </w:p>
    <w:p w14:paraId="2CB0E2F7">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、本次所采购设备、具体型号、数量等详见“</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eastAsia="zh-CN"/>
        </w:rPr>
        <w:t>中的“投标报价明细表”</w:t>
      </w:r>
      <w:r>
        <w:rPr>
          <w:rFonts w:hint="eastAsia" w:ascii="宋体" w:hAnsi="宋体" w:eastAsia="宋体" w:cs="宋体"/>
          <w:color w:val="auto"/>
          <w:sz w:val="24"/>
          <w:szCs w:val="24"/>
          <w:highlight w:val="none"/>
        </w:rPr>
        <w:t>。</w:t>
      </w:r>
    </w:p>
    <w:p w14:paraId="2ABE5383">
      <w:pPr>
        <w:keepNext w:val="0"/>
        <w:keepLines w:val="0"/>
        <w:pageBreakBefore w:val="0"/>
        <w:widowControl w:val="0"/>
        <w:kinsoku/>
        <w:wordWrap/>
        <w:overflowPunct/>
        <w:topLinePunct w:val="0"/>
        <w:autoSpaceDE/>
        <w:autoSpaceDN/>
        <w:bidi w:val="0"/>
        <w:adjustRightInd/>
        <w:snapToGrid/>
        <w:spacing w:line="420" w:lineRule="exact"/>
        <w:ind w:left="0" w:leftChars="0"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、本次招标文件中参数及相关技术要求或部件中</w:t>
      </w:r>
      <w:r>
        <w:rPr>
          <w:rFonts w:hint="eastAsia" w:ascii="宋体" w:hAnsi="宋体" w:eastAsia="宋体" w:cs="宋体"/>
          <w:b/>
          <w:bCs/>
          <w:color w:val="auto"/>
          <w:sz w:val="24"/>
          <w:szCs w:val="24"/>
          <w:highlight w:val="none"/>
          <w:lang w:eastAsia="zh-CN"/>
        </w:rPr>
        <w:t>如</w:t>
      </w:r>
      <w:r>
        <w:rPr>
          <w:rFonts w:hint="eastAsia" w:ascii="宋体" w:hAnsi="宋体" w:eastAsia="宋体" w:cs="宋体"/>
          <w:b/>
          <w:bCs/>
          <w:color w:val="auto"/>
          <w:sz w:val="24"/>
          <w:szCs w:val="24"/>
          <w:highlight w:val="none"/>
        </w:rPr>
        <w:t>出现品牌、</w:t>
      </w:r>
      <w:r>
        <w:rPr>
          <w:rFonts w:hint="eastAsia" w:ascii="宋体" w:hAnsi="宋体" w:eastAsia="宋体" w:cs="宋体"/>
          <w:b/>
          <w:bCs/>
          <w:color w:val="auto"/>
          <w:sz w:val="24"/>
          <w:szCs w:val="24"/>
          <w:highlight w:val="none"/>
          <w:lang w:eastAsia="zh-CN"/>
        </w:rPr>
        <w:t>特定</w:t>
      </w:r>
      <w:r>
        <w:rPr>
          <w:rFonts w:hint="eastAsia" w:ascii="宋体" w:hAnsi="宋体" w:eastAsia="宋体" w:cs="宋体"/>
          <w:b/>
          <w:bCs/>
          <w:color w:val="auto"/>
          <w:sz w:val="24"/>
          <w:szCs w:val="24"/>
          <w:highlight w:val="none"/>
        </w:rPr>
        <w:t>型号等，均仅供投标人在投标时参考，投标人可投在技术参数、质量等指标不低于</w:t>
      </w:r>
      <w:r>
        <w:rPr>
          <w:rFonts w:hint="eastAsia" w:ascii="宋体" w:hAnsi="宋体" w:eastAsia="宋体" w:cs="宋体"/>
          <w:b/>
          <w:bCs/>
          <w:color w:val="auto"/>
          <w:sz w:val="24"/>
          <w:szCs w:val="24"/>
          <w:highlight w:val="none"/>
          <w:lang w:eastAsia="zh-CN"/>
        </w:rPr>
        <w:t>采购人</w:t>
      </w:r>
      <w:r>
        <w:rPr>
          <w:rFonts w:hint="eastAsia" w:ascii="宋体" w:hAnsi="宋体" w:eastAsia="宋体" w:cs="宋体"/>
          <w:b/>
          <w:bCs/>
          <w:color w:val="auto"/>
          <w:sz w:val="24"/>
          <w:szCs w:val="24"/>
          <w:highlight w:val="none"/>
        </w:rPr>
        <w:t>要求的参数、档次、品质及以上技术要求的产品均可。</w:t>
      </w:r>
      <w:r>
        <w:rPr>
          <w:rFonts w:hint="eastAsia" w:ascii="宋体" w:hAnsi="宋体" w:eastAsia="宋体" w:cs="宋体"/>
          <w:b/>
          <w:bCs/>
          <w:color w:val="auto"/>
          <w:sz w:val="24"/>
          <w:szCs w:val="24"/>
          <w:highlight w:val="none"/>
          <w:lang w:eastAsia="zh-CN"/>
        </w:rPr>
        <w:t>投标人必须承诺本次投标递交所有证明材料（原件或复印件）和材料中的内容均真实，非伪造或虚假，一经发现材料虚假，做无效标处理，已经中标的取消中标资格并上报相关监督部门依法查处。</w:t>
      </w:r>
    </w:p>
    <w:p w14:paraId="5FD722DF">
      <w:pPr>
        <w:keepNext w:val="0"/>
        <w:keepLines w:val="0"/>
        <w:pageBreakBefore w:val="0"/>
        <w:widowControl w:val="0"/>
        <w:kinsoku/>
        <w:wordWrap/>
        <w:overflowPunct/>
        <w:topLinePunct w:val="0"/>
        <w:autoSpaceDE/>
        <w:autoSpaceDN/>
        <w:bidi w:val="0"/>
        <w:adjustRightInd/>
        <w:snapToGrid/>
        <w:spacing w:line="420" w:lineRule="exact"/>
        <w:ind w:left="0" w:leftChars="0" w:firstLine="482" w:firstLineChars="20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7</w:t>
      </w:r>
      <w:r>
        <w:rPr>
          <w:rFonts w:hint="eastAsia" w:ascii="宋体" w:hAnsi="宋体" w:eastAsia="宋体" w:cs="宋体"/>
          <w:b/>
          <w:color w:val="auto"/>
          <w:kern w:val="0"/>
          <w:sz w:val="24"/>
          <w:szCs w:val="24"/>
          <w:highlight w:val="none"/>
        </w:rPr>
        <w:t>、本项目招标文件中所有技术参数及要求等均是最低限度的技术要求，并未对一切技术细节做出规定，投标人必须提供符合上表中的规格型号及要求和国家、行业等有关法规规范最新标准优质产品，并承诺中标后提供的所有设备、产品等均必须一次性通过验收</w:t>
      </w:r>
      <w:r>
        <w:rPr>
          <w:rFonts w:hint="eastAsia" w:ascii="宋体" w:hAnsi="宋体" w:eastAsia="宋体" w:cs="宋体"/>
          <w:b/>
          <w:color w:val="auto"/>
          <w:kern w:val="0"/>
          <w:sz w:val="24"/>
          <w:szCs w:val="24"/>
          <w:highlight w:val="none"/>
          <w:lang w:eastAsia="zh-CN"/>
        </w:rPr>
        <w:t>；且保证</w:t>
      </w:r>
      <w:r>
        <w:rPr>
          <w:rFonts w:hint="eastAsia" w:ascii="宋体" w:hAnsi="宋体" w:eastAsia="宋体" w:cs="宋体"/>
          <w:b/>
          <w:color w:val="auto"/>
          <w:kern w:val="0"/>
          <w:sz w:val="24"/>
          <w:szCs w:val="24"/>
          <w:highlight w:val="none"/>
        </w:rPr>
        <w:t>适应长期可靠和安全的运行</w:t>
      </w:r>
      <w:r>
        <w:rPr>
          <w:rFonts w:hint="eastAsia" w:ascii="宋体" w:hAnsi="宋体" w:eastAsia="宋体" w:cs="宋体"/>
          <w:b/>
          <w:color w:val="auto"/>
          <w:kern w:val="0"/>
          <w:sz w:val="24"/>
          <w:szCs w:val="24"/>
          <w:highlight w:val="none"/>
          <w:lang w:eastAsia="zh-CN"/>
        </w:rPr>
        <w:t>。</w:t>
      </w:r>
      <w:r>
        <w:rPr>
          <w:rFonts w:hint="eastAsia" w:ascii="宋体" w:hAnsi="宋体" w:eastAsia="宋体" w:cs="宋体"/>
          <w:b/>
          <w:color w:val="auto"/>
          <w:kern w:val="0"/>
          <w:sz w:val="24"/>
          <w:szCs w:val="24"/>
          <w:highlight w:val="none"/>
        </w:rPr>
        <w:t>如因产品问题造成验收不通过的，</w:t>
      </w:r>
      <w:r>
        <w:rPr>
          <w:rFonts w:hint="eastAsia" w:ascii="宋体" w:hAnsi="宋体" w:eastAsia="宋体" w:cs="宋体"/>
          <w:b/>
          <w:color w:val="auto"/>
          <w:kern w:val="0"/>
          <w:sz w:val="24"/>
          <w:szCs w:val="24"/>
          <w:highlight w:val="none"/>
          <w:lang w:eastAsia="zh-CN"/>
        </w:rPr>
        <w:t>采购人</w:t>
      </w:r>
      <w:r>
        <w:rPr>
          <w:rFonts w:hint="eastAsia" w:ascii="宋体" w:hAnsi="宋体" w:eastAsia="宋体" w:cs="宋体"/>
          <w:b/>
          <w:color w:val="auto"/>
          <w:kern w:val="0"/>
          <w:sz w:val="24"/>
          <w:szCs w:val="24"/>
          <w:highlight w:val="none"/>
        </w:rPr>
        <w:t>有权解除供货合同，不予支付货款，给</w:t>
      </w:r>
      <w:r>
        <w:rPr>
          <w:rFonts w:hint="eastAsia" w:ascii="宋体" w:hAnsi="宋体" w:eastAsia="宋体" w:cs="宋体"/>
          <w:b/>
          <w:color w:val="auto"/>
          <w:kern w:val="0"/>
          <w:sz w:val="24"/>
          <w:szCs w:val="24"/>
          <w:highlight w:val="none"/>
          <w:lang w:eastAsia="zh-CN"/>
        </w:rPr>
        <w:t>采购人</w:t>
      </w:r>
      <w:r>
        <w:rPr>
          <w:rFonts w:hint="eastAsia" w:ascii="宋体" w:hAnsi="宋体" w:eastAsia="宋体" w:cs="宋体"/>
          <w:b/>
          <w:color w:val="auto"/>
          <w:kern w:val="0"/>
          <w:sz w:val="24"/>
          <w:szCs w:val="24"/>
          <w:highlight w:val="none"/>
        </w:rPr>
        <w:t>造成的一切损失均由中标人全责承担。</w:t>
      </w:r>
    </w:p>
    <w:p w14:paraId="1C72A3C3">
      <w:pPr>
        <w:keepNext w:val="0"/>
        <w:keepLines w:val="0"/>
        <w:pageBreakBefore w:val="0"/>
        <w:widowControl w:val="0"/>
        <w:kinsoku/>
        <w:wordWrap/>
        <w:overflowPunct/>
        <w:topLinePunct w:val="0"/>
        <w:autoSpaceDE/>
        <w:autoSpaceDN/>
        <w:bidi w:val="0"/>
        <w:adjustRightInd/>
        <w:snapToGrid/>
        <w:spacing w:line="420" w:lineRule="exact"/>
        <w:ind w:left="0" w:leftChars="0" w:firstLine="482" w:firstLineChars="200"/>
        <w:textAlignment w:val="auto"/>
        <w:rPr>
          <w:rFonts w:hint="eastAsia"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val="en-US" w:eastAsia="zh-CN"/>
        </w:rPr>
        <w:t>8、</w:t>
      </w:r>
      <w:r>
        <w:rPr>
          <w:rFonts w:hint="eastAsia" w:ascii="宋体" w:hAnsi="宋体" w:eastAsia="宋体" w:cs="宋体"/>
          <w:b/>
          <w:color w:val="auto"/>
          <w:kern w:val="0"/>
          <w:sz w:val="24"/>
          <w:szCs w:val="24"/>
          <w:highlight w:val="none"/>
        </w:rPr>
        <w:t>本次采购核心品牌为：</w:t>
      </w:r>
      <w:r>
        <w:rPr>
          <w:rFonts w:hint="eastAsia" w:ascii="宋体" w:hAnsi="宋体" w:eastAsia="宋体" w:cs="宋体"/>
          <w:b/>
          <w:color w:val="auto"/>
          <w:kern w:val="0"/>
          <w:sz w:val="24"/>
          <w:szCs w:val="24"/>
          <w:highlight w:val="none"/>
          <w:u w:val="single"/>
          <w:lang w:val="en-US" w:eastAsia="zh-CN"/>
        </w:rPr>
        <w:t>内网超融合集群</w:t>
      </w:r>
      <w:r>
        <w:rPr>
          <w:rFonts w:hint="eastAsia" w:ascii="宋体" w:hAnsi="宋体" w:eastAsia="宋体" w:cs="宋体"/>
          <w:b/>
          <w:color w:val="auto"/>
          <w:kern w:val="0"/>
          <w:sz w:val="24"/>
          <w:szCs w:val="24"/>
          <w:highlight w:val="none"/>
          <w:lang w:val="en-US" w:eastAsia="zh-CN"/>
        </w:rPr>
        <w:t>（技术参数第789项，参数名称前标★的设备）。</w:t>
      </w:r>
    </w:p>
    <w:p w14:paraId="1F67A058">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jc w:val="left"/>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rPr>
        <w:t>9、</w:t>
      </w:r>
      <w:r>
        <w:rPr>
          <w:rFonts w:hint="eastAsia" w:ascii="宋体" w:hAnsi="宋体" w:eastAsia="宋体" w:cs="宋体"/>
          <w:b/>
          <w:bCs w:val="0"/>
          <w:color w:val="auto"/>
          <w:sz w:val="24"/>
          <w:szCs w:val="24"/>
          <w:highlight w:val="none"/>
        </w:rPr>
        <w:t>本项目采购</w:t>
      </w:r>
      <w:r>
        <w:rPr>
          <w:rFonts w:hint="eastAsia" w:ascii="宋体" w:hAnsi="宋体" w:eastAsia="宋体" w:cs="宋体"/>
          <w:b/>
          <w:bCs w:val="0"/>
          <w:color w:val="auto"/>
          <w:sz w:val="24"/>
          <w:szCs w:val="24"/>
          <w:highlight w:val="none"/>
          <w:lang w:val="en-US" w:eastAsia="zh-CN"/>
        </w:rPr>
        <w:t>主要</w:t>
      </w:r>
      <w:r>
        <w:rPr>
          <w:rFonts w:hint="eastAsia" w:ascii="宋体" w:hAnsi="宋体" w:eastAsia="宋体" w:cs="宋体"/>
          <w:b/>
          <w:bCs w:val="0"/>
          <w:color w:val="auto"/>
          <w:sz w:val="24"/>
          <w:szCs w:val="24"/>
          <w:highlight w:val="none"/>
        </w:rPr>
        <w:t>标的对应的中小企业划分标准所属行业</w:t>
      </w:r>
      <w:r>
        <w:rPr>
          <w:rFonts w:hint="eastAsia" w:ascii="宋体" w:hAnsi="宋体" w:eastAsia="宋体" w:cs="宋体"/>
          <w:b/>
          <w:bCs w:val="0"/>
          <w:color w:val="auto"/>
          <w:sz w:val="24"/>
          <w:szCs w:val="24"/>
          <w:highlight w:val="none"/>
          <w:lang w:eastAsia="zh-CN"/>
        </w:rPr>
        <w:t>详见“（一）总建设清单”表</w:t>
      </w:r>
      <w:r>
        <w:rPr>
          <w:rFonts w:hint="eastAsia" w:ascii="宋体" w:hAnsi="宋体" w:eastAsia="宋体" w:cs="宋体"/>
          <w:b/>
          <w:bCs w:val="0"/>
          <w:color w:val="auto"/>
          <w:sz w:val="24"/>
          <w:szCs w:val="24"/>
          <w:highlight w:val="none"/>
          <w:lang w:val="en-US" w:eastAsia="zh-CN"/>
        </w:rPr>
        <w:t>。</w:t>
      </w:r>
    </w:p>
    <w:p w14:paraId="20DF3CD3">
      <w:pPr>
        <w:keepNext w:val="0"/>
        <w:keepLines w:val="0"/>
        <w:pageBreakBefore w:val="0"/>
        <w:widowControl w:val="0"/>
        <w:kinsoku/>
        <w:wordWrap/>
        <w:overflowPunct/>
        <w:topLinePunct w:val="0"/>
        <w:autoSpaceDE/>
        <w:autoSpaceDN/>
        <w:bidi w:val="0"/>
        <w:adjustRightInd/>
        <w:snapToGrid/>
        <w:spacing w:line="420" w:lineRule="exact"/>
        <w:ind w:left="0" w:leftChars="0" w:firstLine="354" w:firstLineChars="147"/>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0</w:t>
      </w:r>
      <w:r>
        <w:rPr>
          <w:rFonts w:hint="eastAsia" w:ascii="宋体" w:hAnsi="宋体" w:eastAsia="宋体" w:cs="宋体"/>
          <w:b/>
          <w:color w:val="auto"/>
          <w:sz w:val="24"/>
          <w:szCs w:val="24"/>
          <w:highlight w:val="none"/>
        </w:rPr>
        <w:t>、现场临时设施</w:t>
      </w:r>
    </w:p>
    <w:p w14:paraId="09685ACE">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施工现场内的临时用电、临时用水由承包人自行施工，其材料费、电费、水费、维护费、修理费用由承包人自理，有关设备应符合安全规程规定，并对其安全运行使用负责。</w:t>
      </w:r>
    </w:p>
    <w:p w14:paraId="5F22A5C2">
      <w:pPr>
        <w:keepNext w:val="0"/>
        <w:keepLines w:val="0"/>
        <w:pageBreakBefore w:val="0"/>
        <w:widowControl w:val="0"/>
        <w:kinsoku/>
        <w:wordWrap/>
        <w:overflowPunct/>
        <w:topLinePunct w:val="0"/>
        <w:autoSpaceDE/>
        <w:autoSpaceDN/>
        <w:bidi w:val="0"/>
        <w:adjustRightInd/>
        <w:snapToGrid/>
        <w:spacing w:line="420" w:lineRule="exact"/>
        <w:ind w:left="0" w:leftChars="0" w:firstLine="354" w:firstLineChars="147"/>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11</w:t>
      </w:r>
      <w:r>
        <w:rPr>
          <w:rFonts w:hint="eastAsia" w:ascii="宋体" w:hAnsi="宋体" w:eastAsia="宋体" w:cs="宋体"/>
          <w:b/>
          <w:color w:val="auto"/>
          <w:sz w:val="24"/>
          <w:szCs w:val="24"/>
          <w:highlight w:val="none"/>
        </w:rPr>
        <w:t>、安全防护</w:t>
      </w:r>
    </w:p>
    <w:p w14:paraId="23979B0F">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在工程施工验收前的整个施工期间，中标人必须制定并实施必要的措施，保证工程现场施工安全。对不符合安全规程及本合同的安全隐患事故，</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有权向中标人提出干涉。中标人应根据国家颁布的各种安全规程，结合自己的实际，制订适合本工程的安全防护规程。在工程开工前，中标人应对有关人员进行安全作业教育，并在施工中及时解决安全作业中存在的问题。</w:t>
      </w:r>
    </w:p>
    <w:p w14:paraId="46AB3774">
      <w:pPr>
        <w:keepNext w:val="0"/>
        <w:keepLines w:val="0"/>
        <w:pageBreakBefore w:val="0"/>
        <w:widowControl w:val="0"/>
        <w:kinsoku/>
        <w:wordWrap/>
        <w:overflowPunct/>
        <w:topLinePunct w:val="0"/>
        <w:autoSpaceDE/>
        <w:autoSpaceDN/>
        <w:bidi w:val="0"/>
        <w:adjustRightInd/>
        <w:snapToGrid/>
        <w:spacing w:line="420" w:lineRule="exact"/>
        <w:ind w:left="0" w:leftChars="0" w:firstLine="354" w:firstLineChars="147"/>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12</w:t>
      </w:r>
      <w:r>
        <w:rPr>
          <w:rFonts w:hint="eastAsia" w:ascii="宋体" w:hAnsi="宋体" w:eastAsia="宋体" w:cs="宋体"/>
          <w:b/>
          <w:color w:val="auto"/>
          <w:sz w:val="24"/>
          <w:szCs w:val="24"/>
          <w:highlight w:val="none"/>
        </w:rPr>
        <w:t>、工程监督、检查、验收</w:t>
      </w:r>
    </w:p>
    <w:p w14:paraId="463A1DD5">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中标人应选派有经验的工程师对施工现场的各施工环节和完工工程质量进行监督检查。中标人的监督人员应及时向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报告检查中发现的问题，并提供必要的资料。经</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检查认为质量不合格时，中标人应按</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要求进行整修和返工，由此引起的工程延误和费用中标人自负。</w:t>
      </w:r>
    </w:p>
    <w:p w14:paraId="2DBB39A0">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Chars="0" w:firstLine="482" w:firstLineChars="200"/>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13、工程分包</w:t>
      </w:r>
    </w:p>
    <w:p w14:paraId="6301BDB8">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中包含的“指挥中心和智慧急救中心装潢工程”，必须由国家建设主管部门批准的具有相应施工资质的单位进行施工。如中标人不具备相应施工资质，必须分包给具备相应资质且证照齐全的分包单位完成。施工过程中的安全、进度、管理均由中标单位负责，由此产生的一切费用均由中标单位结算，招标人不再另行支付任何费用和承担任何责任。</w:t>
      </w:r>
    </w:p>
    <w:p w14:paraId="60FE68A3">
      <w:pPr>
        <w:keepNext w:val="0"/>
        <w:keepLines w:val="0"/>
        <w:pageBreakBefore w:val="0"/>
        <w:widowControl w:val="0"/>
        <w:kinsoku/>
        <w:wordWrap/>
        <w:overflowPunct/>
        <w:topLinePunct w:val="0"/>
        <w:autoSpaceDE/>
        <w:autoSpaceDN/>
        <w:bidi w:val="0"/>
        <w:adjustRightInd/>
        <w:snapToGrid/>
        <w:spacing w:line="420" w:lineRule="exact"/>
        <w:ind w:leftChars="0" w:firstLine="482" w:firstLineChars="200"/>
        <w:textAlignment w:val="auto"/>
        <w:rPr>
          <w:rFonts w:hint="eastAsia" w:ascii="宋体" w:hAnsi="宋体" w:eastAsia="宋体" w:cs="宋体"/>
          <w:b/>
          <w:color w:val="auto"/>
          <w:sz w:val="24"/>
          <w:szCs w:val="24"/>
          <w:highlight w:val="none"/>
          <w:lang w:eastAsia="zh-CN"/>
        </w:rPr>
      </w:pPr>
    </w:p>
    <w:p w14:paraId="362C7645">
      <w:pPr>
        <w:keepNext w:val="0"/>
        <w:keepLines w:val="0"/>
        <w:pageBreakBefore w:val="0"/>
        <w:widowControl w:val="0"/>
        <w:kinsoku/>
        <w:wordWrap/>
        <w:overflowPunct/>
        <w:topLinePunct w:val="0"/>
        <w:autoSpaceDE/>
        <w:autoSpaceDN/>
        <w:bidi w:val="0"/>
        <w:adjustRightInd/>
        <w:snapToGrid/>
        <w:spacing w:line="420" w:lineRule="exact"/>
        <w:ind w:lef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三</w:t>
      </w:r>
      <w:r>
        <w:rPr>
          <w:rFonts w:hint="eastAsia" w:ascii="宋体" w:hAnsi="宋体" w:eastAsia="宋体" w:cs="宋体"/>
          <w:b/>
          <w:color w:val="auto"/>
          <w:sz w:val="24"/>
          <w:szCs w:val="24"/>
          <w:highlight w:val="none"/>
        </w:rPr>
        <w:t>、质量、标准等相关要求</w:t>
      </w:r>
    </w:p>
    <w:p w14:paraId="3CA7E504">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1、所有</w:t>
      </w:r>
      <w:r>
        <w:rPr>
          <w:rFonts w:hint="eastAsia" w:ascii="宋体" w:hAnsi="宋体" w:eastAsia="宋体" w:cs="宋体"/>
          <w:color w:val="auto"/>
          <w:sz w:val="24"/>
          <w:szCs w:val="24"/>
          <w:highlight w:val="none"/>
          <w:lang w:eastAsia="zh-CN"/>
        </w:rPr>
        <w:t>硬件</w:t>
      </w:r>
      <w:r>
        <w:rPr>
          <w:rFonts w:hint="eastAsia" w:ascii="宋体" w:hAnsi="宋体" w:eastAsia="宋体" w:cs="宋体"/>
          <w:color w:val="auto"/>
          <w:sz w:val="24"/>
          <w:szCs w:val="24"/>
          <w:highlight w:val="none"/>
        </w:rPr>
        <w:t>设备必须是原厂未拆封正品行货，否则</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可拒收货物，并按规定重新确定</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w:t>
      </w:r>
    </w:p>
    <w:p w14:paraId="40A6B36D">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2、本次招标所有设备应按照采购清单、技术指标或参数要求供应，选择使用寿命长、品质佳、性能价格优的设备，并需对</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涉及到的专利负责，保证在任何情况下，不伤害</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利益。</w:t>
      </w:r>
    </w:p>
    <w:p w14:paraId="109DAC49">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软件和</w:t>
      </w:r>
      <w:r>
        <w:rPr>
          <w:rFonts w:hint="eastAsia" w:ascii="宋体" w:hAnsi="宋体" w:eastAsia="宋体" w:cs="宋体"/>
          <w:color w:val="auto"/>
          <w:sz w:val="24"/>
          <w:szCs w:val="24"/>
          <w:highlight w:val="none"/>
        </w:rPr>
        <w:t>设备标准、规范：所供</w:t>
      </w:r>
      <w:r>
        <w:rPr>
          <w:rFonts w:hint="eastAsia" w:ascii="宋体" w:hAnsi="宋体" w:eastAsia="宋体" w:cs="宋体"/>
          <w:color w:val="auto"/>
          <w:sz w:val="24"/>
          <w:szCs w:val="24"/>
          <w:highlight w:val="none"/>
          <w:lang w:eastAsia="zh-CN"/>
        </w:rPr>
        <w:t>软件和</w:t>
      </w:r>
      <w:r>
        <w:rPr>
          <w:rFonts w:hint="eastAsia" w:ascii="宋体" w:hAnsi="宋体" w:eastAsia="宋体" w:cs="宋体"/>
          <w:color w:val="auto"/>
          <w:sz w:val="24"/>
          <w:szCs w:val="24"/>
          <w:highlight w:val="none"/>
        </w:rPr>
        <w:t>设备的技术规格及性能，包括</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从其他厂商购来的</w:t>
      </w:r>
      <w:r>
        <w:rPr>
          <w:rFonts w:hint="eastAsia" w:ascii="宋体" w:hAnsi="宋体" w:eastAsia="宋体" w:cs="宋体"/>
          <w:color w:val="auto"/>
          <w:sz w:val="24"/>
          <w:szCs w:val="24"/>
          <w:highlight w:val="none"/>
          <w:lang w:eastAsia="zh-CN"/>
        </w:rPr>
        <w:t>软件和</w:t>
      </w:r>
      <w:r>
        <w:rPr>
          <w:rFonts w:hint="eastAsia" w:ascii="宋体" w:hAnsi="宋体" w:eastAsia="宋体" w:cs="宋体"/>
          <w:color w:val="auto"/>
          <w:sz w:val="24"/>
          <w:szCs w:val="24"/>
          <w:highlight w:val="none"/>
        </w:rPr>
        <w:t>设备及各</w:t>
      </w:r>
      <w:r>
        <w:rPr>
          <w:rFonts w:hint="eastAsia" w:ascii="宋体" w:hAnsi="宋体" w:eastAsia="宋体" w:cs="宋体"/>
          <w:color w:val="auto"/>
          <w:sz w:val="24"/>
          <w:szCs w:val="24"/>
          <w:highlight w:val="none"/>
          <w:lang w:eastAsia="zh-CN"/>
        </w:rPr>
        <w:t>配件</w:t>
      </w:r>
      <w:r>
        <w:rPr>
          <w:rFonts w:hint="eastAsia" w:ascii="宋体" w:hAnsi="宋体" w:eastAsia="宋体" w:cs="宋体"/>
          <w:color w:val="auto"/>
          <w:sz w:val="24"/>
          <w:szCs w:val="24"/>
          <w:highlight w:val="none"/>
        </w:rPr>
        <w:t>都应符合和满足本</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的技术性能要求，若技术规格中无相应规定，则应符合相应的国家标准或有关部门最新颁布的相应的最新标准。</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应根据规范的技术要求，结合使用功能和国家现行标准规范，</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需详细列出所报</w:t>
      </w:r>
      <w:r>
        <w:rPr>
          <w:rFonts w:hint="eastAsia" w:ascii="宋体" w:hAnsi="宋体" w:eastAsia="宋体" w:cs="宋体"/>
          <w:color w:val="auto"/>
          <w:sz w:val="24"/>
          <w:szCs w:val="24"/>
          <w:highlight w:val="none"/>
          <w:lang w:eastAsia="zh-CN"/>
        </w:rPr>
        <w:t>软件和</w:t>
      </w:r>
      <w:r>
        <w:rPr>
          <w:rFonts w:hint="eastAsia" w:ascii="宋体" w:hAnsi="宋体" w:eastAsia="宋体" w:cs="宋体"/>
          <w:color w:val="auto"/>
          <w:sz w:val="24"/>
          <w:szCs w:val="24"/>
          <w:highlight w:val="none"/>
        </w:rPr>
        <w:t>设备的产地、规格、数量、单价、合价等。</w:t>
      </w:r>
    </w:p>
    <w:p w14:paraId="723907C2">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软件和</w:t>
      </w:r>
      <w:r>
        <w:rPr>
          <w:rFonts w:hint="eastAsia" w:ascii="宋体" w:hAnsi="宋体" w:eastAsia="宋体" w:cs="宋体"/>
          <w:color w:val="auto"/>
          <w:sz w:val="24"/>
          <w:szCs w:val="24"/>
          <w:highlight w:val="none"/>
        </w:rPr>
        <w:t>设备供货时要充分考虑相应验收规范要求，若因</w:t>
      </w:r>
      <w:r>
        <w:rPr>
          <w:rFonts w:hint="eastAsia" w:ascii="宋体" w:hAnsi="宋体" w:eastAsia="宋体" w:cs="宋体"/>
          <w:color w:val="auto"/>
          <w:sz w:val="24"/>
          <w:szCs w:val="24"/>
          <w:highlight w:val="none"/>
          <w:lang w:eastAsia="zh-CN"/>
        </w:rPr>
        <w:t>软件和</w:t>
      </w:r>
      <w:r>
        <w:rPr>
          <w:rFonts w:hint="eastAsia" w:ascii="宋体" w:hAnsi="宋体" w:eastAsia="宋体" w:cs="宋体"/>
          <w:color w:val="auto"/>
          <w:sz w:val="24"/>
          <w:szCs w:val="24"/>
          <w:highlight w:val="none"/>
        </w:rPr>
        <w:t>设备原因造成不能通过验收，</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应承担全部责任。</w:t>
      </w:r>
    </w:p>
    <w:p w14:paraId="342FE7BF">
      <w:pPr>
        <w:keepNext w:val="0"/>
        <w:keepLines w:val="0"/>
        <w:pageBreakBefore w:val="0"/>
        <w:widowControl w:val="0"/>
        <w:kinsoku/>
        <w:wordWrap/>
        <w:overflowPunct/>
        <w:topLinePunct w:val="0"/>
        <w:autoSpaceDE/>
        <w:autoSpaceDN/>
        <w:bidi w:val="0"/>
        <w:adjustRightInd/>
        <w:snapToGrid/>
        <w:spacing w:line="420" w:lineRule="exact"/>
        <w:ind w:leftChars="0" w:firstLine="482" w:firstLineChars="200"/>
        <w:textAlignment w:val="auto"/>
        <w:rPr>
          <w:rFonts w:hint="eastAsia" w:ascii="宋体" w:hAnsi="宋体" w:eastAsia="宋体" w:cs="宋体"/>
          <w:b/>
          <w:color w:val="auto"/>
          <w:sz w:val="24"/>
          <w:szCs w:val="24"/>
          <w:highlight w:val="none"/>
          <w:lang w:eastAsia="zh-CN"/>
        </w:rPr>
      </w:pPr>
    </w:p>
    <w:p w14:paraId="4C19DDD3">
      <w:pPr>
        <w:keepNext w:val="0"/>
        <w:keepLines w:val="0"/>
        <w:pageBreakBefore w:val="0"/>
        <w:widowControl w:val="0"/>
        <w:kinsoku/>
        <w:wordWrap/>
        <w:overflowPunct/>
        <w:topLinePunct w:val="0"/>
        <w:autoSpaceDE/>
        <w:autoSpaceDN/>
        <w:bidi w:val="0"/>
        <w:adjustRightInd/>
        <w:snapToGrid/>
        <w:spacing w:line="420" w:lineRule="exact"/>
        <w:ind w:lef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四</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eastAsia="zh-CN"/>
        </w:rPr>
        <w:t>中标人</w:t>
      </w:r>
      <w:r>
        <w:rPr>
          <w:rFonts w:hint="eastAsia" w:ascii="宋体" w:hAnsi="宋体" w:eastAsia="宋体" w:cs="宋体"/>
          <w:b/>
          <w:color w:val="auto"/>
          <w:sz w:val="24"/>
          <w:szCs w:val="24"/>
          <w:highlight w:val="none"/>
        </w:rPr>
        <w:t>的职责</w:t>
      </w:r>
    </w:p>
    <w:p w14:paraId="1414B9B3">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应提供必须的附件，专用工具及仪表以保证设备的正常工作。其品种与数量应列出清单。</w:t>
      </w:r>
    </w:p>
    <w:p w14:paraId="6470290E">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2、上述所提供的附件、工具和仪表应是全新的新式的；并提供完整的资料。</w:t>
      </w:r>
    </w:p>
    <w:p w14:paraId="0C27752A">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3、在安装期间</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应派有经验的技术人员到现场进行指导。</w:t>
      </w:r>
    </w:p>
    <w:p w14:paraId="09FD8E23">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在交货时应提供详细的中文使用说明书及维护保养手册。</w:t>
      </w:r>
    </w:p>
    <w:p w14:paraId="64623780">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5、要求中标单位在合同生效日起，在总体验收、运行保修等方面进行全过程跟踪服务并配合</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完成项目且通过有关部门的审查、审批要求。</w:t>
      </w:r>
    </w:p>
    <w:p w14:paraId="66928105">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6、中标单位负责本次采购中涉及软件正版化。如中标单位使用非正版软件，由此产生的一切风险均由中标方承担；如发生损失的，采购方保留依法追诉的权利。</w:t>
      </w:r>
    </w:p>
    <w:p w14:paraId="01008058">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7、接口免费条款。承诺免费运维期内接口免费，若本次采购内容因国家、行业、省、市政策变化而产生接口对接要求，在项目运行维护期内，承建厂商应免费提供对接服务。</w:t>
      </w:r>
    </w:p>
    <w:p w14:paraId="675E09D5">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8、互联互通测评服务需支持。承建厂商需协助进行省级、国家区域信息互联互通四级测评，提供专家指导服务、集成协调服务、测评申报服务、定量测评服务、文审支持服务和现场测评服务。</w:t>
      </w:r>
    </w:p>
    <w:p w14:paraId="047720C9">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9、项目建设需符合信创要求。</w:t>
      </w:r>
    </w:p>
    <w:p w14:paraId="789F5E36">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10、中标单位做好实地考察，原则上不得替换牵头医院和成员单位正常正在使用的软件系统，不重复建设；本方案中涉及到重复要求或重复描述的功能不重复建设，做好系统对接满足建设需求。</w:t>
      </w:r>
    </w:p>
    <w:p w14:paraId="4B812E8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color w:val="auto"/>
          <w:sz w:val="24"/>
          <w:szCs w:val="24"/>
          <w:highlight w:val="none"/>
          <w:lang w:eastAsia="zh-CN"/>
        </w:rPr>
      </w:pPr>
    </w:p>
    <w:p w14:paraId="10EADA9A">
      <w:pPr>
        <w:keepNext w:val="0"/>
        <w:keepLines w:val="0"/>
        <w:pageBreakBefore w:val="0"/>
        <w:widowControl w:val="0"/>
        <w:kinsoku/>
        <w:wordWrap/>
        <w:overflowPunct/>
        <w:topLinePunct w:val="0"/>
        <w:autoSpaceDE/>
        <w:autoSpaceDN/>
        <w:bidi w:val="0"/>
        <w:adjustRightInd/>
        <w:snapToGrid/>
        <w:spacing w:line="420" w:lineRule="exact"/>
        <w:ind w:lef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五</w:t>
      </w:r>
      <w:r>
        <w:rPr>
          <w:rFonts w:hint="eastAsia" w:ascii="宋体" w:hAnsi="宋体" w:eastAsia="宋体" w:cs="宋体"/>
          <w:b/>
          <w:color w:val="auto"/>
          <w:sz w:val="24"/>
          <w:szCs w:val="24"/>
          <w:highlight w:val="none"/>
        </w:rPr>
        <w:t>、商务要求</w:t>
      </w:r>
    </w:p>
    <w:p w14:paraId="34A2921D">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必须提供本</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中所要求提供的全部</w:t>
      </w:r>
      <w:r>
        <w:rPr>
          <w:rFonts w:hint="eastAsia" w:ascii="宋体" w:hAnsi="宋体" w:eastAsia="宋体" w:cs="宋体"/>
          <w:color w:val="auto"/>
          <w:sz w:val="24"/>
          <w:szCs w:val="24"/>
          <w:highlight w:val="none"/>
          <w:lang w:eastAsia="zh-CN"/>
        </w:rPr>
        <w:t>货物（含软件）</w:t>
      </w:r>
      <w:r>
        <w:rPr>
          <w:rFonts w:hint="eastAsia" w:ascii="宋体" w:hAnsi="宋体" w:eastAsia="宋体" w:cs="宋体"/>
          <w:color w:val="auto"/>
          <w:sz w:val="24"/>
          <w:szCs w:val="24"/>
          <w:highlight w:val="none"/>
        </w:rPr>
        <w:t>、配件、一切衍生服务、施工、材料及工具。所有采购设备均须符合国家现行标准等相关部门最新颁布的最新合格标准和本次</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要求；所有产品质量保修期均自验收交货使用之日起计算，质保期内因质量引起的所有损失均由</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负责。</w:t>
      </w:r>
    </w:p>
    <w:p w14:paraId="3541511C">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2、要求</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提供的其它伴随服务（或义务）：</w:t>
      </w:r>
    </w:p>
    <w:p w14:paraId="299DD5FA">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必须按照合同的规定，准时提供</w:t>
      </w:r>
      <w:r>
        <w:rPr>
          <w:rFonts w:hint="eastAsia" w:ascii="宋体" w:hAnsi="宋体" w:eastAsia="宋体" w:cs="宋体"/>
          <w:color w:val="auto"/>
          <w:sz w:val="24"/>
          <w:szCs w:val="24"/>
          <w:highlight w:val="none"/>
          <w:lang w:eastAsia="zh-CN"/>
        </w:rPr>
        <w:t>货物（含软件）</w:t>
      </w:r>
      <w:r>
        <w:rPr>
          <w:rFonts w:hint="eastAsia" w:ascii="宋体" w:hAnsi="宋体" w:eastAsia="宋体" w:cs="宋体"/>
          <w:color w:val="auto"/>
          <w:sz w:val="24"/>
          <w:szCs w:val="24"/>
          <w:highlight w:val="none"/>
        </w:rPr>
        <w:t>、配件、材料、工具、施工安装及各种技术资料，并负责所供</w:t>
      </w:r>
      <w:r>
        <w:rPr>
          <w:rFonts w:hint="eastAsia" w:ascii="宋体" w:hAnsi="宋体" w:eastAsia="宋体" w:cs="宋体"/>
          <w:color w:val="auto"/>
          <w:sz w:val="24"/>
          <w:szCs w:val="24"/>
          <w:highlight w:val="none"/>
          <w:lang w:eastAsia="zh-CN"/>
        </w:rPr>
        <w:t>货物（含软件）</w:t>
      </w:r>
      <w:r>
        <w:rPr>
          <w:rFonts w:hint="eastAsia" w:ascii="宋体" w:hAnsi="宋体" w:eastAsia="宋体" w:cs="宋体"/>
          <w:color w:val="auto"/>
          <w:sz w:val="24"/>
          <w:szCs w:val="24"/>
          <w:highlight w:val="none"/>
        </w:rPr>
        <w:t>、配件、材料及工具的</w:t>
      </w:r>
      <w:r>
        <w:rPr>
          <w:rFonts w:hint="eastAsia" w:ascii="宋体" w:hAnsi="宋体" w:eastAsia="宋体" w:cs="宋体"/>
          <w:color w:val="auto"/>
          <w:sz w:val="24"/>
          <w:szCs w:val="24"/>
          <w:highlight w:val="none"/>
          <w:lang w:eastAsia="zh-CN"/>
        </w:rPr>
        <w:t>开发、</w:t>
      </w:r>
      <w:r>
        <w:rPr>
          <w:rFonts w:hint="eastAsia" w:ascii="宋体" w:hAnsi="宋体" w:eastAsia="宋体" w:cs="宋体"/>
          <w:color w:val="auto"/>
          <w:sz w:val="24"/>
          <w:szCs w:val="24"/>
          <w:highlight w:val="none"/>
        </w:rPr>
        <w:t>包装、运输、安装、</w:t>
      </w:r>
      <w:r>
        <w:rPr>
          <w:rFonts w:hint="eastAsia" w:ascii="宋体" w:hAnsi="宋体" w:eastAsia="宋体" w:cs="宋体"/>
          <w:color w:val="auto"/>
          <w:sz w:val="24"/>
          <w:szCs w:val="24"/>
          <w:highlight w:val="none"/>
          <w:lang w:eastAsia="zh-CN"/>
        </w:rPr>
        <w:t>调试（含测试）</w:t>
      </w:r>
      <w:r>
        <w:rPr>
          <w:rFonts w:hint="eastAsia" w:ascii="宋体" w:hAnsi="宋体" w:eastAsia="宋体" w:cs="宋体"/>
          <w:color w:val="auto"/>
          <w:sz w:val="24"/>
          <w:szCs w:val="24"/>
          <w:highlight w:val="none"/>
        </w:rPr>
        <w:t>、培训、维护、检修、施工工程作业、售后等一切衍生服务。上述所有配件、服务报价应包含在本次</w:t>
      </w:r>
      <w:r>
        <w:rPr>
          <w:rFonts w:hint="eastAsia" w:ascii="宋体" w:hAnsi="宋体" w:eastAsia="宋体" w:cs="宋体"/>
          <w:color w:val="auto"/>
          <w:sz w:val="24"/>
          <w:szCs w:val="24"/>
          <w:highlight w:val="none"/>
          <w:lang w:eastAsia="zh-CN"/>
        </w:rPr>
        <w:t>响应报价</w:t>
      </w:r>
      <w:r>
        <w:rPr>
          <w:rFonts w:hint="eastAsia" w:ascii="宋体" w:hAnsi="宋体" w:eastAsia="宋体" w:cs="宋体"/>
          <w:color w:val="auto"/>
          <w:sz w:val="24"/>
          <w:szCs w:val="24"/>
          <w:highlight w:val="none"/>
        </w:rPr>
        <w:t>中，不另外计费。</w:t>
      </w:r>
    </w:p>
    <w:p w14:paraId="0900581C">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4、验收</w:t>
      </w:r>
    </w:p>
    <w:p w14:paraId="41702D05">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①验收标准：生产厂家的产品（参数）说明书、产品合格证书、质保书、检测合格报告及技术资料等；中华人民共和国国家标准；其他国家或地方最新规范标准；当地技术监督管理部门要求的规范；</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及合同的约定；</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的承诺。上述规范标准如在执行时发生矛盾的，按较高标准执行。</w:t>
      </w:r>
    </w:p>
    <w:p w14:paraId="60A80261">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lang w:eastAsia="zh-CN"/>
        </w:rPr>
        <w:t>货物（含配件）</w:t>
      </w:r>
      <w:r>
        <w:rPr>
          <w:rFonts w:hint="eastAsia" w:ascii="宋体" w:hAnsi="宋体" w:eastAsia="宋体" w:cs="宋体"/>
          <w:color w:val="auto"/>
          <w:sz w:val="24"/>
          <w:szCs w:val="24"/>
          <w:highlight w:val="none"/>
        </w:rPr>
        <w:t>货到初步验收：货物送达约定的安装地点后,由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进行基本质量、数量及参数型号的验收(但不作为最终合格的保证)。该验收应达到合同和</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规定的要求。初步验收后货物仍由</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负责保管。</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对货物安装调试过程，应作详细检验记录。安装调试检验结果应符合生产厂产品标准及合同、</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要求。检验记录须提供给</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w:t>
      </w:r>
    </w:p>
    <w:p w14:paraId="369D9DC5">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③</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最终正式验收：</w:t>
      </w:r>
      <w:r>
        <w:rPr>
          <w:rFonts w:hint="eastAsia" w:ascii="宋体" w:hAnsi="宋体" w:eastAsia="宋体" w:cs="宋体"/>
          <w:color w:val="auto"/>
          <w:sz w:val="24"/>
          <w:szCs w:val="24"/>
          <w:highlight w:val="none"/>
          <w:lang w:eastAsia="zh-CN"/>
        </w:rPr>
        <w:t>软件和货物（含配件）开发、</w:t>
      </w:r>
      <w:r>
        <w:rPr>
          <w:rFonts w:hint="eastAsia" w:ascii="宋体" w:hAnsi="宋体" w:eastAsia="宋体" w:cs="宋体"/>
          <w:color w:val="auto"/>
          <w:sz w:val="24"/>
          <w:szCs w:val="24"/>
          <w:highlight w:val="none"/>
        </w:rPr>
        <w:t>安装</w:t>
      </w:r>
      <w:r>
        <w:rPr>
          <w:rFonts w:hint="eastAsia" w:ascii="宋体" w:hAnsi="宋体" w:eastAsia="宋体" w:cs="宋体"/>
          <w:color w:val="auto"/>
          <w:sz w:val="24"/>
          <w:szCs w:val="24"/>
          <w:highlight w:val="none"/>
          <w:lang w:eastAsia="zh-CN"/>
        </w:rPr>
        <w:t>调试（含测试）</w:t>
      </w:r>
      <w:r>
        <w:rPr>
          <w:rFonts w:hint="eastAsia" w:ascii="宋体" w:hAnsi="宋体" w:eastAsia="宋体" w:cs="宋体"/>
          <w:color w:val="auto"/>
          <w:sz w:val="24"/>
          <w:szCs w:val="24"/>
          <w:highlight w:val="none"/>
        </w:rPr>
        <w:t>和试运行结束后，由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会同</w:t>
      </w:r>
      <w:r>
        <w:rPr>
          <w:rFonts w:hint="eastAsia" w:ascii="宋体" w:hAnsi="宋体" w:eastAsia="宋体" w:cs="宋体"/>
          <w:color w:val="auto"/>
          <w:sz w:val="24"/>
          <w:szCs w:val="24"/>
          <w:highlight w:val="none"/>
          <w:lang w:eastAsia="zh-CN"/>
        </w:rPr>
        <w:t>政府相关监管部门及</w:t>
      </w:r>
      <w:r>
        <w:rPr>
          <w:rFonts w:hint="eastAsia" w:ascii="宋体" w:hAnsi="宋体" w:eastAsia="宋体" w:cs="宋体"/>
          <w:color w:val="auto"/>
          <w:sz w:val="24"/>
          <w:szCs w:val="24"/>
          <w:highlight w:val="none"/>
        </w:rPr>
        <w:t>中标</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按规定的标准及要求对整个项目进行联合验收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验收应符合本</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及合同的要求，验收费用由</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承担。</w:t>
      </w:r>
    </w:p>
    <w:p w14:paraId="7542ECD0">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④</w:t>
      </w:r>
      <w:r>
        <w:rPr>
          <w:rFonts w:hint="eastAsia" w:ascii="宋体" w:hAnsi="宋体" w:eastAsia="宋体" w:cs="宋体"/>
          <w:color w:val="auto"/>
          <w:sz w:val="24"/>
          <w:szCs w:val="24"/>
          <w:highlight w:val="none"/>
          <w:lang w:eastAsia="zh-CN"/>
        </w:rPr>
        <w:t>软件运行测试：</w:t>
      </w:r>
      <w:r>
        <w:rPr>
          <w:rFonts w:hint="eastAsia" w:ascii="宋体" w:hAnsi="宋体" w:eastAsia="宋体" w:cs="宋体"/>
          <w:color w:val="auto"/>
          <w:sz w:val="24"/>
          <w:szCs w:val="24"/>
          <w:highlight w:val="none"/>
          <w:lang w:val="en-US" w:eastAsia="zh-CN"/>
        </w:rPr>
        <w:t>采购人或采购人委托的第三方监理（或测试）单位选派出软件测试人员，编制针对本次采购的测试计划和测试用例后，依据测试计划和测试用例对本次采购系统、软件等系统进行测试活动。</w:t>
      </w:r>
    </w:p>
    <w:p w14:paraId="3DCAC9D9">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4.1集成测试、系统测试阶段</w:t>
      </w:r>
    </w:p>
    <w:p w14:paraId="5B861A1A">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该阶段测试人员每天提交缺陷，并跟踪缺陷，验证缺陷，直到提交的缺陷被关闭或被保留。开发人员周期性提交修改过缺陷的新版本，测试人员在新版本上验证缺陷。</w:t>
      </w:r>
    </w:p>
    <w:p w14:paraId="1C0F445F">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4.2回归测试阶段</w:t>
      </w:r>
    </w:p>
    <w:p w14:paraId="6FEACA0D">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集成测试、系统测试阶段完成后，产品将进入回归测试阶段。测试人员对修改后的产品进行重新功能验证，确保修改的正确性，验证在修改缺陷的同时没有引入新的问题。回归缺陷是指开发人员标示已修改的缺陷，经测试后发现仍未修改正确，或引入其他缺陷，或在前一个版本中未发现的缺陷，在后一个版本中出现。</w:t>
      </w:r>
    </w:p>
    <w:p w14:paraId="595BB77D">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 性能测试</w:t>
      </w:r>
    </w:p>
    <w:p w14:paraId="24F2EA0A">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各系统至少进行2轮性能测试，测试通过后再进行一轮回归测试，确保功能的正确性。</w:t>
      </w:r>
    </w:p>
    <w:p w14:paraId="0F7D425A">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5、培训</w:t>
      </w:r>
    </w:p>
    <w:p w14:paraId="14B2D8B6">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应结合</w:t>
      </w:r>
      <w:r>
        <w:rPr>
          <w:rFonts w:hint="eastAsia" w:ascii="宋体" w:hAnsi="宋体" w:eastAsia="宋体" w:cs="宋体"/>
          <w:color w:val="auto"/>
          <w:sz w:val="24"/>
          <w:szCs w:val="24"/>
          <w:highlight w:val="none"/>
          <w:lang w:eastAsia="zh-CN"/>
        </w:rPr>
        <w:t>软件和货物（含配件）</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开发、</w:t>
      </w:r>
      <w:r>
        <w:rPr>
          <w:rFonts w:hint="eastAsia" w:ascii="宋体" w:hAnsi="宋体" w:eastAsia="宋体" w:cs="宋体"/>
          <w:color w:val="auto"/>
          <w:sz w:val="24"/>
          <w:szCs w:val="24"/>
          <w:highlight w:val="none"/>
        </w:rPr>
        <w:t>安装、</w:t>
      </w:r>
      <w:r>
        <w:rPr>
          <w:rFonts w:hint="eastAsia" w:ascii="宋体" w:hAnsi="宋体" w:eastAsia="宋体" w:cs="宋体"/>
          <w:color w:val="auto"/>
          <w:sz w:val="24"/>
          <w:szCs w:val="24"/>
          <w:highlight w:val="none"/>
          <w:lang w:eastAsia="zh-CN"/>
        </w:rPr>
        <w:t>调试（含测试）</w:t>
      </w:r>
      <w:r>
        <w:rPr>
          <w:rFonts w:hint="eastAsia" w:ascii="宋体" w:hAnsi="宋体" w:eastAsia="宋体" w:cs="宋体"/>
          <w:color w:val="auto"/>
          <w:sz w:val="24"/>
          <w:szCs w:val="24"/>
          <w:highlight w:val="none"/>
        </w:rPr>
        <w:t>及试运行过程，有计划地对</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派出的管理、维护人员进行</w:t>
      </w:r>
      <w:r>
        <w:rPr>
          <w:rFonts w:hint="eastAsia" w:ascii="宋体" w:hAnsi="宋体" w:eastAsia="宋体" w:cs="宋体"/>
          <w:color w:val="auto"/>
          <w:sz w:val="24"/>
          <w:szCs w:val="24"/>
          <w:highlight w:val="none"/>
          <w:lang w:eastAsia="zh-CN"/>
        </w:rPr>
        <w:t>软件和货物（含配件）</w:t>
      </w:r>
      <w:r>
        <w:rPr>
          <w:rFonts w:hint="eastAsia" w:ascii="宋体" w:hAnsi="宋体" w:eastAsia="宋体" w:cs="宋体"/>
          <w:color w:val="auto"/>
          <w:sz w:val="24"/>
          <w:szCs w:val="24"/>
          <w:highlight w:val="none"/>
        </w:rPr>
        <w:t>的基本知识、使用、维护及保养技术的现场培训（包括技术监督和针对性的培训）以保证货物的良好运行。同时须提供维修培训。技术培训费用应包含在本次</w:t>
      </w:r>
      <w:r>
        <w:rPr>
          <w:rFonts w:hint="eastAsia" w:ascii="宋体" w:hAnsi="宋体" w:eastAsia="宋体" w:cs="宋体"/>
          <w:color w:val="auto"/>
          <w:sz w:val="24"/>
          <w:szCs w:val="24"/>
          <w:highlight w:val="none"/>
          <w:lang w:eastAsia="zh-CN"/>
        </w:rPr>
        <w:t>响应报价</w:t>
      </w:r>
      <w:r>
        <w:rPr>
          <w:rFonts w:hint="eastAsia" w:ascii="宋体" w:hAnsi="宋体" w:eastAsia="宋体" w:cs="宋体"/>
          <w:color w:val="auto"/>
          <w:sz w:val="24"/>
          <w:szCs w:val="24"/>
          <w:highlight w:val="none"/>
        </w:rPr>
        <w:t>中。</w:t>
      </w:r>
    </w:p>
    <w:p w14:paraId="786E3352">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6、保修期及售后服务</w:t>
      </w:r>
    </w:p>
    <w:p w14:paraId="62C27395">
      <w:pPr>
        <w:keepNext w:val="0"/>
        <w:keepLines w:val="0"/>
        <w:pageBreakBefore w:val="0"/>
        <w:widowControl w:val="0"/>
        <w:kinsoku/>
        <w:wordWrap/>
        <w:overflowPunct/>
        <w:topLinePunct w:val="0"/>
        <w:autoSpaceDE/>
        <w:autoSpaceDN/>
        <w:bidi w:val="0"/>
        <w:adjustRightInd/>
        <w:snapToGrid/>
        <w:spacing w:line="420" w:lineRule="exact"/>
        <w:ind w:leftChars="0"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rPr>
        <w:t>6.1质保期：所有产品质量保修期均自交货验收</w:t>
      </w:r>
      <w:r>
        <w:rPr>
          <w:rFonts w:hint="eastAsia" w:ascii="宋体" w:hAnsi="宋体" w:eastAsia="宋体" w:cs="宋体"/>
          <w:b/>
          <w:bCs/>
          <w:color w:val="auto"/>
          <w:sz w:val="24"/>
          <w:szCs w:val="24"/>
          <w:highlight w:val="none"/>
          <w:lang w:eastAsia="zh-CN"/>
        </w:rPr>
        <w:t>合格并正式投入</w:t>
      </w:r>
      <w:r>
        <w:rPr>
          <w:rFonts w:hint="eastAsia" w:ascii="宋体" w:hAnsi="宋体" w:eastAsia="宋体" w:cs="宋体"/>
          <w:b/>
          <w:bCs/>
          <w:color w:val="auto"/>
          <w:sz w:val="24"/>
          <w:szCs w:val="24"/>
          <w:highlight w:val="none"/>
        </w:rPr>
        <w:t>使用之日起计算，货物</w:t>
      </w:r>
      <w:r>
        <w:rPr>
          <w:rFonts w:hint="eastAsia" w:ascii="宋体" w:hAnsi="宋体" w:eastAsia="宋体" w:cs="宋体"/>
          <w:b/>
          <w:bCs/>
          <w:color w:val="auto"/>
          <w:sz w:val="24"/>
          <w:szCs w:val="24"/>
          <w:highlight w:val="none"/>
          <w:lang w:eastAsia="zh-CN"/>
        </w:rPr>
        <w:t>硬件（含配件）</w:t>
      </w:r>
      <w:r>
        <w:rPr>
          <w:rFonts w:hint="eastAsia" w:ascii="宋体" w:hAnsi="宋体" w:eastAsia="宋体" w:cs="宋体"/>
          <w:b/>
          <w:bCs/>
          <w:color w:val="auto"/>
          <w:sz w:val="24"/>
          <w:szCs w:val="24"/>
          <w:highlight w:val="none"/>
        </w:rPr>
        <w:t>免费质保期</w:t>
      </w:r>
      <w:r>
        <w:rPr>
          <w:rFonts w:hint="eastAsia" w:ascii="宋体" w:hAnsi="宋体" w:eastAsia="宋体" w:cs="宋体"/>
          <w:b/>
          <w:bCs/>
          <w:color w:val="auto"/>
          <w:sz w:val="24"/>
          <w:szCs w:val="24"/>
          <w:highlight w:val="none"/>
          <w:lang w:eastAsia="zh-CN"/>
        </w:rPr>
        <w:t>为五</w:t>
      </w:r>
      <w:r>
        <w:rPr>
          <w:rFonts w:hint="eastAsia" w:ascii="宋体" w:hAnsi="宋体" w:eastAsia="宋体" w:cs="宋体"/>
          <w:b/>
          <w:bCs/>
          <w:color w:val="auto"/>
          <w:sz w:val="24"/>
          <w:szCs w:val="24"/>
          <w:highlight w:val="none"/>
        </w:rPr>
        <w:t>年</w:t>
      </w:r>
      <w:r>
        <w:rPr>
          <w:rFonts w:hint="eastAsia" w:ascii="宋体" w:hAnsi="宋体" w:eastAsia="宋体" w:cs="宋体"/>
          <w:b/>
          <w:bCs/>
          <w:color w:val="auto"/>
          <w:sz w:val="24"/>
          <w:szCs w:val="24"/>
          <w:highlight w:val="none"/>
          <w:lang w:eastAsia="zh-CN"/>
        </w:rPr>
        <w:t>、软件及其他合同内容</w:t>
      </w:r>
      <w:r>
        <w:rPr>
          <w:rFonts w:hint="eastAsia" w:ascii="宋体" w:hAnsi="宋体" w:eastAsia="宋体" w:cs="宋体"/>
          <w:b/>
          <w:bCs/>
          <w:color w:val="auto"/>
          <w:sz w:val="24"/>
          <w:szCs w:val="24"/>
          <w:highlight w:val="none"/>
        </w:rPr>
        <w:t>免费质保期</w:t>
      </w:r>
      <w:r>
        <w:rPr>
          <w:rFonts w:hint="eastAsia" w:ascii="宋体" w:hAnsi="宋体" w:eastAsia="宋体" w:cs="宋体"/>
          <w:b/>
          <w:bCs/>
          <w:color w:val="auto"/>
          <w:sz w:val="24"/>
          <w:szCs w:val="24"/>
          <w:highlight w:val="none"/>
          <w:lang w:eastAsia="zh-CN"/>
        </w:rPr>
        <w:t>均为三</w:t>
      </w:r>
      <w:r>
        <w:rPr>
          <w:rFonts w:hint="eastAsia" w:ascii="宋体" w:hAnsi="宋体" w:eastAsia="宋体" w:cs="宋体"/>
          <w:b/>
          <w:bCs/>
          <w:color w:val="auto"/>
          <w:sz w:val="24"/>
          <w:szCs w:val="24"/>
          <w:highlight w:val="none"/>
        </w:rPr>
        <w:t>年（自交货验收合格之日起计）</w:t>
      </w:r>
      <w:r>
        <w:rPr>
          <w:rFonts w:hint="eastAsia" w:ascii="宋体" w:hAnsi="宋体" w:eastAsia="宋体" w:cs="宋体"/>
          <w:b/>
          <w:bCs/>
          <w:color w:val="auto"/>
          <w:sz w:val="24"/>
          <w:szCs w:val="24"/>
          <w:highlight w:val="none"/>
          <w:lang w:eastAsia="zh-CN"/>
        </w:rPr>
        <w:t>。</w:t>
      </w:r>
    </w:p>
    <w:p w14:paraId="12AE9699">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6.2在质量保修期内</w:t>
      </w:r>
      <w:r>
        <w:rPr>
          <w:rFonts w:hint="eastAsia" w:ascii="宋体" w:hAnsi="宋体" w:eastAsia="宋体" w:cs="宋体"/>
          <w:color w:val="auto"/>
          <w:sz w:val="24"/>
          <w:szCs w:val="24"/>
          <w:highlight w:val="none"/>
          <w:lang w:eastAsia="zh-CN"/>
        </w:rPr>
        <w:t>货品</w:t>
      </w:r>
      <w:r>
        <w:rPr>
          <w:rFonts w:hint="eastAsia" w:ascii="宋体" w:hAnsi="宋体" w:eastAsia="宋体" w:cs="宋体"/>
          <w:color w:val="auto"/>
          <w:sz w:val="24"/>
          <w:szCs w:val="24"/>
          <w:highlight w:val="none"/>
        </w:rPr>
        <w:t>发生</w:t>
      </w:r>
      <w:r>
        <w:rPr>
          <w:rFonts w:hint="eastAsia" w:ascii="宋体" w:hAnsi="宋体" w:eastAsia="宋体" w:cs="宋体"/>
          <w:color w:val="auto"/>
          <w:sz w:val="24"/>
          <w:szCs w:val="24"/>
          <w:highlight w:val="none"/>
          <w:lang w:eastAsia="zh-CN"/>
        </w:rPr>
        <w:t>损坏</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应免费提供咨询、更换损坏的零件和维修服务。</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须有属本公司的可随时上门作维修及检测的工程师，维修人员接到报修通知后，响应时间不超过30分钟，并能在24小时内上门维修。维修人员在8小时内不能</w:t>
      </w:r>
      <w:r>
        <w:rPr>
          <w:rFonts w:hint="eastAsia" w:ascii="宋体" w:hAnsi="宋体" w:eastAsia="宋体" w:cs="宋体"/>
          <w:color w:val="auto"/>
          <w:sz w:val="24"/>
          <w:szCs w:val="24"/>
          <w:highlight w:val="none"/>
          <w:lang w:eastAsia="zh-CN"/>
        </w:rPr>
        <w:t>修复到位的</w:t>
      </w:r>
      <w:r>
        <w:rPr>
          <w:rFonts w:hint="eastAsia" w:ascii="宋体" w:hAnsi="宋体" w:eastAsia="宋体" w:cs="宋体"/>
          <w:color w:val="auto"/>
          <w:sz w:val="24"/>
          <w:szCs w:val="24"/>
          <w:highlight w:val="none"/>
        </w:rPr>
        <w:t>，应负责联系生产厂家技术人员到现场</w:t>
      </w:r>
      <w:r>
        <w:rPr>
          <w:rFonts w:hint="eastAsia" w:ascii="宋体" w:hAnsi="宋体" w:eastAsia="宋体" w:cs="宋体"/>
          <w:color w:val="auto"/>
          <w:sz w:val="24"/>
          <w:szCs w:val="24"/>
          <w:highlight w:val="none"/>
          <w:lang w:eastAsia="zh-CN"/>
        </w:rPr>
        <w:t>维修</w:t>
      </w:r>
      <w:r>
        <w:rPr>
          <w:rFonts w:hint="eastAsia" w:ascii="宋体" w:hAnsi="宋体" w:eastAsia="宋体" w:cs="宋体"/>
          <w:color w:val="auto"/>
          <w:sz w:val="24"/>
          <w:szCs w:val="24"/>
          <w:highlight w:val="none"/>
        </w:rPr>
        <w:t>。厂家技术人员接到报修后，响应时间不超过8小时。质保期满后实行终身维修服务，</w:t>
      </w:r>
      <w:r>
        <w:rPr>
          <w:rFonts w:hint="eastAsia" w:ascii="宋体" w:hAnsi="宋体" w:eastAsia="宋体" w:cs="宋体"/>
          <w:color w:val="auto"/>
          <w:sz w:val="24"/>
          <w:szCs w:val="24"/>
          <w:highlight w:val="none"/>
          <w:lang w:eastAsia="zh-CN"/>
        </w:rPr>
        <w:t>采购人可选择中标人维修且</w:t>
      </w:r>
      <w:r>
        <w:rPr>
          <w:rFonts w:hint="eastAsia" w:ascii="宋体" w:hAnsi="宋体" w:eastAsia="宋体" w:cs="宋体"/>
          <w:color w:val="auto"/>
          <w:sz w:val="24"/>
          <w:szCs w:val="24"/>
          <w:highlight w:val="none"/>
        </w:rPr>
        <w:t>只承担维修的成本费</w:t>
      </w:r>
      <w:r>
        <w:rPr>
          <w:rFonts w:hint="eastAsia" w:ascii="宋体" w:hAnsi="宋体" w:eastAsia="宋体" w:cs="宋体"/>
          <w:color w:val="auto"/>
          <w:sz w:val="24"/>
          <w:szCs w:val="24"/>
          <w:highlight w:val="none"/>
          <w:lang w:eastAsia="zh-CN"/>
        </w:rPr>
        <w:t>；亦可委托其他第三方维修，中标人须免费提供采购人所需参数数据或技术咨询</w:t>
      </w:r>
      <w:r>
        <w:rPr>
          <w:rFonts w:hint="eastAsia" w:ascii="宋体" w:hAnsi="宋体" w:eastAsia="宋体" w:cs="宋体"/>
          <w:color w:val="auto"/>
          <w:sz w:val="24"/>
          <w:szCs w:val="24"/>
          <w:highlight w:val="none"/>
        </w:rPr>
        <w:t>。</w:t>
      </w:r>
    </w:p>
    <w:p w14:paraId="2F8EF9DF">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中应说明售后服务措施及保修服务承诺。若</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未按照上述约定及自身承诺提供售后服务，</w:t>
      </w:r>
      <w:r>
        <w:rPr>
          <w:rFonts w:hint="eastAsia" w:ascii="宋体" w:hAnsi="宋体" w:eastAsia="宋体" w:cs="宋体"/>
          <w:color w:val="auto"/>
          <w:sz w:val="24"/>
          <w:szCs w:val="24"/>
          <w:highlight w:val="none"/>
          <w:lang w:eastAsia="zh-CN"/>
        </w:rPr>
        <w:t>则</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从</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履约保证金中扣减作为补偿</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的费用。</w:t>
      </w:r>
    </w:p>
    <w:p w14:paraId="59318D9F">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rPr>
        <w:t>6.4</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在总体验收、保修等方面进行全过程跟踪服务。在质保期内，对所有</w:t>
      </w:r>
      <w:r>
        <w:rPr>
          <w:rFonts w:hint="eastAsia" w:ascii="宋体" w:hAnsi="宋体" w:eastAsia="宋体" w:cs="宋体"/>
          <w:color w:val="auto"/>
          <w:sz w:val="24"/>
          <w:szCs w:val="24"/>
          <w:highlight w:val="none"/>
          <w:lang w:eastAsia="zh-CN"/>
        </w:rPr>
        <w:t>货品及</w:t>
      </w:r>
      <w:r>
        <w:rPr>
          <w:rFonts w:hint="eastAsia" w:ascii="宋体" w:hAnsi="宋体" w:eastAsia="宋体" w:cs="宋体"/>
          <w:color w:val="auto"/>
          <w:sz w:val="24"/>
          <w:szCs w:val="24"/>
          <w:highlight w:val="none"/>
        </w:rPr>
        <w:t>配套设施、</w:t>
      </w:r>
      <w:r>
        <w:rPr>
          <w:rFonts w:hint="eastAsia" w:ascii="宋体" w:hAnsi="宋体" w:eastAsia="宋体" w:cs="宋体"/>
          <w:color w:val="auto"/>
          <w:sz w:val="24"/>
          <w:szCs w:val="24"/>
          <w:highlight w:val="none"/>
          <w:lang w:eastAsia="zh-CN"/>
        </w:rPr>
        <w:t>配件</w:t>
      </w:r>
      <w:r>
        <w:rPr>
          <w:rFonts w:hint="eastAsia" w:ascii="宋体" w:hAnsi="宋体" w:eastAsia="宋体" w:cs="宋体"/>
          <w:color w:val="auto"/>
          <w:sz w:val="24"/>
          <w:szCs w:val="24"/>
          <w:highlight w:val="none"/>
        </w:rPr>
        <w:t>等进行定期保养，排查潜在</w:t>
      </w:r>
      <w:r>
        <w:rPr>
          <w:rFonts w:hint="eastAsia" w:ascii="宋体" w:hAnsi="宋体" w:eastAsia="宋体" w:cs="宋体"/>
          <w:color w:val="auto"/>
          <w:sz w:val="24"/>
          <w:szCs w:val="24"/>
          <w:highlight w:val="none"/>
          <w:lang w:eastAsia="zh-CN"/>
        </w:rPr>
        <w:t>问题</w:t>
      </w:r>
      <w:r>
        <w:rPr>
          <w:rFonts w:hint="eastAsia" w:ascii="宋体" w:hAnsi="宋体" w:eastAsia="宋体" w:cs="宋体"/>
          <w:color w:val="auto"/>
          <w:sz w:val="24"/>
          <w:szCs w:val="24"/>
          <w:highlight w:val="none"/>
        </w:rPr>
        <w:t>。如质保期内，</w:t>
      </w:r>
      <w:r>
        <w:rPr>
          <w:rFonts w:hint="eastAsia" w:ascii="宋体" w:hAnsi="宋体" w:eastAsia="宋体" w:cs="宋体"/>
          <w:color w:val="auto"/>
          <w:sz w:val="24"/>
          <w:szCs w:val="24"/>
          <w:highlight w:val="none"/>
          <w:lang w:eastAsia="zh-CN"/>
        </w:rPr>
        <w:t>货品</w:t>
      </w:r>
      <w:r>
        <w:rPr>
          <w:rFonts w:hint="eastAsia" w:ascii="宋体" w:hAnsi="宋体" w:eastAsia="宋体" w:cs="宋体"/>
          <w:color w:val="auto"/>
          <w:sz w:val="24"/>
          <w:szCs w:val="24"/>
          <w:highlight w:val="none"/>
        </w:rPr>
        <w:t>发生</w:t>
      </w:r>
      <w:r>
        <w:rPr>
          <w:rFonts w:hint="eastAsia" w:ascii="宋体" w:hAnsi="宋体" w:eastAsia="宋体" w:cs="宋体"/>
          <w:color w:val="auto"/>
          <w:sz w:val="24"/>
          <w:szCs w:val="24"/>
          <w:highlight w:val="none"/>
          <w:lang w:eastAsia="zh-CN"/>
        </w:rPr>
        <w:t>损坏，中标人</w:t>
      </w:r>
      <w:r>
        <w:rPr>
          <w:rFonts w:hint="eastAsia" w:ascii="宋体" w:hAnsi="宋体" w:eastAsia="宋体" w:cs="宋体"/>
          <w:color w:val="auto"/>
          <w:sz w:val="24"/>
          <w:szCs w:val="24"/>
          <w:highlight w:val="none"/>
        </w:rPr>
        <w:t>必须在上述条款规定时间内到现场进行</w:t>
      </w:r>
      <w:r>
        <w:rPr>
          <w:rFonts w:hint="eastAsia" w:ascii="宋体" w:hAnsi="宋体" w:eastAsia="宋体" w:cs="宋体"/>
          <w:color w:val="auto"/>
          <w:sz w:val="24"/>
          <w:szCs w:val="24"/>
          <w:highlight w:val="none"/>
          <w:lang w:eastAsia="zh-CN"/>
        </w:rPr>
        <w:t>调试（含测试）</w:t>
      </w:r>
      <w:r>
        <w:rPr>
          <w:rFonts w:hint="eastAsia" w:ascii="宋体" w:hAnsi="宋体" w:eastAsia="宋体" w:cs="宋体"/>
          <w:color w:val="auto"/>
          <w:sz w:val="24"/>
          <w:szCs w:val="24"/>
          <w:highlight w:val="none"/>
        </w:rPr>
        <w:t>维修或更换配件等。如经</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多次催促仍不能到场保养维修或保养维修不到位的，允许整改两次，整改后仍存在问题的，</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有权终止合同并选择其他合格</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；此期间合同双方产生的一切损失均有</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承担。</w:t>
      </w:r>
      <w:r>
        <w:rPr>
          <w:rFonts w:hint="eastAsia" w:ascii="宋体" w:hAnsi="宋体" w:eastAsia="宋体" w:cs="宋体"/>
          <w:color w:val="auto"/>
          <w:kern w:val="0"/>
          <w:sz w:val="24"/>
          <w:szCs w:val="24"/>
          <w:highlight w:val="none"/>
          <w:lang w:bidi="ar"/>
        </w:rPr>
        <w:t>所供产品由于自身质量问题所造成的损失（含连带损失）由</w:t>
      </w:r>
      <w:r>
        <w:rPr>
          <w:rFonts w:hint="eastAsia" w:ascii="宋体" w:hAnsi="宋体" w:eastAsia="宋体" w:cs="宋体"/>
          <w:color w:val="auto"/>
          <w:kern w:val="0"/>
          <w:sz w:val="24"/>
          <w:szCs w:val="24"/>
          <w:highlight w:val="none"/>
          <w:lang w:eastAsia="zh-CN" w:bidi="ar"/>
        </w:rPr>
        <w:t>中标人</w:t>
      </w:r>
      <w:r>
        <w:rPr>
          <w:rFonts w:hint="eastAsia" w:ascii="宋体" w:hAnsi="宋体" w:eastAsia="宋体" w:cs="宋体"/>
          <w:color w:val="auto"/>
          <w:kern w:val="0"/>
          <w:sz w:val="24"/>
          <w:szCs w:val="24"/>
          <w:highlight w:val="none"/>
          <w:lang w:bidi="ar"/>
        </w:rPr>
        <w:t>全部负责。</w:t>
      </w:r>
    </w:p>
    <w:p w14:paraId="3B8DD066">
      <w:pPr>
        <w:keepNext w:val="0"/>
        <w:keepLines w:val="0"/>
        <w:pageBreakBefore w:val="0"/>
        <w:widowControl w:val="0"/>
        <w:kinsoku/>
        <w:wordWrap/>
        <w:overflowPunct/>
        <w:topLinePunct w:val="0"/>
        <w:autoSpaceDE/>
        <w:autoSpaceDN/>
        <w:bidi w:val="0"/>
        <w:adjustRightInd/>
        <w:snapToGrid/>
        <w:spacing w:line="420" w:lineRule="exact"/>
        <w:ind w:lef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六</w:t>
      </w:r>
      <w:r>
        <w:rPr>
          <w:rFonts w:hint="eastAsia" w:ascii="宋体" w:hAnsi="宋体" w:eastAsia="宋体" w:cs="宋体"/>
          <w:b/>
          <w:color w:val="auto"/>
          <w:sz w:val="24"/>
          <w:szCs w:val="24"/>
          <w:highlight w:val="none"/>
        </w:rPr>
        <w:t>、报价要求</w:t>
      </w:r>
    </w:p>
    <w:p w14:paraId="61458BBA">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1、报价单必须按照</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所提供的格式填入，</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提供的清单中的</w:t>
      </w:r>
      <w:r>
        <w:rPr>
          <w:rFonts w:hint="eastAsia" w:ascii="宋体" w:hAnsi="宋体" w:eastAsia="宋体" w:cs="宋体"/>
          <w:bCs/>
          <w:color w:val="auto"/>
          <w:sz w:val="24"/>
          <w:szCs w:val="24"/>
          <w:highlight w:val="none"/>
        </w:rPr>
        <w:t>序号、品名、数量</w:t>
      </w:r>
      <w:r>
        <w:rPr>
          <w:rFonts w:hint="eastAsia" w:ascii="宋体" w:hAnsi="宋体" w:eastAsia="宋体" w:cs="宋体"/>
          <w:color w:val="auto"/>
          <w:sz w:val="24"/>
          <w:szCs w:val="24"/>
          <w:highlight w:val="none"/>
        </w:rPr>
        <w:t>等，</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响应报价</w:t>
      </w:r>
      <w:r>
        <w:rPr>
          <w:rFonts w:hint="eastAsia" w:ascii="宋体" w:hAnsi="宋体" w:eastAsia="宋体" w:cs="宋体"/>
          <w:color w:val="auto"/>
          <w:sz w:val="24"/>
          <w:szCs w:val="24"/>
          <w:highlight w:val="none"/>
        </w:rPr>
        <w:t>时不得作任何更改变动，否则一切责任由</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自负。</w:t>
      </w:r>
      <w:r>
        <w:rPr>
          <w:rFonts w:hint="eastAsia" w:ascii="宋体" w:hAnsi="宋体" w:eastAsia="宋体" w:cs="宋体"/>
          <w:b/>
          <w:bCs/>
          <w:color w:val="auto"/>
          <w:sz w:val="24"/>
          <w:szCs w:val="24"/>
          <w:highlight w:val="none"/>
        </w:rPr>
        <w:t>本次采购项目为交钥匙工程，</w:t>
      </w:r>
      <w:r>
        <w:rPr>
          <w:rFonts w:hint="eastAsia" w:ascii="宋体" w:hAnsi="宋体" w:eastAsia="宋体" w:cs="宋体"/>
          <w:b/>
          <w:bCs/>
          <w:color w:val="auto"/>
          <w:sz w:val="24"/>
          <w:szCs w:val="24"/>
          <w:highlight w:val="none"/>
          <w:lang w:eastAsia="zh-CN"/>
        </w:rPr>
        <w:t>投标人</w:t>
      </w:r>
      <w:r>
        <w:rPr>
          <w:rFonts w:hint="eastAsia" w:ascii="宋体" w:hAnsi="宋体" w:eastAsia="宋体" w:cs="宋体"/>
          <w:b/>
          <w:bCs/>
          <w:color w:val="auto"/>
          <w:sz w:val="24"/>
          <w:szCs w:val="24"/>
          <w:highlight w:val="none"/>
        </w:rPr>
        <w:t>须对本项目有充分了解后将为完成本项目的一切费用考虑到</w:t>
      </w:r>
      <w:r>
        <w:rPr>
          <w:rFonts w:hint="eastAsia" w:ascii="宋体" w:hAnsi="宋体" w:eastAsia="宋体" w:cs="宋体"/>
          <w:b/>
          <w:bCs/>
          <w:color w:val="auto"/>
          <w:sz w:val="24"/>
          <w:szCs w:val="24"/>
          <w:highlight w:val="none"/>
          <w:lang w:eastAsia="zh-CN"/>
        </w:rPr>
        <w:t>响应报价</w:t>
      </w:r>
      <w:r>
        <w:rPr>
          <w:rFonts w:hint="eastAsia" w:ascii="宋体" w:hAnsi="宋体" w:eastAsia="宋体" w:cs="宋体"/>
          <w:b/>
          <w:bCs/>
          <w:color w:val="auto"/>
          <w:sz w:val="24"/>
          <w:szCs w:val="24"/>
          <w:highlight w:val="none"/>
        </w:rPr>
        <w:t>中；</w:t>
      </w:r>
      <w:r>
        <w:rPr>
          <w:rFonts w:hint="eastAsia" w:ascii="宋体" w:hAnsi="宋体" w:eastAsia="宋体" w:cs="宋体"/>
          <w:b/>
          <w:color w:val="auto"/>
          <w:sz w:val="24"/>
          <w:szCs w:val="24"/>
          <w:highlight w:val="none"/>
        </w:rPr>
        <w:t>如本次报价明细中有未注明的缺项，可直接将此类费用考虑到现有报价明细子目中。</w:t>
      </w:r>
      <w:r>
        <w:rPr>
          <w:rFonts w:hint="eastAsia" w:ascii="宋体" w:hAnsi="宋体" w:eastAsia="宋体" w:cs="宋体"/>
          <w:b/>
          <w:bCs/>
          <w:color w:val="auto"/>
          <w:sz w:val="24"/>
          <w:szCs w:val="24"/>
          <w:highlight w:val="none"/>
        </w:rPr>
        <w:t>中标后不得以任何理由要求</w:t>
      </w:r>
      <w:r>
        <w:rPr>
          <w:rFonts w:hint="eastAsia" w:ascii="宋体" w:hAnsi="宋体" w:eastAsia="宋体" w:cs="宋体"/>
          <w:b/>
          <w:bCs/>
          <w:color w:val="auto"/>
          <w:sz w:val="24"/>
          <w:szCs w:val="24"/>
          <w:highlight w:val="none"/>
          <w:lang w:eastAsia="zh-CN"/>
        </w:rPr>
        <w:t>采购人</w:t>
      </w:r>
      <w:r>
        <w:rPr>
          <w:rFonts w:hint="eastAsia" w:ascii="宋体" w:hAnsi="宋体" w:eastAsia="宋体" w:cs="宋体"/>
          <w:b/>
          <w:bCs/>
          <w:color w:val="auto"/>
          <w:sz w:val="24"/>
          <w:szCs w:val="24"/>
          <w:highlight w:val="none"/>
        </w:rPr>
        <w:t>增加任何费用。</w:t>
      </w:r>
    </w:p>
    <w:p w14:paraId="31855C8F">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b/>
          <w:color w:val="auto"/>
          <w:sz w:val="24"/>
          <w:szCs w:val="24"/>
          <w:highlight w:val="none"/>
        </w:rPr>
        <w:t>本次</w:t>
      </w:r>
      <w:r>
        <w:rPr>
          <w:rFonts w:hint="eastAsia" w:ascii="宋体" w:hAnsi="宋体" w:eastAsia="宋体" w:cs="宋体"/>
          <w:b/>
          <w:color w:val="auto"/>
          <w:sz w:val="24"/>
          <w:szCs w:val="24"/>
          <w:highlight w:val="none"/>
          <w:lang w:eastAsia="zh-CN"/>
        </w:rPr>
        <w:t>招标采用</w:t>
      </w:r>
      <w:r>
        <w:rPr>
          <w:rFonts w:hint="eastAsia" w:ascii="宋体" w:hAnsi="宋体" w:eastAsia="宋体" w:cs="宋体"/>
          <w:b/>
          <w:color w:val="auto"/>
          <w:sz w:val="24"/>
          <w:szCs w:val="24"/>
          <w:highlight w:val="none"/>
        </w:rPr>
        <w:t>全费用综合固定单价报价方式，中标后</w:t>
      </w:r>
      <w:r>
        <w:rPr>
          <w:rFonts w:hint="eastAsia" w:ascii="宋体" w:hAnsi="宋体" w:eastAsia="宋体" w:cs="宋体"/>
          <w:b/>
          <w:bCs/>
          <w:color w:val="auto"/>
          <w:sz w:val="24"/>
          <w:szCs w:val="24"/>
          <w:highlight w:val="none"/>
        </w:rPr>
        <w:t>无论何种原因，结算时全费用固定综合单价均不作调整</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投标人</w:t>
      </w:r>
      <w:r>
        <w:rPr>
          <w:rFonts w:hint="eastAsia" w:ascii="宋体" w:hAnsi="宋体" w:eastAsia="宋体" w:cs="宋体"/>
          <w:bCs/>
          <w:color w:val="auto"/>
          <w:sz w:val="24"/>
          <w:szCs w:val="24"/>
          <w:highlight w:val="none"/>
        </w:rPr>
        <w:t>应在对采购项目内容、数量、质量和技术指标内容全部认可的前提下报价。无论情况如何，</w:t>
      </w:r>
      <w:r>
        <w:rPr>
          <w:rFonts w:hint="eastAsia" w:ascii="宋体" w:hAnsi="宋体" w:eastAsia="宋体" w:cs="宋体"/>
          <w:bCs/>
          <w:color w:val="auto"/>
          <w:sz w:val="24"/>
          <w:szCs w:val="24"/>
          <w:highlight w:val="none"/>
          <w:lang w:eastAsia="zh-CN"/>
        </w:rPr>
        <w:t>采购人</w:t>
      </w:r>
      <w:r>
        <w:rPr>
          <w:rFonts w:hint="eastAsia" w:ascii="宋体" w:hAnsi="宋体" w:eastAsia="宋体" w:cs="宋体"/>
          <w:bCs/>
          <w:color w:val="auto"/>
          <w:sz w:val="24"/>
          <w:szCs w:val="24"/>
          <w:highlight w:val="none"/>
        </w:rPr>
        <w:t>均认为</w:t>
      </w:r>
      <w:r>
        <w:rPr>
          <w:rFonts w:hint="eastAsia" w:ascii="宋体" w:hAnsi="宋体" w:eastAsia="宋体" w:cs="宋体"/>
          <w:bCs/>
          <w:color w:val="auto"/>
          <w:sz w:val="24"/>
          <w:szCs w:val="24"/>
          <w:highlight w:val="none"/>
          <w:lang w:eastAsia="zh-CN"/>
        </w:rPr>
        <w:t>投标人</w:t>
      </w:r>
      <w:r>
        <w:rPr>
          <w:rFonts w:hint="eastAsia" w:ascii="宋体" w:hAnsi="宋体" w:eastAsia="宋体" w:cs="宋体"/>
          <w:bCs/>
          <w:color w:val="auto"/>
          <w:sz w:val="24"/>
          <w:szCs w:val="24"/>
          <w:highlight w:val="none"/>
        </w:rPr>
        <w:t>已对所采购项目的所有条件有了充分了解。</w:t>
      </w:r>
      <w:r>
        <w:rPr>
          <w:rFonts w:hint="eastAsia" w:ascii="宋体" w:hAnsi="宋体" w:eastAsia="宋体" w:cs="宋体"/>
          <w:bCs/>
          <w:color w:val="auto"/>
          <w:sz w:val="24"/>
          <w:szCs w:val="24"/>
          <w:highlight w:val="none"/>
          <w:lang w:eastAsia="zh-CN"/>
        </w:rPr>
        <w:t>采购人</w:t>
      </w:r>
      <w:r>
        <w:rPr>
          <w:rFonts w:hint="eastAsia" w:ascii="宋体" w:hAnsi="宋体" w:eastAsia="宋体" w:cs="宋体"/>
          <w:bCs/>
          <w:color w:val="auto"/>
          <w:sz w:val="24"/>
          <w:szCs w:val="24"/>
          <w:highlight w:val="none"/>
        </w:rPr>
        <w:t>对</w:t>
      </w:r>
      <w:r>
        <w:rPr>
          <w:rFonts w:hint="eastAsia" w:ascii="宋体" w:hAnsi="宋体" w:eastAsia="宋体" w:cs="宋体"/>
          <w:bCs/>
          <w:color w:val="auto"/>
          <w:sz w:val="24"/>
          <w:szCs w:val="24"/>
          <w:highlight w:val="none"/>
          <w:lang w:eastAsia="zh-CN"/>
        </w:rPr>
        <w:t>投标人</w:t>
      </w:r>
      <w:r>
        <w:rPr>
          <w:rFonts w:hint="eastAsia" w:ascii="宋体" w:hAnsi="宋体" w:eastAsia="宋体" w:cs="宋体"/>
          <w:bCs/>
          <w:color w:val="auto"/>
          <w:sz w:val="24"/>
          <w:szCs w:val="24"/>
          <w:highlight w:val="none"/>
        </w:rPr>
        <w:t>做出的任何推论、理解和结论均不负责任。</w:t>
      </w:r>
    </w:p>
    <w:p w14:paraId="6C277D24">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3、本次</w:t>
      </w:r>
      <w:r>
        <w:rPr>
          <w:rFonts w:hint="eastAsia" w:ascii="宋体" w:hAnsi="宋体" w:eastAsia="宋体" w:cs="宋体"/>
          <w:color w:val="auto"/>
          <w:sz w:val="24"/>
          <w:szCs w:val="24"/>
          <w:highlight w:val="none"/>
          <w:lang w:eastAsia="zh-CN"/>
        </w:rPr>
        <w:t>响应报价</w:t>
      </w:r>
      <w:r>
        <w:rPr>
          <w:rFonts w:hint="eastAsia" w:ascii="宋体" w:hAnsi="宋体" w:eastAsia="宋体" w:cs="宋体"/>
          <w:color w:val="auto"/>
          <w:sz w:val="24"/>
          <w:szCs w:val="24"/>
          <w:highlight w:val="none"/>
        </w:rPr>
        <w:t>中要求包括此次采购、运输、装卸、安装、验收等及一切衍生服务的所有费用。</w:t>
      </w:r>
      <w:r>
        <w:rPr>
          <w:rFonts w:hint="eastAsia" w:ascii="宋体" w:hAnsi="宋体" w:eastAsia="宋体" w:cs="宋体"/>
          <w:b/>
          <w:color w:val="auto"/>
          <w:sz w:val="24"/>
          <w:szCs w:val="24"/>
          <w:highlight w:val="none"/>
        </w:rPr>
        <w:t>本次报价应包括</w:t>
      </w:r>
      <w:r>
        <w:rPr>
          <w:rFonts w:hint="eastAsia" w:ascii="宋体" w:hAnsi="宋体" w:eastAsia="宋体" w:cs="宋体"/>
          <w:b/>
          <w:color w:val="auto"/>
          <w:sz w:val="24"/>
          <w:szCs w:val="24"/>
          <w:highlight w:val="none"/>
          <w:lang w:eastAsia="zh-CN"/>
        </w:rPr>
        <w:t>投标人</w:t>
      </w:r>
      <w:r>
        <w:rPr>
          <w:rFonts w:hint="eastAsia" w:ascii="宋体" w:hAnsi="宋体" w:eastAsia="宋体" w:cs="宋体"/>
          <w:b/>
          <w:color w:val="auto"/>
          <w:sz w:val="24"/>
          <w:szCs w:val="24"/>
          <w:highlight w:val="none"/>
        </w:rPr>
        <w:t>为完成本次</w:t>
      </w:r>
      <w:r>
        <w:rPr>
          <w:rFonts w:hint="eastAsia" w:ascii="宋体" w:hAnsi="宋体" w:eastAsia="宋体" w:cs="宋体"/>
          <w:b/>
          <w:color w:val="auto"/>
          <w:sz w:val="24"/>
          <w:szCs w:val="24"/>
          <w:highlight w:val="none"/>
          <w:lang w:eastAsia="zh-CN"/>
        </w:rPr>
        <w:t>招标文件</w:t>
      </w:r>
      <w:r>
        <w:rPr>
          <w:rFonts w:hint="eastAsia" w:ascii="宋体" w:hAnsi="宋体" w:eastAsia="宋体" w:cs="宋体"/>
          <w:b/>
          <w:color w:val="auto"/>
          <w:sz w:val="24"/>
          <w:szCs w:val="24"/>
          <w:highlight w:val="none"/>
        </w:rPr>
        <w:t>所确定的采购、供货及一切衍生服务范围内的全部内容，以及</w:t>
      </w:r>
      <w:r>
        <w:rPr>
          <w:rFonts w:hint="eastAsia" w:ascii="宋体" w:hAnsi="宋体" w:eastAsia="宋体" w:cs="宋体"/>
          <w:b/>
          <w:color w:val="auto"/>
          <w:sz w:val="24"/>
          <w:szCs w:val="24"/>
          <w:highlight w:val="none"/>
          <w:lang w:eastAsia="zh-CN"/>
        </w:rPr>
        <w:t>投标人</w:t>
      </w:r>
      <w:r>
        <w:rPr>
          <w:rFonts w:hint="eastAsia" w:ascii="宋体" w:hAnsi="宋体" w:eastAsia="宋体" w:cs="宋体"/>
          <w:b/>
          <w:color w:val="auto"/>
          <w:sz w:val="24"/>
          <w:szCs w:val="24"/>
          <w:highlight w:val="none"/>
        </w:rPr>
        <w:t>为完成上述内容所必须的质量保证与技术支持、</w:t>
      </w:r>
      <w:r>
        <w:rPr>
          <w:rFonts w:hint="eastAsia" w:ascii="宋体" w:hAnsi="宋体" w:eastAsia="宋体" w:cs="宋体"/>
          <w:b/>
          <w:color w:val="auto"/>
          <w:sz w:val="24"/>
          <w:szCs w:val="24"/>
          <w:highlight w:val="none"/>
          <w:lang w:eastAsia="zh-CN"/>
        </w:rPr>
        <w:t>软件开发与测试、安装、</w:t>
      </w:r>
      <w:r>
        <w:rPr>
          <w:rFonts w:hint="eastAsia" w:ascii="宋体" w:hAnsi="宋体" w:eastAsia="宋体" w:cs="宋体"/>
          <w:b/>
          <w:color w:val="auto"/>
          <w:sz w:val="24"/>
          <w:szCs w:val="24"/>
          <w:highlight w:val="none"/>
        </w:rPr>
        <w:t>采购、包装、运输、供货、</w:t>
      </w:r>
      <w:r>
        <w:rPr>
          <w:rFonts w:hint="eastAsia" w:ascii="宋体" w:hAnsi="宋体" w:eastAsia="宋体" w:cs="宋体"/>
          <w:b/>
          <w:color w:val="auto"/>
          <w:sz w:val="24"/>
          <w:szCs w:val="24"/>
          <w:highlight w:val="none"/>
          <w:lang w:eastAsia="zh-CN"/>
        </w:rPr>
        <w:t>装卸、保管、</w:t>
      </w:r>
      <w:r>
        <w:rPr>
          <w:rFonts w:hint="eastAsia" w:ascii="宋体" w:hAnsi="宋体" w:eastAsia="宋体" w:cs="宋体"/>
          <w:b/>
          <w:color w:val="auto"/>
          <w:sz w:val="24"/>
          <w:szCs w:val="24"/>
          <w:highlight w:val="none"/>
        </w:rPr>
        <w:t>安装、</w:t>
      </w:r>
      <w:r>
        <w:rPr>
          <w:rFonts w:hint="eastAsia" w:ascii="宋体" w:hAnsi="宋体" w:eastAsia="宋体" w:cs="宋体"/>
          <w:b/>
          <w:bCs/>
          <w:color w:val="auto"/>
          <w:sz w:val="24"/>
          <w:szCs w:val="24"/>
          <w:highlight w:val="none"/>
        </w:rPr>
        <w:t>调试、交付、</w:t>
      </w:r>
      <w:r>
        <w:rPr>
          <w:rFonts w:hint="eastAsia" w:ascii="宋体" w:hAnsi="宋体" w:eastAsia="宋体" w:cs="宋体"/>
          <w:b/>
          <w:color w:val="auto"/>
          <w:sz w:val="24"/>
          <w:szCs w:val="24"/>
          <w:highlight w:val="none"/>
        </w:rPr>
        <w:t>验收、售后服务以及材料（包括辅材、辅料）、劳务、机械投入、利润、税金、</w:t>
      </w:r>
      <w:r>
        <w:rPr>
          <w:rFonts w:hint="eastAsia" w:ascii="宋体" w:hAnsi="宋体" w:eastAsia="宋体" w:cs="宋体"/>
          <w:b/>
          <w:bCs/>
          <w:color w:val="auto"/>
          <w:sz w:val="24"/>
          <w:szCs w:val="24"/>
          <w:highlight w:val="none"/>
        </w:rPr>
        <w:t>管理费</w:t>
      </w:r>
      <w:r>
        <w:rPr>
          <w:rFonts w:hint="eastAsia" w:ascii="宋体" w:hAnsi="宋体" w:eastAsia="宋体" w:cs="宋体"/>
          <w:b/>
          <w:color w:val="auto"/>
          <w:sz w:val="24"/>
          <w:szCs w:val="24"/>
          <w:highlight w:val="none"/>
        </w:rPr>
        <w:t>和政策性文件规定的各项所需的全部费用、不可预见费及其它一切相关费用</w:t>
      </w:r>
      <w:r>
        <w:rPr>
          <w:rFonts w:hint="eastAsia" w:ascii="宋体" w:hAnsi="宋体" w:eastAsia="宋体" w:cs="宋体"/>
          <w:b/>
          <w:bCs/>
          <w:color w:val="auto"/>
          <w:sz w:val="24"/>
          <w:szCs w:val="24"/>
          <w:highlight w:val="none"/>
        </w:rPr>
        <w:t>。对投标人认为没有考虑到的费用</w:t>
      </w:r>
      <w:r>
        <w:rPr>
          <w:rFonts w:hint="eastAsia" w:ascii="宋体" w:hAnsi="宋体" w:eastAsia="宋体" w:cs="宋体"/>
          <w:b/>
          <w:bCs/>
          <w:color w:val="auto"/>
          <w:sz w:val="24"/>
          <w:szCs w:val="24"/>
          <w:highlight w:val="none"/>
          <w:lang w:eastAsia="zh-CN"/>
        </w:rPr>
        <w:t>采购人</w:t>
      </w:r>
      <w:r>
        <w:rPr>
          <w:rFonts w:hint="eastAsia" w:ascii="宋体" w:hAnsi="宋体" w:eastAsia="宋体" w:cs="宋体"/>
          <w:b/>
          <w:bCs/>
          <w:color w:val="auto"/>
          <w:sz w:val="24"/>
          <w:szCs w:val="24"/>
          <w:highlight w:val="none"/>
        </w:rPr>
        <w:t>将不予支付，并认为此项费用已包含在投标报价中</w:t>
      </w:r>
      <w:r>
        <w:rPr>
          <w:rFonts w:hint="eastAsia" w:ascii="宋体" w:hAnsi="宋体" w:eastAsia="宋体" w:cs="宋体"/>
          <w:b/>
          <w:color w:val="auto"/>
          <w:sz w:val="24"/>
          <w:szCs w:val="24"/>
          <w:highlight w:val="none"/>
        </w:rPr>
        <w:t>。</w:t>
      </w:r>
    </w:p>
    <w:p w14:paraId="5ADD8966">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bookmarkStart w:id="180" w:name="_Hlk2258642"/>
      <w:r>
        <w:rPr>
          <w:rFonts w:hint="eastAsia" w:ascii="宋体" w:hAnsi="宋体" w:eastAsia="宋体" w:cs="宋体"/>
          <w:color w:val="auto"/>
          <w:sz w:val="24"/>
          <w:szCs w:val="24"/>
          <w:highlight w:val="none"/>
        </w:rPr>
        <w:t>本项目投标总报价包括</w:t>
      </w:r>
      <w:r>
        <w:rPr>
          <w:rFonts w:hint="eastAsia" w:ascii="宋体" w:hAnsi="宋体" w:eastAsia="宋体" w:cs="宋体"/>
          <w:color w:val="auto"/>
          <w:sz w:val="24"/>
          <w:szCs w:val="24"/>
          <w:highlight w:val="none"/>
          <w:lang w:eastAsia="zh-CN"/>
        </w:rPr>
        <w:t>阜宁县数字化医共体公共设施和智慧医疗服务能力提升项目</w:t>
      </w:r>
      <w:r>
        <w:rPr>
          <w:rFonts w:hint="eastAsia" w:ascii="宋体" w:hAnsi="宋体" w:eastAsia="宋体" w:cs="宋体"/>
          <w:color w:val="auto"/>
          <w:sz w:val="24"/>
          <w:szCs w:val="24"/>
          <w:highlight w:val="none"/>
        </w:rPr>
        <w:t>清单中的所有内容（其中项目前期需求调查费，</w:t>
      </w:r>
      <w:r>
        <w:rPr>
          <w:rFonts w:hint="eastAsia" w:ascii="宋体" w:hAnsi="宋体" w:eastAsia="宋体" w:cs="宋体"/>
          <w:color w:val="auto"/>
          <w:sz w:val="24"/>
          <w:szCs w:val="24"/>
          <w:highlight w:val="none"/>
          <w:lang w:eastAsia="zh-CN"/>
        </w:rPr>
        <w:t>按中标价的</w:t>
      </w:r>
      <w:r>
        <w:rPr>
          <w:rFonts w:hint="eastAsia" w:ascii="宋体" w:hAnsi="宋体" w:eastAsia="宋体" w:cs="宋体"/>
          <w:color w:val="auto"/>
          <w:sz w:val="24"/>
          <w:szCs w:val="24"/>
          <w:highlight w:val="none"/>
          <w:lang w:val="en-US" w:eastAsia="zh-CN"/>
        </w:rPr>
        <w:t>0.4%收取，</w:t>
      </w:r>
      <w:r>
        <w:rPr>
          <w:rFonts w:hint="eastAsia" w:ascii="宋体" w:hAnsi="宋体" w:eastAsia="宋体" w:cs="宋体"/>
          <w:color w:val="auto"/>
          <w:sz w:val="24"/>
          <w:szCs w:val="24"/>
          <w:highlight w:val="none"/>
        </w:rPr>
        <w:t>在签订合同前向经办人缴纳）。</w:t>
      </w:r>
      <w:bookmarkEnd w:id="180"/>
    </w:p>
    <w:p w14:paraId="7F7FD11F">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根据自己的经营状况和掌握的市场信息自主报价。决定</w:t>
      </w:r>
      <w:r>
        <w:rPr>
          <w:rFonts w:hint="eastAsia" w:ascii="宋体" w:hAnsi="宋体" w:eastAsia="宋体" w:cs="宋体"/>
          <w:color w:val="auto"/>
          <w:sz w:val="24"/>
          <w:szCs w:val="24"/>
          <w:highlight w:val="none"/>
          <w:lang w:eastAsia="zh-CN"/>
        </w:rPr>
        <w:t>投标人投标文件</w:t>
      </w:r>
      <w:r>
        <w:rPr>
          <w:rFonts w:hint="eastAsia" w:ascii="宋体" w:hAnsi="宋体" w:eastAsia="宋体" w:cs="宋体"/>
          <w:color w:val="auto"/>
          <w:sz w:val="24"/>
          <w:szCs w:val="24"/>
          <w:highlight w:val="none"/>
        </w:rPr>
        <w:t>的响应性只根据</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本身的内容，而不寻求外部的证据。</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应对</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中的条款做到正确理解，有疑义的条款应在采购答疑时提出，有疑义又没有在采购答疑时提出的，应按</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的解释为准。</w:t>
      </w:r>
    </w:p>
    <w:p w14:paraId="199C4D94">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、要求报价单的每一页都必须盖</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公章。</w:t>
      </w:r>
    </w:p>
    <w:p w14:paraId="2137A2B5">
      <w:pPr>
        <w:keepNext w:val="0"/>
        <w:keepLines w:val="0"/>
        <w:pageBreakBefore w:val="0"/>
        <w:widowControl w:val="0"/>
        <w:kinsoku/>
        <w:wordWrap/>
        <w:overflowPunct/>
        <w:topLinePunct w:val="0"/>
        <w:autoSpaceDE/>
        <w:autoSpaceDN/>
        <w:bidi w:val="0"/>
        <w:adjustRightInd/>
        <w:snapToGrid/>
        <w:spacing w:line="420" w:lineRule="exact"/>
        <w:ind w:leftChars="0" w:firstLine="482" w:firstLineChars="200"/>
        <w:textAlignment w:val="auto"/>
        <w:rPr>
          <w:rFonts w:hint="eastAsia" w:ascii="宋体" w:hAnsi="宋体" w:eastAsia="宋体" w:cs="宋体"/>
          <w:b/>
          <w:bCs/>
          <w:color w:val="auto"/>
          <w:sz w:val="24"/>
          <w:szCs w:val="24"/>
          <w:highlight w:val="none"/>
          <w:lang w:eastAsia="zh-CN"/>
        </w:rPr>
      </w:pPr>
    </w:p>
    <w:p w14:paraId="18C0EC4A">
      <w:pPr>
        <w:keepNext w:val="0"/>
        <w:keepLines w:val="0"/>
        <w:pageBreakBefore w:val="0"/>
        <w:widowControl w:val="0"/>
        <w:kinsoku/>
        <w:wordWrap/>
        <w:overflowPunct/>
        <w:topLinePunct w:val="0"/>
        <w:autoSpaceDE/>
        <w:autoSpaceDN/>
        <w:bidi w:val="0"/>
        <w:adjustRightInd/>
        <w:snapToGrid/>
        <w:spacing w:line="420" w:lineRule="exact"/>
        <w:ind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七</w:t>
      </w:r>
      <w:r>
        <w:rPr>
          <w:rFonts w:hint="eastAsia" w:ascii="宋体" w:hAnsi="宋体" w:eastAsia="宋体" w:cs="宋体"/>
          <w:b/>
          <w:bCs/>
          <w:color w:val="auto"/>
          <w:sz w:val="24"/>
          <w:szCs w:val="24"/>
          <w:highlight w:val="none"/>
        </w:rPr>
        <w:t>、应充分响应的技术规范和商务条款</w:t>
      </w:r>
    </w:p>
    <w:p w14:paraId="43C60532">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本文件所提出的技术规范及要求、付款方式、交货地点、交货时间、保修期限、服务内容等重要商务要求，</w:t>
      </w:r>
      <w:r>
        <w:rPr>
          <w:rFonts w:hint="eastAsia" w:ascii="宋体" w:hAnsi="宋体" w:eastAsia="宋体" w:cs="宋体"/>
          <w:bCs/>
          <w:color w:val="auto"/>
          <w:sz w:val="24"/>
          <w:szCs w:val="24"/>
          <w:highlight w:val="none"/>
          <w:lang w:eastAsia="zh-CN"/>
        </w:rPr>
        <w:t>投标人</w:t>
      </w:r>
      <w:r>
        <w:rPr>
          <w:rFonts w:hint="eastAsia" w:ascii="宋体" w:hAnsi="宋体" w:eastAsia="宋体" w:cs="宋体"/>
          <w:bCs/>
          <w:color w:val="auto"/>
          <w:sz w:val="24"/>
          <w:szCs w:val="24"/>
          <w:highlight w:val="none"/>
        </w:rPr>
        <w:t>应充分响应，否则</w:t>
      </w:r>
      <w:r>
        <w:rPr>
          <w:rFonts w:hint="eastAsia" w:ascii="宋体" w:hAnsi="宋体" w:eastAsia="宋体" w:cs="宋体"/>
          <w:bCs/>
          <w:color w:val="auto"/>
          <w:sz w:val="24"/>
          <w:szCs w:val="24"/>
          <w:highlight w:val="none"/>
          <w:lang w:eastAsia="zh-CN"/>
        </w:rPr>
        <w:t>评标委员会</w:t>
      </w:r>
      <w:r>
        <w:rPr>
          <w:rFonts w:hint="eastAsia" w:ascii="宋体" w:hAnsi="宋体" w:eastAsia="宋体" w:cs="宋体"/>
          <w:bCs/>
          <w:color w:val="auto"/>
          <w:sz w:val="24"/>
          <w:szCs w:val="24"/>
          <w:highlight w:val="none"/>
        </w:rPr>
        <w:t>有权酌情认定为实质性或重大负偏离。</w:t>
      </w:r>
    </w:p>
    <w:p w14:paraId="027E001A">
      <w:pPr>
        <w:keepNext w:val="0"/>
        <w:keepLines w:val="0"/>
        <w:pageBreakBefore w:val="0"/>
        <w:widowControl w:val="0"/>
        <w:kinsoku/>
        <w:wordWrap/>
        <w:overflowPunct/>
        <w:topLinePunct w:val="0"/>
        <w:autoSpaceDE/>
        <w:autoSpaceDN/>
        <w:bidi w:val="0"/>
        <w:adjustRightInd/>
        <w:snapToGrid/>
        <w:spacing w:line="420" w:lineRule="exact"/>
        <w:ind w:leftChars="0" w:firstLine="480" w:firstLineChars="200"/>
        <w:textAlignment w:val="auto"/>
        <w:rPr>
          <w:rFonts w:hint="eastAsia" w:ascii="宋体" w:hAnsi="宋体" w:eastAsia="宋体" w:cs="宋体"/>
          <w:bCs/>
          <w:color w:val="auto"/>
          <w:sz w:val="24"/>
          <w:szCs w:val="24"/>
          <w:highlight w:val="none"/>
          <w:lang w:eastAsia="zh-CN"/>
        </w:rPr>
      </w:pPr>
    </w:p>
    <w:p w14:paraId="15EE6BBA">
      <w:pPr>
        <w:keepNext w:val="0"/>
        <w:keepLines w:val="0"/>
        <w:pageBreakBefore w:val="0"/>
        <w:widowControl w:val="0"/>
        <w:numPr>
          <w:ilvl w:val="0"/>
          <w:numId w:val="15"/>
        </w:numPr>
        <w:kinsoku/>
        <w:wordWrap/>
        <w:overflowPunct/>
        <w:topLinePunct w:val="0"/>
        <w:autoSpaceDE/>
        <w:autoSpaceDN/>
        <w:bidi w:val="0"/>
        <w:adjustRightInd/>
        <w:snapToGrid/>
        <w:spacing w:line="420" w:lineRule="exact"/>
        <w:ind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其它</w:t>
      </w:r>
    </w:p>
    <w:p w14:paraId="2464D35C">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其它未尽事项按国家、地方有关法律、法规、规章规定办理</w:t>
      </w:r>
      <w:r>
        <w:rPr>
          <w:rFonts w:hint="eastAsia" w:ascii="宋体" w:hAnsi="宋体" w:eastAsia="宋体" w:cs="宋体"/>
          <w:color w:val="auto"/>
          <w:sz w:val="24"/>
          <w:szCs w:val="24"/>
          <w:highlight w:val="none"/>
        </w:rPr>
        <w:t>。</w:t>
      </w:r>
    </w:p>
    <w:p w14:paraId="468A9AF5">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Chars="200"/>
        <w:textAlignment w:val="auto"/>
        <w:rPr>
          <w:rFonts w:hint="eastAsia" w:ascii="宋体" w:hAnsi="宋体" w:eastAsia="宋体" w:cs="宋体"/>
          <w:color w:val="auto"/>
          <w:sz w:val="24"/>
          <w:szCs w:val="24"/>
          <w:highlight w:val="none"/>
        </w:rPr>
      </w:pPr>
    </w:p>
    <w:p w14:paraId="4AE6113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Chars="200"/>
        <w:textAlignment w:val="auto"/>
        <w:rPr>
          <w:rFonts w:hint="eastAsia" w:ascii="宋体" w:hAnsi="宋体" w:eastAsia="宋体" w:cs="宋体"/>
          <w:color w:val="auto"/>
          <w:sz w:val="24"/>
          <w:szCs w:val="24"/>
          <w:highlight w:val="none"/>
        </w:rPr>
      </w:pPr>
    </w:p>
    <w:p w14:paraId="62C16B1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Chars="200"/>
        <w:textAlignment w:val="auto"/>
        <w:rPr>
          <w:rFonts w:hint="eastAsia" w:ascii="宋体" w:hAnsi="宋体" w:eastAsia="宋体" w:cs="宋体"/>
          <w:color w:val="auto"/>
          <w:sz w:val="24"/>
          <w:szCs w:val="24"/>
          <w:highlight w:val="none"/>
        </w:rPr>
      </w:pPr>
    </w:p>
    <w:p w14:paraId="59F0688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Chars="200"/>
        <w:textAlignment w:val="auto"/>
        <w:rPr>
          <w:rFonts w:hint="eastAsia" w:ascii="宋体" w:hAnsi="宋体" w:eastAsia="宋体" w:cs="宋体"/>
          <w:color w:val="auto"/>
          <w:sz w:val="24"/>
          <w:szCs w:val="24"/>
          <w:highlight w:val="none"/>
        </w:rPr>
      </w:pPr>
    </w:p>
    <w:p w14:paraId="6CA4387C">
      <w:pPr>
        <w:pStyle w:val="2"/>
        <w:rPr>
          <w:rFonts w:hint="eastAsia"/>
        </w:rPr>
      </w:pPr>
    </w:p>
    <w:p w14:paraId="6555391D">
      <w:pPr>
        <w:pStyle w:val="3"/>
        <w:rPr>
          <w:rFonts w:hint="eastAsia"/>
        </w:rPr>
      </w:pPr>
    </w:p>
    <w:p w14:paraId="5F005468">
      <w:pPr>
        <w:rPr>
          <w:rFonts w:hint="eastAsia"/>
        </w:rPr>
      </w:pPr>
    </w:p>
    <w:p w14:paraId="468A5C65">
      <w:pPr>
        <w:pStyle w:val="2"/>
        <w:rPr>
          <w:rFonts w:hint="eastAsia"/>
        </w:rPr>
      </w:pPr>
    </w:p>
    <w:p w14:paraId="5E1D02E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Chars="200"/>
        <w:textAlignment w:val="auto"/>
        <w:rPr>
          <w:rFonts w:hint="eastAsia" w:ascii="宋体" w:hAnsi="宋体" w:eastAsia="宋体" w:cs="宋体"/>
          <w:color w:val="auto"/>
          <w:sz w:val="24"/>
          <w:szCs w:val="24"/>
          <w:highlight w:val="none"/>
        </w:rPr>
      </w:pPr>
    </w:p>
    <w:p w14:paraId="6ABD9CB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Chars="200"/>
        <w:textAlignment w:val="auto"/>
        <w:rPr>
          <w:rFonts w:hint="eastAsia" w:ascii="宋体" w:hAnsi="宋体" w:eastAsia="宋体" w:cs="宋体"/>
          <w:color w:val="auto"/>
          <w:sz w:val="24"/>
          <w:szCs w:val="24"/>
          <w:highlight w:val="none"/>
        </w:rPr>
      </w:pPr>
    </w:p>
    <w:p w14:paraId="1CD00FB1">
      <w:pPr>
        <w:pStyle w:val="11"/>
        <w:spacing w:before="120" w:beforeAutospacing="0" w:after="120" w:afterAutospacing="0" w:line="360" w:lineRule="auto"/>
        <w:ind w:firstLine="439"/>
        <w:jc w:val="center"/>
        <w:rPr>
          <w:rFonts w:ascii="Arial" w:hAnsi="Arial" w:cs="Arial"/>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评标方法与评标标准</w:t>
      </w:r>
    </w:p>
    <w:p w14:paraId="2B8CFEE3">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39"/>
        <w:textAlignment w:val="auto"/>
        <w:rPr>
          <w:rFonts w:hint="eastAsia" w:ascii="宋体" w:hAnsi="宋体" w:eastAsia="宋体" w:cs="宋体"/>
          <w:color w:val="auto"/>
          <w:sz w:val="24"/>
          <w:szCs w:val="24"/>
          <w:highlight w:val="none"/>
        </w:rPr>
      </w:pPr>
    </w:p>
    <w:p w14:paraId="3BEF284C">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3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1121546D">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41"/>
        <w:textAlignment w:val="auto"/>
        <w:rPr>
          <w:highlight w:val="none"/>
        </w:rPr>
      </w:pPr>
      <w:r>
        <w:rPr>
          <w:rFonts w:hint="eastAsia" w:ascii="宋体" w:hAnsi="宋体" w:eastAsia="宋体" w:cs="宋体"/>
          <w:b/>
          <w:color w:val="000000"/>
          <w:highlight w:val="none"/>
          <w:lang w:eastAsia="zh-CN"/>
        </w:rPr>
        <w:t>一、</w:t>
      </w:r>
      <w:r>
        <w:rPr>
          <w:rFonts w:hint="eastAsia" w:ascii="宋体" w:hAnsi="宋体" w:eastAsia="宋体" w:cs="宋体"/>
          <w:b/>
          <w:color w:val="000000"/>
          <w:highlight w:val="none"/>
        </w:rPr>
        <w:t>政府采购政策功能落实</w:t>
      </w:r>
    </w:p>
    <w:p w14:paraId="4FE2B8A8">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textAlignment w:val="auto"/>
        <w:rPr>
          <w:highlight w:val="none"/>
        </w:rPr>
      </w:pPr>
      <w:r>
        <w:rPr>
          <w:rFonts w:hint="eastAsia" w:ascii="宋体" w:hAnsi="宋体" w:eastAsia="宋体" w:cs="宋体"/>
          <w:color w:val="000000"/>
          <w:highlight w:val="none"/>
        </w:rPr>
        <w:t>1、小微型企业价格扣除</w:t>
      </w:r>
    </w:p>
    <w:p w14:paraId="0C7858E5">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360"/>
        <w:textAlignment w:val="auto"/>
        <w:rPr>
          <w:rFonts w:ascii="宋体" w:hAnsi="宋体" w:eastAsia="宋体" w:cs="宋体"/>
          <w:color w:val="000000"/>
          <w:highlight w:val="none"/>
        </w:rPr>
      </w:pPr>
      <w:r>
        <w:rPr>
          <w:rFonts w:hint="eastAsia" w:ascii="宋体" w:hAnsi="宋体" w:eastAsia="宋体" w:cs="宋体"/>
          <w:color w:val="000000"/>
          <w:highlight w:val="none"/>
        </w:rPr>
        <w:t>（1）本项目对小型和微型企业产品给予</w:t>
      </w:r>
      <w:r>
        <w:rPr>
          <w:rFonts w:hint="eastAsia" w:ascii="宋体" w:hAnsi="宋体" w:eastAsia="宋体" w:cs="宋体"/>
          <w:color w:val="000000"/>
          <w:highlight w:val="none"/>
          <w:u w:val="single"/>
        </w:rPr>
        <w:t>20%</w:t>
      </w:r>
      <w:r>
        <w:rPr>
          <w:rFonts w:hint="eastAsia" w:ascii="宋体" w:hAnsi="宋体" w:eastAsia="宋体" w:cs="宋体"/>
          <w:color w:val="000000"/>
          <w:highlight w:val="none"/>
        </w:rPr>
        <w:t>的价格扣除，用扣除后的价格参与评审。</w:t>
      </w:r>
    </w:p>
    <w:p w14:paraId="18140DE4">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360"/>
        <w:textAlignment w:val="auto"/>
        <w:rPr>
          <w:highlight w:val="none"/>
        </w:rPr>
      </w:pPr>
      <w:r>
        <w:rPr>
          <w:rFonts w:hint="eastAsia" w:ascii="宋体" w:hAnsi="宋体" w:eastAsia="宋体" w:cs="宋体"/>
          <w:color w:val="000000"/>
          <w:highlight w:val="none"/>
        </w:rPr>
        <w:t>（2）供应商需按照采购文件的要求提供相应的《小微企业声明函》。</w:t>
      </w:r>
    </w:p>
    <w:p w14:paraId="2CB282C0">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360"/>
        <w:textAlignment w:val="auto"/>
        <w:rPr>
          <w:highlight w:val="none"/>
        </w:rPr>
      </w:pPr>
      <w:r>
        <w:rPr>
          <w:rFonts w:hint="eastAsia" w:ascii="宋体" w:hAnsi="宋体" w:eastAsia="宋体" w:cs="宋体"/>
          <w:color w:val="000000"/>
          <w:highlight w:val="none"/>
        </w:rPr>
        <w:t>（3）企业标准请参照《关于印发中小企业划型标准规定的通知》（工信部联企业[2011]300号）文件规定自行填写。</w:t>
      </w:r>
    </w:p>
    <w:p w14:paraId="71FF7C8D">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textAlignment w:val="auto"/>
        <w:rPr>
          <w:highlight w:val="none"/>
        </w:rPr>
      </w:pPr>
      <w:r>
        <w:rPr>
          <w:rFonts w:hint="eastAsia" w:ascii="宋体" w:hAnsi="宋体" w:eastAsia="宋体" w:cs="宋体"/>
          <w:color w:val="000000"/>
          <w:highlight w:val="none"/>
        </w:rPr>
        <w:t>2、残疾人福利单位价格扣除</w:t>
      </w:r>
    </w:p>
    <w:p w14:paraId="1C015551">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360"/>
        <w:textAlignment w:val="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（1）本项目对残疾人福利性单位视同小型、微型企业，给予</w:t>
      </w:r>
      <w:r>
        <w:rPr>
          <w:rFonts w:hint="eastAsia" w:ascii="宋体" w:hAnsi="宋体" w:eastAsia="宋体" w:cs="宋体"/>
          <w:color w:val="000000"/>
          <w:highlight w:val="none"/>
          <w:u w:val="single"/>
        </w:rPr>
        <w:t>20%</w:t>
      </w:r>
      <w:r>
        <w:rPr>
          <w:rFonts w:hint="eastAsia" w:ascii="宋体" w:hAnsi="宋体" w:eastAsia="宋体" w:cs="宋体"/>
          <w:color w:val="000000"/>
          <w:highlight w:val="none"/>
        </w:rPr>
        <w:t>的价格扣除</w:t>
      </w:r>
      <w:r>
        <w:rPr>
          <w:rFonts w:hint="eastAsia" w:ascii="宋体" w:hAnsi="宋体" w:eastAsia="宋体" w:cs="宋体"/>
          <w:color w:val="000000"/>
          <w:highlight w:val="none"/>
          <w:lang w:eastAsia="zh-CN"/>
        </w:rPr>
        <w:t>。</w:t>
      </w:r>
    </w:p>
    <w:p w14:paraId="2AD90D95">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360"/>
        <w:textAlignment w:val="auto"/>
        <w:rPr>
          <w:highlight w:val="none"/>
        </w:rPr>
      </w:pPr>
      <w:r>
        <w:rPr>
          <w:rFonts w:hint="eastAsia" w:ascii="宋体" w:hAnsi="宋体" w:eastAsia="宋体" w:cs="宋体"/>
          <w:color w:val="000000"/>
          <w:highlight w:val="none"/>
        </w:rPr>
        <w:t>（2）残疾人福利单位需按照采购文件的要求提供《残疾人福利性单位声明函》。</w:t>
      </w:r>
    </w:p>
    <w:p w14:paraId="4C004D00">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360"/>
        <w:textAlignment w:val="auto"/>
        <w:rPr>
          <w:highlight w:val="none"/>
        </w:rPr>
      </w:pPr>
      <w:r>
        <w:rPr>
          <w:rFonts w:hint="eastAsia" w:ascii="宋体" w:hAnsi="宋体" w:eastAsia="宋体" w:cs="宋体"/>
          <w:color w:val="000000"/>
          <w:highlight w:val="none"/>
        </w:rPr>
        <w:t>（3）残疾人福利单位标准请参照《关于促进残疾人就业政府采购政策的通知》（财库〔2017〕141号）。</w:t>
      </w:r>
    </w:p>
    <w:p w14:paraId="037E56E0">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textAlignment w:val="auto"/>
        <w:rPr>
          <w:highlight w:val="none"/>
        </w:rPr>
      </w:pPr>
      <w:r>
        <w:rPr>
          <w:rFonts w:hint="eastAsia" w:ascii="宋体" w:hAnsi="宋体" w:eastAsia="宋体" w:cs="宋体"/>
          <w:color w:val="000000"/>
          <w:highlight w:val="none"/>
        </w:rPr>
        <w:t>3、监狱和戒毒企业价格扣除</w:t>
      </w:r>
    </w:p>
    <w:p w14:paraId="7C7B6476">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textAlignment w:val="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（1）本项目对监狱和戒毒企业（简称监狱企业）视同小型、微型企业，给予</w:t>
      </w:r>
      <w:r>
        <w:rPr>
          <w:rFonts w:hint="eastAsia" w:ascii="宋体" w:hAnsi="宋体" w:eastAsia="宋体" w:cs="宋体"/>
          <w:color w:val="000000"/>
          <w:highlight w:val="none"/>
          <w:u w:val="single"/>
        </w:rPr>
        <w:t>20%</w:t>
      </w:r>
      <w:r>
        <w:rPr>
          <w:rFonts w:hint="eastAsia" w:ascii="宋体" w:hAnsi="宋体" w:eastAsia="宋体" w:cs="宋体"/>
          <w:color w:val="000000"/>
          <w:highlight w:val="none"/>
        </w:rPr>
        <w:t>的价格扣除</w:t>
      </w:r>
      <w:r>
        <w:rPr>
          <w:rFonts w:hint="eastAsia" w:ascii="宋体" w:hAnsi="宋体" w:eastAsia="宋体" w:cs="宋体"/>
          <w:color w:val="000000"/>
          <w:highlight w:val="none"/>
          <w:lang w:eastAsia="zh-CN"/>
        </w:rPr>
        <w:t>。</w:t>
      </w:r>
    </w:p>
    <w:p w14:paraId="394B21CF">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textAlignment w:val="auto"/>
        <w:rPr>
          <w:highlight w:val="none"/>
        </w:rPr>
      </w:pPr>
      <w:r>
        <w:rPr>
          <w:rFonts w:hint="eastAsia" w:ascii="宋体" w:hAnsi="宋体" w:eastAsia="宋体" w:cs="宋体"/>
          <w:color w:val="000000"/>
          <w:highlight w:val="none"/>
        </w:rPr>
        <w:t>（2）监狱企业参加政府采购活动时，需提供由省级以上监狱管理局、戒毒管理局(含新疆生产建设兵团)出具的属于监狱企业的证明文件。供应商如不提供上述证明文件，价格将不做相应扣除。</w:t>
      </w:r>
    </w:p>
    <w:p w14:paraId="631B7E35">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textAlignment w:val="auto"/>
        <w:rPr>
          <w:highlight w:val="none"/>
        </w:rPr>
      </w:pPr>
      <w:r>
        <w:rPr>
          <w:rFonts w:hint="eastAsia" w:ascii="宋体" w:hAnsi="宋体" w:eastAsia="宋体" w:cs="宋体"/>
          <w:color w:val="000000"/>
          <w:highlight w:val="none"/>
        </w:rPr>
        <w:t>（3）监狱企业标准请参照《关于政府采购支持监狱企业发展有关问题的通知》（财库[2014]68号）。</w:t>
      </w:r>
    </w:p>
    <w:p w14:paraId="3B431FA5">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textAlignment w:val="auto"/>
        <w:rPr>
          <w:highlight w:val="none"/>
        </w:rPr>
      </w:pPr>
      <w:r>
        <w:rPr>
          <w:rFonts w:hint="eastAsia" w:ascii="宋体" w:hAnsi="宋体" w:eastAsia="宋体" w:cs="宋体"/>
          <w:color w:val="000000"/>
          <w:highlight w:val="none"/>
        </w:rPr>
        <w:t>4、残疾人福利单位、监狱企业属于小型、微型企业的，不重复享受政策。</w:t>
      </w:r>
    </w:p>
    <w:p w14:paraId="0A0285B3">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textAlignment w:val="auto"/>
        <w:rPr>
          <w:rFonts w:ascii="宋体" w:hAnsi="宋体" w:eastAsia="宋体" w:cs="宋体"/>
          <w:color w:val="000000"/>
          <w:highlight w:val="none"/>
        </w:rPr>
      </w:pPr>
      <w:r>
        <w:rPr>
          <w:rFonts w:hint="eastAsia" w:ascii="宋体" w:hAnsi="宋体" w:eastAsia="宋体" w:cs="宋体"/>
          <w:color w:val="000000"/>
          <w:highlight w:val="none"/>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6%</w:t>
      </w:r>
      <w:r>
        <w:rPr>
          <w:rFonts w:hint="eastAsia" w:ascii="宋体" w:hAnsi="宋体" w:eastAsia="宋体" w:cs="宋体"/>
          <w:color w:val="000000"/>
          <w:highlight w:val="none"/>
        </w:rPr>
        <w:t>的价格扣除，用扣除后的价格参与评审。</w:t>
      </w:r>
    </w:p>
    <w:p w14:paraId="63AF500C">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80"/>
        <w:textAlignment w:val="auto"/>
        <w:rPr>
          <w:rFonts w:ascii="宋体" w:hAnsi="宋体" w:eastAsia="宋体" w:cs="宋体"/>
          <w:color w:val="auto"/>
          <w:highlight w:val="none"/>
          <w:u w:val="single"/>
        </w:rPr>
      </w:pPr>
      <w:r>
        <w:rPr>
          <w:rFonts w:hint="eastAsia" w:ascii="宋体" w:hAnsi="宋体" w:eastAsia="宋体" w:cs="宋体"/>
          <w:color w:val="000000"/>
          <w:highlight w:val="none"/>
        </w:rPr>
        <w:t>6、联合体各方均为小型、微型企业（残疾人福利单位、监狱企业）的，联合</w:t>
      </w:r>
      <w:r>
        <w:rPr>
          <w:rFonts w:hint="eastAsia" w:ascii="宋体" w:hAnsi="宋体" w:eastAsia="宋体" w:cs="宋体"/>
          <w:color w:val="auto"/>
          <w:highlight w:val="none"/>
        </w:rPr>
        <w:t>体享受</w:t>
      </w:r>
      <w:r>
        <w:rPr>
          <w:rFonts w:hint="eastAsia" w:ascii="宋体" w:hAnsi="宋体" w:eastAsia="宋体" w:cs="宋体"/>
          <w:color w:val="auto"/>
          <w:highlight w:val="none"/>
          <w:u w:val="single"/>
        </w:rPr>
        <w:t>20%</w:t>
      </w:r>
      <w:r>
        <w:rPr>
          <w:rFonts w:hint="eastAsia" w:ascii="宋体" w:hAnsi="宋体" w:eastAsia="宋体" w:cs="宋体"/>
          <w:color w:val="000000"/>
          <w:highlight w:val="none"/>
        </w:rPr>
        <w:t>的价格扣除</w:t>
      </w:r>
      <w:r>
        <w:rPr>
          <w:rFonts w:hint="eastAsia" w:ascii="宋体" w:hAnsi="宋体" w:eastAsia="宋体" w:cs="宋体"/>
          <w:color w:val="000000"/>
          <w:highlight w:val="none"/>
          <w:lang w:eastAsia="zh-CN"/>
        </w:rPr>
        <w:t>。</w:t>
      </w:r>
    </w:p>
    <w:p w14:paraId="720EC890">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rPr>
        <w:t>。</w:t>
      </w:r>
      <w:r>
        <w:rPr>
          <w:rFonts w:hint="eastAsia" w:ascii="宋体" w:hAnsi="宋体" w:eastAsia="宋体" w:cs="宋体"/>
          <w:color w:val="auto"/>
          <w:kern w:val="0"/>
          <w:sz w:val="24"/>
          <w:highlight w:val="none"/>
        </w:rPr>
        <w:t>其他条件相同情况下，应当优先采购节能产品、环境标志产品。</w:t>
      </w:r>
    </w:p>
    <w:p w14:paraId="06EFACD9">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firstLine="473"/>
        <w:textAlignment w:val="auto"/>
        <w:rPr>
          <w:rFonts w:hint="eastAsia" w:ascii="宋体" w:hAnsi="宋体" w:eastAsia="宋体" w:cs="宋体"/>
          <w:color w:val="auto"/>
          <w:sz w:val="24"/>
          <w:szCs w:val="24"/>
          <w:highlight w:val="none"/>
        </w:rPr>
      </w:pP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、根据《江苏省政府采购信用管理暂行办法》的规定，供应商信用评价结果为三星的扣2分，评价结果为二星的扣3分，评价结果为一星的扣4分。</w:t>
      </w:r>
    </w:p>
    <w:p w14:paraId="490902AC">
      <w:pPr>
        <w:pStyle w:val="11"/>
        <w:keepNext/>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color w:val="auto"/>
          <w:highlight w:val="none"/>
        </w:rPr>
      </w:pPr>
    </w:p>
    <w:p w14:paraId="1D3E91DC">
      <w:pPr>
        <w:keepNext w:val="0"/>
        <w:keepLines w:val="0"/>
        <w:pageBreakBefore w:val="0"/>
        <w:widowControl w:val="0"/>
        <w:numPr>
          <w:ilvl w:val="0"/>
          <w:numId w:val="16"/>
        </w:numPr>
        <w:kinsoku/>
        <w:wordWrap/>
        <w:overflowPunct/>
        <w:topLinePunct w:val="0"/>
        <w:autoSpaceDE/>
        <w:autoSpaceDN/>
        <w:bidi w:val="0"/>
        <w:adjustRightInd/>
        <w:snapToGrid/>
        <w:spacing w:line="440" w:lineRule="exact"/>
        <w:ind w:left="0" w:leftChars="0" w:firstLine="482" w:firstLineChars="200"/>
        <w:textAlignment w:val="auto"/>
        <w:rPr>
          <w:rFonts w:hint="eastAsia" w:ascii="宋体" w:hAnsi="Arial Unicode MS" w:eastAsia="宋体" w:cs="宋体"/>
          <w:b/>
          <w:color w:val="auto"/>
          <w:sz w:val="24"/>
          <w:szCs w:val="24"/>
          <w:highlight w:val="none"/>
          <w:u w:val="none" w:color="000000"/>
          <w:lang w:val="zh-TW" w:eastAsia="zh-CN"/>
        </w:rPr>
      </w:pPr>
      <w:r>
        <w:rPr>
          <w:rFonts w:hint="eastAsia" w:ascii="宋体" w:hAnsi="Arial Unicode MS" w:eastAsia="宋体" w:cs="宋体"/>
          <w:b/>
          <w:color w:val="auto"/>
          <w:sz w:val="24"/>
          <w:szCs w:val="24"/>
          <w:highlight w:val="none"/>
          <w:u w:val="none" w:color="000000"/>
          <w:lang w:val="zh-TW" w:eastAsia="zh-CN"/>
        </w:rPr>
        <w:t>评标方法与评标标准</w:t>
      </w:r>
    </w:p>
    <w:tbl>
      <w:tblPr>
        <w:tblStyle w:val="13"/>
        <w:tblW w:w="9682" w:type="dxa"/>
        <w:tblInd w:w="-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740"/>
        <w:gridCol w:w="738"/>
        <w:gridCol w:w="742"/>
        <w:gridCol w:w="6733"/>
      </w:tblGrid>
      <w:tr w14:paraId="23FD8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729" w:type="dxa"/>
            <w:noWrap w:val="0"/>
            <w:vAlign w:val="center"/>
          </w:tcPr>
          <w:p w14:paraId="4961D483">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b/>
                <w:color w:val="auto"/>
                <w:sz w:val="24"/>
                <w:szCs w:val="24"/>
                <w:highlight w:val="none"/>
              </w:rPr>
            </w:pPr>
            <w:r>
              <w:rPr>
                <w:rFonts w:hint="eastAsia" w:ascii="宋体" w:hAnsi="宋体"/>
                <w:b/>
                <w:color w:val="auto"/>
                <w:kern w:val="1"/>
                <w:sz w:val="24"/>
                <w:szCs w:val="24"/>
                <w:highlight w:val="none"/>
              </w:rPr>
              <w:t>序号</w:t>
            </w:r>
          </w:p>
        </w:tc>
        <w:tc>
          <w:tcPr>
            <w:tcW w:w="1478" w:type="dxa"/>
            <w:gridSpan w:val="2"/>
            <w:noWrap w:val="0"/>
            <w:vAlign w:val="center"/>
          </w:tcPr>
          <w:p w14:paraId="059F652D">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b/>
                <w:color w:val="auto"/>
                <w:sz w:val="24"/>
                <w:szCs w:val="24"/>
                <w:highlight w:val="none"/>
              </w:rPr>
            </w:pPr>
            <w:r>
              <w:rPr>
                <w:rFonts w:hint="eastAsia" w:ascii="宋体" w:hAnsi="宋体"/>
                <w:b/>
                <w:color w:val="auto"/>
                <w:kern w:val="1"/>
                <w:sz w:val="24"/>
                <w:szCs w:val="24"/>
                <w:highlight w:val="none"/>
              </w:rPr>
              <w:t>评审项</w:t>
            </w:r>
          </w:p>
        </w:tc>
        <w:tc>
          <w:tcPr>
            <w:tcW w:w="742" w:type="dxa"/>
            <w:noWrap w:val="0"/>
            <w:vAlign w:val="center"/>
          </w:tcPr>
          <w:p w14:paraId="7BEC507C">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b/>
                <w:color w:val="auto"/>
                <w:sz w:val="24"/>
                <w:szCs w:val="24"/>
                <w:highlight w:val="none"/>
              </w:rPr>
            </w:pPr>
            <w:r>
              <w:rPr>
                <w:rFonts w:hint="eastAsia" w:ascii="宋体" w:hAnsi="宋体"/>
                <w:b/>
                <w:color w:val="auto"/>
                <w:kern w:val="1"/>
                <w:sz w:val="24"/>
                <w:szCs w:val="24"/>
                <w:highlight w:val="none"/>
              </w:rPr>
              <w:t>分值</w:t>
            </w:r>
          </w:p>
        </w:tc>
        <w:tc>
          <w:tcPr>
            <w:tcW w:w="6733" w:type="dxa"/>
            <w:noWrap w:val="0"/>
            <w:vAlign w:val="center"/>
          </w:tcPr>
          <w:p w14:paraId="44C82175">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b/>
                <w:color w:val="auto"/>
                <w:sz w:val="24"/>
                <w:szCs w:val="24"/>
                <w:highlight w:val="none"/>
              </w:rPr>
            </w:pPr>
            <w:r>
              <w:rPr>
                <w:rFonts w:hint="eastAsia" w:ascii="宋体" w:hAnsi="宋体"/>
                <w:b/>
                <w:color w:val="auto"/>
                <w:kern w:val="1"/>
                <w:sz w:val="24"/>
                <w:szCs w:val="24"/>
                <w:highlight w:val="none"/>
              </w:rPr>
              <w:t>评分标准</w:t>
            </w:r>
          </w:p>
        </w:tc>
      </w:tr>
      <w:tr w14:paraId="1006B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2" w:hRule="atLeast"/>
        </w:trPr>
        <w:tc>
          <w:tcPr>
            <w:tcW w:w="729" w:type="dxa"/>
            <w:noWrap w:val="0"/>
            <w:vAlign w:val="center"/>
          </w:tcPr>
          <w:p w14:paraId="2AC2975F">
            <w:pPr>
              <w:keepNext w:val="0"/>
              <w:keepLines w:val="0"/>
              <w:pageBreakBefore w:val="0"/>
              <w:kinsoku/>
              <w:wordWrap/>
              <w:overflowPunct/>
              <w:topLinePunct w:val="0"/>
              <w:bidi w:val="0"/>
              <w:snapToGrid/>
              <w:spacing w:line="360" w:lineRule="exact"/>
              <w:jc w:val="center"/>
              <w:textAlignment w:val="auto"/>
              <w:rPr>
                <w:color w:val="auto"/>
                <w:sz w:val="18"/>
                <w:szCs w:val="18"/>
                <w:highlight w:val="none"/>
              </w:rPr>
            </w:pPr>
            <w:r>
              <w:rPr>
                <w:rFonts w:hint="eastAsia" w:ascii="宋体" w:hAnsi="宋体"/>
                <w:color w:val="auto"/>
                <w:kern w:val="1"/>
                <w:sz w:val="18"/>
                <w:szCs w:val="18"/>
                <w:highlight w:val="none"/>
              </w:rPr>
              <w:t>1</w:t>
            </w:r>
          </w:p>
        </w:tc>
        <w:tc>
          <w:tcPr>
            <w:tcW w:w="1478" w:type="dxa"/>
            <w:gridSpan w:val="2"/>
            <w:noWrap w:val="0"/>
            <w:vAlign w:val="center"/>
          </w:tcPr>
          <w:p w14:paraId="264A0AAB">
            <w:pPr>
              <w:keepNext w:val="0"/>
              <w:keepLines w:val="0"/>
              <w:pageBreakBefore w:val="0"/>
              <w:kinsoku/>
              <w:wordWrap/>
              <w:overflowPunct/>
              <w:topLinePunct w:val="0"/>
              <w:bidi w:val="0"/>
              <w:snapToGrid/>
              <w:spacing w:line="360" w:lineRule="exact"/>
              <w:jc w:val="center"/>
              <w:textAlignment w:val="auto"/>
              <w:rPr>
                <w:color w:val="auto"/>
                <w:szCs w:val="21"/>
                <w:highlight w:val="none"/>
              </w:rPr>
            </w:pPr>
            <w:r>
              <w:rPr>
                <w:rFonts w:hint="eastAsia" w:ascii="宋体" w:hAnsi="宋体"/>
                <w:b/>
                <w:bCs/>
                <w:color w:val="auto"/>
                <w:kern w:val="1"/>
                <w:szCs w:val="21"/>
                <w:highlight w:val="none"/>
              </w:rPr>
              <w:t>价格分</w:t>
            </w:r>
          </w:p>
        </w:tc>
        <w:tc>
          <w:tcPr>
            <w:tcW w:w="742" w:type="dxa"/>
            <w:noWrap w:val="0"/>
            <w:vAlign w:val="center"/>
          </w:tcPr>
          <w:p w14:paraId="625D33E4">
            <w:pPr>
              <w:keepNext w:val="0"/>
              <w:keepLines w:val="0"/>
              <w:pageBreakBefore w:val="0"/>
              <w:kinsoku/>
              <w:wordWrap/>
              <w:overflowPunct/>
              <w:topLinePunct w:val="0"/>
              <w:bidi w:val="0"/>
              <w:snapToGrid/>
              <w:spacing w:line="360" w:lineRule="exact"/>
              <w:jc w:val="center"/>
              <w:textAlignment w:val="auto"/>
              <w:rPr>
                <w:color w:val="auto"/>
                <w:szCs w:val="21"/>
                <w:highlight w:val="none"/>
              </w:rPr>
            </w:pPr>
            <w:r>
              <w:rPr>
                <w:rFonts w:hint="eastAsia" w:ascii="宋体" w:hAnsi="宋体"/>
                <w:color w:val="auto"/>
                <w:kern w:val="1"/>
                <w:szCs w:val="21"/>
                <w:highlight w:val="none"/>
                <w:lang w:val="en-US" w:eastAsia="zh-CN"/>
              </w:rPr>
              <w:t>30</w:t>
            </w:r>
            <w:r>
              <w:rPr>
                <w:rFonts w:hint="eastAsia" w:ascii="宋体" w:hAnsi="宋体"/>
                <w:color w:val="auto"/>
                <w:kern w:val="1"/>
                <w:szCs w:val="21"/>
                <w:highlight w:val="none"/>
              </w:rPr>
              <w:t>分</w:t>
            </w:r>
          </w:p>
        </w:tc>
        <w:tc>
          <w:tcPr>
            <w:tcW w:w="6733" w:type="dxa"/>
            <w:noWrap w:val="0"/>
            <w:vAlign w:val="top"/>
          </w:tcPr>
          <w:p w14:paraId="36E5FD69">
            <w:pPr>
              <w:keepNext w:val="0"/>
              <w:keepLines w:val="0"/>
              <w:pageBreakBefore w:val="0"/>
              <w:widowControl w:val="0"/>
              <w:kinsoku/>
              <w:wordWrap/>
              <w:overflowPunct/>
              <w:topLinePunct w:val="0"/>
              <w:autoSpaceDE/>
              <w:autoSpaceDN/>
              <w:bidi w:val="0"/>
              <w:adjustRightInd/>
              <w:snapToGrid/>
              <w:spacing w:line="300" w:lineRule="exact"/>
              <w:ind w:firstLine="210" w:firstLineChars="100"/>
              <w:jc w:val="left"/>
              <w:textAlignment w:val="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价格分采用低价优先法计算，即满足招标文件要求且投标报价最低的投标人报价为评标基准价，其价格分为满分</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分，其它投标人的价格分统一按照以下公式计算：投标报价得分=（评标基准价/该投标人的投标报价）×</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分。</w:t>
            </w:r>
          </w:p>
          <w:p w14:paraId="1858527C">
            <w:pPr>
              <w:pStyle w:val="2"/>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rPr>
            </w:pPr>
            <w:r>
              <w:rPr>
                <w:rFonts w:hint="eastAsia" w:ascii="宋体" w:hAnsi="宋体" w:cs="宋体"/>
                <w:b/>
                <w:bCs/>
                <w:color w:val="auto"/>
                <w:sz w:val="20"/>
                <w:szCs w:val="20"/>
                <w:highlight w:val="none"/>
              </w:rPr>
              <w:t>特别说明：本项目对小型和微型企业产品给予</w:t>
            </w:r>
            <w:r>
              <w:rPr>
                <w:rFonts w:hint="eastAsia" w:ascii="宋体" w:hAnsi="宋体" w:cs="宋体"/>
                <w:b/>
                <w:bCs/>
                <w:color w:val="auto"/>
                <w:sz w:val="20"/>
                <w:szCs w:val="20"/>
                <w:highlight w:val="none"/>
                <w:lang w:val="en-US" w:eastAsia="zh-CN"/>
              </w:rPr>
              <w:t>2</w:t>
            </w:r>
            <w:r>
              <w:rPr>
                <w:rFonts w:hint="eastAsia" w:ascii="宋体" w:hAnsi="宋体" w:cs="宋体"/>
                <w:b/>
                <w:bCs/>
                <w:color w:val="auto"/>
                <w:sz w:val="20"/>
                <w:szCs w:val="20"/>
                <w:highlight w:val="none"/>
              </w:rPr>
              <w:t>0%的扣除价格，用扣除后的价格参与评审。参与评审的投标报价是指价格扣除后的投标报价。</w:t>
            </w:r>
          </w:p>
        </w:tc>
      </w:tr>
      <w:tr w14:paraId="00B10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7" w:hRule="atLeast"/>
        </w:trPr>
        <w:tc>
          <w:tcPr>
            <w:tcW w:w="729" w:type="dxa"/>
            <w:vMerge w:val="restart"/>
            <w:noWrap w:val="0"/>
            <w:vAlign w:val="center"/>
          </w:tcPr>
          <w:p w14:paraId="72DBBAA0">
            <w:pPr>
              <w:keepNext w:val="0"/>
              <w:keepLines w:val="0"/>
              <w:pageBreakBefore w:val="0"/>
              <w:kinsoku/>
              <w:wordWrap/>
              <w:overflowPunct/>
              <w:topLinePunct w:val="0"/>
              <w:bidi w:val="0"/>
              <w:snapToGrid/>
              <w:spacing w:line="360" w:lineRule="exact"/>
              <w:jc w:val="center"/>
              <w:textAlignment w:val="auto"/>
              <w:rPr>
                <w:rFonts w:hint="eastAsia" w:ascii="宋体" w:hAnsi="宋体" w:eastAsiaTheme="minorEastAsia"/>
                <w:color w:val="auto"/>
                <w:kern w:val="1"/>
                <w:sz w:val="18"/>
                <w:szCs w:val="18"/>
                <w:highlight w:val="none"/>
                <w:lang w:val="en-US" w:eastAsia="zh-CN"/>
              </w:rPr>
            </w:pPr>
            <w:r>
              <w:rPr>
                <w:rFonts w:hint="eastAsia" w:ascii="宋体" w:hAnsi="宋体"/>
                <w:color w:val="auto"/>
                <w:kern w:val="1"/>
                <w:sz w:val="18"/>
                <w:szCs w:val="18"/>
                <w:highlight w:val="none"/>
                <w:lang w:val="en-US" w:eastAsia="zh-CN"/>
              </w:rPr>
              <w:t>2</w:t>
            </w:r>
          </w:p>
        </w:tc>
        <w:tc>
          <w:tcPr>
            <w:tcW w:w="740" w:type="dxa"/>
            <w:vMerge w:val="restart"/>
            <w:noWrap w:val="0"/>
            <w:vAlign w:val="center"/>
          </w:tcPr>
          <w:p w14:paraId="27E3DA6D">
            <w:pPr>
              <w:keepNext w:val="0"/>
              <w:keepLines w:val="0"/>
              <w:pageBreakBefore w:val="0"/>
              <w:kinsoku/>
              <w:wordWrap/>
              <w:overflowPunct/>
              <w:topLinePunct w:val="0"/>
              <w:bidi w:val="0"/>
              <w:snapToGrid/>
              <w:spacing w:line="360" w:lineRule="exact"/>
              <w:jc w:val="center"/>
              <w:textAlignment w:val="auto"/>
              <w:rPr>
                <w:rFonts w:hint="eastAsia" w:ascii="宋体" w:hAnsi="宋体" w:eastAsiaTheme="minorEastAsia"/>
                <w:color w:val="auto"/>
                <w:kern w:val="1"/>
                <w:szCs w:val="21"/>
                <w:highlight w:val="none"/>
                <w:lang w:val="en-US" w:eastAsia="zh-CN"/>
              </w:rPr>
            </w:pPr>
            <w:r>
              <w:rPr>
                <w:rFonts w:hint="eastAsia" w:ascii="宋体" w:hAnsi="宋体"/>
                <w:b/>
                <w:bCs/>
                <w:color w:val="auto"/>
                <w:kern w:val="1"/>
                <w:szCs w:val="21"/>
                <w:highlight w:val="none"/>
                <w:lang w:val="en-US" w:eastAsia="zh-CN"/>
              </w:rPr>
              <w:t>综合实力</w:t>
            </w:r>
          </w:p>
        </w:tc>
        <w:tc>
          <w:tcPr>
            <w:tcW w:w="738" w:type="dxa"/>
            <w:noWrap w:val="0"/>
            <w:vAlign w:val="center"/>
          </w:tcPr>
          <w:p w14:paraId="4D8F251E">
            <w:pPr>
              <w:keepNext w:val="0"/>
              <w:keepLines w:val="0"/>
              <w:pageBreakBefore w:val="0"/>
              <w:kinsoku/>
              <w:wordWrap/>
              <w:overflowPunct/>
              <w:topLinePunct w:val="0"/>
              <w:bidi w:val="0"/>
              <w:snapToGrid/>
              <w:spacing w:line="360" w:lineRule="exact"/>
              <w:jc w:val="center"/>
              <w:textAlignment w:val="auto"/>
              <w:rPr>
                <w:rFonts w:hint="eastAsia" w:ascii="宋体" w:hAnsi="宋体" w:eastAsiaTheme="minorEastAsia"/>
                <w:b/>
                <w:bCs/>
                <w:color w:val="auto"/>
                <w:szCs w:val="21"/>
                <w:highlight w:val="none"/>
                <w:lang w:eastAsia="zh-CN"/>
              </w:rPr>
            </w:pPr>
            <w:r>
              <w:rPr>
                <w:rFonts w:hint="eastAsia" w:ascii="宋体" w:hAnsi="宋体" w:cs="宋体"/>
                <w:b/>
                <w:bCs/>
                <w:color w:val="auto"/>
                <w:sz w:val="22"/>
                <w:szCs w:val="22"/>
                <w:lang w:val="en-US" w:eastAsia="zh-CN"/>
              </w:rPr>
              <w:t>企业</w:t>
            </w:r>
            <w:r>
              <w:rPr>
                <w:rFonts w:hint="eastAsia" w:ascii="宋体" w:hAnsi="宋体" w:cs="宋体"/>
                <w:b/>
                <w:bCs/>
                <w:color w:val="auto"/>
                <w:sz w:val="22"/>
                <w:szCs w:val="22"/>
              </w:rPr>
              <w:t>实力</w:t>
            </w:r>
          </w:p>
        </w:tc>
        <w:tc>
          <w:tcPr>
            <w:tcW w:w="742" w:type="dxa"/>
            <w:noWrap w:val="0"/>
            <w:vAlign w:val="center"/>
          </w:tcPr>
          <w:p w14:paraId="0F9F1F70">
            <w:pPr>
              <w:keepNext w:val="0"/>
              <w:keepLines w:val="0"/>
              <w:pageBreakBefore w:val="0"/>
              <w:kinsoku/>
              <w:wordWrap/>
              <w:overflowPunct/>
              <w:topLinePunct w:val="0"/>
              <w:bidi w:val="0"/>
              <w:snapToGrid/>
              <w:spacing w:line="360" w:lineRule="exact"/>
              <w:jc w:val="center"/>
              <w:textAlignment w:val="auto"/>
              <w:rPr>
                <w:rFonts w:hint="default" w:ascii="宋体" w:hAnsi="宋体"/>
                <w:color w:val="auto"/>
                <w:kern w:val="1"/>
                <w:szCs w:val="21"/>
                <w:highlight w:val="none"/>
                <w:lang w:val="en-US" w:eastAsia="zh-CN"/>
              </w:rPr>
            </w:pPr>
            <w:r>
              <w:rPr>
                <w:rFonts w:hint="eastAsia" w:ascii="宋体" w:hAnsi="宋体"/>
                <w:color w:val="auto"/>
                <w:kern w:val="1"/>
                <w:szCs w:val="21"/>
                <w:highlight w:val="none"/>
                <w:lang w:val="en-US" w:eastAsia="zh-CN"/>
              </w:rPr>
              <w:t>2分</w:t>
            </w:r>
          </w:p>
        </w:tc>
        <w:tc>
          <w:tcPr>
            <w:tcW w:w="6733" w:type="dxa"/>
            <w:noWrap w:val="0"/>
            <w:vAlign w:val="top"/>
          </w:tcPr>
          <w:p w14:paraId="50082C8B">
            <w:pPr>
              <w:widowControl/>
              <w:jc w:val="left"/>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eastAsia="zh-CN" w:bidi="ar"/>
              </w:rPr>
              <w:t>投标人具有：</w:t>
            </w:r>
          </w:p>
          <w:p w14:paraId="523E4BD6">
            <w:pPr>
              <w:widowControl/>
              <w:jc w:val="left"/>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eastAsia="zh-CN" w:bidi="ar"/>
              </w:rPr>
              <w:t>有效的ISO37301合规管理体系认证证书；</w:t>
            </w:r>
          </w:p>
          <w:p w14:paraId="0016A4C4">
            <w:pPr>
              <w:widowControl/>
              <w:jc w:val="left"/>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val="en-US" w:eastAsia="zh-CN" w:bidi="ar"/>
              </w:rPr>
              <w:t>有效的</w:t>
            </w:r>
            <w:r>
              <w:rPr>
                <w:rFonts w:hint="eastAsia" w:ascii="宋体" w:hAnsi="宋体" w:eastAsia="宋体" w:cs="宋体"/>
                <w:color w:val="auto"/>
                <w:kern w:val="0"/>
                <w:sz w:val="22"/>
                <w:szCs w:val="22"/>
                <w:highlight w:val="none"/>
                <w:lang w:eastAsia="zh-CN" w:bidi="ar"/>
              </w:rPr>
              <w:t>数据治理安全管理体系证书；</w:t>
            </w:r>
          </w:p>
          <w:p w14:paraId="0F68D53F">
            <w:pPr>
              <w:widowControl/>
              <w:jc w:val="left"/>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eastAsia="zh-CN" w:bidi="ar"/>
              </w:rPr>
              <w:t>上述认证证书中投标人每提供1项且有效的得</w:t>
            </w:r>
            <w:r>
              <w:rPr>
                <w:rFonts w:hint="eastAsia" w:ascii="宋体" w:hAnsi="宋体" w:eastAsia="宋体" w:cs="宋体"/>
                <w:color w:val="auto"/>
                <w:kern w:val="0"/>
                <w:sz w:val="22"/>
                <w:szCs w:val="22"/>
                <w:highlight w:val="none"/>
                <w:lang w:val="en-US" w:eastAsia="zh-CN" w:bidi="ar"/>
              </w:rPr>
              <w:t>1</w:t>
            </w:r>
            <w:r>
              <w:rPr>
                <w:rFonts w:hint="eastAsia" w:ascii="宋体" w:hAnsi="宋体" w:eastAsia="宋体" w:cs="宋体"/>
                <w:color w:val="auto"/>
                <w:kern w:val="0"/>
                <w:sz w:val="22"/>
                <w:szCs w:val="22"/>
                <w:highlight w:val="none"/>
                <w:lang w:eastAsia="zh-CN" w:bidi="ar"/>
              </w:rPr>
              <w:t>分，最多得</w:t>
            </w:r>
            <w:r>
              <w:rPr>
                <w:rFonts w:hint="eastAsia" w:ascii="宋体" w:hAnsi="宋体" w:eastAsia="宋体" w:cs="宋体"/>
                <w:color w:val="auto"/>
                <w:kern w:val="0"/>
                <w:sz w:val="22"/>
                <w:szCs w:val="22"/>
                <w:highlight w:val="none"/>
                <w:lang w:val="en-US" w:eastAsia="zh-CN" w:bidi="ar"/>
              </w:rPr>
              <w:t>2</w:t>
            </w:r>
            <w:r>
              <w:rPr>
                <w:rFonts w:hint="eastAsia" w:ascii="宋体" w:hAnsi="宋体" w:eastAsia="宋体" w:cs="宋体"/>
                <w:color w:val="auto"/>
                <w:kern w:val="0"/>
                <w:sz w:val="22"/>
                <w:szCs w:val="22"/>
                <w:highlight w:val="none"/>
                <w:lang w:eastAsia="zh-CN" w:bidi="ar"/>
              </w:rPr>
              <w:t>分。</w:t>
            </w:r>
          </w:p>
          <w:p w14:paraId="63A456AC">
            <w:pPr>
              <w:widowControl/>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kern w:val="0"/>
                <w:sz w:val="22"/>
                <w:szCs w:val="22"/>
                <w:highlight w:val="none"/>
                <w:lang w:val="zh-CN" w:eastAsia="zh-CN" w:bidi="ar"/>
              </w:rPr>
              <w:t>注</w:t>
            </w:r>
            <w:r>
              <w:rPr>
                <w:rFonts w:hint="eastAsia" w:ascii="宋体" w:hAnsi="宋体" w:eastAsia="宋体" w:cs="宋体"/>
                <w:b/>
                <w:bCs/>
                <w:color w:val="auto"/>
                <w:kern w:val="0"/>
                <w:sz w:val="22"/>
                <w:szCs w:val="22"/>
                <w:highlight w:val="none"/>
                <w:lang w:eastAsia="zh-CN" w:bidi="ar"/>
              </w:rPr>
              <w:t>：投标时需同时提供</w:t>
            </w:r>
            <w:r>
              <w:rPr>
                <w:rFonts w:hint="eastAsia" w:ascii="宋体" w:hAnsi="宋体" w:eastAsia="宋体" w:cs="宋体"/>
                <w:b/>
                <w:bCs/>
                <w:color w:val="auto"/>
                <w:kern w:val="0"/>
                <w:sz w:val="22"/>
                <w:szCs w:val="22"/>
                <w:highlight w:val="none"/>
                <w:u w:val="single"/>
                <w:lang w:eastAsia="zh-CN" w:bidi="ar"/>
              </w:rPr>
              <w:t>相关证书原件彩色扫描件或复印件并加盖投标人公章后的彩色扫描件</w:t>
            </w:r>
            <w:r>
              <w:rPr>
                <w:rFonts w:hint="eastAsia" w:ascii="宋体" w:hAnsi="宋体" w:eastAsia="宋体" w:cs="宋体"/>
                <w:b/>
                <w:bCs/>
                <w:color w:val="auto"/>
                <w:kern w:val="0"/>
                <w:sz w:val="22"/>
                <w:szCs w:val="22"/>
                <w:highlight w:val="yellow"/>
                <w:lang w:eastAsia="zh-CN" w:bidi="ar"/>
              </w:rPr>
              <w:t>和</w:t>
            </w:r>
            <w:r>
              <w:rPr>
                <w:rFonts w:hint="eastAsia" w:ascii="宋体" w:hAnsi="宋体" w:eastAsia="宋体" w:cs="宋体"/>
                <w:b/>
                <w:bCs/>
                <w:color w:val="auto"/>
                <w:kern w:val="0"/>
                <w:sz w:val="22"/>
                <w:szCs w:val="22"/>
                <w:highlight w:val="none"/>
                <w:u w:val="single"/>
                <w:lang w:eastAsia="zh-CN" w:bidi="ar"/>
              </w:rPr>
              <w:t>全国认证认可信息公共服务平台官网（网址：</w:t>
            </w:r>
            <w:r>
              <w:rPr>
                <w:rFonts w:hint="eastAsia" w:ascii="宋体" w:hAnsi="宋体" w:eastAsia="宋体" w:cs="宋体"/>
                <w:b/>
                <w:bCs/>
                <w:color w:val="auto"/>
                <w:kern w:val="0"/>
                <w:sz w:val="22"/>
                <w:szCs w:val="22"/>
                <w:highlight w:val="none"/>
                <w:u w:val="single"/>
                <w:lang w:eastAsia="zh-CN" w:bidi="ar"/>
              </w:rPr>
              <w:fldChar w:fldCharType="begin"/>
            </w:r>
            <w:r>
              <w:rPr>
                <w:rFonts w:hint="eastAsia" w:ascii="宋体" w:hAnsi="宋体" w:eastAsia="宋体" w:cs="宋体"/>
                <w:b/>
                <w:bCs/>
                <w:color w:val="auto"/>
                <w:kern w:val="0"/>
                <w:sz w:val="22"/>
                <w:szCs w:val="22"/>
                <w:highlight w:val="none"/>
                <w:u w:val="single"/>
                <w:lang w:eastAsia="zh-CN" w:bidi="ar"/>
              </w:rPr>
              <w:instrText xml:space="preserve"> HYPERLINK "http://cx.cnca.cn/）截图证明材料，任意缺一项均不得分。" </w:instrText>
            </w:r>
            <w:r>
              <w:rPr>
                <w:rFonts w:hint="eastAsia" w:ascii="宋体" w:hAnsi="宋体" w:eastAsia="宋体" w:cs="宋体"/>
                <w:b/>
                <w:bCs/>
                <w:color w:val="auto"/>
                <w:kern w:val="0"/>
                <w:sz w:val="22"/>
                <w:szCs w:val="22"/>
                <w:highlight w:val="none"/>
                <w:u w:val="single"/>
                <w:lang w:eastAsia="zh-CN" w:bidi="ar"/>
              </w:rPr>
              <w:fldChar w:fldCharType="separate"/>
            </w:r>
            <w:r>
              <w:rPr>
                <w:rFonts w:hint="eastAsia" w:ascii="宋体" w:hAnsi="宋体" w:eastAsia="宋体" w:cs="宋体"/>
                <w:b/>
                <w:bCs/>
                <w:color w:val="auto"/>
                <w:kern w:val="0"/>
                <w:sz w:val="22"/>
                <w:szCs w:val="22"/>
                <w:highlight w:val="none"/>
                <w:u w:val="single"/>
                <w:lang w:eastAsia="zh-CN" w:bidi="ar"/>
              </w:rPr>
              <w:t>http://cx.cnca.cn/）截图证明材料</w:t>
            </w:r>
            <w:r>
              <w:rPr>
                <w:rFonts w:hint="eastAsia" w:ascii="宋体" w:hAnsi="宋体" w:eastAsia="宋体" w:cs="宋体"/>
                <w:b/>
                <w:bCs/>
                <w:color w:val="auto"/>
                <w:kern w:val="0"/>
                <w:sz w:val="22"/>
                <w:szCs w:val="22"/>
                <w:highlight w:val="none"/>
                <w:u w:val="none"/>
                <w:lang w:eastAsia="zh-CN" w:bidi="ar"/>
              </w:rPr>
              <w:t>，任缺一项均不得分。</w:t>
            </w:r>
            <w:r>
              <w:rPr>
                <w:rFonts w:hint="eastAsia" w:ascii="宋体" w:hAnsi="宋体" w:eastAsia="宋体" w:cs="宋体"/>
                <w:b/>
                <w:bCs/>
                <w:color w:val="auto"/>
                <w:kern w:val="0"/>
                <w:sz w:val="22"/>
                <w:szCs w:val="22"/>
                <w:highlight w:val="none"/>
                <w:u w:val="single"/>
                <w:lang w:eastAsia="zh-CN" w:bidi="ar"/>
              </w:rPr>
              <w:fldChar w:fldCharType="end"/>
            </w:r>
          </w:p>
        </w:tc>
      </w:tr>
      <w:tr w14:paraId="6FB35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trPr>
        <w:tc>
          <w:tcPr>
            <w:tcW w:w="729" w:type="dxa"/>
            <w:vMerge w:val="continue"/>
            <w:noWrap w:val="0"/>
            <w:vAlign w:val="center"/>
          </w:tcPr>
          <w:p w14:paraId="7792E1E4">
            <w:pPr>
              <w:keepNext w:val="0"/>
              <w:keepLines w:val="0"/>
              <w:pageBreakBefore w:val="0"/>
              <w:kinsoku/>
              <w:wordWrap/>
              <w:overflowPunct/>
              <w:topLinePunct w:val="0"/>
              <w:bidi w:val="0"/>
              <w:snapToGrid/>
              <w:spacing w:line="360" w:lineRule="exact"/>
              <w:jc w:val="center"/>
              <w:textAlignment w:val="auto"/>
              <w:rPr>
                <w:rFonts w:hint="eastAsia" w:ascii="宋体" w:hAnsi="宋体"/>
                <w:color w:val="auto"/>
                <w:kern w:val="1"/>
                <w:sz w:val="18"/>
                <w:szCs w:val="18"/>
                <w:highlight w:val="none"/>
                <w:lang w:val="en-US" w:eastAsia="zh-CN"/>
              </w:rPr>
            </w:pPr>
          </w:p>
        </w:tc>
        <w:tc>
          <w:tcPr>
            <w:tcW w:w="740" w:type="dxa"/>
            <w:vMerge w:val="continue"/>
            <w:noWrap w:val="0"/>
            <w:vAlign w:val="center"/>
          </w:tcPr>
          <w:p w14:paraId="7718727C">
            <w:pPr>
              <w:keepNext w:val="0"/>
              <w:keepLines w:val="0"/>
              <w:pageBreakBefore w:val="0"/>
              <w:kinsoku/>
              <w:wordWrap/>
              <w:overflowPunct/>
              <w:topLinePunct w:val="0"/>
              <w:bidi w:val="0"/>
              <w:snapToGrid/>
              <w:spacing w:line="360" w:lineRule="exact"/>
              <w:jc w:val="center"/>
              <w:textAlignment w:val="auto"/>
              <w:rPr>
                <w:rFonts w:hint="eastAsia" w:ascii="宋体" w:hAnsi="宋体"/>
                <w:b/>
                <w:bCs/>
                <w:color w:val="auto"/>
                <w:kern w:val="1"/>
                <w:szCs w:val="21"/>
                <w:highlight w:val="none"/>
                <w:lang w:val="en-US" w:eastAsia="zh-CN"/>
              </w:rPr>
            </w:pPr>
          </w:p>
        </w:tc>
        <w:tc>
          <w:tcPr>
            <w:tcW w:w="738" w:type="dxa"/>
            <w:noWrap w:val="0"/>
            <w:vAlign w:val="center"/>
          </w:tcPr>
          <w:p w14:paraId="36C6D9CF">
            <w:pPr>
              <w:keepNext w:val="0"/>
              <w:keepLines w:val="0"/>
              <w:pageBreakBefore w:val="0"/>
              <w:kinsoku/>
              <w:wordWrap/>
              <w:overflowPunct/>
              <w:topLinePunct w:val="0"/>
              <w:bidi w:val="0"/>
              <w:snapToGrid/>
              <w:spacing w:line="360" w:lineRule="exact"/>
              <w:jc w:val="center"/>
              <w:textAlignment w:val="auto"/>
              <w:rPr>
                <w:rFonts w:hint="eastAsia" w:ascii="宋体" w:hAnsi="宋体"/>
                <w:b/>
                <w:bCs/>
                <w:color w:val="auto"/>
                <w:szCs w:val="21"/>
                <w:highlight w:val="none"/>
                <w:lang w:eastAsia="zh-Hans"/>
              </w:rPr>
            </w:pPr>
            <w:r>
              <w:rPr>
                <w:rFonts w:hint="eastAsia" w:ascii="宋体" w:hAnsi="宋体"/>
                <w:b/>
                <w:bCs/>
                <w:color w:val="auto"/>
                <w:szCs w:val="21"/>
                <w:highlight w:val="none"/>
                <w:lang w:eastAsia="zh-Hans"/>
              </w:rPr>
              <w:t>产品</w:t>
            </w:r>
            <w:r>
              <w:rPr>
                <w:rFonts w:hint="eastAsia" w:ascii="宋体" w:hAnsi="宋体"/>
                <w:b/>
                <w:bCs/>
                <w:color w:val="auto"/>
                <w:szCs w:val="21"/>
                <w:highlight w:val="none"/>
                <w:lang w:eastAsia="zh-CN"/>
              </w:rPr>
              <w:t>节能</w:t>
            </w:r>
          </w:p>
        </w:tc>
        <w:tc>
          <w:tcPr>
            <w:tcW w:w="742" w:type="dxa"/>
            <w:noWrap w:val="0"/>
            <w:vAlign w:val="center"/>
          </w:tcPr>
          <w:p w14:paraId="46FFFF4E">
            <w:pPr>
              <w:keepNext w:val="0"/>
              <w:keepLines w:val="0"/>
              <w:pageBreakBefore w:val="0"/>
              <w:kinsoku/>
              <w:wordWrap/>
              <w:overflowPunct/>
              <w:topLinePunct w:val="0"/>
              <w:bidi w:val="0"/>
              <w:snapToGrid/>
              <w:spacing w:line="360" w:lineRule="exact"/>
              <w:jc w:val="center"/>
              <w:textAlignment w:val="auto"/>
              <w:rPr>
                <w:rFonts w:hint="eastAsia" w:ascii="宋体" w:hAnsi="宋体"/>
                <w:color w:val="auto"/>
                <w:kern w:val="1"/>
                <w:szCs w:val="21"/>
                <w:highlight w:val="none"/>
                <w:lang w:val="en-US" w:eastAsia="zh-CN"/>
              </w:rPr>
            </w:pPr>
            <w:r>
              <w:rPr>
                <w:rFonts w:hint="eastAsia" w:ascii="宋体" w:hAnsi="宋体"/>
                <w:color w:val="auto"/>
                <w:kern w:val="1"/>
                <w:szCs w:val="21"/>
                <w:highlight w:val="none"/>
                <w:lang w:val="en-US" w:eastAsia="zh-CN"/>
              </w:rPr>
              <w:t>1分</w:t>
            </w:r>
          </w:p>
        </w:tc>
        <w:tc>
          <w:tcPr>
            <w:tcW w:w="6733" w:type="dxa"/>
            <w:noWrap w:val="0"/>
            <w:vAlign w:val="top"/>
          </w:tcPr>
          <w:p w14:paraId="61FD5A75">
            <w:pPr>
              <w:widowControl/>
              <w:jc w:val="left"/>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eastAsia="zh-CN" w:bidi="ar"/>
              </w:rPr>
              <w:t>投标人拟投入本项目产品中有属于财政部、国家发改委公布的“节能产品品目清单”范围内，每有1个且有效的得0.5分，最多得</w:t>
            </w:r>
            <w:r>
              <w:rPr>
                <w:rFonts w:hint="eastAsia" w:ascii="宋体" w:hAnsi="宋体" w:eastAsia="宋体" w:cs="宋体"/>
                <w:color w:val="auto"/>
                <w:kern w:val="0"/>
                <w:sz w:val="22"/>
                <w:szCs w:val="22"/>
                <w:highlight w:val="none"/>
                <w:lang w:val="en-US" w:eastAsia="zh-CN" w:bidi="ar"/>
              </w:rPr>
              <w:t>1</w:t>
            </w:r>
            <w:r>
              <w:rPr>
                <w:rFonts w:hint="eastAsia" w:ascii="宋体" w:hAnsi="宋体" w:eastAsia="宋体" w:cs="宋体"/>
                <w:color w:val="auto"/>
                <w:kern w:val="0"/>
                <w:sz w:val="22"/>
                <w:szCs w:val="22"/>
                <w:highlight w:val="none"/>
                <w:lang w:eastAsia="zh-CN" w:bidi="ar"/>
              </w:rPr>
              <w:t>分。</w:t>
            </w:r>
          </w:p>
          <w:p w14:paraId="11C133FB">
            <w:pPr>
              <w:pStyle w:val="6"/>
              <w:keepNext w:val="0"/>
              <w:keepLines w:val="0"/>
              <w:pageBreakBefore w:val="0"/>
              <w:widowControl w:val="0"/>
              <w:kinsoku/>
              <w:wordWrap/>
              <w:overflowPunct/>
              <w:topLinePunct w:val="0"/>
              <w:autoSpaceDE/>
              <w:autoSpaceDN/>
              <w:bidi w:val="0"/>
              <w:spacing w:line="340" w:lineRule="exact"/>
              <w:ind w:left="0" w:leftChars="0" w:firstLine="0" w:firstLineChars="0"/>
              <w:textAlignment w:val="auto"/>
              <w:rPr>
                <w:rFonts w:hint="eastAsia" w:ascii="宋体" w:hAnsi="宋体" w:eastAsia="宋体" w:cs="宋体"/>
                <w:b/>
                <w:bCs/>
                <w:color w:val="auto"/>
                <w:kern w:val="0"/>
                <w:sz w:val="22"/>
                <w:szCs w:val="22"/>
                <w:highlight w:val="none"/>
                <w:lang w:eastAsia="zh-CN" w:bidi="ar"/>
              </w:rPr>
            </w:pPr>
            <w:r>
              <w:rPr>
                <w:rFonts w:hint="eastAsia" w:ascii="宋体" w:hAnsi="宋体" w:eastAsia="宋体" w:cs="宋体"/>
                <w:b/>
                <w:bCs/>
                <w:color w:val="auto"/>
                <w:kern w:val="0"/>
                <w:sz w:val="22"/>
                <w:szCs w:val="22"/>
                <w:highlight w:val="none"/>
                <w:lang w:eastAsia="zh-CN" w:bidi="ar"/>
              </w:rPr>
              <w:t>注：投标时需提供</w:t>
            </w:r>
            <w:r>
              <w:rPr>
                <w:rFonts w:hint="eastAsia" w:ascii="宋体" w:hAnsi="宋体" w:eastAsia="宋体" w:cs="宋体"/>
                <w:b/>
                <w:bCs/>
                <w:color w:val="auto"/>
                <w:kern w:val="0"/>
                <w:sz w:val="22"/>
                <w:szCs w:val="22"/>
                <w:highlight w:val="none"/>
                <w:lang w:bidi="ar"/>
              </w:rPr>
              <w:t>国家确定的认证机构出具的、处于有效期内的该</w:t>
            </w:r>
            <w:r>
              <w:rPr>
                <w:rFonts w:hint="eastAsia" w:ascii="宋体" w:hAnsi="宋体" w:eastAsia="宋体" w:cs="宋体"/>
                <w:b/>
                <w:bCs/>
                <w:color w:val="auto"/>
                <w:kern w:val="0"/>
                <w:sz w:val="22"/>
                <w:szCs w:val="22"/>
                <w:highlight w:val="none"/>
                <w:lang w:eastAsia="zh-CN" w:bidi="ar"/>
              </w:rPr>
              <w:t>节能</w:t>
            </w:r>
            <w:r>
              <w:rPr>
                <w:rFonts w:hint="eastAsia" w:ascii="宋体" w:hAnsi="宋体" w:eastAsia="宋体" w:cs="宋体"/>
                <w:b/>
                <w:bCs/>
                <w:color w:val="auto"/>
                <w:kern w:val="0"/>
                <w:sz w:val="22"/>
                <w:szCs w:val="22"/>
                <w:highlight w:val="none"/>
                <w:lang w:bidi="ar"/>
              </w:rPr>
              <w:t>产品认证证书</w:t>
            </w:r>
            <w:r>
              <w:rPr>
                <w:rFonts w:hint="eastAsia" w:ascii="宋体" w:hAnsi="宋体" w:eastAsia="宋体" w:cs="宋体"/>
                <w:b/>
                <w:bCs/>
                <w:color w:val="auto"/>
                <w:kern w:val="0"/>
                <w:sz w:val="22"/>
                <w:szCs w:val="22"/>
                <w:highlight w:val="none"/>
                <w:u w:val="single"/>
                <w:lang w:eastAsia="zh-CN" w:bidi="ar"/>
              </w:rPr>
              <w:t>相关证书原件彩色扫描件或复印件并加盖投标人公章后的彩色扫描件</w:t>
            </w:r>
            <w:r>
              <w:rPr>
                <w:rFonts w:hint="eastAsia" w:ascii="宋体" w:hAnsi="宋体" w:eastAsia="宋体" w:cs="宋体"/>
                <w:b/>
                <w:bCs/>
                <w:color w:val="auto"/>
                <w:kern w:val="0"/>
                <w:sz w:val="22"/>
                <w:szCs w:val="22"/>
                <w:highlight w:val="none"/>
                <w:lang w:eastAsia="zh-CN" w:bidi="ar"/>
              </w:rPr>
              <w:t>。</w:t>
            </w:r>
            <w:r>
              <w:rPr>
                <w:rFonts w:hint="eastAsia" w:ascii="宋体" w:hAnsi="宋体" w:eastAsia="宋体" w:cs="宋体"/>
                <w:b/>
                <w:bCs/>
                <w:color w:val="auto"/>
                <w:sz w:val="21"/>
                <w:szCs w:val="21"/>
                <w:highlight w:val="none"/>
                <w:lang w:val="en-US" w:eastAsia="zh-CN"/>
              </w:rPr>
              <w:t>未提供或提供其他证明或经评审不合格的均不得分。</w:t>
            </w:r>
          </w:p>
        </w:tc>
      </w:tr>
      <w:tr w14:paraId="0D8A0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729" w:type="dxa"/>
            <w:vMerge w:val="continue"/>
            <w:noWrap w:val="0"/>
            <w:vAlign w:val="center"/>
          </w:tcPr>
          <w:p w14:paraId="6BE034EB">
            <w:pPr>
              <w:keepNext w:val="0"/>
              <w:keepLines w:val="0"/>
              <w:pageBreakBefore w:val="0"/>
              <w:kinsoku/>
              <w:wordWrap/>
              <w:overflowPunct/>
              <w:topLinePunct w:val="0"/>
              <w:bidi w:val="0"/>
              <w:snapToGrid/>
              <w:spacing w:line="360" w:lineRule="exact"/>
              <w:jc w:val="center"/>
              <w:textAlignment w:val="auto"/>
              <w:rPr>
                <w:rFonts w:hint="eastAsia" w:ascii="宋体" w:hAnsi="宋体"/>
                <w:color w:val="auto"/>
                <w:kern w:val="1"/>
                <w:sz w:val="18"/>
                <w:szCs w:val="18"/>
                <w:highlight w:val="none"/>
              </w:rPr>
            </w:pPr>
          </w:p>
        </w:tc>
        <w:tc>
          <w:tcPr>
            <w:tcW w:w="740" w:type="dxa"/>
            <w:vMerge w:val="continue"/>
            <w:noWrap w:val="0"/>
            <w:vAlign w:val="center"/>
          </w:tcPr>
          <w:p w14:paraId="3E6BBB36">
            <w:pPr>
              <w:keepNext w:val="0"/>
              <w:keepLines w:val="0"/>
              <w:pageBreakBefore w:val="0"/>
              <w:kinsoku/>
              <w:wordWrap/>
              <w:overflowPunct/>
              <w:topLinePunct w:val="0"/>
              <w:bidi w:val="0"/>
              <w:snapToGrid/>
              <w:spacing w:line="360" w:lineRule="exact"/>
              <w:jc w:val="center"/>
              <w:textAlignment w:val="auto"/>
              <w:rPr>
                <w:rFonts w:hint="eastAsia" w:ascii="宋体" w:hAnsi="宋体"/>
                <w:color w:val="auto"/>
                <w:kern w:val="1"/>
                <w:szCs w:val="21"/>
                <w:highlight w:val="none"/>
              </w:rPr>
            </w:pPr>
          </w:p>
        </w:tc>
        <w:tc>
          <w:tcPr>
            <w:tcW w:w="738" w:type="dxa"/>
            <w:noWrap w:val="0"/>
            <w:vAlign w:val="center"/>
          </w:tcPr>
          <w:p w14:paraId="79B1EAA4">
            <w:pPr>
              <w:keepNext w:val="0"/>
              <w:keepLines w:val="0"/>
              <w:pageBreakBefore w:val="0"/>
              <w:kinsoku/>
              <w:wordWrap/>
              <w:overflowPunct/>
              <w:topLinePunct w:val="0"/>
              <w:bidi w:val="0"/>
              <w:snapToGrid/>
              <w:spacing w:line="360" w:lineRule="exact"/>
              <w:jc w:val="center"/>
              <w:textAlignment w:val="auto"/>
              <w:rPr>
                <w:rFonts w:hint="eastAsia" w:ascii="宋体" w:hAnsi="宋体" w:eastAsiaTheme="minorEastAsia"/>
                <w:b/>
                <w:bCs/>
                <w:color w:val="auto"/>
                <w:szCs w:val="21"/>
                <w:highlight w:val="none"/>
                <w:lang w:eastAsia="zh-CN"/>
              </w:rPr>
            </w:pPr>
            <w:r>
              <w:rPr>
                <w:rFonts w:hint="eastAsia" w:ascii="宋体" w:hAnsi="宋体"/>
                <w:b/>
                <w:bCs/>
                <w:color w:val="auto"/>
                <w:szCs w:val="21"/>
                <w:highlight w:val="none"/>
                <w:lang w:eastAsia="zh-Hans"/>
              </w:rPr>
              <w:t>产品</w:t>
            </w:r>
            <w:r>
              <w:rPr>
                <w:rFonts w:hint="eastAsia" w:ascii="宋体" w:hAnsi="宋体"/>
                <w:b/>
                <w:bCs/>
                <w:color w:val="auto"/>
                <w:szCs w:val="21"/>
                <w:highlight w:val="none"/>
                <w:lang w:eastAsia="zh-CN"/>
              </w:rPr>
              <w:t>环保</w:t>
            </w:r>
          </w:p>
        </w:tc>
        <w:tc>
          <w:tcPr>
            <w:tcW w:w="742" w:type="dxa"/>
            <w:noWrap w:val="0"/>
            <w:vAlign w:val="center"/>
          </w:tcPr>
          <w:p w14:paraId="08AD7511">
            <w:pPr>
              <w:keepNext w:val="0"/>
              <w:keepLines w:val="0"/>
              <w:pageBreakBefore w:val="0"/>
              <w:kinsoku/>
              <w:wordWrap/>
              <w:overflowPunct/>
              <w:topLinePunct w:val="0"/>
              <w:bidi w:val="0"/>
              <w:snapToGrid/>
              <w:spacing w:line="360" w:lineRule="exact"/>
              <w:jc w:val="center"/>
              <w:textAlignment w:val="auto"/>
              <w:rPr>
                <w:rFonts w:hint="eastAsia" w:ascii="宋体" w:hAnsi="宋体"/>
                <w:color w:val="auto"/>
                <w:kern w:val="1"/>
                <w:szCs w:val="21"/>
                <w:highlight w:val="none"/>
                <w:lang w:val="en-US" w:eastAsia="zh-CN"/>
              </w:rPr>
            </w:pPr>
            <w:r>
              <w:rPr>
                <w:rFonts w:hint="eastAsia" w:ascii="宋体" w:hAnsi="宋体"/>
                <w:color w:val="auto"/>
                <w:kern w:val="1"/>
                <w:szCs w:val="21"/>
                <w:highlight w:val="none"/>
                <w:lang w:val="en-US" w:eastAsia="zh-CN"/>
              </w:rPr>
              <w:t>1分</w:t>
            </w:r>
          </w:p>
        </w:tc>
        <w:tc>
          <w:tcPr>
            <w:tcW w:w="6733" w:type="dxa"/>
            <w:noWrap w:val="0"/>
            <w:vAlign w:val="top"/>
          </w:tcPr>
          <w:p w14:paraId="669C336A">
            <w:pPr>
              <w:widowControl/>
              <w:jc w:val="left"/>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eastAsia="zh-CN" w:bidi="ar"/>
              </w:rPr>
              <w:t>投标人拟投入本项目产品中有属于</w:t>
            </w:r>
            <w:r>
              <w:rPr>
                <w:rFonts w:hint="eastAsia" w:ascii="宋体" w:hAnsi="宋体" w:eastAsia="宋体" w:cs="宋体"/>
                <w:color w:val="000000"/>
              </w:rPr>
              <w:t>财政部、生态环境部公布的“环境标志产品品目清单”范围内的</w:t>
            </w:r>
            <w:r>
              <w:rPr>
                <w:rFonts w:hint="eastAsia" w:ascii="宋体" w:hAnsi="宋体" w:eastAsia="宋体" w:cs="宋体"/>
                <w:color w:val="auto"/>
                <w:kern w:val="0"/>
                <w:sz w:val="22"/>
                <w:szCs w:val="22"/>
                <w:highlight w:val="none"/>
                <w:lang w:eastAsia="zh-CN" w:bidi="ar"/>
              </w:rPr>
              <w:t>，每有1个且有效的得0.5分，最多得</w:t>
            </w:r>
            <w:r>
              <w:rPr>
                <w:rFonts w:hint="eastAsia" w:ascii="宋体" w:hAnsi="宋体" w:eastAsia="宋体" w:cs="宋体"/>
                <w:color w:val="auto"/>
                <w:kern w:val="0"/>
                <w:sz w:val="22"/>
                <w:szCs w:val="22"/>
                <w:highlight w:val="none"/>
                <w:lang w:val="en-US" w:eastAsia="zh-CN" w:bidi="ar"/>
              </w:rPr>
              <w:t>1</w:t>
            </w:r>
            <w:r>
              <w:rPr>
                <w:rFonts w:hint="eastAsia" w:ascii="宋体" w:hAnsi="宋体" w:eastAsia="宋体" w:cs="宋体"/>
                <w:color w:val="auto"/>
                <w:kern w:val="0"/>
                <w:sz w:val="22"/>
                <w:szCs w:val="22"/>
                <w:highlight w:val="none"/>
                <w:lang w:eastAsia="zh-CN" w:bidi="ar"/>
              </w:rPr>
              <w:t>分。</w:t>
            </w:r>
          </w:p>
          <w:p w14:paraId="765CB516">
            <w:pPr>
              <w:pStyle w:val="6"/>
              <w:keepNext w:val="0"/>
              <w:keepLines w:val="0"/>
              <w:pageBreakBefore w:val="0"/>
              <w:widowControl w:val="0"/>
              <w:kinsoku/>
              <w:wordWrap/>
              <w:overflowPunct/>
              <w:topLinePunct w:val="0"/>
              <w:autoSpaceDE/>
              <w:autoSpaceDN/>
              <w:bidi w:val="0"/>
              <w:spacing w:line="340" w:lineRule="exact"/>
              <w:ind w:left="0" w:leftChars="0" w:firstLine="0" w:firstLineChars="0"/>
              <w:textAlignment w:val="auto"/>
              <w:rPr>
                <w:rFonts w:hint="eastAsia" w:ascii="宋体" w:hAnsi="宋体" w:eastAsia="宋体" w:cs="宋体"/>
                <w:b/>
                <w:bCs/>
                <w:color w:val="auto"/>
                <w:kern w:val="0"/>
                <w:sz w:val="22"/>
                <w:szCs w:val="22"/>
                <w:highlight w:val="none"/>
                <w:lang w:eastAsia="zh-CN" w:bidi="ar"/>
              </w:rPr>
            </w:pPr>
            <w:r>
              <w:rPr>
                <w:rFonts w:hint="eastAsia" w:ascii="宋体" w:hAnsi="宋体" w:eastAsia="宋体" w:cs="宋体"/>
                <w:b/>
                <w:bCs/>
                <w:color w:val="auto"/>
                <w:kern w:val="0"/>
                <w:sz w:val="22"/>
                <w:szCs w:val="22"/>
                <w:highlight w:val="none"/>
                <w:lang w:eastAsia="zh-CN" w:bidi="ar"/>
              </w:rPr>
              <w:t>注：投标时需提供</w:t>
            </w:r>
            <w:r>
              <w:rPr>
                <w:rFonts w:hint="eastAsia" w:ascii="宋体" w:hAnsi="宋体" w:eastAsia="宋体" w:cs="宋体"/>
                <w:b/>
                <w:bCs/>
                <w:color w:val="auto"/>
                <w:kern w:val="0"/>
                <w:sz w:val="22"/>
                <w:szCs w:val="22"/>
                <w:highlight w:val="none"/>
                <w:lang w:bidi="ar"/>
              </w:rPr>
              <w:t>国家确定的认证机构出具的、处于有效期内的该</w:t>
            </w:r>
            <w:r>
              <w:rPr>
                <w:rFonts w:hint="eastAsia" w:ascii="宋体" w:hAnsi="宋体" w:eastAsia="宋体" w:cs="宋体"/>
                <w:b/>
                <w:bCs/>
                <w:color w:val="auto"/>
                <w:kern w:val="0"/>
                <w:sz w:val="22"/>
                <w:szCs w:val="22"/>
                <w:highlight w:val="none"/>
                <w:lang w:eastAsia="zh-CN" w:bidi="ar"/>
              </w:rPr>
              <w:t>环保</w:t>
            </w:r>
            <w:r>
              <w:rPr>
                <w:rFonts w:hint="eastAsia" w:ascii="宋体" w:hAnsi="宋体" w:eastAsia="宋体" w:cs="宋体"/>
                <w:b/>
                <w:bCs/>
                <w:color w:val="auto"/>
                <w:kern w:val="0"/>
                <w:sz w:val="22"/>
                <w:szCs w:val="22"/>
                <w:highlight w:val="none"/>
                <w:lang w:bidi="ar"/>
              </w:rPr>
              <w:t>产品认证证书</w:t>
            </w:r>
            <w:r>
              <w:rPr>
                <w:rFonts w:hint="eastAsia" w:ascii="宋体" w:hAnsi="宋体" w:eastAsia="宋体" w:cs="宋体"/>
                <w:b/>
                <w:bCs/>
                <w:color w:val="auto"/>
                <w:kern w:val="0"/>
                <w:sz w:val="22"/>
                <w:szCs w:val="22"/>
                <w:highlight w:val="none"/>
                <w:u w:val="single"/>
                <w:lang w:eastAsia="zh-CN" w:bidi="ar"/>
              </w:rPr>
              <w:t>相关证书原件彩色扫描件或复印件并加盖投标人公章后的彩色扫描件</w:t>
            </w:r>
            <w:r>
              <w:rPr>
                <w:rFonts w:hint="eastAsia" w:ascii="宋体" w:hAnsi="宋体" w:eastAsia="宋体" w:cs="宋体"/>
                <w:b/>
                <w:bCs/>
                <w:color w:val="auto"/>
                <w:kern w:val="0"/>
                <w:sz w:val="22"/>
                <w:szCs w:val="22"/>
                <w:highlight w:val="none"/>
                <w:lang w:eastAsia="zh-CN" w:bidi="ar"/>
              </w:rPr>
              <w:t>。</w:t>
            </w:r>
            <w:r>
              <w:rPr>
                <w:rFonts w:hint="eastAsia" w:ascii="宋体" w:hAnsi="宋体" w:eastAsia="宋体" w:cs="宋体"/>
                <w:b/>
                <w:bCs/>
                <w:color w:val="auto"/>
                <w:sz w:val="21"/>
                <w:szCs w:val="21"/>
                <w:highlight w:val="none"/>
                <w:lang w:val="en-US" w:eastAsia="zh-CN"/>
              </w:rPr>
              <w:t>未提供或提供其他证明或经评审不合格的均不得分。</w:t>
            </w:r>
          </w:p>
        </w:tc>
      </w:tr>
      <w:tr w14:paraId="26356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729" w:type="dxa"/>
            <w:vMerge w:val="continue"/>
            <w:noWrap w:val="0"/>
            <w:vAlign w:val="center"/>
          </w:tcPr>
          <w:p w14:paraId="2D61F7B9">
            <w:pPr>
              <w:keepNext w:val="0"/>
              <w:keepLines w:val="0"/>
              <w:pageBreakBefore w:val="0"/>
              <w:kinsoku/>
              <w:wordWrap/>
              <w:overflowPunct/>
              <w:topLinePunct w:val="0"/>
              <w:bidi w:val="0"/>
              <w:snapToGrid/>
              <w:spacing w:line="360" w:lineRule="exact"/>
              <w:jc w:val="center"/>
              <w:textAlignment w:val="auto"/>
              <w:rPr>
                <w:rFonts w:hint="eastAsia" w:ascii="宋体" w:hAnsi="宋体"/>
                <w:color w:val="auto"/>
                <w:kern w:val="1"/>
                <w:sz w:val="18"/>
                <w:szCs w:val="18"/>
                <w:highlight w:val="none"/>
              </w:rPr>
            </w:pPr>
          </w:p>
        </w:tc>
        <w:tc>
          <w:tcPr>
            <w:tcW w:w="740" w:type="dxa"/>
            <w:vMerge w:val="continue"/>
            <w:noWrap w:val="0"/>
            <w:vAlign w:val="center"/>
          </w:tcPr>
          <w:p w14:paraId="08859BC1">
            <w:pPr>
              <w:keepNext w:val="0"/>
              <w:keepLines w:val="0"/>
              <w:pageBreakBefore w:val="0"/>
              <w:kinsoku/>
              <w:wordWrap/>
              <w:overflowPunct/>
              <w:topLinePunct w:val="0"/>
              <w:bidi w:val="0"/>
              <w:snapToGrid/>
              <w:spacing w:line="360" w:lineRule="exact"/>
              <w:jc w:val="center"/>
              <w:textAlignment w:val="auto"/>
              <w:rPr>
                <w:rFonts w:hint="eastAsia" w:ascii="宋体" w:hAnsi="宋体"/>
                <w:color w:val="auto"/>
                <w:kern w:val="1"/>
                <w:szCs w:val="21"/>
                <w:highlight w:val="none"/>
              </w:rPr>
            </w:pPr>
          </w:p>
        </w:tc>
        <w:tc>
          <w:tcPr>
            <w:tcW w:w="738" w:type="dxa"/>
            <w:vMerge w:val="restart"/>
            <w:noWrap w:val="0"/>
            <w:vAlign w:val="center"/>
          </w:tcPr>
          <w:p w14:paraId="0E8D6280">
            <w:pPr>
              <w:keepNext w:val="0"/>
              <w:keepLines w:val="0"/>
              <w:pageBreakBefore w:val="0"/>
              <w:kinsoku/>
              <w:wordWrap/>
              <w:overflowPunct/>
              <w:topLinePunct w:val="0"/>
              <w:bidi w:val="0"/>
              <w:snapToGrid/>
              <w:spacing w:line="360" w:lineRule="exact"/>
              <w:jc w:val="center"/>
              <w:textAlignment w:val="auto"/>
              <w:rPr>
                <w:rFonts w:hint="eastAsia" w:ascii="宋体" w:hAnsi="宋体"/>
                <w:b/>
                <w:bCs/>
                <w:color w:val="auto"/>
                <w:szCs w:val="21"/>
                <w:highlight w:val="none"/>
                <w:lang w:eastAsia="zh-Hans"/>
              </w:rPr>
            </w:pPr>
            <w:r>
              <w:rPr>
                <w:rFonts w:hint="eastAsia" w:ascii="宋体" w:hAnsi="宋体"/>
                <w:b/>
                <w:bCs/>
                <w:color w:val="auto"/>
                <w:szCs w:val="21"/>
                <w:highlight w:val="none"/>
                <w:lang w:eastAsia="zh-CN"/>
              </w:rPr>
              <w:t>人员资质</w:t>
            </w:r>
          </w:p>
        </w:tc>
        <w:tc>
          <w:tcPr>
            <w:tcW w:w="742" w:type="dxa"/>
            <w:noWrap w:val="0"/>
            <w:vAlign w:val="center"/>
          </w:tcPr>
          <w:p w14:paraId="7B187AFE">
            <w:pPr>
              <w:keepNext w:val="0"/>
              <w:keepLines w:val="0"/>
              <w:pageBreakBefore w:val="0"/>
              <w:kinsoku/>
              <w:wordWrap/>
              <w:overflowPunct/>
              <w:topLinePunct w:val="0"/>
              <w:bidi w:val="0"/>
              <w:snapToGrid/>
              <w:spacing w:line="360" w:lineRule="exact"/>
              <w:jc w:val="center"/>
              <w:textAlignment w:val="auto"/>
              <w:rPr>
                <w:rFonts w:hint="eastAsia" w:ascii="宋体" w:hAnsi="宋体"/>
                <w:color w:val="auto"/>
                <w:kern w:val="1"/>
                <w:szCs w:val="21"/>
                <w:highlight w:val="none"/>
                <w:lang w:val="en-US" w:eastAsia="zh-CN"/>
              </w:rPr>
            </w:pPr>
            <w:r>
              <w:rPr>
                <w:rFonts w:hint="eastAsia" w:ascii="宋体" w:hAnsi="宋体" w:eastAsia="宋体"/>
                <w:color w:val="auto"/>
                <w:kern w:val="1"/>
                <w:szCs w:val="21"/>
                <w:highlight w:val="none"/>
                <w:lang w:val="en-US" w:eastAsia="zh-CN"/>
              </w:rPr>
              <w:t>3分</w:t>
            </w:r>
          </w:p>
        </w:tc>
        <w:tc>
          <w:tcPr>
            <w:tcW w:w="6733" w:type="dxa"/>
            <w:noWrap w:val="0"/>
            <w:vAlign w:val="top"/>
          </w:tcPr>
          <w:p w14:paraId="62FB6BE8">
            <w:pPr>
              <w:spacing w:line="340" w:lineRule="exact"/>
              <w:rPr>
                <w:rFonts w:hint="default" w:eastAsiaTheme="minorEastAsia"/>
                <w:color w:val="auto"/>
                <w:sz w:val="21"/>
                <w:szCs w:val="21"/>
                <w:lang w:val="en-US" w:eastAsia="zh-CN"/>
              </w:rPr>
            </w:pPr>
            <w:r>
              <w:rPr>
                <w:rFonts w:hint="eastAsia"/>
                <w:color w:val="auto"/>
                <w:sz w:val="21"/>
                <w:szCs w:val="21"/>
                <w:lang w:val="en-US" w:eastAsia="zh-CN"/>
              </w:rPr>
              <w:t>拟投入本项目的项目负责人（</w:t>
            </w:r>
            <w:r>
              <w:rPr>
                <w:rFonts w:hint="eastAsia" w:ascii="宋体" w:hAnsi="宋体" w:eastAsia="宋体" w:cs="宋体"/>
                <w:color w:val="auto"/>
                <w:sz w:val="21"/>
                <w:szCs w:val="21"/>
                <w:highlight w:val="none"/>
                <w:lang w:val="en-US" w:eastAsia="zh-CN"/>
              </w:rPr>
              <w:t>1人</w:t>
            </w:r>
            <w:r>
              <w:rPr>
                <w:rFonts w:hint="eastAsia"/>
                <w:color w:val="auto"/>
                <w:sz w:val="21"/>
                <w:szCs w:val="21"/>
                <w:lang w:val="en-US" w:eastAsia="zh-CN"/>
              </w:rPr>
              <w:t>）：</w:t>
            </w:r>
          </w:p>
          <w:p w14:paraId="1F9DC8F2">
            <w:pPr>
              <w:spacing w:line="340" w:lineRule="exact"/>
              <w:rPr>
                <w:rFonts w:hint="eastAsia"/>
                <w:color w:val="auto"/>
                <w:sz w:val="21"/>
                <w:szCs w:val="21"/>
              </w:rPr>
            </w:pPr>
            <w:r>
              <w:rPr>
                <w:rFonts w:hint="eastAsia"/>
                <w:color w:val="auto"/>
                <w:sz w:val="21"/>
                <w:szCs w:val="21"/>
              </w:rPr>
              <w:fldChar w:fldCharType="begin"/>
            </w:r>
            <w:r>
              <w:rPr>
                <w:rFonts w:hint="eastAsia"/>
                <w:color w:val="auto"/>
                <w:sz w:val="21"/>
                <w:szCs w:val="21"/>
              </w:rPr>
              <w:instrText xml:space="preserve"> = 1 \* GB3 \* MERGEFORMAT </w:instrText>
            </w:r>
            <w:r>
              <w:rPr>
                <w:rFonts w:hint="eastAsia"/>
                <w:color w:val="auto"/>
                <w:sz w:val="21"/>
                <w:szCs w:val="21"/>
              </w:rPr>
              <w:fldChar w:fldCharType="separate"/>
            </w:r>
            <w:r>
              <w:rPr>
                <w:rFonts w:hint="eastAsia"/>
                <w:color w:val="auto"/>
                <w:sz w:val="21"/>
                <w:szCs w:val="21"/>
              </w:rPr>
              <w:t>①</w:t>
            </w:r>
            <w:r>
              <w:rPr>
                <w:rFonts w:hint="eastAsia"/>
                <w:color w:val="auto"/>
                <w:sz w:val="21"/>
                <w:szCs w:val="21"/>
              </w:rPr>
              <w:fldChar w:fldCharType="end"/>
            </w:r>
            <w:r>
              <w:rPr>
                <w:rFonts w:hint="eastAsia"/>
                <w:color w:val="auto"/>
                <w:sz w:val="21"/>
                <w:szCs w:val="21"/>
                <w:lang w:eastAsia="zh-CN"/>
              </w:rPr>
              <w:t>具有</w:t>
            </w:r>
            <w:r>
              <w:rPr>
                <w:rFonts w:hint="eastAsia" w:ascii="宋体" w:hAnsi="宋体" w:cs="宋体"/>
                <w:color w:val="auto"/>
                <w:kern w:val="0"/>
                <w:sz w:val="22"/>
                <w:szCs w:val="22"/>
                <w:lang w:bidi="ar"/>
              </w:rPr>
              <w:t>人力资源和社会保障部门颁发的高级系统规划与管理师证书</w:t>
            </w:r>
            <w:r>
              <w:rPr>
                <w:rFonts w:hint="eastAsia" w:ascii="宋体" w:hAnsi="宋体" w:cs="宋体"/>
                <w:color w:val="auto"/>
                <w:kern w:val="0"/>
                <w:sz w:val="21"/>
                <w:szCs w:val="21"/>
              </w:rPr>
              <w:t>的</w:t>
            </w:r>
            <w:r>
              <w:rPr>
                <w:rFonts w:hint="eastAsia"/>
                <w:color w:val="auto"/>
                <w:sz w:val="21"/>
                <w:szCs w:val="21"/>
              </w:rPr>
              <w:t>，得</w:t>
            </w:r>
            <w:r>
              <w:rPr>
                <w:rFonts w:hint="eastAsia" w:ascii="宋体" w:hAnsi="宋体" w:eastAsia="宋体" w:cs="宋体"/>
                <w:color w:val="auto"/>
                <w:sz w:val="21"/>
                <w:szCs w:val="21"/>
                <w:highlight w:val="none"/>
                <w:lang w:val="en-US" w:eastAsia="zh-CN"/>
              </w:rPr>
              <w:t>2</w:t>
            </w:r>
            <w:r>
              <w:rPr>
                <w:rFonts w:hint="eastAsia"/>
                <w:color w:val="auto"/>
                <w:sz w:val="21"/>
                <w:szCs w:val="21"/>
              </w:rPr>
              <w:t>分；</w:t>
            </w:r>
          </w:p>
          <w:p w14:paraId="5395F243">
            <w:pPr>
              <w:spacing w:line="340" w:lineRule="exact"/>
              <w:rPr>
                <w:rFonts w:hint="eastAsia"/>
                <w:color w:val="auto"/>
                <w:sz w:val="21"/>
                <w:szCs w:val="21"/>
                <w:lang w:eastAsia="zh-CN"/>
              </w:rPr>
            </w:pPr>
            <w:r>
              <w:rPr>
                <w:color w:val="auto"/>
                <w:sz w:val="21"/>
                <w:szCs w:val="21"/>
              </w:rPr>
              <w:fldChar w:fldCharType="begin"/>
            </w:r>
            <w:r>
              <w:rPr>
                <w:color w:val="auto"/>
                <w:sz w:val="21"/>
                <w:szCs w:val="21"/>
              </w:rPr>
              <w:instrText xml:space="preserve"> = 2 \* GB3 \* MERGEFORMAT </w:instrText>
            </w:r>
            <w:r>
              <w:rPr>
                <w:color w:val="auto"/>
                <w:sz w:val="21"/>
                <w:szCs w:val="21"/>
              </w:rPr>
              <w:fldChar w:fldCharType="separate"/>
            </w:r>
            <w:r>
              <w:rPr>
                <w:rFonts w:hint="eastAsia"/>
                <w:color w:val="auto"/>
                <w:sz w:val="21"/>
                <w:szCs w:val="21"/>
              </w:rPr>
              <w:t>②</w:t>
            </w:r>
            <w:r>
              <w:rPr>
                <w:color w:val="auto"/>
                <w:sz w:val="21"/>
                <w:szCs w:val="21"/>
              </w:rPr>
              <w:fldChar w:fldCharType="end"/>
            </w:r>
            <w:r>
              <w:rPr>
                <w:rFonts w:hint="eastAsia" w:ascii="宋体" w:hAnsi="宋体" w:cs="宋体"/>
                <w:color w:val="auto"/>
                <w:kern w:val="0"/>
                <w:sz w:val="22"/>
                <w:szCs w:val="22"/>
                <w:lang w:bidi="ar"/>
              </w:rPr>
              <w:t>具有信息技术应用创新服务经理（ITSS）证书</w:t>
            </w:r>
            <w:r>
              <w:rPr>
                <w:rFonts w:hint="eastAsia"/>
                <w:color w:val="auto"/>
                <w:sz w:val="21"/>
                <w:szCs w:val="21"/>
              </w:rPr>
              <w:t>的，得</w:t>
            </w:r>
            <w:r>
              <w:rPr>
                <w:rFonts w:hint="eastAsia" w:ascii="宋体" w:hAnsi="宋体" w:eastAsia="宋体" w:cs="宋体"/>
                <w:color w:val="auto"/>
                <w:sz w:val="21"/>
                <w:szCs w:val="21"/>
                <w:highlight w:val="none"/>
                <w:lang w:val="en-US" w:eastAsia="zh-CN"/>
              </w:rPr>
              <w:t>1</w:t>
            </w:r>
            <w:r>
              <w:rPr>
                <w:rFonts w:hint="eastAsia"/>
                <w:color w:val="auto"/>
                <w:sz w:val="21"/>
                <w:szCs w:val="21"/>
              </w:rPr>
              <w:t>分</w:t>
            </w:r>
            <w:r>
              <w:rPr>
                <w:rFonts w:hint="eastAsia"/>
                <w:color w:val="auto"/>
                <w:sz w:val="21"/>
                <w:szCs w:val="21"/>
                <w:lang w:eastAsia="zh-CN"/>
              </w:rPr>
              <w:t>。</w:t>
            </w:r>
          </w:p>
          <w:p w14:paraId="71B4FB70">
            <w:pPr>
              <w:pStyle w:val="6"/>
              <w:ind w:left="0" w:leftChars="0" w:firstLine="0" w:firstLineChars="0"/>
              <w:rPr>
                <w:rFonts w:hint="default"/>
                <w:color w:val="auto"/>
                <w:lang w:val="en-US" w:eastAsia="zh-CN"/>
              </w:rPr>
            </w:pPr>
            <w:r>
              <w:rPr>
                <w:rFonts w:hint="eastAsia"/>
                <w:color w:val="auto"/>
                <w:sz w:val="21"/>
                <w:szCs w:val="21"/>
                <w:lang w:eastAsia="zh-CN"/>
              </w:rPr>
              <w:t>本项最多可得</w:t>
            </w:r>
            <w:r>
              <w:rPr>
                <w:rFonts w:hint="eastAsia" w:ascii="宋体" w:hAnsi="宋体" w:eastAsia="宋体" w:cs="宋体"/>
                <w:color w:val="auto"/>
                <w:kern w:val="2"/>
                <w:sz w:val="21"/>
                <w:szCs w:val="21"/>
                <w:highlight w:val="none"/>
                <w:lang w:val="en-US" w:eastAsia="zh-CN" w:bidi="ar-SA"/>
              </w:rPr>
              <w:t>3</w:t>
            </w:r>
            <w:r>
              <w:rPr>
                <w:rFonts w:hint="eastAsia"/>
                <w:color w:val="auto"/>
                <w:sz w:val="21"/>
                <w:szCs w:val="21"/>
                <w:lang w:val="en-US" w:eastAsia="zh-CN"/>
              </w:rPr>
              <w:t>分。</w:t>
            </w:r>
          </w:p>
          <w:p w14:paraId="3E84FD46">
            <w:pPr>
              <w:pStyle w:val="6"/>
              <w:ind w:left="0" w:leftChars="0" w:firstLine="0" w:firstLineChars="0"/>
              <w:rPr>
                <w:rFonts w:hint="eastAsia" w:ascii="宋体" w:hAnsi="宋体" w:eastAsia="宋体" w:cs="宋体"/>
                <w:b/>
                <w:bCs/>
                <w:color w:val="auto"/>
                <w:kern w:val="0"/>
                <w:sz w:val="22"/>
                <w:szCs w:val="22"/>
                <w:highlight w:val="none"/>
                <w:lang w:eastAsia="zh-CN" w:bidi="ar"/>
              </w:rPr>
            </w:pPr>
            <w:r>
              <w:rPr>
                <w:rFonts w:hint="eastAsia"/>
                <w:b/>
                <w:bCs/>
                <w:color w:val="auto"/>
                <w:sz w:val="21"/>
                <w:szCs w:val="21"/>
              </w:rPr>
              <w:t>注：投标时需提供上述证书原件彩色扫描件</w:t>
            </w:r>
            <w:r>
              <w:rPr>
                <w:rFonts w:hint="eastAsia" w:ascii="宋体" w:hAnsi="宋体"/>
                <w:b/>
                <w:bCs/>
                <w:color w:val="auto"/>
                <w:sz w:val="21"/>
                <w:szCs w:val="21"/>
                <w:lang w:eastAsia="zh-CN"/>
              </w:rPr>
              <w:t>；</w:t>
            </w:r>
            <w:r>
              <w:rPr>
                <w:rFonts w:hint="eastAsia"/>
                <w:b/>
                <w:bCs/>
                <w:color w:val="auto"/>
                <w:sz w:val="21"/>
                <w:szCs w:val="21"/>
              </w:rPr>
              <w:t>未提供或经评审不合格的均不得分。</w:t>
            </w:r>
          </w:p>
        </w:tc>
      </w:tr>
      <w:tr w14:paraId="20655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729" w:type="dxa"/>
            <w:vMerge w:val="continue"/>
            <w:noWrap w:val="0"/>
            <w:vAlign w:val="center"/>
          </w:tcPr>
          <w:p w14:paraId="11B5EF7B">
            <w:pPr>
              <w:keepNext w:val="0"/>
              <w:keepLines w:val="0"/>
              <w:pageBreakBefore w:val="0"/>
              <w:kinsoku/>
              <w:wordWrap/>
              <w:overflowPunct/>
              <w:topLinePunct w:val="0"/>
              <w:bidi w:val="0"/>
              <w:snapToGrid/>
              <w:spacing w:line="360" w:lineRule="exact"/>
              <w:jc w:val="center"/>
              <w:textAlignment w:val="auto"/>
              <w:rPr>
                <w:rFonts w:hint="eastAsia" w:ascii="宋体" w:hAnsi="宋体"/>
                <w:color w:val="auto"/>
                <w:kern w:val="1"/>
                <w:sz w:val="18"/>
                <w:szCs w:val="18"/>
                <w:highlight w:val="none"/>
              </w:rPr>
            </w:pPr>
          </w:p>
        </w:tc>
        <w:tc>
          <w:tcPr>
            <w:tcW w:w="740" w:type="dxa"/>
            <w:vMerge w:val="continue"/>
            <w:noWrap w:val="0"/>
            <w:vAlign w:val="center"/>
          </w:tcPr>
          <w:p w14:paraId="17980567">
            <w:pPr>
              <w:keepNext w:val="0"/>
              <w:keepLines w:val="0"/>
              <w:pageBreakBefore w:val="0"/>
              <w:kinsoku/>
              <w:wordWrap/>
              <w:overflowPunct/>
              <w:topLinePunct w:val="0"/>
              <w:bidi w:val="0"/>
              <w:snapToGrid/>
              <w:spacing w:line="360" w:lineRule="exact"/>
              <w:jc w:val="center"/>
              <w:textAlignment w:val="auto"/>
              <w:rPr>
                <w:rFonts w:hint="eastAsia" w:ascii="宋体" w:hAnsi="宋体"/>
                <w:color w:val="auto"/>
                <w:kern w:val="1"/>
                <w:szCs w:val="21"/>
                <w:highlight w:val="none"/>
              </w:rPr>
            </w:pPr>
          </w:p>
        </w:tc>
        <w:tc>
          <w:tcPr>
            <w:tcW w:w="738" w:type="dxa"/>
            <w:vMerge w:val="continue"/>
            <w:noWrap w:val="0"/>
            <w:vAlign w:val="center"/>
          </w:tcPr>
          <w:p w14:paraId="225F491F">
            <w:pPr>
              <w:keepNext w:val="0"/>
              <w:keepLines w:val="0"/>
              <w:pageBreakBefore w:val="0"/>
              <w:kinsoku/>
              <w:wordWrap/>
              <w:overflowPunct/>
              <w:topLinePunct w:val="0"/>
              <w:bidi w:val="0"/>
              <w:snapToGrid/>
              <w:spacing w:line="360" w:lineRule="exact"/>
              <w:jc w:val="center"/>
              <w:textAlignment w:val="auto"/>
              <w:rPr>
                <w:rFonts w:hint="eastAsia" w:ascii="宋体" w:hAnsi="宋体"/>
                <w:b/>
                <w:bCs/>
                <w:color w:val="auto"/>
                <w:szCs w:val="21"/>
                <w:highlight w:val="none"/>
                <w:lang w:eastAsia="zh-Hans"/>
              </w:rPr>
            </w:pPr>
          </w:p>
        </w:tc>
        <w:tc>
          <w:tcPr>
            <w:tcW w:w="742" w:type="dxa"/>
            <w:noWrap w:val="0"/>
            <w:vAlign w:val="center"/>
          </w:tcPr>
          <w:p w14:paraId="4AC21961">
            <w:pPr>
              <w:keepNext w:val="0"/>
              <w:keepLines w:val="0"/>
              <w:pageBreakBefore w:val="0"/>
              <w:kinsoku/>
              <w:wordWrap/>
              <w:overflowPunct/>
              <w:topLinePunct w:val="0"/>
              <w:bidi w:val="0"/>
              <w:snapToGrid/>
              <w:spacing w:line="360" w:lineRule="exact"/>
              <w:jc w:val="center"/>
              <w:textAlignment w:val="auto"/>
              <w:rPr>
                <w:rFonts w:hint="eastAsia" w:ascii="宋体" w:hAnsi="宋体"/>
                <w:color w:val="auto"/>
                <w:kern w:val="1"/>
                <w:szCs w:val="21"/>
                <w:highlight w:val="none"/>
                <w:lang w:val="en-US" w:eastAsia="zh-CN"/>
              </w:rPr>
            </w:pPr>
            <w:r>
              <w:rPr>
                <w:rFonts w:hint="eastAsia" w:ascii="宋体" w:hAnsi="宋体" w:eastAsia="宋体"/>
                <w:color w:val="auto"/>
                <w:kern w:val="1"/>
                <w:szCs w:val="21"/>
                <w:highlight w:val="none"/>
                <w:lang w:val="en-US" w:eastAsia="zh-CN"/>
              </w:rPr>
              <w:t>3分</w:t>
            </w:r>
          </w:p>
        </w:tc>
        <w:tc>
          <w:tcPr>
            <w:tcW w:w="6733" w:type="dxa"/>
            <w:noWrap w:val="0"/>
            <w:vAlign w:val="top"/>
          </w:tcPr>
          <w:p w14:paraId="511EA106">
            <w:pPr>
              <w:spacing w:line="340" w:lineRule="exact"/>
              <w:rPr>
                <w:rFonts w:hint="default" w:eastAsiaTheme="minorEastAsia"/>
                <w:color w:val="auto"/>
                <w:sz w:val="21"/>
                <w:szCs w:val="21"/>
                <w:lang w:val="en-US" w:eastAsia="zh-CN"/>
              </w:rPr>
            </w:pPr>
            <w:r>
              <w:rPr>
                <w:rFonts w:hint="eastAsia"/>
                <w:color w:val="auto"/>
                <w:sz w:val="21"/>
                <w:szCs w:val="21"/>
                <w:lang w:val="en-US" w:eastAsia="zh-CN"/>
              </w:rPr>
              <w:t>拟投入本项目的项目组成员（</w:t>
            </w:r>
            <w:r>
              <w:rPr>
                <w:rFonts w:hint="eastAsia" w:ascii="宋体" w:hAnsi="宋体" w:eastAsia="宋体" w:cs="宋体"/>
                <w:color w:val="auto"/>
                <w:sz w:val="21"/>
                <w:szCs w:val="21"/>
                <w:highlight w:val="none"/>
                <w:lang w:val="en-US" w:eastAsia="zh-CN"/>
              </w:rPr>
              <w:t>不含项目负责人</w:t>
            </w:r>
            <w:r>
              <w:rPr>
                <w:rFonts w:hint="eastAsia"/>
                <w:color w:val="auto"/>
                <w:sz w:val="21"/>
                <w:szCs w:val="21"/>
                <w:lang w:val="en-US" w:eastAsia="zh-CN"/>
              </w:rPr>
              <w:t>）：</w:t>
            </w:r>
          </w:p>
          <w:p w14:paraId="49EB4637">
            <w:pPr>
              <w:pStyle w:val="6"/>
              <w:ind w:left="0" w:leftChars="0" w:firstLine="0" w:firstLineChars="0"/>
              <w:rPr>
                <w:rFonts w:hint="eastAsia"/>
                <w:color w:val="auto"/>
                <w:sz w:val="21"/>
                <w:szCs w:val="21"/>
              </w:rPr>
            </w:pPr>
            <w:r>
              <w:rPr>
                <w:rFonts w:hint="eastAsia"/>
                <w:color w:val="auto"/>
                <w:sz w:val="21"/>
                <w:szCs w:val="21"/>
              </w:rPr>
              <w:fldChar w:fldCharType="begin"/>
            </w:r>
            <w:r>
              <w:rPr>
                <w:rFonts w:hint="eastAsia"/>
                <w:color w:val="auto"/>
                <w:sz w:val="21"/>
                <w:szCs w:val="21"/>
              </w:rPr>
              <w:instrText xml:space="preserve"> = 1 \* GB3 \* MERGEFORMAT </w:instrText>
            </w:r>
            <w:r>
              <w:rPr>
                <w:rFonts w:hint="eastAsia"/>
                <w:color w:val="auto"/>
                <w:sz w:val="21"/>
                <w:szCs w:val="21"/>
              </w:rPr>
              <w:fldChar w:fldCharType="separate"/>
            </w:r>
            <w:r>
              <w:rPr>
                <w:rFonts w:hint="eastAsia"/>
                <w:color w:val="auto"/>
                <w:sz w:val="21"/>
                <w:szCs w:val="21"/>
              </w:rPr>
              <w:t>①</w:t>
            </w:r>
            <w:r>
              <w:rPr>
                <w:rFonts w:hint="eastAsia"/>
                <w:color w:val="auto"/>
                <w:sz w:val="21"/>
                <w:szCs w:val="21"/>
              </w:rPr>
              <w:fldChar w:fldCharType="end"/>
            </w:r>
            <w:r>
              <w:rPr>
                <w:rFonts w:hint="eastAsia" w:ascii="宋体" w:hAnsi="宋体" w:cs="宋体"/>
                <w:color w:val="auto"/>
                <w:kern w:val="0"/>
                <w:sz w:val="22"/>
                <w:szCs w:val="22"/>
                <w:lang w:bidi="ar"/>
              </w:rPr>
              <w:t>具有信息技术应用创新服务经理（ITSS）证书</w:t>
            </w:r>
            <w:r>
              <w:rPr>
                <w:rFonts w:hint="eastAsia"/>
                <w:color w:val="auto"/>
                <w:sz w:val="21"/>
                <w:szCs w:val="21"/>
              </w:rPr>
              <w:t>的，得</w:t>
            </w:r>
            <w:r>
              <w:rPr>
                <w:rFonts w:hint="eastAsia" w:ascii="宋体" w:hAnsi="宋体" w:eastAsia="宋体" w:cs="宋体"/>
                <w:color w:val="auto"/>
                <w:sz w:val="21"/>
                <w:szCs w:val="21"/>
                <w:highlight w:val="none"/>
                <w:lang w:val="en-US" w:eastAsia="zh-CN"/>
              </w:rPr>
              <w:t>1</w:t>
            </w:r>
            <w:r>
              <w:rPr>
                <w:rFonts w:hint="eastAsia"/>
                <w:color w:val="auto"/>
                <w:sz w:val="21"/>
                <w:szCs w:val="21"/>
              </w:rPr>
              <w:t>分；</w:t>
            </w:r>
          </w:p>
          <w:p w14:paraId="6D66AFCE">
            <w:pPr>
              <w:rPr>
                <w:color w:val="auto"/>
                <w:sz w:val="21"/>
                <w:szCs w:val="21"/>
              </w:rPr>
            </w:pPr>
            <w:r>
              <w:rPr>
                <w:color w:val="auto"/>
                <w:sz w:val="21"/>
                <w:szCs w:val="21"/>
              </w:rPr>
              <w:fldChar w:fldCharType="begin"/>
            </w:r>
            <w:r>
              <w:rPr>
                <w:color w:val="auto"/>
                <w:sz w:val="21"/>
                <w:szCs w:val="21"/>
              </w:rPr>
              <w:instrText xml:space="preserve"> = 2 \* GB3 \* MERGEFORMAT </w:instrText>
            </w:r>
            <w:r>
              <w:rPr>
                <w:color w:val="auto"/>
                <w:sz w:val="21"/>
                <w:szCs w:val="21"/>
              </w:rPr>
              <w:fldChar w:fldCharType="separate"/>
            </w:r>
            <w:r>
              <w:rPr>
                <w:rFonts w:hint="eastAsia"/>
                <w:color w:val="auto"/>
                <w:sz w:val="21"/>
                <w:szCs w:val="21"/>
              </w:rPr>
              <w:t>②</w:t>
            </w:r>
            <w:r>
              <w:rPr>
                <w:color w:val="auto"/>
                <w:sz w:val="21"/>
                <w:szCs w:val="21"/>
              </w:rPr>
              <w:fldChar w:fldCharType="end"/>
            </w:r>
            <w:r>
              <w:rPr>
                <w:rFonts w:hint="eastAsia" w:ascii="宋体" w:hAnsi="宋体" w:cs="宋体"/>
                <w:color w:val="auto"/>
                <w:kern w:val="0"/>
                <w:sz w:val="22"/>
                <w:szCs w:val="22"/>
                <w:lang w:bidi="ar"/>
              </w:rPr>
              <w:t>具有高级智能化系统工程师证书</w:t>
            </w:r>
            <w:r>
              <w:rPr>
                <w:rFonts w:hint="eastAsia"/>
                <w:color w:val="auto"/>
                <w:sz w:val="21"/>
                <w:szCs w:val="21"/>
              </w:rPr>
              <w:t>的，得</w:t>
            </w:r>
            <w:r>
              <w:rPr>
                <w:rFonts w:hint="eastAsia" w:ascii="宋体" w:hAnsi="宋体" w:eastAsia="宋体" w:cs="宋体"/>
                <w:color w:val="auto"/>
                <w:sz w:val="21"/>
                <w:szCs w:val="21"/>
                <w:highlight w:val="none"/>
                <w:lang w:val="en-US" w:eastAsia="zh-CN"/>
              </w:rPr>
              <w:t>1</w:t>
            </w:r>
            <w:r>
              <w:rPr>
                <w:rFonts w:hint="eastAsia"/>
                <w:color w:val="auto"/>
                <w:sz w:val="21"/>
                <w:szCs w:val="21"/>
              </w:rPr>
              <w:t>分；</w:t>
            </w:r>
          </w:p>
          <w:p w14:paraId="6E253107">
            <w:pPr>
              <w:pStyle w:val="6"/>
              <w:ind w:left="0" w:leftChars="0" w:firstLine="0" w:firstLineChars="0"/>
              <w:rPr>
                <w:rFonts w:hint="eastAsia"/>
                <w:color w:val="auto"/>
                <w:sz w:val="21"/>
                <w:szCs w:val="21"/>
                <w:lang w:eastAsia="zh-CN"/>
              </w:rPr>
            </w:pPr>
            <w:r>
              <w:rPr>
                <w:rFonts w:hint="default" w:ascii="宋体" w:hAnsi="宋体" w:cs="宋体" w:eastAsiaTheme="minorEastAsia"/>
                <w:color w:val="auto"/>
                <w:kern w:val="0"/>
                <w:sz w:val="22"/>
                <w:szCs w:val="22"/>
                <w:lang w:val="en-US" w:eastAsia="zh-CN" w:bidi="ar"/>
              </w:rPr>
              <w:t>③</w:t>
            </w:r>
            <w:r>
              <w:rPr>
                <w:rFonts w:hint="eastAsia" w:ascii="宋体" w:hAnsi="宋体" w:cs="宋体"/>
                <w:color w:val="auto"/>
                <w:kern w:val="0"/>
                <w:sz w:val="22"/>
                <w:szCs w:val="22"/>
                <w:lang w:bidi="ar"/>
              </w:rPr>
              <w:t>具有系统架构设计师证书</w:t>
            </w:r>
            <w:r>
              <w:rPr>
                <w:rFonts w:hint="eastAsia"/>
                <w:color w:val="auto"/>
                <w:sz w:val="21"/>
                <w:szCs w:val="21"/>
              </w:rPr>
              <w:t>的，得</w:t>
            </w:r>
            <w:r>
              <w:rPr>
                <w:rFonts w:hint="eastAsia" w:ascii="宋体" w:hAnsi="宋体" w:eastAsia="宋体" w:cs="宋体"/>
                <w:color w:val="auto"/>
                <w:sz w:val="21"/>
                <w:szCs w:val="21"/>
                <w:highlight w:val="none"/>
                <w:lang w:val="en-US" w:eastAsia="zh-CN"/>
              </w:rPr>
              <w:t>1</w:t>
            </w:r>
            <w:r>
              <w:rPr>
                <w:rFonts w:hint="eastAsia"/>
                <w:color w:val="auto"/>
                <w:sz w:val="21"/>
                <w:szCs w:val="21"/>
              </w:rPr>
              <w:t>分</w:t>
            </w:r>
            <w:r>
              <w:rPr>
                <w:rFonts w:hint="eastAsia"/>
                <w:color w:val="auto"/>
                <w:sz w:val="21"/>
                <w:szCs w:val="21"/>
                <w:lang w:eastAsia="zh-CN"/>
              </w:rPr>
              <w:t>。</w:t>
            </w:r>
          </w:p>
          <w:p w14:paraId="0CA260F4">
            <w:pPr>
              <w:pStyle w:val="6"/>
              <w:ind w:left="0" w:leftChars="0" w:firstLine="0" w:firstLineChars="0"/>
              <w:rPr>
                <w:rFonts w:hint="eastAsia"/>
                <w:color w:val="auto"/>
                <w:lang w:val="en-US" w:eastAsia="zh-CN"/>
              </w:rPr>
            </w:pPr>
            <w:r>
              <w:rPr>
                <w:rFonts w:hint="eastAsia"/>
                <w:color w:val="auto"/>
                <w:sz w:val="21"/>
                <w:szCs w:val="21"/>
                <w:lang w:eastAsia="zh-CN"/>
              </w:rPr>
              <w:t>本项最多可得</w:t>
            </w:r>
            <w:r>
              <w:rPr>
                <w:rFonts w:hint="eastAsia" w:ascii="宋体" w:hAnsi="宋体" w:eastAsia="宋体" w:cs="宋体"/>
                <w:color w:val="auto"/>
                <w:kern w:val="2"/>
                <w:sz w:val="21"/>
                <w:szCs w:val="21"/>
                <w:highlight w:val="none"/>
                <w:lang w:val="en-US" w:eastAsia="zh-CN" w:bidi="ar-SA"/>
              </w:rPr>
              <w:t>3</w:t>
            </w:r>
            <w:r>
              <w:rPr>
                <w:rFonts w:hint="eastAsia"/>
                <w:color w:val="auto"/>
                <w:sz w:val="21"/>
                <w:szCs w:val="21"/>
                <w:lang w:val="en-US" w:eastAsia="zh-CN"/>
              </w:rPr>
              <w:t>分。</w:t>
            </w:r>
          </w:p>
          <w:p w14:paraId="71B10660">
            <w:pPr>
              <w:pStyle w:val="6"/>
              <w:ind w:left="0" w:leftChars="0" w:firstLine="0" w:firstLineChars="0"/>
              <w:rPr>
                <w:rFonts w:hint="eastAsia" w:ascii="宋体" w:hAnsi="宋体" w:eastAsia="宋体" w:cs="宋体"/>
                <w:b/>
                <w:bCs/>
                <w:color w:val="auto"/>
                <w:kern w:val="0"/>
                <w:sz w:val="22"/>
                <w:szCs w:val="22"/>
                <w:highlight w:val="none"/>
                <w:lang w:eastAsia="zh-CN" w:bidi="ar"/>
              </w:rPr>
            </w:pPr>
            <w:r>
              <w:rPr>
                <w:rFonts w:hint="eastAsia"/>
                <w:b/>
                <w:bCs/>
                <w:color w:val="auto"/>
                <w:sz w:val="21"/>
                <w:szCs w:val="21"/>
              </w:rPr>
              <w:t>注：投标时需提供上述证书原件彩色扫描件</w:t>
            </w:r>
            <w:r>
              <w:rPr>
                <w:rFonts w:hint="eastAsia" w:ascii="宋体" w:hAnsi="宋体"/>
                <w:b/>
                <w:bCs/>
                <w:color w:val="auto"/>
                <w:sz w:val="21"/>
                <w:szCs w:val="21"/>
                <w:lang w:eastAsia="zh-CN"/>
              </w:rPr>
              <w:t>；</w:t>
            </w:r>
            <w:r>
              <w:rPr>
                <w:rFonts w:hint="eastAsia"/>
                <w:b/>
                <w:bCs/>
                <w:color w:val="auto"/>
                <w:sz w:val="21"/>
                <w:szCs w:val="21"/>
              </w:rPr>
              <w:t>未提供或经评审不合格的均不得分。</w:t>
            </w:r>
            <w:r>
              <w:rPr>
                <w:rFonts w:hint="eastAsia"/>
                <w:b/>
                <w:bCs/>
                <w:color w:val="auto"/>
                <w:sz w:val="21"/>
                <w:szCs w:val="21"/>
                <w:lang w:eastAsia="zh-CN"/>
              </w:rPr>
              <w:t>项目组成员（不含项目负责人）如一人多证且均有效的，可累计得分。</w:t>
            </w:r>
          </w:p>
        </w:tc>
      </w:tr>
      <w:tr w14:paraId="36BB3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29" w:type="dxa"/>
            <w:vMerge w:val="restart"/>
            <w:noWrap w:val="0"/>
            <w:vAlign w:val="center"/>
          </w:tcPr>
          <w:p w14:paraId="279448DE">
            <w:pPr>
              <w:keepNext w:val="0"/>
              <w:keepLines w:val="0"/>
              <w:pageBreakBefore w:val="0"/>
              <w:kinsoku/>
              <w:wordWrap/>
              <w:overflowPunct/>
              <w:topLinePunct w:val="0"/>
              <w:bidi w:val="0"/>
              <w:snapToGrid/>
              <w:spacing w:line="360" w:lineRule="exact"/>
              <w:jc w:val="center"/>
              <w:textAlignment w:val="auto"/>
              <w:rPr>
                <w:rFonts w:hint="default" w:ascii="宋体" w:hAnsi="宋体" w:eastAsia="宋体"/>
                <w:color w:val="auto"/>
                <w:kern w:val="1"/>
                <w:sz w:val="18"/>
                <w:szCs w:val="18"/>
                <w:highlight w:val="none"/>
                <w:lang w:val="en-US" w:eastAsia="zh-CN"/>
              </w:rPr>
            </w:pPr>
            <w:r>
              <w:rPr>
                <w:rFonts w:hint="eastAsia" w:ascii="宋体" w:hAnsi="宋体" w:eastAsia="宋体"/>
                <w:color w:val="auto"/>
                <w:kern w:val="1"/>
                <w:sz w:val="18"/>
                <w:szCs w:val="18"/>
                <w:highlight w:val="none"/>
                <w:lang w:val="en-US" w:eastAsia="zh-CN"/>
              </w:rPr>
              <w:t>3</w:t>
            </w:r>
          </w:p>
        </w:tc>
        <w:tc>
          <w:tcPr>
            <w:tcW w:w="740" w:type="dxa"/>
            <w:vMerge w:val="restart"/>
            <w:noWrap w:val="0"/>
            <w:vAlign w:val="center"/>
          </w:tcPr>
          <w:p w14:paraId="5D1B8A01">
            <w:pPr>
              <w:keepNext w:val="0"/>
              <w:keepLines w:val="0"/>
              <w:pageBreakBefore w:val="0"/>
              <w:kinsoku/>
              <w:wordWrap/>
              <w:overflowPunct/>
              <w:topLinePunct w:val="0"/>
              <w:bidi w:val="0"/>
              <w:snapToGrid/>
              <w:spacing w:line="360" w:lineRule="exact"/>
              <w:jc w:val="center"/>
              <w:textAlignment w:val="auto"/>
              <w:rPr>
                <w:rFonts w:hint="eastAsia" w:ascii="宋体" w:hAnsi="宋体" w:eastAsia="宋体"/>
                <w:color w:val="auto"/>
                <w:kern w:val="1"/>
                <w:szCs w:val="21"/>
                <w:highlight w:val="none"/>
                <w:lang w:eastAsia="zh-CN"/>
              </w:rPr>
            </w:pPr>
            <w:r>
              <w:rPr>
                <w:rFonts w:hint="eastAsia" w:ascii="宋体" w:hAnsi="宋体"/>
                <w:b/>
                <w:bCs/>
                <w:color w:val="auto"/>
                <w:kern w:val="1"/>
                <w:szCs w:val="21"/>
                <w:highlight w:val="none"/>
                <w:lang w:eastAsia="zh-CN"/>
              </w:rPr>
              <w:t>技术部分</w:t>
            </w:r>
          </w:p>
        </w:tc>
        <w:tc>
          <w:tcPr>
            <w:tcW w:w="738" w:type="dxa"/>
            <w:vMerge w:val="restart"/>
            <w:noWrap w:val="0"/>
            <w:vAlign w:val="center"/>
          </w:tcPr>
          <w:p w14:paraId="0FAF75D0">
            <w:pPr>
              <w:spacing w:line="274" w:lineRule="exact"/>
              <w:jc w:val="center"/>
              <w:rPr>
                <w:rFonts w:hint="default" w:ascii="宋体" w:hAnsi="宋体" w:eastAsia="宋体"/>
                <w:b w:val="0"/>
                <w:bCs w:val="0"/>
                <w:color w:val="auto"/>
                <w:kern w:val="1"/>
                <w:szCs w:val="21"/>
                <w:highlight w:val="none"/>
                <w:lang w:val="en-US" w:eastAsia="zh-CN"/>
              </w:rPr>
            </w:pPr>
            <w:r>
              <w:rPr>
                <w:rFonts w:hint="eastAsia" w:ascii="宋体" w:hAnsi="宋体"/>
                <w:b/>
                <w:bCs/>
                <w:color w:val="auto"/>
                <w:kern w:val="1"/>
                <w:szCs w:val="21"/>
                <w:highlight w:val="none"/>
                <w:lang w:eastAsia="zh-CN"/>
              </w:rPr>
              <w:t>技术参数</w:t>
            </w:r>
          </w:p>
        </w:tc>
        <w:tc>
          <w:tcPr>
            <w:tcW w:w="742" w:type="dxa"/>
            <w:noWrap w:val="0"/>
            <w:vAlign w:val="center"/>
          </w:tcPr>
          <w:p w14:paraId="27453C1E">
            <w:pPr>
              <w:spacing w:line="274" w:lineRule="exact"/>
              <w:jc w:val="center"/>
              <w:rPr>
                <w:rFonts w:hint="eastAsia" w:ascii="宋体" w:hAnsi="宋体" w:eastAsia="宋体"/>
                <w:b w:val="0"/>
                <w:bCs w:val="0"/>
                <w:color w:val="auto"/>
                <w:kern w:val="1"/>
                <w:szCs w:val="21"/>
                <w:highlight w:val="none"/>
                <w:lang w:val="en-US" w:eastAsia="zh-CN"/>
              </w:rPr>
            </w:pPr>
            <w:r>
              <w:rPr>
                <w:rFonts w:hint="eastAsia" w:ascii="宋体" w:hAnsi="宋体" w:eastAsia="宋体"/>
                <w:b w:val="0"/>
                <w:bCs w:val="0"/>
                <w:color w:val="auto"/>
                <w:kern w:val="1"/>
                <w:szCs w:val="21"/>
                <w:highlight w:val="none"/>
                <w:lang w:val="en-US" w:eastAsia="zh-CN"/>
              </w:rPr>
              <w:t>40分</w:t>
            </w:r>
          </w:p>
        </w:tc>
        <w:tc>
          <w:tcPr>
            <w:tcW w:w="6733" w:type="dxa"/>
            <w:noWrap w:val="0"/>
            <w:vAlign w:val="center"/>
          </w:tcPr>
          <w:p w14:paraId="0DE1A98F">
            <w:pPr>
              <w:widowControl/>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color w:val="auto"/>
                <w:kern w:val="0"/>
                <w:sz w:val="22"/>
                <w:szCs w:val="22"/>
                <w:highlight w:val="none"/>
                <w:lang w:bidi="ar"/>
              </w:rPr>
              <w:t>评标委员会根据招标文件</w:t>
            </w:r>
            <w:r>
              <w:rPr>
                <w:rFonts w:hint="eastAsia" w:ascii="宋体" w:hAnsi="宋体" w:cs="宋体"/>
                <w:color w:val="auto"/>
                <w:kern w:val="0"/>
                <w:sz w:val="22"/>
                <w:szCs w:val="22"/>
                <w:highlight w:val="none"/>
                <w:lang w:val="en-US" w:eastAsia="zh-CN" w:bidi="ar"/>
              </w:rPr>
              <w:t>要求的</w:t>
            </w:r>
            <w:r>
              <w:rPr>
                <w:rFonts w:hint="eastAsia" w:ascii="宋体" w:hAnsi="宋体" w:cs="宋体"/>
                <w:color w:val="auto"/>
                <w:kern w:val="0"/>
                <w:sz w:val="22"/>
                <w:szCs w:val="22"/>
                <w:highlight w:val="none"/>
                <w:lang w:bidi="ar"/>
              </w:rPr>
              <w:t>“</w:t>
            </w:r>
            <w:r>
              <w:rPr>
                <w:rFonts w:hint="eastAsia" w:ascii="宋体" w:hAnsi="宋体" w:cs="宋体"/>
                <w:color w:val="auto"/>
                <w:kern w:val="0"/>
                <w:sz w:val="22"/>
                <w:szCs w:val="22"/>
                <w:highlight w:val="none"/>
                <w:lang w:eastAsia="zh-CN" w:bidi="ar"/>
              </w:rPr>
              <w:t>技术参数</w:t>
            </w:r>
            <w:r>
              <w:rPr>
                <w:rFonts w:hint="eastAsia" w:ascii="宋体" w:hAnsi="宋体" w:cs="宋体"/>
                <w:color w:val="auto"/>
                <w:kern w:val="0"/>
                <w:sz w:val="22"/>
                <w:szCs w:val="22"/>
                <w:highlight w:val="none"/>
                <w:lang w:bidi="ar"/>
              </w:rPr>
              <w:t>”响应情况进行打分</w:t>
            </w:r>
            <w:r>
              <w:rPr>
                <w:rFonts w:hint="eastAsia" w:ascii="宋体" w:hAnsi="宋体" w:cs="宋体"/>
                <w:color w:val="auto"/>
                <w:kern w:val="0"/>
                <w:sz w:val="22"/>
                <w:szCs w:val="22"/>
                <w:highlight w:val="none"/>
                <w:lang w:eastAsia="zh-CN" w:bidi="ar"/>
              </w:rPr>
              <w:t>；</w:t>
            </w:r>
            <w:r>
              <w:rPr>
                <w:rFonts w:hint="eastAsia" w:ascii="宋体" w:hAnsi="宋体" w:cs="宋体"/>
                <w:color w:val="auto"/>
                <w:kern w:val="0"/>
                <w:sz w:val="22"/>
                <w:szCs w:val="22"/>
                <w:highlight w:val="none"/>
                <w:lang w:bidi="ar"/>
              </w:rPr>
              <w:t>全部响应</w:t>
            </w:r>
            <w:r>
              <w:rPr>
                <w:rFonts w:hint="eastAsia" w:ascii="宋体" w:hAnsi="宋体" w:cs="宋体"/>
                <w:color w:val="auto"/>
                <w:kern w:val="0"/>
                <w:sz w:val="22"/>
                <w:szCs w:val="22"/>
                <w:highlight w:val="none"/>
                <w:lang w:eastAsia="zh-CN" w:bidi="ar"/>
              </w:rPr>
              <w:t>（</w:t>
            </w:r>
            <w:r>
              <w:rPr>
                <w:rFonts w:hint="eastAsia" w:ascii="宋体" w:hAnsi="宋体" w:cs="宋体"/>
                <w:color w:val="auto"/>
                <w:kern w:val="0"/>
                <w:sz w:val="22"/>
                <w:szCs w:val="22"/>
                <w:highlight w:val="none"/>
                <w:lang w:val="en-US" w:eastAsia="zh-CN" w:bidi="ar"/>
              </w:rPr>
              <w:t>无负偏离）</w:t>
            </w:r>
            <w:r>
              <w:rPr>
                <w:rFonts w:hint="eastAsia" w:ascii="宋体" w:hAnsi="宋体" w:cs="宋体"/>
                <w:color w:val="auto"/>
                <w:kern w:val="0"/>
                <w:sz w:val="22"/>
                <w:szCs w:val="22"/>
                <w:highlight w:val="none"/>
                <w:lang w:bidi="ar"/>
              </w:rPr>
              <w:t>的得满分</w:t>
            </w:r>
            <w:r>
              <w:rPr>
                <w:rFonts w:hint="eastAsia" w:ascii="宋体" w:hAnsi="宋体" w:cs="宋体"/>
                <w:color w:val="auto"/>
                <w:kern w:val="0"/>
                <w:sz w:val="22"/>
                <w:szCs w:val="22"/>
                <w:highlight w:val="none"/>
                <w:lang w:val="en-US" w:eastAsia="zh-CN" w:bidi="ar"/>
              </w:rPr>
              <w:t>40</w:t>
            </w:r>
            <w:r>
              <w:rPr>
                <w:rFonts w:hint="eastAsia" w:ascii="宋体" w:hAnsi="宋体" w:cs="宋体"/>
                <w:color w:val="auto"/>
                <w:kern w:val="0"/>
                <w:sz w:val="22"/>
                <w:szCs w:val="22"/>
                <w:highlight w:val="none"/>
                <w:lang w:bidi="ar"/>
              </w:rPr>
              <w:t>分；“</w:t>
            </w:r>
            <w:r>
              <w:rPr>
                <w:rFonts w:hint="eastAsia" w:ascii="宋体" w:hAnsi="宋体" w:cs="宋体"/>
                <w:color w:val="auto"/>
                <w:kern w:val="0"/>
                <w:sz w:val="22"/>
                <w:szCs w:val="22"/>
                <w:highlight w:val="none"/>
                <w:lang w:eastAsia="zh-CN" w:bidi="ar"/>
              </w:rPr>
              <w:t>技术参数</w:t>
            </w:r>
            <w:r>
              <w:rPr>
                <w:rFonts w:hint="eastAsia" w:ascii="宋体" w:hAnsi="宋体" w:cs="宋体"/>
                <w:color w:val="auto"/>
                <w:kern w:val="0"/>
                <w:sz w:val="22"/>
                <w:szCs w:val="22"/>
                <w:highlight w:val="none"/>
                <w:lang w:bidi="ar"/>
              </w:rPr>
              <w:t>”中标“▲”</w:t>
            </w:r>
            <w:r>
              <w:rPr>
                <w:rFonts w:hint="eastAsia" w:ascii="宋体" w:hAnsi="宋体" w:cs="宋体"/>
                <w:color w:val="auto"/>
                <w:kern w:val="0"/>
                <w:sz w:val="22"/>
                <w:szCs w:val="22"/>
                <w:highlight w:val="none"/>
                <w:lang w:val="en-US" w:eastAsia="zh-CN" w:bidi="ar"/>
              </w:rPr>
              <w:t>为重点参数，投标人拟入产品参数</w:t>
            </w:r>
            <w:r>
              <w:rPr>
                <w:rFonts w:hint="eastAsia" w:ascii="宋体" w:hAnsi="宋体" w:cs="宋体"/>
                <w:color w:val="auto"/>
                <w:kern w:val="0"/>
                <w:sz w:val="22"/>
                <w:szCs w:val="22"/>
                <w:highlight w:val="none"/>
                <w:lang w:eastAsia="zh-CN" w:bidi="ar"/>
              </w:rPr>
              <w:t>每有一项不满足或未提供证明材料的，扣</w:t>
            </w:r>
            <w:r>
              <w:rPr>
                <w:rFonts w:hint="eastAsia" w:ascii="宋体" w:hAnsi="宋体" w:cs="宋体"/>
                <w:color w:val="auto"/>
                <w:kern w:val="0"/>
                <w:sz w:val="22"/>
                <w:szCs w:val="22"/>
                <w:highlight w:val="none"/>
                <w:lang w:val="en-US" w:eastAsia="zh-CN" w:bidi="ar"/>
              </w:rPr>
              <w:t>1分；未明确标志的为一般参数，投标人拟入产品参数</w:t>
            </w:r>
            <w:r>
              <w:rPr>
                <w:rFonts w:hint="eastAsia" w:ascii="宋体" w:hAnsi="宋体" w:cs="宋体"/>
                <w:color w:val="auto"/>
                <w:kern w:val="0"/>
                <w:sz w:val="22"/>
                <w:szCs w:val="22"/>
                <w:highlight w:val="none"/>
                <w:lang w:eastAsia="zh-CN" w:bidi="ar"/>
              </w:rPr>
              <w:t>每有一项不满足或未提供证明材料的，扣</w:t>
            </w:r>
            <w:r>
              <w:rPr>
                <w:rFonts w:hint="eastAsia" w:ascii="宋体" w:hAnsi="宋体" w:cs="宋体"/>
                <w:color w:val="auto"/>
                <w:kern w:val="0"/>
                <w:sz w:val="22"/>
                <w:szCs w:val="22"/>
                <w:highlight w:val="none"/>
                <w:lang w:val="en-US" w:eastAsia="zh-CN" w:bidi="ar"/>
              </w:rPr>
              <w:t>0.5分；扣完为止。</w:t>
            </w:r>
          </w:p>
          <w:p w14:paraId="23030EEB">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Calibri" w:hAnsi="Calibri" w:eastAsiaTheme="minorEastAsia" w:cstheme="minorBidi"/>
                <w:b/>
                <w:bCs/>
                <w:color w:val="auto"/>
                <w:kern w:val="2"/>
                <w:sz w:val="21"/>
                <w:szCs w:val="21"/>
                <w:lang w:val="en-US" w:eastAsia="zh-CN" w:bidi="ar-SA"/>
              </w:rPr>
            </w:pPr>
            <w:r>
              <w:rPr>
                <w:rFonts w:hint="eastAsia" w:ascii="Calibri" w:hAnsi="Calibri" w:eastAsiaTheme="minorEastAsia" w:cstheme="minorBidi"/>
                <w:b/>
                <w:bCs/>
                <w:color w:val="auto"/>
                <w:kern w:val="2"/>
                <w:sz w:val="21"/>
                <w:szCs w:val="21"/>
                <w:lang w:val="en-US" w:eastAsia="zh-CN" w:bidi="ar-SA"/>
              </w:rPr>
              <w:t>注：各投标人投标时需提供：</w:t>
            </w:r>
          </w:p>
          <w:p w14:paraId="76017AC6">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Calibri" w:hAnsi="Calibri" w:eastAsiaTheme="minorEastAsia" w:cstheme="minorBidi"/>
                <w:b/>
                <w:bCs/>
                <w:color w:val="auto"/>
                <w:kern w:val="2"/>
                <w:sz w:val="21"/>
                <w:szCs w:val="21"/>
                <w:lang w:val="en-US" w:eastAsia="zh-CN" w:bidi="ar-SA"/>
              </w:rPr>
            </w:pPr>
            <w:r>
              <w:rPr>
                <w:rFonts w:hint="eastAsia"/>
                <w:b/>
                <w:bCs/>
                <w:color w:val="auto"/>
                <w:sz w:val="21"/>
                <w:szCs w:val="21"/>
              </w:rPr>
              <w:fldChar w:fldCharType="begin"/>
            </w:r>
            <w:r>
              <w:rPr>
                <w:rFonts w:hint="eastAsia"/>
                <w:b/>
                <w:bCs/>
                <w:color w:val="auto"/>
                <w:sz w:val="21"/>
                <w:szCs w:val="21"/>
              </w:rPr>
              <w:instrText xml:space="preserve"> = 1 \* GB3 \* MERGEFORMAT </w:instrText>
            </w:r>
            <w:r>
              <w:rPr>
                <w:rFonts w:hint="eastAsia"/>
                <w:b/>
                <w:bCs/>
                <w:color w:val="auto"/>
                <w:sz w:val="21"/>
                <w:szCs w:val="21"/>
              </w:rPr>
              <w:fldChar w:fldCharType="separate"/>
            </w:r>
            <w:r>
              <w:rPr>
                <w:rFonts w:hint="eastAsia"/>
                <w:b/>
                <w:bCs/>
                <w:color w:val="auto"/>
                <w:sz w:val="21"/>
                <w:szCs w:val="21"/>
              </w:rPr>
              <w:t>①</w:t>
            </w:r>
            <w:r>
              <w:rPr>
                <w:rFonts w:hint="eastAsia"/>
                <w:b/>
                <w:bCs/>
                <w:color w:val="auto"/>
                <w:sz w:val="21"/>
                <w:szCs w:val="21"/>
              </w:rPr>
              <w:fldChar w:fldCharType="end"/>
            </w:r>
            <w:r>
              <w:rPr>
                <w:rFonts w:hint="eastAsia" w:ascii="Calibri" w:hAnsi="Calibri" w:eastAsiaTheme="minorEastAsia" w:cstheme="minorBidi"/>
                <w:b/>
                <w:bCs/>
                <w:color w:val="auto"/>
                <w:kern w:val="2"/>
                <w:sz w:val="21"/>
                <w:szCs w:val="21"/>
                <w:lang w:val="en-US" w:eastAsia="zh-CN" w:bidi="ar-SA"/>
              </w:rPr>
              <w:t>标“▲”的重点参数：能体现相应指标并带有“CMA或CNAS”标志的第三方检测报告原件彩色扫描件或复印件并加盖投标人公章后的彩色扫描件或要求提供的相关证明材料原件彩色扫描件或复印件并加盖投标人公章后的彩色扫描件。投标人须用明显标识将上述指标在报告中标注出，且在投标文件《技术要求响应及偏离表》中明确标注每一参数证明材料页码。</w:t>
            </w:r>
          </w:p>
          <w:p w14:paraId="75C17F24">
            <w:pPr>
              <w:pStyle w:val="2"/>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Calibri" w:hAnsi="Calibri" w:eastAsiaTheme="minorEastAsia" w:cstheme="minorBidi"/>
                <w:b/>
                <w:bCs/>
                <w:color w:val="auto"/>
                <w:kern w:val="2"/>
                <w:sz w:val="21"/>
                <w:szCs w:val="21"/>
                <w:lang w:val="en-US" w:eastAsia="zh-CN" w:bidi="ar-SA"/>
              </w:rPr>
            </w:pPr>
            <w:r>
              <w:rPr>
                <w:b/>
                <w:bCs/>
                <w:color w:val="auto"/>
                <w:sz w:val="21"/>
                <w:szCs w:val="21"/>
              </w:rPr>
              <w:fldChar w:fldCharType="begin"/>
            </w:r>
            <w:r>
              <w:rPr>
                <w:b/>
                <w:bCs/>
                <w:color w:val="auto"/>
                <w:sz w:val="21"/>
                <w:szCs w:val="21"/>
              </w:rPr>
              <w:instrText xml:space="preserve"> = 2 \* GB3 \* MERGEFORMAT </w:instrText>
            </w:r>
            <w:r>
              <w:rPr>
                <w:b/>
                <w:bCs/>
                <w:color w:val="auto"/>
                <w:sz w:val="21"/>
                <w:szCs w:val="21"/>
              </w:rPr>
              <w:fldChar w:fldCharType="separate"/>
            </w:r>
            <w:r>
              <w:rPr>
                <w:rFonts w:hint="eastAsia"/>
                <w:b/>
                <w:bCs/>
                <w:color w:val="auto"/>
                <w:sz w:val="21"/>
                <w:szCs w:val="21"/>
              </w:rPr>
              <w:t>②</w:t>
            </w:r>
            <w:r>
              <w:rPr>
                <w:b/>
                <w:bCs/>
                <w:color w:val="auto"/>
                <w:sz w:val="21"/>
                <w:szCs w:val="21"/>
              </w:rPr>
              <w:fldChar w:fldCharType="end"/>
            </w:r>
            <w:r>
              <w:rPr>
                <w:rFonts w:hint="eastAsia" w:ascii="Calibri" w:hAnsi="Calibri" w:eastAsiaTheme="minorEastAsia" w:cstheme="minorBidi"/>
                <w:b/>
                <w:bCs/>
                <w:color w:val="auto"/>
                <w:kern w:val="2"/>
                <w:sz w:val="21"/>
                <w:szCs w:val="21"/>
                <w:lang w:val="en-US" w:eastAsia="zh-CN" w:bidi="ar-SA"/>
              </w:rPr>
              <w:t>未明确标志的为一般参数：投标人需在投标文件《技术要求响应及偏离表》中明确标注每一参数偏离情况。</w:t>
            </w:r>
          </w:p>
          <w:p w14:paraId="315C5855">
            <w:pPr>
              <w:pStyle w:val="3"/>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lang w:val="en-US"/>
              </w:rPr>
            </w:pPr>
            <w:r>
              <w:rPr>
                <w:rFonts w:hint="eastAsia" w:ascii="Calibri" w:hAnsi="Calibri" w:cstheme="minorBidi"/>
                <w:b/>
                <w:bCs/>
                <w:color w:val="auto"/>
                <w:kern w:val="2"/>
                <w:sz w:val="21"/>
                <w:szCs w:val="21"/>
                <w:lang w:val="en-US" w:eastAsia="zh-CN" w:bidi="ar-SA"/>
              </w:rPr>
              <w:t>未</w:t>
            </w:r>
            <w:r>
              <w:rPr>
                <w:rFonts w:hint="eastAsia" w:ascii="Calibri" w:hAnsi="Calibri" w:eastAsiaTheme="minorEastAsia" w:cstheme="minorBidi"/>
                <w:b/>
                <w:bCs/>
                <w:color w:val="auto"/>
                <w:kern w:val="2"/>
                <w:sz w:val="21"/>
                <w:szCs w:val="21"/>
                <w:lang w:val="en-US" w:eastAsia="zh-CN" w:bidi="ar-SA"/>
              </w:rPr>
              <w:t>在投标文件《技术要求响应及偏离表》中</w:t>
            </w:r>
            <w:r>
              <w:rPr>
                <w:rFonts w:hint="eastAsia" w:ascii="Calibri" w:hAnsi="Calibri" w:cstheme="minorBidi"/>
                <w:b/>
                <w:bCs/>
                <w:color w:val="auto"/>
                <w:kern w:val="2"/>
                <w:sz w:val="21"/>
                <w:szCs w:val="21"/>
                <w:lang w:val="en-US" w:eastAsia="zh-CN" w:bidi="ar-SA"/>
              </w:rPr>
              <w:t>列明的参数均默认为不满足（负偏离）招标文件参数要求，按上述表述相应扣分，扣完为止。</w:t>
            </w:r>
          </w:p>
        </w:tc>
      </w:tr>
      <w:tr w14:paraId="5FF16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trPr>
        <w:tc>
          <w:tcPr>
            <w:tcW w:w="729" w:type="dxa"/>
            <w:vMerge w:val="continue"/>
            <w:noWrap w:val="0"/>
            <w:vAlign w:val="center"/>
          </w:tcPr>
          <w:p w14:paraId="337EF200">
            <w:pPr>
              <w:keepNext w:val="0"/>
              <w:keepLines w:val="0"/>
              <w:pageBreakBefore w:val="0"/>
              <w:kinsoku/>
              <w:wordWrap/>
              <w:overflowPunct/>
              <w:topLinePunct w:val="0"/>
              <w:bidi w:val="0"/>
              <w:snapToGrid/>
              <w:spacing w:line="360" w:lineRule="exact"/>
              <w:jc w:val="center"/>
              <w:textAlignment w:val="auto"/>
              <w:rPr>
                <w:rFonts w:hint="eastAsia" w:ascii="宋体" w:hAnsi="宋体" w:eastAsia="宋体"/>
                <w:color w:val="auto"/>
                <w:kern w:val="1"/>
                <w:sz w:val="18"/>
                <w:szCs w:val="18"/>
                <w:highlight w:val="none"/>
                <w:lang w:val="en-US" w:eastAsia="zh-CN"/>
              </w:rPr>
            </w:pPr>
          </w:p>
        </w:tc>
        <w:tc>
          <w:tcPr>
            <w:tcW w:w="740" w:type="dxa"/>
            <w:vMerge w:val="continue"/>
            <w:noWrap w:val="0"/>
            <w:vAlign w:val="center"/>
          </w:tcPr>
          <w:p w14:paraId="6802A5F2">
            <w:pPr>
              <w:keepNext w:val="0"/>
              <w:keepLines w:val="0"/>
              <w:pageBreakBefore w:val="0"/>
              <w:kinsoku/>
              <w:wordWrap/>
              <w:overflowPunct/>
              <w:topLinePunct w:val="0"/>
              <w:bidi w:val="0"/>
              <w:snapToGrid/>
              <w:spacing w:line="360" w:lineRule="exact"/>
              <w:jc w:val="center"/>
              <w:textAlignment w:val="auto"/>
              <w:rPr>
                <w:rFonts w:hint="eastAsia" w:ascii="宋体" w:hAnsi="宋体"/>
                <w:b/>
                <w:bCs/>
                <w:color w:val="auto"/>
                <w:kern w:val="1"/>
                <w:szCs w:val="21"/>
                <w:highlight w:val="none"/>
                <w:lang w:eastAsia="zh-CN"/>
              </w:rPr>
            </w:pPr>
          </w:p>
        </w:tc>
        <w:tc>
          <w:tcPr>
            <w:tcW w:w="738" w:type="dxa"/>
            <w:vMerge w:val="continue"/>
            <w:noWrap w:val="0"/>
            <w:vAlign w:val="center"/>
          </w:tcPr>
          <w:p w14:paraId="5398BD9A">
            <w:pPr>
              <w:spacing w:line="274" w:lineRule="exact"/>
              <w:jc w:val="center"/>
              <w:rPr>
                <w:rFonts w:hint="eastAsia" w:ascii="宋体" w:hAnsi="宋体"/>
                <w:b/>
                <w:bCs/>
                <w:color w:val="auto"/>
                <w:kern w:val="1"/>
                <w:szCs w:val="21"/>
                <w:highlight w:val="none"/>
                <w:lang w:eastAsia="zh-CN"/>
              </w:rPr>
            </w:pPr>
          </w:p>
        </w:tc>
        <w:tc>
          <w:tcPr>
            <w:tcW w:w="742" w:type="dxa"/>
            <w:noWrap w:val="0"/>
            <w:vAlign w:val="center"/>
          </w:tcPr>
          <w:p w14:paraId="5CE54DE8">
            <w:pPr>
              <w:spacing w:line="274" w:lineRule="exact"/>
              <w:jc w:val="center"/>
              <w:rPr>
                <w:rFonts w:hint="default" w:ascii="宋体" w:hAnsi="宋体" w:eastAsia="宋体"/>
                <w:b w:val="0"/>
                <w:bCs w:val="0"/>
                <w:color w:val="auto"/>
                <w:kern w:val="1"/>
                <w:szCs w:val="21"/>
                <w:highlight w:val="none"/>
                <w:lang w:val="en-US" w:eastAsia="zh-CN"/>
              </w:rPr>
            </w:pPr>
            <w:r>
              <w:rPr>
                <w:rFonts w:hint="eastAsia" w:ascii="宋体" w:hAnsi="宋体" w:eastAsia="宋体"/>
                <w:b w:val="0"/>
                <w:bCs w:val="0"/>
                <w:color w:val="auto"/>
                <w:kern w:val="1"/>
                <w:szCs w:val="21"/>
                <w:highlight w:val="none"/>
                <w:lang w:val="en-US" w:eastAsia="zh-CN"/>
              </w:rPr>
              <w:t>2分</w:t>
            </w:r>
          </w:p>
        </w:tc>
        <w:tc>
          <w:tcPr>
            <w:tcW w:w="6733" w:type="dxa"/>
            <w:noWrap w:val="0"/>
            <w:vAlign w:val="center"/>
          </w:tcPr>
          <w:p w14:paraId="6BBB39F6">
            <w:pPr>
              <w:spacing w:line="340" w:lineRule="exact"/>
              <w:rPr>
                <w:rFonts w:hint="eastAsia"/>
                <w:color w:val="auto"/>
                <w:sz w:val="21"/>
                <w:szCs w:val="21"/>
                <w:lang w:val="en-US" w:eastAsia="zh-CN"/>
              </w:rPr>
            </w:pPr>
            <w:r>
              <w:rPr>
                <w:rFonts w:hint="eastAsia"/>
                <w:color w:val="auto"/>
                <w:sz w:val="21"/>
                <w:szCs w:val="21"/>
                <w:lang w:val="en-US" w:eastAsia="zh-CN"/>
              </w:rPr>
              <w:t>为保证虚拟化服务器产品生产厂商（或制造商）在安全漏洞方面的整体研究水平和及时预防能力，具备网络安全漏洞统一收集验证、预警发布及应急处置体系，进而提高产品的安全性。拟投入本项目技术参数表第</w:t>
            </w:r>
            <w:r>
              <w:rPr>
                <w:rFonts w:hint="eastAsia" w:ascii="宋体" w:hAnsi="宋体" w:eastAsia="宋体" w:cs="宋体"/>
                <w:color w:val="auto"/>
                <w:sz w:val="21"/>
                <w:szCs w:val="21"/>
                <w:lang w:val="en-US" w:eastAsia="zh-CN"/>
              </w:rPr>
              <w:t>1037</w:t>
            </w:r>
            <w:r>
              <w:rPr>
                <w:rFonts w:hint="eastAsia"/>
                <w:color w:val="auto"/>
                <w:sz w:val="21"/>
                <w:szCs w:val="21"/>
                <w:lang w:val="en-US" w:eastAsia="zh-CN"/>
              </w:rPr>
              <w:t>项“虚拟化服务器”产品的生产厂商（或制造商）为国家信息安全漏洞共享平台（CNVD）技术组的，得</w:t>
            </w:r>
            <w:r>
              <w:rPr>
                <w:rFonts w:hint="eastAsia" w:ascii="宋体" w:hAnsi="宋体" w:eastAsia="宋体" w:cs="宋体"/>
                <w:color w:val="auto"/>
                <w:sz w:val="21"/>
                <w:szCs w:val="21"/>
                <w:lang w:val="en-US" w:eastAsia="zh-CN"/>
              </w:rPr>
              <w:t>2</w:t>
            </w:r>
            <w:r>
              <w:rPr>
                <w:rFonts w:hint="eastAsia"/>
                <w:color w:val="auto"/>
                <w:sz w:val="21"/>
                <w:szCs w:val="21"/>
                <w:lang w:val="en-US" w:eastAsia="zh-CN"/>
              </w:rPr>
              <w:t>分；为国家信息安全漏洞共享平台（CNVD）成员的，得</w:t>
            </w:r>
            <w:r>
              <w:rPr>
                <w:rFonts w:hint="eastAsia" w:ascii="宋体" w:hAnsi="宋体" w:eastAsia="宋体" w:cs="宋体"/>
                <w:color w:val="auto"/>
                <w:sz w:val="21"/>
                <w:szCs w:val="21"/>
                <w:lang w:val="en-US" w:eastAsia="zh-CN"/>
              </w:rPr>
              <w:t>1</w:t>
            </w:r>
            <w:r>
              <w:rPr>
                <w:rFonts w:hint="eastAsia"/>
                <w:color w:val="auto"/>
                <w:sz w:val="21"/>
                <w:szCs w:val="21"/>
                <w:lang w:val="en-US" w:eastAsia="zh-CN"/>
              </w:rPr>
              <w:t>分。</w:t>
            </w:r>
          </w:p>
          <w:p w14:paraId="2A2EEAE9">
            <w:pPr>
              <w:spacing w:line="340" w:lineRule="exact"/>
              <w:rPr>
                <w:rFonts w:hint="eastAsia" w:ascii="宋体" w:hAnsi="宋体" w:cs="宋体"/>
                <w:b/>
                <w:bCs/>
                <w:color w:val="auto"/>
                <w:kern w:val="0"/>
                <w:sz w:val="22"/>
                <w:szCs w:val="22"/>
                <w:highlight w:val="none"/>
                <w:lang w:bidi="ar"/>
              </w:rPr>
            </w:pPr>
            <w:r>
              <w:rPr>
                <w:rFonts w:hint="eastAsia"/>
                <w:b/>
                <w:bCs/>
                <w:color w:val="auto"/>
                <w:sz w:val="21"/>
                <w:szCs w:val="21"/>
                <w:lang w:val="en-US" w:eastAsia="zh-CN"/>
              </w:rPr>
              <w:t>注：投标时需提供上述产品生产厂商（或制造商）的技术组（或成员）证书原件彩色扫描件或复印件加盖投标人公章后的彩色扫描件。</w:t>
            </w:r>
            <w:r>
              <w:rPr>
                <w:rFonts w:hint="eastAsia" w:ascii="宋体" w:hAnsi="宋体" w:eastAsia="宋体" w:cs="宋体"/>
                <w:b/>
                <w:bCs/>
                <w:color w:val="auto"/>
                <w:kern w:val="2"/>
                <w:sz w:val="21"/>
                <w:szCs w:val="21"/>
                <w:highlight w:val="none"/>
                <w:lang w:val="en-US" w:eastAsia="zh-CN" w:bidi="ar-SA"/>
              </w:rPr>
              <w:t>未提供或经评审不合格的均不得分。</w:t>
            </w:r>
          </w:p>
        </w:tc>
      </w:tr>
      <w:tr w14:paraId="23080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trPr>
        <w:tc>
          <w:tcPr>
            <w:tcW w:w="729" w:type="dxa"/>
            <w:vMerge w:val="continue"/>
            <w:noWrap w:val="0"/>
            <w:vAlign w:val="center"/>
          </w:tcPr>
          <w:p w14:paraId="184C386F">
            <w:pPr>
              <w:keepNext w:val="0"/>
              <w:keepLines w:val="0"/>
              <w:pageBreakBefore w:val="0"/>
              <w:kinsoku/>
              <w:wordWrap/>
              <w:overflowPunct/>
              <w:topLinePunct w:val="0"/>
              <w:bidi w:val="0"/>
              <w:snapToGrid/>
              <w:spacing w:line="360" w:lineRule="exact"/>
              <w:jc w:val="center"/>
              <w:textAlignment w:val="auto"/>
              <w:rPr>
                <w:rFonts w:hint="eastAsia" w:ascii="宋体" w:hAnsi="宋体" w:eastAsia="宋体"/>
                <w:color w:val="auto"/>
                <w:kern w:val="1"/>
                <w:sz w:val="18"/>
                <w:szCs w:val="18"/>
                <w:highlight w:val="none"/>
                <w:lang w:val="en-US" w:eastAsia="zh-CN"/>
              </w:rPr>
            </w:pPr>
          </w:p>
        </w:tc>
        <w:tc>
          <w:tcPr>
            <w:tcW w:w="740" w:type="dxa"/>
            <w:vMerge w:val="continue"/>
            <w:noWrap w:val="0"/>
            <w:vAlign w:val="center"/>
          </w:tcPr>
          <w:p w14:paraId="1A7C607E">
            <w:pPr>
              <w:keepNext w:val="0"/>
              <w:keepLines w:val="0"/>
              <w:pageBreakBefore w:val="0"/>
              <w:kinsoku/>
              <w:wordWrap/>
              <w:overflowPunct/>
              <w:topLinePunct w:val="0"/>
              <w:bidi w:val="0"/>
              <w:snapToGrid/>
              <w:spacing w:line="360" w:lineRule="exact"/>
              <w:jc w:val="center"/>
              <w:textAlignment w:val="auto"/>
              <w:rPr>
                <w:rFonts w:hint="eastAsia" w:ascii="宋体" w:hAnsi="宋体"/>
                <w:b/>
                <w:bCs/>
                <w:color w:val="auto"/>
                <w:kern w:val="1"/>
                <w:szCs w:val="21"/>
                <w:highlight w:val="none"/>
                <w:lang w:eastAsia="zh-CN"/>
              </w:rPr>
            </w:pPr>
          </w:p>
        </w:tc>
        <w:tc>
          <w:tcPr>
            <w:tcW w:w="738" w:type="dxa"/>
            <w:vMerge w:val="continue"/>
            <w:noWrap w:val="0"/>
            <w:vAlign w:val="center"/>
          </w:tcPr>
          <w:p w14:paraId="602D0A2B">
            <w:pPr>
              <w:spacing w:line="274" w:lineRule="exact"/>
              <w:jc w:val="center"/>
              <w:rPr>
                <w:rFonts w:hint="eastAsia" w:ascii="宋体" w:hAnsi="宋体"/>
                <w:b/>
                <w:bCs/>
                <w:color w:val="auto"/>
                <w:kern w:val="1"/>
                <w:szCs w:val="21"/>
                <w:highlight w:val="none"/>
                <w:lang w:eastAsia="zh-CN"/>
              </w:rPr>
            </w:pPr>
          </w:p>
        </w:tc>
        <w:tc>
          <w:tcPr>
            <w:tcW w:w="742" w:type="dxa"/>
            <w:noWrap w:val="0"/>
            <w:vAlign w:val="center"/>
          </w:tcPr>
          <w:p w14:paraId="3ADA4A52">
            <w:pPr>
              <w:spacing w:line="274" w:lineRule="exact"/>
              <w:jc w:val="center"/>
              <w:rPr>
                <w:rFonts w:hint="default" w:ascii="宋体" w:hAnsi="宋体" w:eastAsia="宋体"/>
                <w:b w:val="0"/>
                <w:bCs w:val="0"/>
                <w:color w:val="auto"/>
                <w:kern w:val="1"/>
                <w:szCs w:val="21"/>
                <w:highlight w:val="none"/>
                <w:lang w:val="en-US" w:eastAsia="zh-CN"/>
              </w:rPr>
            </w:pPr>
            <w:r>
              <w:rPr>
                <w:rFonts w:hint="eastAsia" w:ascii="宋体" w:hAnsi="宋体" w:eastAsia="宋体"/>
                <w:b w:val="0"/>
                <w:bCs w:val="0"/>
                <w:color w:val="auto"/>
                <w:kern w:val="1"/>
                <w:szCs w:val="21"/>
                <w:highlight w:val="none"/>
                <w:lang w:val="en-US" w:eastAsia="zh-CN"/>
              </w:rPr>
              <w:t>2分</w:t>
            </w:r>
          </w:p>
        </w:tc>
        <w:tc>
          <w:tcPr>
            <w:tcW w:w="6733" w:type="dxa"/>
            <w:noWrap w:val="0"/>
            <w:vAlign w:val="center"/>
          </w:tcPr>
          <w:p w14:paraId="16A68F17">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cs="宋体"/>
                <w:color w:val="FF0000"/>
                <w:kern w:val="0"/>
                <w:sz w:val="22"/>
                <w:szCs w:val="22"/>
                <w:highlight w:val="none"/>
                <w:lang w:bidi="ar"/>
              </w:rPr>
            </w:pPr>
            <w:r>
              <w:rPr>
                <w:rFonts w:hint="eastAsia"/>
                <w:color w:val="auto"/>
                <w:sz w:val="21"/>
                <w:szCs w:val="21"/>
                <w:lang w:val="en-US" w:eastAsia="zh-CN"/>
              </w:rPr>
              <w:t>拟投入本项目技术参数表第1041项“云存储”产品的生产厂商（或制造商）具备“可靠性实验室”的，得</w:t>
            </w:r>
            <w:r>
              <w:rPr>
                <w:rFonts w:hint="eastAsia" w:ascii="宋体" w:hAnsi="宋体" w:eastAsia="宋体" w:cs="宋体"/>
                <w:color w:val="auto"/>
                <w:sz w:val="21"/>
                <w:szCs w:val="21"/>
                <w:lang w:val="en-US" w:eastAsia="zh-CN"/>
              </w:rPr>
              <w:t>2</w:t>
            </w:r>
            <w:r>
              <w:rPr>
                <w:rFonts w:hint="eastAsia"/>
                <w:color w:val="auto"/>
                <w:sz w:val="21"/>
                <w:szCs w:val="21"/>
                <w:lang w:val="en-US" w:eastAsia="zh-CN"/>
              </w:rPr>
              <w:t>分。</w:t>
            </w:r>
          </w:p>
          <w:p w14:paraId="31140713">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cs="宋体"/>
                <w:color w:val="FF0000"/>
                <w:kern w:val="0"/>
                <w:sz w:val="22"/>
                <w:szCs w:val="22"/>
                <w:highlight w:val="none"/>
                <w:lang w:bidi="ar"/>
              </w:rPr>
            </w:pPr>
            <w:r>
              <w:rPr>
                <w:rFonts w:hint="eastAsia" w:ascii="宋体" w:hAnsi="宋体" w:cs="宋体"/>
                <w:b/>
                <w:bCs/>
                <w:color w:val="auto"/>
                <w:kern w:val="0"/>
                <w:sz w:val="22"/>
                <w:szCs w:val="22"/>
                <w:highlight w:val="none"/>
                <w:lang w:bidi="ar"/>
              </w:rPr>
              <w:t>注：</w:t>
            </w:r>
            <w:r>
              <w:rPr>
                <w:rFonts w:hint="eastAsia" w:ascii="宋体" w:hAnsi="宋体" w:eastAsia="宋体" w:cs="宋体"/>
                <w:b/>
                <w:bCs/>
                <w:color w:val="auto"/>
                <w:kern w:val="2"/>
                <w:sz w:val="21"/>
                <w:szCs w:val="21"/>
                <w:highlight w:val="none"/>
                <w:lang w:val="en-US" w:eastAsia="zh-CN" w:bidi="ar-SA"/>
              </w:rPr>
              <w:t>投标时</w:t>
            </w:r>
            <w:r>
              <w:rPr>
                <w:rFonts w:hint="eastAsia" w:ascii="宋体" w:hAnsi="宋体" w:cs="宋体"/>
                <w:b/>
                <w:bCs/>
                <w:color w:val="auto"/>
                <w:kern w:val="0"/>
                <w:sz w:val="22"/>
                <w:szCs w:val="22"/>
                <w:highlight w:val="none"/>
                <w:lang w:eastAsia="zh-CN" w:bidi="ar"/>
              </w:rPr>
              <w:t>需提供</w:t>
            </w:r>
            <w:r>
              <w:rPr>
                <w:rFonts w:hint="eastAsia" w:ascii="宋体" w:hAnsi="宋体" w:cs="宋体"/>
                <w:b/>
                <w:bCs/>
                <w:color w:val="auto"/>
                <w:kern w:val="0"/>
                <w:sz w:val="22"/>
                <w:szCs w:val="22"/>
                <w:highlight w:val="none"/>
                <w:u w:val="none"/>
                <w:lang w:eastAsia="zh-CN" w:bidi="ar"/>
              </w:rPr>
              <w:t>“实验室认可证书”</w:t>
            </w:r>
            <w:r>
              <w:rPr>
                <w:rFonts w:hint="eastAsia" w:ascii="宋体" w:hAnsi="宋体" w:eastAsia="宋体" w:cs="宋体"/>
                <w:b/>
                <w:bCs/>
                <w:color w:val="auto"/>
                <w:kern w:val="2"/>
                <w:sz w:val="21"/>
                <w:szCs w:val="21"/>
                <w:highlight w:val="none"/>
                <w:u w:val="none"/>
                <w:lang w:val="en-US" w:eastAsia="zh-CN" w:bidi="ar-SA"/>
              </w:rPr>
              <w:t>原件彩色扫描件或复印件并加盖投标人公章后的彩色扫描件。</w:t>
            </w:r>
            <w:r>
              <w:rPr>
                <w:rFonts w:hint="eastAsia" w:ascii="宋体" w:hAnsi="宋体" w:eastAsia="宋体" w:cs="宋体"/>
                <w:b/>
                <w:bCs/>
                <w:color w:val="auto"/>
                <w:kern w:val="2"/>
                <w:sz w:val="21"/>
                <w:szCs w:val="21"/>
                <w:highlight w:val="none"/>
                <w:lang w:val="en-US" w:eastAsia="zh-CN" w:bidi="ar-SA"/>
              </w:rPr>
              <w:t>未提供或经评审不合格的均不得分。</w:t>
            </w:r>
          </w:p>
        </w:tc>
      </w:tr>
      <w:tr w14:paraId="0858D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Merge w:val="restart"/>
            <w:noWrap w:val="0"/>
            <w:vAlign w:val="center"/>
          </w:tcPr>
          <w:p w14:paraId="29E830BF">
            <w:pPr>
              <w:keepNext w:val="0"/>
              <w:keepLines w:val="0"/>
              <w:pageBreakBefore w:val="0"/>
              <w:kinsoku/>
              <w:wordWrap/>
              <w:overflowPunct/>
              <w:topLinePunct w:val="0"/>
              <w:bidi w:val="0"/>
              <w:snapToGrid/>
              <w:spacing w:line="360" w:lineRule="exact"/>
              <w:jc w:val="center"/>
              <w:textAlignment w:val="auto"/>
              <w:rPr>
                <w:rFonts w:hint="eastAsia" w:ascii="宋体" w:hAnsi="宋体"/>
                <w:color w:val="auto"/>
                <w:kern w:val="1"/>
                <w:sz w:val="18"/>
                <w:szCs w:val="18"/>
                <w:highlight w:val="none"/>
                <w:lang w:val="en-US" w:eastAsia="zh-CN"/>
              </w:rPr>
            </w:pPr>
            <w:r>
              <w:rPr>
                <w:rFonts w:hint="eastAsia" w:ascii="宋体" w:hAnsi="宋体"/>
                <w:color w:val="auto"/>
                <w:kern w:val="1"/>
                <w:sz w:val="18"/>
                <w:szCs w:val="18"/>
                <w:highlight w:val="none"/>
                <w:lang w:val="en-US" w:eastAsia="zh-CN"/>
              </w:rPr>
              <w:t>4</w:t>
            </w:r>
          </w:p>
        </w:tc>
        <w:tc>
          <w:tcPr>
            <w:tcW w:w="740" w:type="dxa"/>
            <w:vMerge w:val="restart"/>
            <w:noWrap w:val="0"/>
            <w:vAlign w:val="center"/>
          </w:tcPr>
          <w:p w14:paraId="01E8EB4E">
            <w:pPr>
              <w:keepNext w:val="0"/>
              <w:keepLines w:val="0"/>
              <w:pageBreakBefore w:val="0"/>
              <w:kinsoku/>
              <w:wordWrap/>
              <w:overflowPunct/>
              <w:topLinePunct w:val="0"/>
              <w:bidi w:val="0"/>
              <w:snapToGrid/>
              <w:spacing w:line="360" w:lineRule="exact"/>
              <w:jc w:val="center"/>
              <w:textAlignment w:val="auto"/>
              <w:rPr>
                <w:rFonts w:hint="eastAsia" w:ascii="宋体" w:hAnsi="宋体"/>
                <w:b/>
                <w:bCs/>
                <w:color w:val="auto"/>
                <w:kern w:val="1"/>
                <w:szCs w:val="21"/>
                <w:highlight w:val="none"/>
                <w:lang w:eastAsia="zh-CN"/>
              </w:rPr>
            </w:pPr>
            <w:r>
              <w:rPr>
                <w:rFonts w:hint="eastAsia" w:ascii="宋体" w:hAnsi="宋体"/>
                <w:b/>
                <w:bCs/>
                <w:color w:val="auto"/>
                <w:kern w:val="1"/>
                <w:szCs w:val="21"/>
                <w:highlight w:val="none"/>
                <w:lang w:eastAsia="zh-CN"/>
              </w:rPr>
              <w:t>方案部分</w:t>
            </w:r>
          </w:p>
        </w:tc>
        <w:tc>
          <w:tcPr>
            <w:tcW w:w="738" w:type="dxa"/>
            <w:noWrap w:val="0"/>
            <w:vAlign w:val="center"/>
          </w:tcPr>
          <w:p w14:paraId="2CBE769E">
            <w:pPr>
              <w:keepNext w:val="0"/>
              <w:keepLines w:val="0"/>
              <w:pageBreakBefore w:val="0"/>
              <w:kinsoku/>
              <w:wordWrap/>
              <w:overflowPunct/>
              <w:topLinePunct w:val="0"/>
              <w:bidi w:val="0"/>
              <w:snapToGrid/>
              <w:spacing w:line="360" w:lineRule="exact"/>
              <w:jc w:val="center"/>
              <w:textAlignment w:val="auto"/>
              <w:rPr>
                <w:rFonts w:hint="eastAsia" w:ascii="宋体" w:hAnsi="宋体"/>
                <w:b/>
                <w:bCs/>
                <w:color w:val="auto"/>
                <w:szCs w:val="21"/>
                <w:highlight w:val="none"/>
                <w:lang w:eastAsia="zh-CN"/>
              </w:rPr>
            </w:pPr>
            <w:r>
              <w:rPr>
                <w:rFonts w:hint="eastAsia" w:ascii="宋体" w:hAnsi="宋体"/>
                <w:b/>
                <w:bCs/>
                <w:color w:val="auto"/>
                <w:szCs w:val="21"/>
                <w:highlight w:val="none"/>
                <w:lang w:eastAsia="zh-CN"/>
              </w:rPr>
              <w:t>建设方案</w:t>
            </w:r>
          </w:p>
        </w:tc>
        <w:tc>
          <w:tcPr>
            <w:tcW w:w="742" w:type="dxa"/>
            <w:noWrap w:val="0"/>
            <w:vAlign w:val="center"/>
          </w:tcPr>
          <w:p w14:paraId="75F855E4">
            <w:pPr>
              <w:spacing w:line="274" w:lineRule="exact"/>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分</w:t>
            </w:r>
          </w:p>
        </w:tc>
        <w:tc>
          <w:tcPr>
            <w:tcW w:w="6733" w:type="dxa"/>
            <w:noWrap w:val="0"/>
            <w:vAlign w:val="center"/>
          </w:tcPr>
          <w:p w14:paraId="7123398D">
            <w:pPr>
              <w:widowControl/>
              <w:jc w:val="left"/>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eastAsia="zh-CN" w:bidi="ar"/>
              </w:rPr>
              <w:t>评标委员会</w:t>
            </w:r>
            <w:r>
              <w:rPr>
                <w:rFonts w:hint="eastAsia" w:ascii="宋体" w:hAnsi="宋体" w:cs="宋体"/>
                <w:color w:val="auto"/>
                <w:kern w:val="0"/>
                <w:sz w:val="22"/>
                <w:szCs w:val="22"/>
                <w:highlight w:val="none"/>
                <w:lang w:bidi="ar"/>
              </w:rPr>
              <w:t>根据投标人针对本项目提供的</w:t>
            </w:r>
            <w:r>
              <w:rPr>
                <w:rFonts w:hint="eastAsia" w:ascii="宋体" w:hAnsi="宋体" w:cs="宋体"/>
                <w:color w:val="auto"/>
                <w:kern w:val="0"/>
                <w:sz w:val="22"/>
                <w:szCs w:val="22"/>
                <w:highlight w:val="none"/>
                <w:lang w:eastAsia="zh-CN" w:bidi="ar"/>
              </w:rPr>
              <w:t>建设方案</w:t>
            </w:r>
            <w:r>
              <w:rPr>
                <w:rFonts w:hint="eastAsia" w:ascii="宋体" w:hAnsi="宋体" w:cs="宋体"/>
                <w:color w:val="auto"/>
                <w:kern w:val="0"/>
                <w:sz w:val="22"/>
                <w:szCs w:val="22"/>
                <w:highlight w:val="none"/>
                <w:lang w:bidi="ar"/>
              </w:rPr>
              <w:t>进行评分。内容包括：①</w:t>
            </w:r>
            <w:r>
              <w:rPr>
                <w:rFonts w:hint="eastAsia" w:ascii="宋体" w:hAnsi="宋体" w:cs="宋体"/>
                <w:color w:val="auto"/>
                <w:kern w:val="0"/>
                <w:sz w:val="22"/>
                <w:szCs w:val="22"/>
                <w:highlight w:val="none"/>
                <w:lang w:eastAsia="zh-CN" w:bidi="ar"/>
              </w:rPr>
              <w:t>项目分析、</w:t>
            </w:r>
            <w:r>
              <w:rPr>
                <w:rFonts w:hint="eastAsia" w:ascii="宋体" w:hAnsi="宋体" w:cs="宋体"/>
                <w:color w:val="auto"/>
                <w:kern w:val="0"/>
                <w:sz w:val="22"/>
                <w:szCs w:val="22"/>
                <w:highlight w:val="none"/>
                <w:lang w:bidi="ar"/>
              </w:rPr>
              <w:t>②</w:t>
            </w:r>
            <w:r>
              <w:rPr>
                <w:rFonts w:hint="eastAsia" w:ascii="宋体" w:hAnsi="宋体" w:cs="宋体"/>
                <w:color w:val="auto"/>
                <w:kern w:val="0"/>
                <w:sz w:val="22"/>
                <w:szCs w:val="22"/>
                <w:highlight w:val="none"/>
                <w:lang w:eastAsia="zh-CN" w:bidi="ar"/>
              </w:rPr>
              <w:t>建设大纲、</w:t>
            </w:r>
            <w:r>
              <w:rPr>
                <w:rFonts w:hint="eastAsia" w:ascii="宋体" w:hAnsi="宋体" w:cs="宋体"/>
                <w:color w:val="auto"/>
                <w:kern w:val="0"/>
                <w:sz w:val="22"/>
                <w:szCs w:val="22"/>
                <w:highlight w:val="none"/>
                <w:lang w:bidi="ar"/>
              </w:rPr>
              <w:t>③页面展示、</w:t>
            </w:r>
            <w:r>
              <w:rPr>
                <w:rFonts w:hint="eastAsia" w:ascii="宋体" w:hAnsi="宋体" w:eastAsia="宋体" w:cs="宋体"/>
                <w:kern w:val="0"/>
                <w:sz w:val="22"/>
                <w:szCs w:val="22"/>
                <w:lang w:bidi="ar"/>
              </w:rPr>
              <w:t>④</w:t>
            </w:r>
            <w:r>
              <w:rPr>
                <w:rFonts w:hint="eastAsia" w:ascii="宋体" w:hAnsi="宋体" w:cs="宋体"/>
                <w:color w:val="auto"/>
                <w:kern w:val="0"/>
                <w:sz w:val="22"/>
                <w:szCs w:val="22"/>
                <w:highlight w:val="none"/>
                <w:lang w:bidi="ar"/>
              </w:rPr>
              <w:t>检索服务、</w:t>
            </w:r>
            <w:r>
              <w:rPr>
                <w:rFonts w:hint="eastAsia" w:ascii="宋体" w:hAnsi="宋体" w:eastAsia="宋体" w:cs="宋体"/>
                <w:lang w:val="en-US" w:eastAsia="zh-CN"/>
              </w:rPr>
              <w:t>⑤</w:t>
            </w:r>
            <w:r>
              <w:rPr>
                <w:rFonts w:hint="eastAsia" w:ascii="宋体" w:hAnsi="宋体" w:cs="宋体"/>
                <w:color w:val="auto"/>
                <w:kern w:val="0"/>
                <w:sz w:val="22"/>
                <w:szCs w:val="22"/>
                <w:highlight w:val="none"/>
                <w:lang w:bidi="ar"/>
              </w:rPr>
              <w:t>证照信息获取、</w:t>
            </w:r>
            <w:r>
              <w:rPr>
                <w:rFonts w:hint="eastAsia" w:ascii="宋体" w:hAnsi="宋体" w:eastAsia="宋体" w:cs="宋体"/>
                <w:lang w:val="en-US" w:eastAsia="zh-CN"/>
              </w:rPr>
              <w:t>⑥</w:t>
            </w:r>
            <w:r>
              <w:rPr>
                <w:rFonts w:hint="eastAsia" w:ascii="宋体" w:hAnsi="宋体" w:cs="宋体"/>
                <w:color w:val="auto"/>
                <w:kern w:val="0"/>
                <w:sz w:val="22"/>
                <w:szCs w:val="22"/>
                <w:highlight w:val="none"/>
                <w:lang w:bidi="ar"/>
              </w:rPr>
              <w:t>短信提醒服务。</w:t>
            </w:r>
          </w:p>
          <w:p w14:paraId="273D5783">
            <w:pPr>
              <w:widowControl/>
              <w:jc w:val="left"/>
              <w:textAlignment w:val="center"/>
              <w:rPr>
                <w:rFonts w:hint="eastAsia" w:ascii="宋体" w:hAnsi="宋体" w:cs="宋体"/>
                <w:color w:val="auto"/>
                <w:kern w:val="0"/>
                <w:sz w:val="22"/>
                <w:szCs w:val="22"/>
                <w:highlight w:val="none"/>
                <w:lang w:eastAsia="zh-CN" w:bidi="ar"/>
              </w:rPr>
            </w:pPr>
            <w:r>
              <w:rPr>
                <w:rFonts w:hint="eastAsia" w:ascii="宋体" w:hAnsi="宋体" w:cs="宋体"/>
                <w:color w:val="auto"/>
                <w:kern w:val="0"/>
                <w:sz w:val="22"/>
                <w:szCs w:val="22"/>
                <w:highlight w:val="none"/>
                <w:lang w:bidi="ar"/>
              </w:rPr>
              <w:t>方案合理完整完全满足采购人实际需求的得</w:t>
            </w:r>
            <w:r>
              <w:rPr>
                <w:rFonts w:hint="eastAsia" w:ascii="宋体" w:hAnsi="宋体" w:cs="宋体"/>
                <w:color w:val="auto"/>
                <w:kern w:val="0"/>
                <w:sz w:val="22"/>
                <w:szCs w:val="22"/>
                <w:highlight w:val="none"/>
                <w:lang w:val="en-US" w:eastAsia="zh-CN" w:bidi="ar"/>
              </w:rPr>
              <w:t>6</w:t>
            </w:r>
            <w:r>
              <w:rPr>
                <w:rFonts w:hint="eastAsia" w:ascii="宋体" w:hAnsi="宋体" w:cs="宋体"/>
                <w:color w:val="auto"/>
                <w:kern w:val="0"/>
                <w:sz w:val="22"/>
                <w:szCs w:val="22"/>
                <w:highlight w:val="none"/>
                <w:lang w:bidi="ar"/>
              </w:rPr>
              <w:t>分，每有一内容缺失的扣1分；每有一处存在缺陷（缺陷是指不适用于本项目，表述前后不一致或内容矛盾，语句有歧义，仅有框架或标题，涉及的规范及标准错误，套用其他项目内容等任意一种情形）的扣0.5 分，直至该项分值</w:t>
            </w:r>
            <w:r>
              <w:rPr>
                <w:rFonts w:hint="eastAsia" w:ascii="宋体" w:hAnsi="宋体" w:cs="宋体"/>
                <w:color w:val="auto"/>
                <w:kern w:val="0"/>
                <w:sz w:val="22"/>
                <w:szCs w:val="22"/>
                <w:highlight w:val="none"/>
                <w:lang w:val="en-US" w:eastAsia="zh-CN" w:bidi="ar"/>
              </w:rPr>
              <w:t>6</w:t>
            </w:r>
            <w:r>
              <w:rPr>
                <w:rFonts w:hint="eastAsia" w:ascii="宋体" w:hAnsi="宋体" w:cs="宋体"/>
                <w:color w:val="auto"/>
                <w:kern w:val="0"/>
                <w:sz w:val="22"/>
                <w:szCs w:val="22"/>
                <w:highlight w:val="none"/>
                <w:lang w:bidi="ar"/>
              </w:rPr>
              <w:t>分扣完为止，不提供不得分。</w:t>
            </w:r>
          </w:p>
        </w:tc>
      </w:tr>
      <w:tr w14:paraId="20365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Merge w:val="continue"/>
            <w:noWrap w:val="0"/>
            <w:vAlign w:val="center"/>
          </w:tcPr>
          <w:p w14:paraId="4EEEE446">
            <w:pPr>
              <w:keepNext w:val="0"/>
              <w:keepLines w:val="0"/>
              <w:pageBreakBefore w:val="0"/>
              <w:kinsoku/>
              <w:wordWrap/>
              <w:overflowPunct/>
              <w:topLinePunct w:val="0"/>
              <w:bidi w:val="0"/>
              <w:snapToGrid/>
              <w:spacing w:line="360" w:lineRule="exact"/>
              <w:jc w:val="center"/>
              <w:textAlignment w:val="auto"/>
              <w:rPr>
                <w:rFonts w:hint="eastAsia" w:ascii="宋体" w:hAnsi="宋体"/>
                <w:color w:val="auto"/>
                <w:kern w:val="1"/>
                <w:sz w:val="18"/>
                <w:szCs w:val="18"/>
                <w:highlight w:val="none"/>
                <w:lang w:val="en-US" w:eastAsia="zh-CN"/>
              </w:rPr>
            </w:pPr>
          </w:p>
        </w:tc>
        <w:tc>
          <w:tcPr>
            <w:tcW w:w="740" w:type="dxa"/>
            <w:vMerge w:val="continue"/>
            <w:noWrap w:val="0"/>
            <w:vAlign w:val="center"/>
          </w:tcPr>
          <w:p w14:paraId="7EE68755">
            <w:pPr>
              <w:keepNext w:val="0"/>
              <w:keepLines w:val="0"/>
              <w:pageBreakBefore w:val="0"/>
              <w:kinsoku/>
              <w:wordWrap/>
              <w:overflowPunct/>
              <w:topLinePunct w:val="0"/>
              <w:bidi w:val="0"/>
              <w:snapToGrid/>
              <w:spacing w:line="360" w:lineRule="exact"/>
              <w:jc w:val="center"/>
              <w:textAlignment w:val="auto"/>
              <w:rPr>
                <w:rFonts w:hint="eastAsia" w:ascii="宋体" w:hAnsi="宋体"/>
                <w:b/>
                <w:bCs/>
                <w:color w:val="auto"/>
                <w:kern w:val="1"/>
                <w:szCs w:val="21"/>
                <w:highlight w:val="none"/>
                <w:lang w:eastAsia="zh-CN"/>
              </w:rPr>
            </w:pPr>
          </w:p>
        </w:tc>
        <w:tc>
          <w:tcPr>
            <w:tcW w:w="738" w:type="dxa"/>
            <w:noWrap w:val="0"/>
            <w:vAlign w:val="center"/>
          </w:tcPr>
          <w:p w14:paraId="6D0B47D4">
            <w:pPr>
              <w:spacing w:line="274" w:lineRule="exact"/>
              <w:jc w:val="center"/>
              <w:rPr>
                <w:rFonts w:hint="eastAsia" w:ascii="宋体" w:hAnsi="宋体"/>
                <w:b/>
                <w:bCs/>
                <w:color w:val="auto"/>
                <w:szCs w:val="21"/>
                <w:highlight w:val="none"/>
                <w:lang w:eastAsia="zh-CN"/>
              </w:rPr>
            </w:pPr>
            <w:r>
              <w:rPr>
                <w:rFonts w:hint="eastAsia" w:ascii="宋体" w:hAnsi="宋体"/>
                <w:b/>
                <w:bCs/>
                <w:color w:val="auto"/>
                <w:szCs w:val="21"/>
                <w:highlight w:val="none"/>
                <w:lang w:eastAsia="zh-CN"/>
              </w:rPr>
              <w:t>服务保障方案</w:t>
            </w:r>
          </w:p>
        </w:tc>
        <w:tc>
          <w:tcPr>
            <w:tcW w:w="742" w:type="dxa"/>
            <w:noWrap w:val="0"/>
            <w:vAlign w:val="center"/>
          </w:tcPr>
          <w:p w14:paraId="05BC16BF">
            <w:pPr>
              <w:spacing w:line="274" w:lineRule="exact"/>
              <w:jc w:val="center"/>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6</w:t>
            </w:r>
            <w:r>
              <w:rPr>
                <w:rFonts w:hint="eastAsia" w:ascii="宋体" w:hAnsi="宋体" w:cs="宋体"/>
                <w:b w:val="0"/>
                <w:bCs w:val="0"/>
                <w:color w:val="auto"/>
                <w:sz w:val="21"/>
                <w:szCs w:val="21"/>
                <w:highlight w:val="none"/>
              </w:rPr>
              <w:t>分</w:t>
            </w:r>
          </w:p>
        </w:tc>
        <w:tc>
          <w:tcPr>
            <w:tcW w:w="6733" w:type="dxa"/>
            <w:noWrap w:val="0"/>
            <w:vAlign w:val="center"/>
          </w:tcPr>
          <w:p w14:paraId="27368B5E">
            <w:pPr>
              <w:widowControl/>
              <w:jc w:val="left"/>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投标人根据项目需求制定完善的服务保障方案，方案内容包括但不限于①售后服务方案、②应急管理方案、③响应时间等内容。</w:t>
            </w:r>
          </w:p>
          <w:p w14:paraId="23C1F2FB">
            <w:pPr>
              <w:widowControl/>
              <w:jc w:val="left"/>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方案合理完整完全满足采购人实际需求的得</w:t>
            </w:r>
            <w:r>
              <w:rPr>
                <w:rFonts w:hint="eastAsia" w:ascii="宋体" w:hAnsi="宋体" w:cs="宋体"/>
                <w:color w:val="auto"/>
                <w:kern w:val="0"/>
                <w:sz w:val="22"/>
                <w:szCs w:val="22"/>
                <w:highlight w:val="none"/>
                <w:lang w:val="en-US" w:eastAsia="zh-CN" w:bidi="ar"/>
              </w:rPr>
              <w:t>6</w:t>
            </w:r>
            <w:r>
              <w:rPr>
                <w:rFonts w:hint="eastAsia" w:ascii="宋体" w:hAnsi="宋体" w:cs="宋体"/>
                <w:color w:val="auto"/>
                <w:kern w:val="0"/>
                <w:sz w:val="22"/>
                <w:szCs w:val="22"/>
                <w:highlight w:val="none"/>
                <w:lang w:bidi="ar"/>
              </w:rPr>
              <w:t>分，每有一内容缺失的扣</w:t>
            </w:r>
            <w:r>
              <w:rPr>
                <w:rFonts w:hint="eastAsia" w:ascii="宋体" w:hAnsi="宋体" w:cs="宋体"/>
                <w:color w:val="auto"/>
                <w:kern w:val="0"/>
                <w:sz w:val="22"/>
                <w:szCs w:val="22"/>
                <w:highlight w:val="none"/>
                <w:lang w:val="en-US" w:eastAsia="zh-CN" w:bidi="ar"/>
              </w:rPr>
              <w:t>2</w:t>
            </w:r>
            <w:r>
              <w:rPr>
                <w:rFonts w:hint="eastAsia" w:ascii="宋体" w:hAnsi="宋体" w:cs="宋体"/>
                <w:color w:val="auto"/>
                <w:kern w:val="0"/>
                <w:sz w:val="22"/>
                <w:szCs w:val="22"/>
                <w:highlight w:val="none"/>
                <w:lang w:bidi="ar"/>
              </w:rPr>
              <w:t>分；每有一处存在缺陷（缺陷是指不适用于本项目，表述前后不一致或内容矛盾，语句有歧义，仅有框架或标题，涉及的规范及标准错误，套用其他项目内容等任意一种情形）的扣 0.5分，直至该项分值</w:t>
            </w:r>
            <w:r>
              <w:rPr>
                <w:rFonts w:hint="eastAsia" w:ascii="宋体" w:hAnsi="宋体" w:cs="宋体"/>
                <w:color w:val="auto"/>
                <w:kern w:val="0"/>
                <w:sz w:val="22"/>
                <w:szCs w:val="22"/>
                <w:highlight w:val="none"/>
                <w:lang w:val="en-US" w:eastAsia="zh-CN" w:bidi="ar"/>
              </w:rPr>
              <w:t>6</w:t>
            </w:r>
            <w:r>
              <w:rPr>
                <w:rFonts w:hint="eastAsia" w:ascii="宋体" w:hAnsi="宋体" w:cs="宋体"/>
                <w:color w:val="auto"/>
                <w:kern w:val="0"/>
                <w:sz w:val="22"/>
                <w:szCs w:val="22"/>
                <w:highlight w:val="none"/>
                <w:lang w:bidi="ar"/>
              </w:rPr>
              <w:t>分扣完为止，不提供不得分。</w:t>
            </w:r>
          </w:p>
        </w:tc>
      </w:tr>
      <w:tr w14:paraId="4E8D4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Merge w:val="continue"/>
            <w:noWrap w:val="0"/>
            <w:vAlign w:val="center"/>
          </w:tcPr>
          <w:p w14:paraId="5F451A26">
            <w:pPr>
              <w:keepNext w:val="0"/>
              <w:keepLines w:val="0"/>
              <w:pageBreakBefore w:val="0"/>
              <w:kinsoku/>
              <w:wordWrap/>
              <w:overflowPunct/>
              <w:topLinePunct w:val="0"/>
              <w:bidi w:val="0"/>
              <w:snapToGrid/>
              <w:spacing w:line="360" w:lineRule="exact"/>
              <w:jc w:val="center"/>
              <w:textAlignment w:val="auto"/>
              <w:rPr>
                <w:rFonts w:hint="eastAsia" w:ascii="宋体" w:hAnsi="宋体"/>
                <w:color w:val="auto"/>
                <w:kern w:val="1"/>
                <w:sz w:val="18"/>
                <w:szCs w:val="18"/>
                <w:highlight w:val="none"/>
              </w:rPr>
            </w:pPr>
          </w:p>
        </w:tc>
        <w:tc>
          <w:tcPr>
            <w:tcW w:w="740" w:type="dxa"/>
            <w:vMerge w:val="continue"/>
            <w:noWrap w:val="0"/>
            <w:vAlign w:val="center"/>
          </w:tcPr>
          <w:p w14:paraId="1F5A2DFA">
            <w:pPr>
              <w:keepNext w:val="0"/>
              <w:keepLines w:val="0"/>
              <w:pageBreakBefore w:val="0"/>
              <w:kinsoku/>
              <w:wordWrap/>
              <w:overflowPunct/>
              <w:topLinePunct w:val="0"/>
              <w:bidi w:val="0"/>
              <w:snapToGrid/>
              <w:spacing w:line="360" w:lineRule="exact"/>
              <w:jc w:val="center"/>
              <w:textAlignment w:val="auto"/>
              <w:rPr>
                <w:rFonts w:hint="eastAsia" w:ascii="宋体" w:hAnsi="宋体"/>
                <w:color w:val="auto"/>
                <w:kern w:val="1"/>
                <w:szCs w:val="21"/>
                <w:highlight w:val="none"/>
              </w:rPr>
            </w:pPr>
          </w:p>
        </w:tc>
        <w:tc>
          <w:tcPr>
            <w:tcW w:w="738" w:type="dxa"/>
            <w:noWrap w:val="0"/>
            <w:vAlign w:val="center"/>
          </w:tcPr>
          <w:p w14:paraId="06C8C887">
            <w:pPr>
              <w:keepNext w:val="0"/>
              <w:keepLines w:val="0"/>
              <w:pageBreakBefore w:val="0"/>
              <w:kinsoku/>
              <w:wordWrap/>
              <w:overflowPunct/>
              <w:topLinePunct w:val="0"/>
              <w:bidi w:val="0"/>
              <w:snapToGrid/>
              <w:spacing w:line="360" w:lineRule="exact"/>
              <w:jc w:val="center"/>
              <w:textAlignment w:val="auto"/>
              <w:rPr>
                <w:rFonts w:hint="eastAsia" w:ascii="宋体" w:hAnsi="宋体"/>
                <w:b/>
                <w:bCs/>
                <w:color w:val="auto"/>
                <w:szCs w:val="21"/>
                <w:highlight w:val="none"/>
                <w:lang w:eastAsia="zh-Hans"/>
              </w:rPr>
            </w:pPr>
            <w:r>
              <w:rPr>
                <w:rFonts w:hint="eastAsia" w:ascii="宋体" w:hAnsi="宋体"/>
                <w:b/>
                <w:bCs/>
                <w:color w:val="auto"/>
                <w:szCs w:val="21"/>
                <w:highlight w:val="none"/>
                <w:lang w:eastAsia="zh-CN"/>
              </w:rPr>
              <w:t>培训方案</w:t>
            </w:r>
          </w:p>
        </w:tc>
        <w:tc>
          <w:tcPr>
            <w:tcW w:w="742" w:type="dxa"/>
            <w:noWrap w:val="0"/>
            <w:vAlign w:val="center"/>
          </w:tcPr>
          <w:p w14:paraId="2DB5B73F">
            <w:pPr>
              <w:spacing w:line="274" w:lineRule="exact"/>
              <w:jc w:val="center"/>
              <w:rPr>
                <w:rFonts w:hint="default" w:ascii="宋体" w:hAnsi="宋体" w:eastAsia="宋体"/>
                <w:b w:val="0"/>
                <w:bCs w:val="0"/>
                <w:color w:val="auto"/>
                <w:kern w:val="1"/>
                <w:szCs w:val="21"/>
                <w:highlight w:val="none"/>
                <w:lang w:val="en-US" w:eastAsia="zh-CN"/>
              </w:rPr>
            </w:pPr>
            <w:r>
              <w:rPr>
                <w:rFonts w:hint="eastAsia" w:ascii="宋体" w:hAnsi="宋体" w:eastAsia="宋体" w:cs="宋体"/>
                <w:b w:val="0"/>
                <w:bCs w:val="0"/>
                <w:color w:val="auto"/>
                <w:sz w:val="21"/>
                <w:szCs w:val="21"/>
                <w:highlight w:val="none"/>
                <w:lang w:val="en-US" w:eastAsia="zh-CN"/>
              </w:rPr>
              <w:t>4分</w:t>
            </w:r>
          </w:p>
        </w:tc>
        <w:tc>
          <w:tcPr>
            <w:tcW w:w="6733" w:type="dxa"/>
            <w:noWrap w:val="0"/>
            <w:vAlign w:val="center"/>
          </w:tcPr>
          <w:p w14:paraId="5885BE61">
            <w:pPr>
              <w:widowControl/>
              <w:jc w:val="left"/>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根据投标人提供的项目培训方案进行评分。内容包括但不限于：①培训计划、②培训内容③培训方式、④培训保障措施。</w:t>
            </w:r>
          </w:p>
          <w:p w14:paraId="274B5C42">
            <w:pPr>
              <w:widowControl/>
              <w:jc w:val="left"/>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方案合理完整完全满足采购人实际需求的得</w:t>
            </w:r>
            <w:r>
              <w:rPr>
                <w:rFonts w:hint="eastAsia" w:ascii="宋体" w:hAnsi="宋体" w:cs="宋体"/>
                <w:color w:val="auto"/>
                <w:kern w:val="0"/>
                <w:sz w:val="22"/>
                <w:szCs w:val="22"/>
                <w:highlight w:val="none"/>
                <w:lang w:val="en-US" w:eastAsia="zh-CN" w:bidi="ar"/>
              </w:rPr>
              <w:t>4</w:t>
            </w:r>
            <w:r>
              <w:rPr>
                <w:rFonts w:hint="eastAsia" w:ascii="宋体" w:hAnsi="宋体" w:cs="宋体"/>
                <w:color w:val="auto"/>
                <w:kern w:val="0"/>
                <w:sz w:val="22"/>
                <w:szCs w:val="22"/>
                <w:highlight w:val="none"/>
                <w:lang w:bidi="ar"/>
              </w:rPr>
              <w:t>分，每有一内容缺失的扣1分；每有一处存在缺陷（缺陷是指不适用于本项目，表述前后不一致或内容矛盾，语句有歧义，仅有框架或标题，涉及的规范及标准错误，套用其他项目内容等任意一种情形）的扣0.5分，直至该项分值</w:t>
            </w:r>
            <w:r>
              <w:rPr>
                <w:rFonts w:hint="eastAsia" w:ascii="宋体" w:hAnsi="宋体" w:cs="宋体"/>
                <w:color w:val="auto"/>
                <w:kern w:val="0"/>
                <w:sz w:val="22"/>
                <w:szCs w:val="22"/>
                <w:highlight w:val="none"/>
                <w:lang w:val="en-US" w:eastAsia="zh-CN" w:bidi="ar"/>
              </w:rPr>
              <w:t>4</w:t>
            </w:r>
            <w:r>
              <w:rPr>
                <w:rFonts w:hint="eastAsia" w:ascii="宋体" w:hAnsi="宋体" w:cs="宋体"/>
                <w:color w:val="auto"/>
                <w:kern w:val="0"/>
                <w:sz w:val="22"/>
                <w:szCs w:val="22"/>
                <w:highlight w:val="none"/>
                <w:lang w:bidi="ar"/>
              </w:rPr>
              <w:t>分扣完为止，不提供不得分。</w:t>
            </w:r>
          </w:p>
        </w:tc>
      </w:tr>
    </w:tbl>
    <w:p w14:paraId="458BE33E">
      <w:pPr>
        <w:pStyle w:val="31"/>
        <w:keepNext w:val="0"/>
        <w:keepLines w:val="0"/>
        <w:pageBreakBefore w:val="0"/>
        <w:widowControl w:val="0"/>
        <w:kinsoku/>
        <w:wordWrap/>
        <w:overflowPunct/>
        <w:topLinePunct w:val="0"/>
        <w:autoSpaceDE/>
        <w:autoSpaceDN/>
        <w:bidi w:val="0"/>
        <w:spacing w:line="440" w:lineRule="exact"/>
        <w:ind w:firstLine="470"/>
        <w:textAlignment w:val="auto"/>
        <w:outlineLvl w:val="0"/>
        <w:rPr>
          <w:rFonts w:hint="eastAsia" w:ascii="宋体" w:hAnsi="宋体" w:eastAsia="宋体" w:cs="宋体"/>
          <w:bCs/>
          <w:color w:val="auto"/>
          <w:sz w:val="24"/>
          <w:szCs w:val="24"/>
          <w:highlight w:val="none"/>
        </w:rPr>
      </w:pPr>
    </w:p>
    <w:p w14:paraId="7CAF962A">
      <w:pPr>
        <w:pStyle w:val="31"/>
        <w:keepNext w:val="0"/>
        <w:keepLines w:val="0"/>
        <w:pageBreakBefore w:val="0"/>
        <w:widowControl w:val="0"/>
        <w:kinsoku/>
        <w:wordWrap/>
        <w:overflowPunct/>
        <w:topLinePunct w:val="0"/>
        <w:autoSpaceDE/>
        <w:autoSpaceDN/>
        <w:bidi w:val="0"/>
        <w:spacing w:line="440" w:lineRule="exact"/>
        <w:ind w:firstLine="470"/>
        <w:textAlignment w:val="auto"/>
        <w:outlineLvl w:val="0"/>
        <w:rPr>
          <w:rFonts w:hint="eastAsia" w:ascii="宋体" w:hAnsi="宋体" w:eastAsia="宋体" w:cs="宋体"/>
          <w:color w:val="auto"/>
          <w:sz w:val="24"/>
          <w:szCs w:val="24"/>
          <w:highlight w:val="none"/>
          <w:u w:val="none" w:color="auto"/>
        </w:rPr>
      </w:pPr>
      <w:r>
        <w:rPr>
          <w:rFonts w:hint="eastAsia" w:ascii="宋体" w:hAnsi="宋体" w:eastAsia="宋体" w:cs="宋体"/>
          <w:bCs/>
          <w:color w:val="auto"/>
          <w:sz w:val="24"/>
          <w:szCs w:val="24"/>
          <w:highlight w:val="none"/>
        </w:rPr>
        <w:t>招标文件实质性要求指投标符合采购文件的所有条款、条件和规定且没有重大偏离或保留。重大偏离或保留系指影响到采购文件规定的范围、质量和性能，或限制了买方的权力，或投标人的义务的规定，而纠正这些偏离将影响到其他提交实质性响应</w:t>
      </w:r>
      <w:r>
        <w:rPr>
          <w:rFonts w:hint="eastAsia" w:ascii="宋体" w:hAnsi="宋体" w:eastAsia="宋体" w:cs="宋体"/>
          <w:color w:val="auto"/>
          <w:sz w:val="24"/>
          <w:szCs w:val="24"/>
          <w:highlight w:val="none"/>
          <w:u w:val="none" w:color="auto"/>
        </w:rPr>
        <w:t>投标的投标人的公平竞争地位。</w:t>
      </w:r>
    </w:p>
    <w:p w14:paraId="75AF95B0">
      <w:pPr>
        <w:pStyle w:val="31"/>
        <w:keepNext w:val="0"/>
        <w:keepLines w:val="0"/>
        <w:pageBreakBefore w:val="0"/>
        <w:widowControl w:val="0"/>
        <w:kinsoku/>
        <w:wordWrap/>
        <w:overflowPunct/>
        <w:topLinePunct w:val="0"/>
        <w:autoSpaceDE/>
        <w:autoSpaceDN/>
        <w:bidi w:val="0"/>
        <w:spacing w:line="440" w:lineRule="exact"/>
        <w:ind w:firstLine="470"/>
        <w:textAlignment w:val="auto"/>
        <w:outlineLvl w:val="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招标文件实质性要求包括但不仅限于以下因素：</w:t>
      </w:r>
    </w:p>
    <w:p w14:paraId="666E1A0F">
      <w:pPr>
        <w:pStyle w:val="31"/>
        <w:keepNext w:val="0"/>
        <w:keepLines w:val="0"/>
        <w:pageBreakBefore w:val="0"/>
        <w:widowControl w:val="0"/>
        <w:kinsoku/>
        <w:wordWrap/>
        <w:overflowPunct/>
        <w:topLinePunct w:val="0"/>
        <w:autoSpaceDE/>
        <w:autoSpaceDN/>
        <w:bidi w:val="0"/>
        <w:spacing w:line="440" w:lineRule="exact"/>
        <w:ind w:firstLine="470"/>
        <w:textAlignment w:val="auto"/>
        <w:outlineLvl w:val="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①</w:t>
      </w:r>
      <w:r>
        <w:rPr>
          <w:rFonts w:hint="eastAsia" w:ascii="宋体" w:hAnsi="宋体" w:eastAsia="宋体" w:cs="宋体"/>
          <w:color w:val="auto"/>
          <w:sz w:val="24"/>
          <w:szCs w:val="24"/>
          <w:highlight w:val="none"/>
          <w:u w:val="none" w:color="auto"/>
          <w:lang w:eastAsia="zh-CN"/>
        </w:rPr>
        <w:t>产</w:t>
      </w:r>
      <w:r>
        <w:rPr>
          <w:rFonts w:hint="eastAsia" w:ascii="宋体" w:hAnsi="宋体" w:eastAsia="宋体" w:cs="宋体"/>
          <w:color w:val="auto"/>
          <w:sz w:val="24"/>
          <w:szCs w:val="24"/>
          <w:highlight w:val="none"/>
          <w:u w:val="none" w:color="auto"/>
        </w:rPr>
        <w:t>品的规格、数量、样式、质量标准、技术指标及物料要求符合招标文件规定的标准和要求，</w:t>
      </w:r>
    </w:p>
    <w:p w14:paraId="5A1FC4DB">
      <w:pPr>
        <w:pStyle w:val="31"/>
        <w:keepNext w:val="0"/>
        <w:keepLines w:val="0"/>
        <w:pageBreakBefore w:val="0"/>
        <w:widowControl w:val="0"/>
        <w:kinsoku/>
        <w:wordWrap/>
        <w:overflowPunct/>
        <w:topLinePunct w:val="0"/>
        <w:autoSpaceDE/>
        <w:autoSpaceDN/>
        <w:bidi w:val="0"/>
        <w:spacing w:line="440" w:lineRule="exact"/>
        <w:ind w:firstLine="470"/>
        <w:textAlignment w:val="auto"/>
        <w:outlineLvl w:val="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②</w:t>
      </w:r>
      <w:r>
        <w:rPr>
          <w:rFonts w:hint="eastAsia" w:ascii="宋体" w:hAnsi="宋体" w:eastAsia="宋体" w:cs="宋体"/>
          <w:color w:val="auto"/>
          <w:sz w:val="24"/>
          <w:szCs w:val="24"/>
          <w:highlight w:val="none"/>
          <w:u w:val="none" w:color="auto"/>
          <w:lang w:eastAsia="zh-CN"/>
        </w:rPr>
        <w:t>产</w:t>
      </w:r>
      <w:r>
        <w:rPr>
          <w:rFonts w:hint="eastAsia" w:ascii="宋体" w:hAnsi="宋体" w:eastAsia="宋体" w:cs="宋体"/>
          <w:color w:val="auto"/>
          <w:sz w:val="24"/>
          <w:szCs w:val="24"/>
          <w:highlight w:val="none"/>
          <w:u w:val="none" w:color="auto"/>
        </w:rPr>
        <w:t>品的投标价、交货期、付款方式等商务条件；</w:t>
      </w:r>
    </w:p>
    <w:p w14:paraId="2B729EE4">
      <w:pPr>
        <w:pStyle w:val="31"/>
        <w:keepNext w:val="0"/>
        <w:keepLines w:val="0"/>
        <w:pageBreakBefore w:val="0"/>
        <w:widowControl w:val="0"/>
        <w:kinsoku/>
        <w:wordWrap/>
        <w:overflowPunct/>
        <w:topLinePunct w:val="0"/>
        <w:autoSpaceDE/>
        <w:autoSpaceDN/>
        <w:bidi w:val="0"/>
        <w:spacing w:line="440" w:lineRule="exact"/>
        <w:ind w:firstLine="470"/>
        <w:textAlignment w:val="auto"/>
        <w:outlineLvl w:val="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③</w:t>
      </w:r>
      <w:r>
        <w:rPr>
          <w:rFonts w:hint="eastAsia" w:ascii="宋体" w:hAnsi="宋体" w:eastAsia="宋体" w:cs="宋体"/>
          <w:color w:val="auto"/>
          <w:sz w:val="24"/>
          <w:szCs w:val="24"/>
          <w:highlight w:val="none"/>
          <w:u w:val="none" w:color="auto"/>
          <w:lang w:eastAsia="zh-CN"/>
        </w:rPr>
        <w:t>产</w:t>
      </w:r>
      <w:r>
        <w:rPr>
          <w:rFonts w:hint="eastAsia" w:ascii="宋体" w:hAnsi="宋体" w:eastAsia="宋体" w:cs="宋体"/>
          <w:color w:val="auto"/>
          <w:sz w:val="24"/>
          <w:szCs w:val="24"/>
          <w:highlight w:val="none"/>
          <w:u w:val="none" w:color="auto"/>
        </w:rPr>
        <w:t>品的质保期；</w:t>
      </w:r>
    </w:p>
    <w:p w14:paraId="7D7DCF9D">
      <w:pPr>
        <w:pStyle w:val="31"/>
        <w:keepNext w:val="0"/>
        <w:keepLines w:val="0"/>
        <w:pageBreakBefore w:val="0"/>
        <w:widowControl w:val="0"/>
        <w:kinsoku/>
        <w:wordWrap/>
        <w:overflowPunct/>
        <w:topLinePunct w:val="0"/>
        <w:autoSpaceDE/>
        <w:autoSpaceDN/>
        <w:bidi w:val="0"/>
        <w:spacing w:line="440" w:lineRule="exact"/>
        <w:ind w:firstLine="470"/>
        <w:textAlignment w:val="auto"/>
        <w:outlineLvl w:val="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④</w:t>
      </w:r>
      <w:r>
        <w:rPr>
          <w:rFonts w:hint="eastAsia" w:ascii="宋体" w:hAnsi="宋体" w:eastAsia="宋体" w:cs="宋体"/>
          <w:color w:val="auto"/>
          <w:sz w:val="24"/>
          <w:szCs w:val="24"/>
          <w:highlight w:val="none"/>
          <w:u w:val="none" w:color="auto"/>
          <w:lang w:eastAsia="zh-CN"/>
        </w:rPr>
        <w:t>产</w:t>
      </w:r>
      <w:r>
        <w:rPr>
          <w:rFonts w:hint="eastAsia" w:ascii="宋体" w:hAnsi="宋体" w:eastAsia="宋体" w:cs="宋体"/>
          <w:color w:val="auto"/>
          <w:sz w:val="24"/>
          <w:szCs w:val="24"/>
          <w:highlight w:val="none"/>
          <w:u w:val="none" w:color="auto"/>
        </w:rPr>
        <w:t>品使用的的培训及售后服务；</w:t>
      </w:r>
    </w:p>
    <w:p w14:paraId="264D2256">
      <w:pPr>
        <w:pStyle w:val="31"/>
        <w:keepNext w:val="0"/>
        <w:keepLines w:val="0"/>
        <w:pageBreakBefore w:val="0"/>
        <w:widowControl w:val="0"/>
        <w:kinsoku/>
        <w:wordWrap/>
        <w:overflowPunct/>
        <w:topLinePunct w:val="0"/>
        <w:autoSpaceDE/>
        <w:autoSpaceDN/>
        <w:bidi w:val="0"/>
        <w:spacing w:line="440" w:lineRule="exact"/>
        <w:ind w:firstLine="470"/>
        <w:textAlignment w:val="auto"/>
        <w:outlineLvl w:val="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⑤投标人资格（资质）、业绩等履行合同的能力；</w:t>
      </w:r>
    </w:p>
    <w:p w14:paraId="33C50717">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u w:val="none" w:color="auto"/>
        </w:rPr>
        <w:t>⑥评标委员会认为其他有必要考虑的因素。</w:t>
      </w:r>
    </w:p>
    <w:p w14:paraId="6408D4EF">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宋体" w:hAnsi="宋体" w:eastAsia="宋体" w:cs="宋体"/>
          <w:b/>
          <w:bCs/>
          <w:color w:val="auto"/>
          <w:sz w:val="24"/>
          <w:szCs w:val="24"/>
          <w:highlight w:val="none"/>
          <w:u w:val="none" w:color="000000"/>
          <w:lang w:val="zh-TW" w:eastAsia="zh-CN"/>
        </w:rPr>
      </w:pPr>
    </w:p>
    <w:p w14:paraId="4C95A0FF">
      <w:pPr>
        <w:keepNext w:val="0"/>
        <w:keepLines w:val="0"/>
        <w:pageBreakBefore w:val="0"/>
        <w:widowControl w:val="0"/>
        <w:kinsoku/>
        <w:wordWrap/>
        <w:overflowPunct/>
        <w:topLinePunct w:val="0"/>
        <w:autoSpaceDE/>
        <w:autoSpaceDN/>
        <w:bidi w:val="0"/>
        <w:adjustRightInd/>
        <w:snapToGrid/>
        <w:spacing w:line="440" w:lineRule="exact"/>
        <w:ind w:left="0" w:lef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三</w:t>
      </w:r>
      <w:r>
        <w:rPr>
          <w:rFonts w:hint="eastAsia" w:ascii="宋体" w:hAnsi="宋体" w:eastAsia="宋体" w:cs="宋体"/>
          <w:b/>
          <w:color w:val="auto"/>
          <w:sz w:val="24"/>
          <w:szCs w:val="24"/>
          <w:highlight w:val="none"/>
        </w:rPr>
        <w:t>、定标办法</w:t>
      </w:r>
    </w:p>
    <w:p w14:paraId="20E2464C">
      <w:pPr>
        <w:keepNext w:val="0"/>
        <w:keepLines w:val="0"/>
        <w:pageBreakBefore w:val="0"/>
        <w:widowControl w:val="0"/>
        <w:kinsoku/>
        <w:wordWrap/>
        <w:overflowPunct/>
        <w:topLinePunct w:val="0"/>
        <w:autoSpaceDE/>
        <w:autoSpaceDN/>
        <w:bidi w:val="0"/>
        <w:spacing w:line="440" w:lineRule="exact"/>
        <w:ind w:firstLine="600" w:firstLineChars="2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b/>
          <w:bCs/>
          <w:color w:val="auto"/>
          <w:sz w:val="24"/>
          <w:szCs w:val="24"/>
          <w:highlight w:val="none"/>
        </w:rPr>
        <w:t>核心产品提供相同品牌产品且通过资格审查</w:t>
      </w:r>
      <w:r>
        <w:rPr>
          <w:rFonts w:hint="eastAsia" w:ascii="宋体" w:hAnsi="宋体" w:eastAsia="宋体" w:cs="宋体"/>
          <w:color w:val="auto"/>
          <w:sz w:val="24"/>
          <w:szCs w:val="24"/>
          <w:highlight w:val="none"/>
        </w:rPr>
        <w:t>、符合性审查的不同投标人参加同一合同项下投标的，按一家投标人计算，评审后得分最高的同品牌投标人获得中标人推荐资格；评审后得分相同的，投标报价最低的同品牌投标人获得中标人推荐资格；得分且投标报价相同的由</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委托评标委员会按照随机抽取方式确定，其他同品牌投标人不作为中标候选人。</w:t>
      </w:r>
    </w:p>
    <w:p w14:paraId="7E33CE9F">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评标委员会</w:t>
      </w:r>
      <w:r>
        <w:rPr>
          <w:rFonts w:hint="eastAsia" w:ascii="宋体" w:hAnsi="宋体" w:eastAsia="宋体" w:cs="宋体"/>
          <w:color w:val="auto"/>
          <w:sz w:val="24"/>
          <w:szCs w:val="24"/>
          <w:highlight w:val="none"/>
        </w:rPr>
        <w:t>决定</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的响应性只根据</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本身的内容，而不寻求外部的证据。</w:t>
      </w:r>
    </w:p>
    <w:p w14:paraId="746015E5">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、对未</w:t>
      </w:r>
      <w:r>
        <w:rPr>
          <w:rFonts w:hint="eastAsia" w:ascii="宋体" w:hAnsi="宋体" w:eastAsia="宋体" w:cs="宋体"/>
          <w:color w:val="auto"/>
          <w:sz w:val="24"/>
          <w:szCs w:val="24"/>
          <w:highlight w:val="none"/>
          <w:lang w:eastAsia="zh-CN"/>
        </w:rPr>
        <w:t>中标</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有权不作任何解释。</w:t>
      </w:r>
    </w:p>
    <w:p w14:paraId="259A2678">
      <w:pPr>
        <w:pStyle w:val="8"/>
        <w:keepNext w:val="0"/>
        <w:keepLines w:val="0"/>
        <w:pageBreakBefore w:val="0"/>
        <w:widowControl w:val="0"/>
        <w:kinsoku/>
        <w:wordWrap/>
        <w:overflowPunct/>
        <w:topLinePunct w:val="0"/>
        <w:autoSpaceDE/>
        <w:autoSpaceDN/>
        <w:bidi w:val="0"/>
        <w:adjustRightInd/>
        <w:snapToGrid/>
        <w:spacing w:after="0" w:afterLines="0" w:line="440" w:lineRule="exact"/>
        <w:ind w:left="0" w:leftChars="0"/>
        <w:textAlignment w:val="auto"/>
        <w:rPr>
          <w:rFonts w:hint="eastAsia" w:ascii="宋体" w:hAnsi="宋体" w:eastAsia="宋体" w:cs="宋体"/>
          <w:color w:val="auto"/>
          <w:sz w:val="24"/>
          <w:szCs w:val="24"/>
          <w:highlight w:val="none"/>
          <w:lang w:val="zh-TW" w:eastAsia="zh-CN"/>
        </w:rPr>
      </w:pPr>
    </w:p>
    <w:p w14:paraId="42F78955">
      <w:pPr>
        <w:keepNext w:val="0"/>
        <w:keepLines w:val="0"/>
        <w:pageBreakBefore w:val="0"/>
        <w:widowControl w:val="0"/>
        <w:kinsoku/>
        <w:wordWrap/>
        <w:overflowPunct/>
        <w:topLinePunct w:val="0"/>
        <w:autoSpaceDE/>
        <w:autoSpaceDN/>
        <w:bidi w:val="0"/>
        <w:adjustRightInd/>
        <w:snapToGrid/>
        <w:spacing w:line="440" w:lineRule="exact"/>
        <w:ind w:left="0" w:leftChars="0" w:firstLine="482" w:firstLineChars="200"/>
        <w:textAlignment w:val="auto"/>
        <w:outlineLvl w:val="0"/>
        <w:rPr>
          <w:rFonts w:hint="eastAsia" w:ascii="宋体" w:hAnsi="宋体" w:eastAsia="宋体" w:cs="宋体"/>
          <w:b/>
          <w:bCs/>
          <w:color w:val="auto"/>
          <w:sz w:val="24"/>
          <w:szCs w:val="24"/>
          <w:highlight w:val="none"/>
          <w:u w:val="none" w:color="000000"/>
        </w:rPr>
      </w:pPr>
      <w:r>
        <w:rPr>
          <w:rFonts w:hint="eastAsia" w:ascii="宋体" w:hAnsi="宋体" w:eastAsia="宋体" w:cs="宋体"/>
          <w:b/>
          <w:bCs/>
          <w:color w:val="auto"/>
          <w:sz w:val="24"/>
          <w:szCs w:val="24"/>
          <w:highlight w:val="none"/>
          <w:u w:val="none" w:color="000000"/>
          <w:lang w:val="zh-TW" w:eastAsia="zh-CN"/>
        </w:rPr>
        <w:t>四</w:t>
      </w:r>
      <w:r>
        <w:rPr>
          <w:rFonts w:hint="eastAsia" w:ascii="宋体" w:hAnsi="宋体" w:eastAsia="宋体" w:cs="宋体"/>
          <w:b/>
          <w:bCs/>
          <w:color w:val="auto"/>
          <w:sz w:val="24"/>
          <w:szCs w:val="24"/>
          <w:highlight w:val="none"/>
          <w:u w:val="none" w:color="000000"/>
          <w:lang w:val="zh-TW" w:eastAsia="zh-TW"/>
        </w:rPr>
        <w:t>、 其它</w:t>
      </w:r>
    </w:p>
    <w:p w14:paraId="358E458A">
      <w:pPr>
        <w:pStyle w:val="11"/>
        <w:keepNext w:val="0"/>
        <w:keepLines w:val="0"/>
        <w:pageBreakBefore w:val="0"/>
        <w:widowControl w:val="0"/>
        <w:kinsoku/>
        <w:wordWrap/>
        <w:overflowPunct/>
        <w:topLinePunct w:val="0"/>
        <w:autoSpaceDE/>
        <w:autoSpaceDN/>
        <w:bidi w:val="0"/>
        <w:spacing w:beforeAutospacing="0" w:afterAutospacing="0" w:line="440" w:lineRule="exact"/>
        <w:ind w:firstLine="480"/>
        <w:jc w:val="both"/>
        <w:textAlignment w:val="auto"/>
        <w:rPr>
          <w:rFonts w:hint="eastAsia" w:ascii="宋体" w:hAnsi="宋体" w:eastAsia="宋体" w:cs="宋体"/>
          <w:b w:val="0"/>
          <w:bCs w:val="0"/>
          <w:color w:val="auto"/>
          <w:sz w:val="24"/>
          <w:szCs w:val="24"/>
          <w:highlight w:val="none"/>
          <w:lang w:val="zh-TW" w:eastAsia="zh-CN"/>
        </w:rPr>
      </w:pPr>
      <w:r>
        <w:rPr>
          <w:rFonts w:hint="eastAsia" w:ascii="宋体" w:hAnsi="宋体" w:eastAsia="宋体" w:cs="宋体"/>
          <w:b w:val="0"/>
          <w:bCs w:val="0"/>
          <w:color w:val="auto"/>
          <w:sz w:val="24"/>
          <w:szCs w:val="24"/>
          <w:highlight w:val="none"/>
          <w:lang w:val="zh-TW" w:eastAsia="zh-TW"/>
        </w:rPr>
        <w:t>本办法未述及的事宜，由</w:t>
      </w:r>
      <w:r>
        <w:rPr>
          <w:rFonts w:hint="eastAsia" w:ascii="宋体" w:hAnsi="宋体" w:eastAsia="宋体" w:cs="宋体"/>
          <w:b w:val="0"/>
          <w:bCs w:val="0"/>
          <w:color w:val="auto"/>
          <w:sz w:val="24"/>
          <w:szCs w:val="24"/>
          <w:highlight w:val="none"/>
          <w:lang w:val="zh-TW" w:eastAsia="zh-CN"/>
        </w:rPr>
        <w:t>评标委员会</w:t>
      </w:r>
      <w:r>
        <w:rPr>
          <w:rFonts w:hint="eastAsia" w:ascii="宋体" w:hAnsi="宋体" w:eastAsia="宋体" w:cs="宋体"/>
          <w:b w:val="0"/>
          <w:bCs w:val="0"/>
          <w:color w:val="auto"/>
          <w:sz w:val="24"/>
          <w:szCs w:val="24"/>
          <w:highlight w:val="none"/>
          <w:lang w:val="zh-TW" w:eastAsia="zh-TW"/>
        </w:rPr>
        <w:t>依据法律法规规定处理</w:t>
      </w:r>
      <w:r>
        <w:rPr>
          <w:rFonts w:hint="eastAsia" w:ascii="宋体" w:hAnsi="宋体" w:eastAsia="宋体" w:cs="宋体"/>
          <w:b w:val="0"/>
          <w:bCs w:val="0"/>
          <w:color w:val="auto"/>
          <w:sz w:val="24"/>
          <w:szCs w:val="24"/>
          <w:highlight w:val="none"/>
          <w:lang w:val="zh-TW" w:eastAsia="zh-CN"/>
        </w:rPr>
        <w:t>。</w:t>
      </w:r>
    </w:p>
    <w:p w14:paraId="24BC3855">
      <w:pPr>
        <w:pStyle w:val="11"/>
        <w:keepNext w:val="0"/>
        <w:keepLines w:val="0"/>
        <w:pageBreakBefore w:val="0"/>
        <w:widowControl w:val="0"/>
        <w:kinsoku/>
        <w:wordWrap/>
        <w:overflowPunct/>
        <w:topLinePunct w:val="0"/>
        <w:autoSpaceDE/>
        <w:autoSpaceDN/>
        <w:bidi w:val="0"/>
        <w:spacing w:beforeAutospacing="0" w:afterAutospacing="0" w:line="440" w:lineRule="exact"/>
        <w:ind w:firstLine="480"/>
        <w:jc w:val="both"/>
        <w:textAlignment w:val="auto"/>
        <w:rPr>
          <w:rFonts w:hint="eastAsia" w:ascii="宋体" w:hAnsi="宋体" w:eastAsia="宋体" w:cs="宋体"/>
          <w:b w:val="0"/>
          <w:bCs w:val="0"/>
          <w:color w:val="auto"/>
          <w:sz w:val="24"/>
          <w:szCs w:val="24"/>
          <w:highlight w:val="none"/>
          <w:lang w:val="zh-TW" w:eastAsia="zh-CN"/>
        </w:rPr>
      </w:pPr>
    </w:p>
    <w:p w14:paraId="431B4F1F">
      <w:pPr>
        <w:pStyle w:val="11"/>
        <w:keepNext w:val="0"/>
        <w:keepLines w:val="0"/>
        <w:pageBreakBefore w:val="0"/>
        <w:widowControl w:val="0"/>
        <w:kinsoku/>
        <w:wordWrap/>
        <w:overflowPunct/>
        <w:topLinePunct w:val="0"/>
        <w:autoSpaceDE/>
        <w:autoSpaceDN/>
        <w:bidi w:val="0"/>
        <w:spacing w:beforeAutospacing="0" w:afterAutospacing="0" w:line="440" w:lineRule="exact"/>
        <w:ind w:firstLine="480"/>
        <w:jc w:val="both"/>
        <w:textAlignment w:val="auto"/>
        <w:rPr>
          <w:rFonts w:hint="eastAsia" w:ascii="宋体" w:hAnsi="宋体" w:eastAsia="宋体" w:cs="宋体"/>
          <w:b w:val="0"/>
          <w:bCs w:val="0"/>
          <w:color w:val="auto"/>
          <w:sz w:val="24"/>
          <w:szCs w:val="24"/>
          <w:highlight w:val="none"/>
          <w:lang w:val="zh-TW" w:eastAsia="zh-CN"/>
        </w:rPr>
      </w:pPr>
    </w:p>
    <w:p w14:paraId="46188711">
      <w:pPr>
        <w:pStyle w:val="11"/>
        <w:keepNext w:val="0"/>
        <w:keepLines w:val="0"/>
        <w:pageBreakBefore w:val="0"/>
        <w:widowControl w:val="0"/>
        <w:kinsoku/>
        <w:wordWrap/>
        <w:overflowPunct/>
        <w:topLinePunct w:val="0"/>
        <w:autoSpaceDE/>
        <w:autoSpaceDN/>
        <w:bidi w:val="0"/>
        <w:spacing w:beforeAutospacing="0" w:afterAutospacing="0" w:line="440" w:lineRule="exact"/>
        <w:ind w:firstLine="480"/>
        <w:jc w:val="both"/>
        <w:textAlignment w:val="auto"/>
        <w:rPr>
          <w:rFonts w:hint="eastAsia" w:ascii="宋体" w:hAnsi="宋体" w:eastAsia="宋体" w:cs="宋体"/>
          <w:b w:val="0"/>
          <w:bCs w:val="0"/>
          <w:color w:val="auto"/>
          <w:sz w:val="24"/>
          <w:szCs w:val="24"/>
          <w:highlight w:val="none"/>
          <w:lang w:val="zh-TW" w:eastAsia="zh-CN"/>
        </w:rPr>
      </w:pPr>
    </w:p>
    <w:p w14:paraId="07252B97">
      <w:pPr>
        <w:pStyle w:val="11"/>
        <w:keepNext w:val="0"/>
        <w:keepLines w:val="0"/>
        <w:pageBreakBefore w:val="0"/>
        <w:widowControl w:val="0"/>
        <w:kinsoku/>
        <w:wordWrap/>
        <w:overflowPunct/>
        <w:topLinePunct w:val="0"/>
        <w:autoSpaceDE/>
        <w:autoSpaceDN/>
        <w:bidi w:val="0"/>
        <w:spacing w:beforeAutospacing="0" w:afterAutospacing="0" w:line="440" w:lineRule="exact"/>
        <w:ind w:firstLine="480"/>
        <w:jc w:val="both"/>
        <w:textAlignment w:val="auto"/>
        <w:rPr>
          <w:rFonts w:hint="eastAsia" w:ascii="宋体" w:hAnsi="宋体" w:eastAsia="宋体" w:cs="宋体"/>
          <w:b w:val="0"/>
          <w:bCs w:val="0"/>
          <w:color w:val="auto"/>
          <w:sz w:val="24"/>
          <w:szCs w:val="24"/>
          <w:highlight w:val="none"/>
          <w:lang w:val="zh-TW" w:eastAsia="zh-CN"/>
        </w:rPr>
      </w:pPr>
    </w:p>
    <w:p w14:paraId="27E60515">
      <w:pPr>
        <w:pStyle w:val="11"/>
        <w:keepNext w:val="0"/>
        <w:keepLines w:val="0"/>
        <w:pageBreakBefore w:val="0"/>
        <w:widowControl w:val="0"/>
        <w:kinsoku/>
        <w:wordWrap/>
        <w:overflowPunct/>
        <w:topLinePunct w:val="0"/>
        <w:autoSpaceDE/>
        <w:autoSpaceDN/>
        <w:bidi w:val="0"/>
        <w:spacing w:beforeAutospacing="0" w:afterAutospacing="0" w:line="440" w:lineRule="exact"/>
        <w:ind w:firstLine="480"/>
        <w:jc w:val="both"/>
        <w:textAlignment w:val="auto"/>
        <w:rPr>
          <w:rFonts w:hint="eastAsia" w:ascii="宋体" w:hAnsi="宋体" w:eastAsia="宋体" w:cs="宋体"/>
          <w:b w:val="0"/>
          <w:bCs w:val="0"/>
          <w:color w:val="auto"/>
          <w:sz w:val="24"/>
          <w:szCs w:val="24"/>
          <w:highlight w:val="none"/>
          <w:lang w:val="zh-TW" w:eastAsia="zh-CN"/>
        </w:rPr>
      </w:pPr>
    </w:p>
    <w:p w14:paraId="6BD6CD93">
      <w:pPr>
        <w:pStyle w:val="11"/>
        <w:keepNext w:val="0"/>
        <w:keepLines w:val="0"/>
        <w:pageBreakBefore w:val="0"/>
        <w:widowControl w:val="0"/>
        <w:kinsoku/>
        <w:wordWrap/>
        <w:overflowPunct/>
        <w:topLinePunct w:val="0"/>
        <w:autoSpaceDE/>
        <w:autoSpaceDN/>
        <w:bidi w:val="0"/>
        <w:spacing w:beforeAutospacing="0" w:afterAutospacing="0" w:line="440" w:lineRule="exact"/>
        <w:ind w:firstLine="480"/>
        <w:jc w:val="both"/>
        <w:textAlignment w:val="auto"/>
        <w:rPr>
          <w:rFonts w:hint="eastAsia" w:ascii="宋体" w:hAnsi="宋体" w:eastAsia="宋体" w:cs="宋体"/>
          <w:b w:val="0"/>
          <w:bCs w:val="0"/>
          <w:color w:val="auto"/>
          <w:sz w:val="24"/>
          <w:szCs w:val="24"/>
          <w:highlight w:val="none"/>
          <w:lang w:val="zh-TW" w:eastAsia="zh-CN"/>
        </w:rPr>
      </w:pPr>
    </w:p>
    <w:p w14:paraId="31F8DFD3">
      <w:pPr>
        <w:pStyle w:val="11"/>
        <w:keepNext w:val="0"/>
        <w:keepLines w:val="0"/>
        <w:pageBreakBefore w:val="0"/>
        <w:widowControl w:val="0"/>
        <w:kinsoku/>
        <w:wordWrap/>
        <w:overflowPunct/>
        <w:topLinePunct w:val="0"/>
        <w:autoSpaceDE/>
        <w:autoSpaceDN/>
        <w:bidi w:val="0"/>
        <w:spacing w:beforeAutospacing="0" w:afterAutospacing="0" w:line="440" w:lineRule="exact"/>
        <w:ind w:firstLine="480"/>
        <w:jc w:val="both"/>
        <w:textAlignment w:val="auto"/>
        <w:rPr>
          <w:rFonts w:hint="eastAsia" w:ascii="宋体" w:hAnsi="宋体" w:eastAsia="宋体" w:cs="宋体"/>
          <w:b w:val="0"/>
          <w:bCs w:val="0"/>
          <w:color w:val="auto"/>
          <w:sz w:val="24"/>
          <w:szCs w:val="24"/>
          <w:highlight w:val="none"/>
          <w:lang w:val="zh-TW" w:eastAsia="zh-CN"/>
        </w:rPr>
      </w:pPr>
    </w:p>
    <w:p w14:paraId="4C4C1C7D">
      <w:pPr>
        <w:pStyle w:val="11"/>
        <w:keepNext w:val="0"/>
        <w:keepLines w:val="0"/>
        <w:pageBreakBefore w:val="0"/>
        <w:widowControl w:val="0"/>
        <w:kinsoku/>
        <w:wordWrap/>
        <w:overflowPunct/>
        <w:topLinePunct w:val="0"/>
        <w:autoSpaceDE/>
        <w:autoSpaceDN/>
        <w:bidi w:val="0"/>
        <w:spacing w:beforeAutospacing="0" w:afterAutospacing="0" w:line="440" w:lineRule="exact"/>
        <w:ind w:firstLine="480"/>
        <w:jc w:val="both"/>
        <w:textAlignment w:val="auto"/>
        <w:rPr>
          <w:rFonts w:hint="eastAsia" w:ascii="宋体" w:hAnsi="宋体" w:eastAsia="宋体" w:cs="宋体"/>
          <w:b w:val="0"/>
          <w:bCs w:val="0"/>
          <w:color w:val="auto"/>
          <w:sz w:val="24"/>
          <w:szCs w:val="24"/>
          <w:highlight w:val="none"/>
          <w:lang w:val="zh-TW" w:eastAsia="zh-CN"/>
        </w:rPr>
      </w:pPr>
    </w:p>
    <w:p w14:paraId="54B1661E">
      <w:pPr>
        <w:pStyle w:val="11"/>
        <w:keepNext w:val="0"/>
        <w:keepLines w:val="0"/>
        <w:pageBreakBefore w:val="0"/>
        <w:widowControl w:val="0"/>
        <w:kinsoku/>
        <w:wordWrap/>
        <w:overflowPunct/>
        <w:topLinePunct w:val="0"/>
        <w:autoSpaceDE/>
        <w:autoSpaceDN/>
        <w:bidi w:val="0"/>
        <w:spacing w:beforeAutospacing="0" w:afterAutospacing="0" w:line="440" w:lineRule="exact"/>
        <w:ind w:firstLine="480"/>
        <w:jc w:val="both"/>
        <w:textAlignment w:val="auto"/>
        <w:rPr>
          <w:rFonts w:hint="eastAsia" w:ascii="宋体" w:hAnsi="宋体" w:eastAsia="宋体" w:cs="宋体"/>
          <w:b w:val="0"/>
          <w:bCs w:val="0"/>
          <w:color w:val="auto"/>
          <w:sz w:val="24"/>
          <w:szCs w:val="24"/>
          <w:highlight w:val="none"/>
          <w:lang w:val="zh-TW" w:eastAsia="zh-CN"/>
        </w:rPr>
      </w:pPr>
    </w:p>
    <w:p w14:paraId="70E5DF0C">
      <w:pPr>
        <w:pStyle w:val="11"/>
        <w:keepNext w:val="0"/>
        <w:keepLines w:val="0"/>
        <w:pageBreakBefore w:val="0"/>
        <w:widowControl w:val="0"/>
        <w:kinsoku/>
        <w:wordWrap/>
        <w:overflowPunct/>
        <w:topLinePunct w:val="0"/>
        <w:autoSpaceDE/>
        <w:autoSpaceDN/>
        <w:bidi w:val="0"/>
        <w:spacing w:beforeAutospacing="0" w:afterAutospacing="0" w:line="440" w:lineRule="exact"/>
        <w:ind w:firstLine="480"/>
        <w:jc w:val="both"/>
        <w:textAlignment w:val="auto"/>
        <w:rPr>
          <w:rFonts w:hint="eastAsia" w:ascii="宋体" w:hAnsi="宋体" w:eastAsia="宋体" w:cs="宋体"/>
          <w:b w:val="0"/>
          <w:bCs w:val="0"/>
          <w:color w:val="auto"/>
          <w:sz w:val="24"/>
          <w:szCs w:val="24"/>
          <w:highlight w:val="none"/>
          <w:lang w:val="zh-TW" w:eastAsia="zh-CN"/>
        </w:rPr>
      </w:pPr>
    </w:p>
    <w:p w14:paraId="6E7C6976">
      <w:pPr>
        <w:pStyle w:val="11"/>
        <w:keepNext w:val="0"/>
        <w:keepLines w:val="0"/>
        <w:pageBreakBefore w:val="0"/>
        <w:widowControl w:val="0"/>
        <w:kinsoku/>
        <w:wordWrap/>
        <w:overflowPunct/>
        <w:topLinePunct w:val="0"/>
        <w:autoSpaceDE/>
        <w:autoSpaceDN/>
        <w:bidi w:val="0"/>
        <w:spacing w:beforeAutospacing="0" w:afterAutospacing="0" w:line="440" w:lineRule="exact"/>
        <w:ind w:firstLine="480"/>
        <w:jc w:val="both"/>
        <w:textAlignment w:val="auto"/>
        <w:rPr>
          <w:rFonts w:hint="eastAsia" w:ascii="宋体" w:hAnsi="宋体" w:eastAsia="宋体" w:cs="宋体"/>
          <w:b w:val="0"/>
          <w:bCs w:val="0"/>
          <w:color w:val="auto"/>
          <w:sz w:val="24"/>
          <w:szCs w:val="24"/>
          <w:highlight w:val="none"/>
          <w:lang w:val="zh-TW" w:eastAsia="zh-CN"/>
        </w:rPr>
      </w:pPr>
    </w:p>
    <w:p w14:paraId="718B58FD">
      <w:pPr>
        <w:pStyle w:val="11"/>
        <w:keepNext w:val="0"/>
        <w:keepLines w:val="0"/>
        <w:pageBreakBefore w:val="0"/>
        <w:widowControl w:val="0"/>
        <w:kinsoku/>
        <w:wordWrap/>
        <w:overflowPunct/>
        <w:topLinePunct w:val="0"/>
        <w:autoSpaceDE/>
        <w:autoSpaceDN/>
        <w:bidi w:val="0"/>
        <w:spacing w:beforeAutospacing="0" w:afterAutospacing="0" w:line="440" w:lineRule="exact"/>
        <w:ind w:firstLine="480"/>
        <w:jc w:val="both"/>
        <w:textAlignment w:val="auto"/>
        <w:rPr>
          <w:rFonts w:hint="eastAsia" w:ascii="宋体" w:hAnsi="宋体" w:eastAsia="宋体" w:cs="宋体"/>
          <w:b w:val="0"/>
          <w:bCs w:val="0"/>
          <w:color w:val="auto"/>
          <w:sz w:val="24"/>
          <w:szCs w:val="24"/>
          <w:highlight w:val="none"/>
          <w:lang w:val="zh-TW" w:eastAsia="zh-CN"/>
        </w:rPr>
      </w:pPr>
    </w:p>
    <w:p w14:paraId="42F0B17A">
      <w:pPr>
        <w:pStyle w:val="11"/>
        <w:keepNext w:val="0"/>
        <w:keepLines w:val="0"/>
        <w:pageBreakBefore w:val="0"/>
        <w:widowControl w:val="0"/>
        <w:kinsoku/>
        <w:wordWrap/>
        <w:overflowPunct/>
        <w:topLinePunct w:val="0"/>
        <w:autoSpaceDE/>
        <w:autoSpaceDN/>
        <w:bidi w:val="0"/>
        <w:spacing w:beforeAutospacing="0" w:afterAutospacing="0" w:line="440" w:lineRule="exact"/>
        <w:ind w:firstLine="480"/>
        <w:jc w:val="both"/>
        <w:textAlignment w:val="auto"/>
        <w:rPr>
          <w:rFonts w:hint="eastAsia" w:ascii="宋体" w:hAnsi="宋体" w:eastAsia="宋体" w:cs="宋体"/>
          <w:b w:val="0"/>
          <w:bCs w:val="0"/>
          <w:color w:val="auto"/>
          <w:sz w:val="24"/>
          <w:szCs w:val="24"/>
          <w:highlight w:val="none"/>
          <w:lang w:val="zh-TW" w:eastAsia="zh-CN"/>
        </w:rPr>
      </w:pPr>
    </w:p>
    <w:p w14:paraId="4C68BA6C">
      <w:pPr>
        <w:pStyle w:val="11"/>
        <w:keepNext w:val="0"/>
        <w:keepLines w:val="0"/>
        <w:pageBreakBefore w:val="0"/>
        <w:widowControl w:val="0"/>
        <w:kinsoku/>
        <w:wordWrap/>
        <w:overflowPunct/>
        <w:topLinePunct w:val="0"/>
        <w:autoSpaceDE/>
        <w:autoSpaceDN/>
        <w:bidi w:val="0"/>
        <w:spacing w:beforeAutospacing="0" w:afterAutospacing="0" w:line="440" w:lineRule="exact"/>
        <w:ind w:firstLine="480"/>
        <w:jc w:val="both"/>
        <w:textAlignment w:val="auto"/>
        <w:rPr>
          <w:rFonts w:hint="eastAsia" w:ascii="宋体" w:hAnsi="宋体" w:eastAsia="宋体" w:cs="宋体"/>
          <w:b w:val="0"/>
          <w:bCs w:val="0"/>
          <w:color w:val="auto"/>
          <w:sz w:val="24"/>
          <w:szCs w:val="24"/>
          <w:highlight w:val="none"/>
          <w:lang w:val="zh-TW" w:eastAsia="zh-CN"/>
        </w:rPr>
      </w:pPr>
    </w:p>
    <w:p w14:paraId="708F495C">
      <w:pPr>
        <w:pStyle w:val="11"/>
        <w:keepNext w:val="0"/>
        <w:keepLines w:val="0"/>
        <w:pageBreakBefore w:val="0"/>
        <w:widowControl w:val="0"/>
        <w:kinsoku/>
        <w:wordWrap/>
        <w:overflowPunct/>
        <w:topLinePunct w:val="0"/>
        <w:autoSpaceDE/>
        <w:autoSpaceDN/>
        <w:bidi w:val="0"/>
        <w:spacing w:beforeAutospacing="0" w:afterAutospacing="0" w:line="440" w:lineRule="exact"/>
        <w:ind w:firstLine="480"/>
        <w:jc w:val="both"/>
        <w:textAlignment w:val="auto"/>
        <w:rPr>
          <w:rFonts w:hint="eastAsia" w:ascii="宋体" w:hAnsi="宋体" w:eastAsia="宋体" w:cs="宋体"/>
          <w:b w:val="0"/>
          <w:bCs w:val="0"/>
          <w:color w:val="auto"/>
          <w:sz w:val="24"/>
          <w:szCs w:val="24"/>
          <w:highlight w:val="none"/>
          <w:lang w:val="zh-TW" w:eastAsia="zh-CN"/>
        </w:rPr>
      </w:pPr>
    </w:p>
    <w:p w14:paraId="4C5C25F3">
      <w:pPr>
        <w:pStyle w:val="11"/>
        <w:keepNext w:val="0"/>
        <w:keepLines w:val="0"/>
        <w:pageBreakBefore w:val="0"/>
        <w:widowControl w:val="0"/>
        <w:kinsoku/>
        <w:wordWrap/>
        <w:overflowPunct/>
        <w:topLinePunct w:val="0"/>
        <w:autoSpaceDE/>
        <w:autoSpaceDN/>
        <w:bidi w:val="0"/>
        <w:spacing w:beforeAutospacing="0" w:afterAutospacing="0" w:line="440" w:lineRule="exact"/>
        <w:ind w:firstLine="480"/>
        <w:jc w:val="both"/>
        <w:textAlignment w:val="auto"/>
        <w:rPr>
          <w:rFonts w:hint="eastAsia" w:ascii="宋体" w:hAnsi="宋体" w:eastAsia="宋体" w:cs="宋体"/>
          <w:b w:val="0"/>
          <w:bCs w:val="0"/>
          <w:color w:val="auto"/>
          <w:sz w:val="24"/>
          <w:szCs w:val="24"/>
          <w:highlight w:val="none"/>
          <w:lang w:val="zh-TW" w:eastAsia="zh-CN"/>
        </w:rPr>
      </w:pPr>
    </w:p>
    <w:p w14:paraId="45259FD8">
      <w:pPr>
        <w:pStyle w:val="11"/>
        <w:spacing w:beforeAutospacing="0" w:afterAutospacing="0" w:line="360" w:lineRule="auto"/>
        <w:ind w:firstLine="480"/>
        <w:jc w:val="both"/>
        <w:rPr>
          <w:rFonts w:hint="eastAsia" w:ascii="宋体" w:hAnsi="宋体"/>
          <w:color w:val="auto"/>
          <w:sz w:val="24"/>
          <w:highlight w:val="none"/>
        </w:rPr>
      </w:pPr>
    </w:p>
    <w:p w14:paraId="1AF0E054">
      <w:pPr>
        <w:pStyle w:val="11"/>
        <w:spacing w:beforeAutospacing="0" w:afterAutospacing="0" w:line="360" w:lineRule="auto"/>
        <w:ind w:firstLine="480"/>
        <w:jc w:val="both"/>
        <w:rPr>
          <w:rFonts w:hint="eastAsia" w:ascii="宋体" w:hAnsi="宋体"/>
          <w:color w:val="auto"/>
          <w:sz w:val="24"/>
          <w:highlight w:val="none"/>
        </w:rPr>
      </w:pPr>
    </w:p>
    <w:p w14:paraId="22543B33">
      <w:pPr>
        <w:pStyle w:val="11"/>
        <w:spacing w:beforeAutospacing="0" w:afterAutospacing="0" w:line="360" w:lineRule="auto"/>
        <w:ind w:firstLine="480"/>
        <w:jc w:val="both"/>
        <w:rPr>
          <w:rFonts w:hint="eastAsia" w:ascii="宋体" w:hAnsi="宋体"/>
          <w:color w:val="auto"/>
          <w:sz w:val="24"/>
          <w:highlight w:val="none"/>
        </w:rPr>
      </w:pPr>
    </w:p>
    <w:p w14:paraId="72243AA9">
      <w:pPr>
        <w:pStyle w:val="11"/>
        <w:keepNext/>
        <w:spacing w:beforeAutospacing="0" w:afterAutospacing="0"/>
        <w:jc w:val="both"/>
        <w:rPr>
          <w:rFonts w:hint="eastAsia" w:ascii="黑体" w:hAnsi="宋体" w:eastAsia="黑体" w:cs="黑体"/>
          <w:color w:val="auto"/>
          <w:sz w:val="44"/>
          <w:szCs w:val="44"/>
          <w:highlight w:val="none"/>
        </w:rPr>
      </w:pPr>
    </w:p>
    <w:p w14:paraId="1BAFEE0B">
      <w:pPr>
        <w:pStyle w:val="11"/>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第六章  投标文件格式 </w:t>
      </w:r>
    </w:p>
    <w:p w14:paraId="55FB8A4D">
      <w:pPr>
        <w:pStyle w:val="11"/>
        <w:spacing w:beforeAutospacing="0" w:afterAutospacing="0"/>
        <w:jc w:val="center"/>
        <w:rPr>
          <w:rFonts w:hint="eastAsia" w:ascii="宋体" w:hAnsi="宋体" w:eastAsia="宋体" w:cs="宋体"/>
          <w:b/>
          <w:color w:val="auto"/>
          <w:sz w:val="72"/>
          <w:szCs w:val="72"/>
          <w:highlight w:val="none"/>
        </w:rPr>
      </w:pPr>
      <w:bookmarkStart w:id="181" w:name="_Toc120614282"/>
      <w:bookmarkEnd w:id="181"/>
      <w:bookmarkStart w:id="182" w:name="_Toc49090576"/>
      <w:bookmarkEnd w:id="182"/>
      <w:bookmarkStart w:id="183" w:name="_Hlt26671244"/>
      <w:bookmarkStart w:id="184" w:name="_Hlt26955039"/>
      <w:bookmarkStart w:id="185" w:name="_Toc26554094"/>
    </w:p>
    <w:p w14:paraId="2AF00029">
      <w:pPr>
        <w:pStyle w:val="11"/>
        <w:spacing w:beforeAutospacing="0" w:afterAutospacing="0"/>
        <w:jc w:val="center"/>
        <w:rPr>
          <w:rFonts w:hint="eastAsia" w:ascii="宋体" w:hAnsi="宋体" w:eastAsia="宋体" w:cs="宋体"/>
          <w:b/>
          <w:color w:val="auto"/>
          <w:sz w:val="72"/>
          <w:szCs w:val="72"/>
          <w:highlight w:val="none"/>
        </w:rPr>
      </w:pPr>
    </w:p>
    <w:p w14:paraId="39C6C071">
      <w:pPr>
        <w:pStyle w:val="11"/>
        <w:spacing w:beforeAutospacing="0" w:afterAutospacing="0"/>
        <w:jc w:val="center"/>
        <w:rPr>
          <w:rFonts w:hint="eastAsia" w:ascii="宋体" w:hAnsi="宋体" w:eastAsia="宋体" w:cs="宋体"/>
          <w:b/>
          <w:color w:val="auto"/>
          <w:sz w:val="72"/>
          <w:szCs w:val="72"/>
          <w:highlight w:val="none"/>
        </w:rPr>
      </w:pPr>
    </w:p>
    <w:p w14:paraId="42E3CE4E">
      <w:pPr>
        <w:pStyle w:val="11"/>
        <w:spacing w:beforeAutospacing="0" w:afterAutospacing="0"/>
        <w:jc w:val="center"/>
        <w:rPr>
          <w:color w:val="auto"/>
          <w:highlight w:val="none"/>
        </w:rPr>
      </w:pPr>
      <w:r>
        <w:rPr>
          <w:rFonts w:hint="eastAsia" w:ascii="宋体" w:hAnsi="宋体" w:eastAsia="宋体" w:cs="宋体"/>
          <w:b/>
          <w:color w:val="auto"/>
          <w:sz w:val="72"/>
          <w:szCs w:val="72"/>
          <w:highlight w:val="none"/>
        </w:rPr>
        <w:t>投  标  文  件</w:t>
      </w:r>
    </w:p>
    <w:p w14:paraId="6BDC5811">
      <w:pPr>
        <w:pStyle w:val="11"/>
        <w:spacing w:beforeAutospacing="0" w:afterAutospacing="0"/>
        <w:jc w:val="center"/>
        <w:rPr>
          <w:color w:val="auto"/>
          <w:highlight w:val="none"/>
        </w:rPr>
      </w:pPr>
      <w:r>
        <w:rPr>
          <w:color w:val="auto"/>
          <w:highlight w:val="none"/>
        </w:rPr>
        <w:t> </w:t>
      </w:r>
    </w:p>
    <w:p w14:paraId="7A73008D">
      <w:pPr>
        <w:pStyle w:val="11"/>
        <w:spacing w:beforeAutospacing="0" w:afterAutospacing="0"/>
        <w:jc w:val="center"/>
        <w:rPr>
          <w:color w:val="auto"/>
          <w:highlight w:val="none"/>
        </w:rPr>
      </w:pPr>
    </w:p>
    <w:p w14:paraId="674666D1">
      <w:pPr>
        <w:pStyle w:val="11"/>
        <w:spacing w:beforeAutospacing="0" w:afterAutospacing="0"/>
        <w:jc w:val="center"/>
        <w:rPr>
          <w:color w:val="auto"/>
          <w:highlight w:val="none"/>
        </w:rPr>
      </w:pPr>
    </w:p>
    <w:p w14:paraId="4AF0BECF">
      <w:pPr>
        <w:pStyle w:val="11"/>
        <w:spacing w:beforeAutospacing="0" w:afterAutospacing="0"/>
        <w:jc w:val="center"/>
        <w:rPr>
          <w:color w:val="auto"/>
          <w:highlight w:val="none"/>
        </w:rPr>
      </w:pPr>
    </w:p>
    <w:p w14:paraId="76DA79E4">
      <w:pPr>
        <w:pStyle w:val="11"/>
        <w:spacing w:beforeAutospacing="0" w:afterAutospacing="0"/>
        <w:jc w:val="center"/>
        <w:rPr>
          <w:color w:val="auto"/>
          <w:highlight w:val="none"/>
        </w:rPr>
      </w:pPr>
    </w:p>
    <w:p w14:paraId="743E2836">
      <w:pPr>
        <w:pStyle w:val="11"/>
        <w:spacing w:beforeAutospacing="0" w:afterAutospacing="0"/>
        <w:jc w:val="center"/>
        <w:rPr>
          <w:color w:val="auto"/>
          <w:highlight w:val="none"/>
        </w:rPr>
      </w:pPr>
    </w:p>
    <w:p w14:paraId="4257C249">
      <w:pPr>
        <w:pStyle w:val="11"/>
        <w:spacing w:beforeAutospacing="0" w:afterAutospacing="0"/>
        <w:jc w:val="center"/>
        <w:rPr>
          <w:color w:val="auto"/>
          <w:highlight w:val="none"/>
        </w:rPr>
      </w:pPr>
    </w:p>
    <w:p w14:paraId="393E244F">
      <w:pPr>
        <w:pStyle w:val="11"/>
        <w:spacing w:beforeAutospacing="0" w:afterAutospacing="0"/>
        <w:jc w:val="center"/>
        <w:rPr>
          <w:color w:val="auto"/>
          <w:highlight w:val="none"/>
        </w:rPr>
      </w:pPr>
      <w:r>
        <w:rPr>
          <w:color w:val="auto"/>
          <w:highlight w:val="none"/>
        </w:rPr>
        <w:t> </w:t>
      </w:r>
    </w:p>
    <w:p w14:paraId="7DC045C5">
      <w:pPr>
        <w:pStyle w:val="11"/>
        <w:spacing w:beforeAutospacing="0" w:afterAutospacing="0"/>
        <w:jc w:val="center"/>
        <w:rPr>
          <w:color w:val="auto"/>
          <w:highlight w:val="none"/>
        </w:rPr>
      </w:pPr>
      <w:r>
        <w:rPr>
          <w:color w:val="auto"/>
          <w:highlight w:val="none"/>
        </w:rPr>
        <w:t> </w:t>
      </w:r>
    </w:p>
    <w:p w14:paraId="75B142A5">
      <w:pPr>
        <w:pStyle w:val="11"/>
        <w:spacing w:beforeAutospacing="0" w:afterAutospacing="0"/>
        <w:jc w:val="center"/>
        <w:rPr>
          <w:color w:val="auto"/>
          <w:highlight w:val="none"/>
        </w:rPr>
      </w:pPr>
      <w:r>
        <w:rPr>
          <w:color w:val="auto"/>
          <w:highlight w:val="none"/>
        </w:rPr>
        <w:t> </w:t>
      </w:r>
    </w:p>
    <w:p w14:paraId="71041737">
      <w:pPr>
        <w:pStyle w:val="11"/>
        <w:spacing w:beforeAutospacing="0" w:afterAutospacing="0"/>
        <w:jc w:val="center"/>
        <w:rPr>
          <w:color w:val="auto"/>
          <w:highlight w:val="none"/>
        </w:rPr>
      </w:pPr>
      <w:r>
        <w:rPr>
          <w:color w:val="auto"/>
          <w:highlight w:val="none"/>
        </w:rPr>
        <w:t> </w:t>
      </w:r>
    </w:p>
    <w:p w14:paraId="0A79D696">
      <w:pPr>
        <w:pStyle w:val="11"/>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 名 称：</w:t>
      </w:r>
      <w:r>
        <w:rPr>
          <w:rFonts w:hint="eastAsia" w:ascii="宋体" w:hAnsi="宋体" w:eastAsia="宋体" w:cs="宋体"/>
          <w:b/>
          <w:color w:val="auto"/>
          <w:sz w:val="36"/>
          <w:szCs w:val="36"/>
          <w:highlight w:val="none"/>
          <w:u w:val="single"/>
        </w:rPr>
        <w:t>             </w:t>
      </w:r>
    </w:p>
    <w:p w14:paraId="04B3944D">
      <w:pPr>
        <w:pStyle w:val="11"/>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 编 号：</w:t>
      </w:r>
      <w:r>
        <w:rPr>
          <w:rFonts w:hint="eastAsia" w:ascii="宋体" w:hAnsi="宋体" w:eastAsia="宋体" w:cs="宋体"/>
          <w:b/>
          <w:color w:val="auto"/>
          <w:sz w:val="36"/>
          <w:szCs w:val="36"/>
          <w:highlight w:val="none"/>
          <w:u w:val="single"/>
        </w:rPr>
        <w:t>             </w:t>
      </w:r>
    </w:p>
    <w:p w14:paraId="15413E7A">
      <w:pPr>
        <w:pStyle w:val="11"/>
        <w:spacing w:beforeAutospacing="0" w:afterAutospacing="0"/>
        <w:jc w:val="both"/>
        <w:rPr>
          <w:color w:val="auto"/>
          <w:highlight w:val="none"/>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（加盖CA电子公章）</w:t>
      </w:r>
    </w:p>
    <w:p w14:paraId="468ED15D">
      <w:pPr>
        <w:pStyle w:val="11"/>
        <w:spacing w:beforeAutospacing="0" w:afterAutospacing="0"/>
        <w:jc w:val="both"/>
        <w:rPr>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160997F5">
      <w:pPr>
        <w:pStyle w:val="11"/>
        <w:spacing w:beforeAutospacing="0" w:afterAutospacing="0" w:line="0" w:lineRule="atLeast"/>
        <w:jc w:val="center"/>
        <w:rPr>
          <w:color w:val="auto"/>
          <w:highlight w:val="none"/>
        </w:rPr>
      </w:pPr>
    </w:p>
    <w:p w14:paraId="6E847AC3">
      <w:pPr>
        <w:pStyle w:val="11"/>
        <w:spacing w:beforeAutospacing="0" w:afterAutospacing="0" w:line="0" w:lineRule="atLeast"/>
        <w:jc w:val="center"/>
        <w:rPr>
          <w:color w:val="auto"/>
          <w:highlight w:val="none"/>
        </w:rPr>
      </w:pPr>
    </w:p>
    <w:p w14:paraId="596628FC">
      <w:pPr>
        <w:pStyle w:val="11"/>
        <w:spacing w:beforeAutospacing="0" w:afterAutospacing="0" w:line="0" w:lineRule="atLeast"/>
        <w:jc w:val="center"/>
        <w:rPr>
          <w:rFonts w:hint="eastAsia" w:ascii="宋体" w:hAnsi="宋体" w:eastAsia="宋体" w:cs="宋体"/>
          <w:b/>
          <w:color w:val="auto"/>
          <w:sz w:val="32"/>
          <w:szCs w:val="32"/>
          <w:highlight w:val="none"/>
        </w:rPr>
      </w:pPr>
    </w:p>
    <w:p w14:paraId="4AB5B797">
      <w:pPr>
        <w:pStyle w:val="11"/>
        <w:spacing w:beforeAutospacing="0" w:afterAutospacing="0" w:line="0" w:lineRule="atLeast"/>
        <w:jc w:val="center"/>
        <w:rPr>
          <w:rFonts w:hint="eastAsia" w:ascii="宋体" w:hAnsi="宋体" w:eastAsia="宋体" w:cs="宋体"/>
          <w:b/>
          <w:color w:val="auto"/>
          <w:sz w:val="32"/>
          <w:szCs w:val="32"/>
          <w:highlight w:val="none"/>
        </w:rPr>
      </w:pPr>
    </w:p>
    <w:p w14:paraId="5652AFA0">
      <w:pPr>
        <w:pStyle w:val="11"/>
        <w:spacing w:beforeAutospacing="0" w:afterAutospacing="0" w:line="0" w:lineRule="atLeast"/>
        <w:jc w:val="both"/>
        <w:rPr>
          <w:rFonts w:hint="eastAsia" w:ascii="宋体" w:hAnsi="宋体" w:eastAsia="宋体" w:cs="宋体"/>
          <w:b/>
          <w:color w:val="auto"/>
          <w:sz w:val="32"/>
          <w:szCs w:val="32"/>
          <w:highlight w:val="none"/>
        </w:rPr>
      </w:pPr>
    </w:p>
    <w:p w14:paraId="78F76075">
      <w:pPr>
        <w:pStyle w:val="11"/>
        <w:spacing w:beforeAutospacing="0" w:afterAutospacing="0" w:line="0" w:lineRule="atLeast"/>
        <w:jc w:val="center"/>
        <w:rPr>
          <w:rFonts w:hint="eastAsia" w:ascii="宋体" w:hAnsi="宋体" w:eastAsia="宋体" w:cs="宋体"/>
          <w:b/>
          <w:color w:val="auto"/>
          <w:sz w:val="36"/>
          <w:szCs w:val="36"/>
          <w:highlight w:val="none"/>
        </w:rPr>
      </w:pPr>
    </w:p>
    <w:p w14:paraId="36EBB92E">
      <w:pPr>
        <w:pStyle w:val="11"/>
        <w:spacing w:beforeAutospacing="0" w:afterAutospacing="0" w:line="0" w:lineRule="atLeast"/>
        <w:jc w:val="center"/>
        <w:rPr>
          <w:color w:val="auto"/>
          <w:highlight w:val="none"/>
        </w:rPr>
      </w:pPr>
      <w:r>
        <w:rPr>
          <w:rFonts w:hint="eastAsia" w:ascii="宋体" w:hAnsi="宋体" w:eastAsia="宋体" w:cs="宋体"/>
          <w:b/>
          <w:color w:val="auto"/>
          <w:sz w:val="36"/>
          <w:szCs w:val="36"/>
          <w:highlight w:val="none"/>
        </w:rPr>
        <w:t>投标文件目录</w:t>
      </w:r>
    </w:p>
    <w:p w14:paraId="05A4215C">
      <w:pPr>
        <w:pStyle w:val="11"/>
        <w:spacing w:beforeAutospacing="0" w:afterAutospacing="0" w:line="0" w:lineRule="atLeast"/>
        <w:jc w:val="center"/>
        <w:rPr>
          <w:color w:val="auto"/>
          <w:highlight w:val="none"/>
        </w:rPr>
      </w:pPr>
      <w:r>
        <w:rPr>
          <w:color w:val="auto"/>
          <w:highlight w:val="none"/>
        </w:rPr>
        <w:t> </w:t>
      </w:r>
    </w:p>
    <w:p w14:paraId="25B6F4BB">
      <w:pPr>
        <w:pStyle w:val="11"/>
        <w:keepNext w:val="0"/>
        <w:keepLines w:val="0"/>
        <w:pageBreakBefore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一、法人或者其他组织的营业执照等证明文件，自然人的身份证明</w:t>
      </w:r>
    </w:p>
    <w:p w14:paraId="1FB0A058">
      <w:pPr>
        <w:keepNext w:val="0"/>
        <w:keepLines w:val="0"/>
        <w:pageBreakBefore w:val="0"/>
        <w:tabs>
          <w:tab w:val="left" w:pos="1331"/>
        </w:tabs>
        <w:kinsoku/>
        <w:wordWrap/>
        <w:overflowPunct/>
        <w:topLinePunct w:val="0"/>
        <w:autoSpaceDE/>
        <w:autoSpaceDN/>
        <w:bidi w:val="0"/>
        <w:adjustRightInd/>
        <w:snapToGrid/>
        <w:spacing w:line="480" w:lineRule="exact"/>
        <w:ind w:left="0" w:firstLine="480" w:firstLineChars="200"/>
        <w:jc w:val="left"/>
        <w:textAlignment w:val="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kern w:val="0"/>
          <w:sz w:val="24"/>
          <w:szCs w:val="24"/>
          <w:highlight w:val="none"/>
          <w:u w:val="none"/>
          <w:lang w:val="en-US" w:eastAsia="zh-CN" w:bidi="ar-SA"/>
        </w:rPr>
        <w:t>二、上一年度的财务状况报表（至少提供资产负债表、利润表，</w:t>
      </w:r>
      <w:r>
        <w:rPr>
          <w:rFonts w:hint="eastAsia" w:ascii="宋体" w:hAnsi="宋体" w:eastAsia="宋体" w:cs="宋体"/>
          <w:i w:val="0"/>
          <w:iCs/>
          <w:color w:val="auto"/>
          <w:sz w:val="24"/>
          <w:szCs w:val="24"/>
          <w:highlight w:val="none"/>
          <w:u w:val="none"/>
        </w:rPr>
        <w:t>投标人成立不满一年无需提供）</w:t>
      </w:r>
    </w:p>
    <w:p w14:paraId="3C7325E3">
      <w:pPr>
        <w:pStyle w:val="11"/>
        <w:keepNext w:val="0"/>
        <w:keepLines w:val="0"/>
        <w:pageBreakBefore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rPr>
        <w:t>三</w:t>
      </w:r>
      <w:r>
        <w:rPr>
          <w:rFonts w:hint="eastAsia" w:ascii="宋体" w:hAnsi="宋体" w:eastAsia="宋体" w:cs="宋体"/>
          <w:i w:val="0"/>
          <w:iCs/>
          <w:color w:val="auto"/>
          <w:sz w:val="24"/>
          <w:szCs w:val="24"/>
          <w:highlight w:val="none"/>
          <w:u w:val="none"/>
        </w:rPr>
        <w:t>、具备履行合同所必需的设备和专业技术能力的书面声明</w:t>
      </w:r>
    </w:p>
    <w:p w14:paraId="687B2E2D">
      <w:pPr>
        <w:pStyle w:val="11"/>
        <w:keepNext w:val="0"/>
        <w:keepLines w:val="0"/>
        <w:pageBreakBefore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rPr>
        <w:t>四</w:t>
      </w:r>
      <w:r>
        <w:rPr>
          <w:rFonts w:hint="eastAsia" w:ascii="宋体" w:hAnsi="宋体" w:eastAsia="宋体" w:cs="宋体"/>
          <w:i w:val="0"/>
          <w:iCs/>
          <w:color w:val="auto"/>
          <w:sz w:val="24"/>
          <w:szCs w:val="24"/>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7F59652C">
      <w:pPr>
        <w:pStyle w:val="11"/>
        <w:keepNext w:val="0"/>
        <w:keepLines w:val="0"/>
        <w:pageBreakBefore w:val="0"/>
        <w:kinsoku/>
        <w:wordWrap/>
        <w:overflowPunct/>
        <w:topLinePunct w:val="0"/>
        <w:autoSpaceDE/>
        <w:autoSpaceDN/>
        <w:bidi w:val="0"/>
        <w:adjustRightInd/>
        <w:snapToGrid/>
        <w:spacing w:beforeAutospacing="0" w:afterAutospacing="0" w:line="480" w:lineRule="exact"/>
        <w:ind w:left="0" w:firstLine="480"/>
        <w:jc w:val="both"/>
        <w:textAlignment w:val="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五、参加政府采购活动前 3 年内在经营活动中没有重大违法记录的书面声明</w:t>
      </w:r>
    </w:p>
    <w:p w14:paraId="5BF797BC">
      <w:pPr>
        <w:pStyle w:val="11"/>
        <w:keepNext w:val="0"/>
        <w:keepLines w:val="0"/>
        <w:pageBreakBefore w:val="0"/>
        <w:kinsoku/>
        <w:wordWrap/>
        <w:overflowPunct/>
        <w:topLinePunct w:val="0"/>
        <w:autoSpaceDE/>
        <w:autoSpaceDN/>
        <w:bidi w:val="0"/>
        <w:adjustRightInd/>
        <w:snapToGrid/>
        <w:spacing w:beforeAutospacing="0" w:afterAutospacing="0" w:line="480" w:lineRule="exact"/>
        <w:ind w:left="0" w:firstLine="480"/>
        <w:jc w:val="both"/>
        <w:textAlignment w:val="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六、特定资格要求的证明文件（如果本项目设置特定资格要求，则需要提供）</w:t>
      </w:r>
    </w:p>
    <w:p w14:paraId="34B65884">
      <w:pPr>
        <w:pStyle w:val="11"/>
        <w:keepNext w:val="0"/>
        <w:keepLines w:val="0"/>
        <w:pageBreakBefore w:val="0"/>
        <w:kinsoku/>
        <w:wordWrap/>
        <w:overflowPunct/>
        <w:topLinePunct w:val="0"/>
        <w:autoSpaceDE/>
        <w:autoSpaceDN/>
        <w:bidi w:val="0"/>
        <w:adjustRightInd/>
        <w:snapToGrid/>
        <w:spacing w:beforeAutospacing="0" w:afterAutospacing="0" w:line="480" w:lineRule="exact"/>
        <w:ind w:left="0" w:firstLine="480"/>
        <w:jc w:val="both"/>
        <w:textAlignment w:val="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七、法人授权书</w:t>
      </w:r>
    </w:p>
    <w:p w14:paraId="4BFD9A31">
      <w:pPr>
        <w:pStyle w:val="11"/>
        <w:keepNext w:val="0"/>
        <w:keepLines w:val="0"/>
        <w:pageBreakBefore w:val="0"/>
        <w:kinsoku/>
        <w:wordWrap/>
        <w:overflowPunct/>
        <w:topLinePunct w:val="0"/>
        <w:autoSpaceDE/>
        <w:autoSpaceDN/>
        <w:bidi w:val="0"/>
        <w:adjustRightInd/>
        <w:snapToGrid/>
        <w:spacing w:beforeAutospacing="0" w:afterAutospacing="0" w:line="480" w:lineRule="exact"/>
        <w:ind w:left="0" w:firstLine="480"/>
        <w:jc w:val="both"/>
        <w:textAlignment w:val="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八、投标函</w:t>
      </w:r>
    </w:p>
    <w:p w14:paraId="642EF702">
      <w:pPr>
        <w:pStyle w:val="11"/>
        <w:keepNext w:val="0"/>
        <w:keepLines w:val="0"/>
        <w:pageBreakBefore w:val="0"/>
        <w:kinsoku/>
        <w:wordWrap/>
        <w:overflowPunct/>
        <w:topLinePunct w:val="0"/>
        <w:autoSpaceDE/>
        <w:autoSpaceDN/>
        <w:bidi w:val="0"/>
        <w:adjustRightInd/>
        <w:snapToGrid/>
        <w:spacing w:beforeAutospacing="0" w:afterAutospacing="0" w:line="480" w:lineRule="exact"/>
        <w:ind w:left="0" w:firstLine="480"/>
        <w:jc w:val="both"/>
        <w:textAlignment w:val="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九、小微企业声明函</w:t>
      </w:r>
    </w:p>
    <w:p w14:paraId="1D509CA3">
      <w:pPr>
        <w:pStyle w:val="11"/>
        <w:keepNext w:val="0"/>
        <w:keepLines w:val="0"/>
        <w:pageBreakBefore w:val="0"/>
        <w:kinsoku/>
        <w:wordWrap/>
        <w:overflowPunct/>
        <w:topLinePunct w:val="0"/>
        <w:autoSpaceDE/>
        <w:autoSpaceDN/>
        <w:bidi w:val="0"/>
        <w:adjustRightInd/>
        <w:snapToGrid/>
        <w:spacing w:beforeAutospacing="0" w:afterAutospacing="0" w:line="480" w:lineRule="exact"/>
        <w:ind w:left="0" w:firstLine="480"/>
        <w:jc w:val="both"/>
        <w:textAlignment w:val="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rPr>
        <w:t xml:space="preserve">    </w:t>
      </w:r>
      <w:r>
        <w:rPr>
          <w:rFonts w:hint="eastAsia" w:ascii="宋体" w:hAnsi="宋体" w:eastAsia="宋体" w:cs="宋体"/>
          <w:i w:val="0"/>
          <w:iCs/>
          <w:color w:val="auto"/>
          <w:sz w:val="24"/>
          <w:szCs w:val="24"/>
          <w:highlight w:val="none"/>
          <w:u w:val="none"/>
        </w:rPr>
        <w:t>残疾人福利性单位声明函</w:t>
      </w:r>
    </w:p>
    <w:p w14:paraId="4F8D894C">
      <w:pPr>
        <w:pStyle w:val="11"/>
        <w:keepNext w:val="0"/>
        <w:keepLines w:val="0"/>
        <w:pageBreakBefore w:val="0"/>
        <w:kinsoku/>
        <w:wordWrap/>
        <w:overflowPunct/>
        <w:topLinePunct w:val="0"/>
        <w:autoSpaceDE/>
        <w:autoSpaceDN/>
        <w:bidi w:val="0"/>
        <w:adjustRightInd/>
        <w:snapToGrid/>
        <w:spacing w:beforeAutospacing="0" w:afterAutospacing="0" w:line="480" w:lineRule="exact"/>
        <w:ind w:left="0" w:firstLine="480"/>
        <w:jc w:val="both"/>
        <w:textAlignment w:val="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十、投标分项报价表</w:t>
      </w:r>
    </w:p>
    <w:p w14:paraId="44B6BA66">
      <w:pPr>
        <w:pStyle w:val="11"/>
        <w:keepNext w:val="0"/>
        <w:keepLines w:val="0"/>
        <w:pageBreakBefore w:val="0"/>
        <w:kinsoku/>
        <w:wordWrap/>
        <w:overflowPunct/>
        <w:topLinePunct w:val="0"/>
        <w:autoSpaceDE/>
        <w:autoSpaceDN/>
        <w:bidi w:val="0"/>
        <w:adjustRightInd/>
        <w:snapToGrid/>
        <w:spacing w:beforeAutospacing="0" w:afterAutospacing="0" w:line="480" w:lineRule="exact"/>
        <w:ind w:left="0" w:firstLine="480"/>
        <w:jc w:val="both"/>
        <w:textAlignment w:val="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十</w:t>
      </w:r>
      <w:r>
        <w:rPr>
          <w:rFonts w:hint="eastAsia" w:ascii="宋体" w:hAnsi="宋体" w:eastAsia="宋体" w:cs="宋体"/>
          <w:i w:val="0"/>
          <w:iCs/>
          <w:color w:val="auto"/>
          <w:sz w:val="24"/>
          <w:szCs w:val="24"/>
          <w:highlight w:val="none"/>
          <w:u w:val="none"/>
          <w:lang w:eastAsia="zh-CN"/>
        </w:rPr>
        <w:t>一</w:t>
      </w:r>
      <w:r>
        <w:rPr>
          <w:rFonts w:hint="eastAsia" w:ascii="宋体" w:hAnsi="宋体" w:eastAsia="宋体" w:cs="宋体"/>
          <w:i w:val="0"/>
          <w:iCs/>
          <w:color w:val="auto"/>
          <w:sz w:val="24"/>
          <w:szCs w:val="24"/>
          <w:highlight w:val="none"/>
          <w:u w:val="none"/>
        </w:rPr>
        <w:t>、技术要求响应及偏离表</w:t>
      </w:r>
    </w:p>
    <w:p w14:paraId="673AC6D1">
      <w:pPr>
        <w:pStyle w:val="11"/>
        <w:keepNext w:val="0"/>
        <w:keepLines w:val="0"/>
        <w:pageBreakBefore w:val="0"/>
        <w:kinsoku/>
        <w:wordWrap/>
        <w:overflowPunct/>
        <w:topLinePunct w:val="0"/>
        <w:autoSpaceDE/>
        <w:autoSpaceDN/>
        <w:bidi w:val="0"/>
        <w:adjustRightInd/>
        <w:snapToGrid/>
        <w:spacing w:beforeAutospacing="0" w:afterAutospacing="0" w:line="480" w:lineRule="exact"/>
        <w:ind w:left="0" w:firstLine="480"/>
        <w:jc w:val="both"/>
        <w:textAlignment w:val="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十</w:t>
      </w:r>
      <w:r>
        <w:rPr>
          <w:rFonts w:hint="eastAsia" w:ascii="宋体" w:hAnsi="宋体" w:eastAsia="宋体" w:cs="宋体"/>
          <w:i w:val="0"/>
          <w:iCs/>
          <w:color w:val="auto"/>
          <w:sz w:val="24"/>
          <w:szCs w:val="24"/>
          <w:highlight w:val="none"/>
          <w:u w:val="none"/>
          <w:lang w:eastAsia="zh-CN"/>
        </w:rPr>
        <w:t>二</w:t>
      </w:r>
      <w:r>
        <w:rPr>
          <w:rFonts w:hint="eastAsia" w:ascii="宋体" w:hAnsi="宋体" w:eastAsia="宋体" w:cs="宋体"/>
          <w:i w:val="0"/>
          <w:iCs/>
          <w:color w:val="auto"/>
          <w:sz w:val="24"/>
          <w:szCs w:val="24"/>
          <w:highlight w:val="none"/>
          <w:u w:val="none"/>
        </w:rPr>
        <w:t>、商务要求响应及偏离表</w:t>
      </w:r>
    </w:p>
    <w:p w14:paraId="69E88184">
      <w:pPr>
        <w:pStyle w:val="11"/>
        <w:keepNext w:val="0"/>
        <w:keepLines w:val="0"/>
        <w:pageBreakBefore w:val="0"/>
        <w:kinsoku/>
        <w:wordWrap/>
        <w:overflowPunct/>
        <w:topLinePunct w:val="0"/>
        <w:autoSpaceDE/>
        <w:autoSpaceDN/>
        <w:bidi w:val="0"/>
        <w:adjustRightInd/>
        <w:snapToGrid/>
        <w:spacing w:beforeAutospacing="0" w:afterAutospacing="0" w:line="480" w:lineRule="exact"/>
        <w:ind w:left="0" w:firstLine="480"/>
        <w:jc w:val="both"/>
        <w:textAlignment w:val="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十</w:t>
      </w:r>
      <w:r>
        <w:rPr>
          <w:rFonts w:hint="eastAsia" w:ascii="宋体" w:hAnsi="宋体" w:eastAsia="宋体" w:cs="宋体"/>
          <w:i w:val="0"/>
          <w:iCs/>
          <w:color w:val="auto"/>
          <w:sz w:val="24"/>
          <w:szCs w:val="24"/>
          <w:highlight w:val="none"/>
          <w:u w:val="none"/>
          <w:lang w:eastAsia="zh-CN"/>
        </w:rPr>
        <w:t>三</w:t>
      </w:r>
      <w:r>
        <w:rPr>
          <w:rFonts w:hint="eastAsia" w:ascii="宋体" w:hAnsi="宋体" w:eastAsia="宋体" w:cs="宋体"/>
          <w:i w:val="0"/>
          <w:iCs/>
          <w:color w:val="auto"/>
          <w:sz w:val="24"/>
          <w:szCs w:val="24"/>
          <w:highlight w:val="none"/>
          <w:u w:val="none"/>
        </w:rPr>
        <w:t>、开标一览表</w:t>
      </w:r>
    </w:p>
    <w:p w14:paraId="65188C40">
      <w:pPr>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i w:val="0"/>
          <w:iCs/>
          <w:color w:val="auto"/>
          <w:kern w:val="0"/>
          <w:sz w:val="24"/>
          <w:szCs w:val="24"/>
          <w:highlight w:val="none"/>
          <w:u w:val="none"/>
        </w:rPr>
      </w:pPr>
      <w:r>
        <w:rPr>
          <w:rFonts w:hint="eastAsia" w:ascii="宋体" w:hAnsi="宋体" w:eastAsia="宋体" w:cs="宋体"/>
          <w:i w:val="0"/>
          <w:iCs/>
          <w:color w:val="auto"/>
          <w:kern w:val="0"/>
          <w:sz w:val="24"/>
          <w:szCs w:val="24"/>
          <w:highlight w:val="none"/>
          <w:u w:val="none"/>
        </w:rPr>
        <w:t>十</w:t>
      </w:r>
      <w:r>
        <w:rPr>
          <w:rFonts w:hint="eastAsia" w:ascii="宋体" w:hAnsi="宋体" w:eastAsia="宋体" w:cs="宋体"/>
          <w:i w:val="0"/>
          <w:iCs/>
          <w:color w:val="auto"/>
          <w:kern w:val="0"/>
          <w:sz w:val="24"/>
          <w:szCs w:val="24"/>
          <w:highlight w:val="none"/>
          <w:u w:val="none"/>
          <w:lang w:eastAsia="zh-CN"/>
        </w:rPr>
        <w:t>四</w:t>
      </w:r>
      <w:r>
        <w:rPr>
          <w:rFonts w:hint="eastAsia" w:ascii="宋体" w:hAnsi="宋体" w:eastAsia="宋体" w:cs="宋体"/>
          <w:i w:val="0"/>
          <w:iCs/>
          <w:color w:val="auto"/>
          <w:kern w:val="0"/>
          <w:sz w:val="24"/>
          <w:szCs w:val="24"/>
          <w:highlight w:val="none"/>
          <w:u w:val="none"/>
        </w:rPr>
        <w:t>、技术方案、服务承诺、培训承诺等</w:t>
      </w:r>
    </w:p>
    <w:p w14:paraId="4D224516">
      <w:pPr>
        <w:pStyle w:val="11"/>
        <w:keepNext w:val="0"/>
        <w:keepLines w:val="0"/>
        <w:pageBreakBefore w:val="0"/>
        <w:kinsoku/>
        <w:wordWrap/>
        <w:overflowPunct/>
        <w:topLinePunct w:val="0"/>
        <w:autoSpaceDE/>
        <w:autoSpaceDN/>
        <w:bidi w:val="0"/>
        <w:adjustRightInd/>
        <w:snapToGrid/>
        <w:spacing w:beforeAutospacing="0" w:afterAutospacing="0" w:line="480" w:lineRule="exact"/>
        <w:ind w:left="0" w:firstLine="480"/>
        <w:jc w:val="both"/>
        <w:textAlignment w:val="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十</w:t>
      </w:r>
      <w:r>
        <w:rPr>
          <w:rFonts w:hint="eastAsia" w:ascii="宋体" w:hAnsi="宋体" w:eastAsia="宋体" w:cs="宋体"/>
          <w:i w:val="0"/>
          <w:iCs/>
          <w:color w:val="auto"/>
          <w:sz w:val="24"/>
          <w:szCs w:val="24"/>
          <w:highlight w:val="none"/>
          <w:u w:val="none"/>
          <w:lang w:eastAsia="zh-CN"/>
        </w:rPr>
        <w:t>五</w:t>
      </w:r>
      <w:r>
        <w:rPr>
          <w:rFonts w:hint="eastAsia" w:ascii="宋体" w:hAnsi="宋体" w:eastAsia="宋体" w:cs="宋体"/>
          <w:i w:val="0"/>
          <w:iCs/>
          <w:color w:val="auto"/>
          <w:sz w:val="24"/>
          <w:szCs w:val="24"/>
          <w:highlight w:val="none"/>
          <w:u w:val="none"/>
        </w:rPr>
        <w:t>、盐城市政府采购事前信用承诺书</w:t>
      </w:r>
    </w:p>
    <w:p w14:paraId="3C0D8833">
      <w:pPr>
        <w:pStyle w:val="11"/>
        <w:keepNext w:val="0"/>
        <w:keepLines w:val="0"/>
        <w:pageBreakBefore w:val="0"/>
        <w:kinsoku/>
        <w:wordWrap/>
        <w:overflowPunct/>
        <w:topLinePunct w:val="0"/>
        <w:autoSpaceDE/>
        <w:autoSpaceDN/>
        <w:bidi w:val="0"/>
        <w:adjustRightInd/>
        <w:snapToGrid/>
        <w:spacing w:beforeAutospacing="0" w:afterAutospacing="0" w:line="480" w:lineRule="exact"/>
        <w:ind w:left="0" w:firstLine="480"/>
        <w:jc w:val="both"/>
        <w:textAlignment w:val="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w:t>
      </w:r>
    </w:p>
    <w:p w14:paraId="0CCC6757">
      <w:pPr>
        <w:pStyle w:val="11"/>
        <w:spacing w:beforeAutospacing="0" w:afterAutospacing="0" w:line="0" w:lineRule="atLeast"/>
        <w:ind w:firstLine="480"/>
        <w:jc w:val="both"/>
        <w:rPr>
          <w:color w:val="auto"/>
          <w:highlight w:val="none"/>
          <w:u w:val="none"/>
        </w:rPr>
      </w:pPr>
      <w:r>
        <w:rPr>
          <w:color w:val="auto"/>
          <w:highlight w:val="none"/>
          <w:u w:val="none"/>
        </w:rPr>
        <w:t> </w:t>
      </w:r>
    </w:p>
    <w:p w14:paraId="62DF2D4F">
      <w:pPr>
        <w:pStyle w:val="11"/>
        <w:spacing w:beforeAutospacing="0" w:afterAutospacing="0" w:line="0" w:lineRule="atLeast"/>
        <w:ind w:firstLine="480"/>
        <w:jc w:val="both"/>
        <w:rPr>
          <w:color w:val="auto"/>
          <w:highlight w:val="none"/>
        </w:rPr>
      </w:pPr>
      <w:r>
        <w:rPr>
          <w:color w:val="auto"/>
          <w:highlight w:val="none"/>
        </w:rPr>
        <w:t> </w:t>
      </w:r>
    </w:p>
    <w:p w14:paraId="760E7B0E">
      <w:pPr>
        <w:pStyle w:val="11"/>
        <w:spacing w:beforeAutospacing="0" w:afterAutospacing="0" w:line="0" w:lineRule="atLeast"/>
        <w:ind w:firstLine="480"/>
        <w:jc w:val="both"/>
        <w:rPr>
          <w:color w:val="auto"/>
          <w:highlight w:val="none"/>
        </w:rPr>
      </w:pPr>
    </w:p>
    <w:p w14:paraId="79291D02">
      <w:pPr>
        <w:pStyle w:val="11"/>
        <w:spacing w:beforeAutospacing="0" w:afterAutospacing="0" w:line="0" w:lineRule="atLeast"/>
        <w:ind w:firstLine="480"/>
        <w:jc w:val="both"/>
        <w:rPr>
          <w:color w:val="auto"/>
          <w:highlight w:val="none"/>
        </w:rPr>
      </w:pPr>
    </w:p>
    <w:p w14:paraId="666A4C03">
      <w:pPr>
        <w:pStyle w:val="11"/>
        <w:spacing w:beforeAutospacing="0" w:afterAutospacing="0" w:line="0" w:lineRule="atLeast"/>
        <w:ind w:firstLine="480"/>
        <w:jc w:val="both"/>
        <w:rPr>
          <w:color w:val="auto"/>
          <w:highlight w:val="none"/>
        </w:rPr>
      </w:pPr>
      <w:r>
        <w:rPr>
          <w:color w:val="auto"/>
          <w:highlight w:val="none"/>
        </w:rPr>
        <w:t> </w:t>
      </w:r>
    </w:p>
    <w:p w14:paraId="6FAD5D73">
      <w:pPr>
        <w:pStyle w:val="11"/>
        <w:spacing w:beforeAutospacing="0" w:afterAutospacing="0" w:line="0" w:lineRule="atLeast"/>
        <w:ind w:firstLine="480"/>
        <w:jc w:val="both"/>
        <w:rPr>
          <w:color w:val="auto"/>
          <w:highlight w:val="none"/>
        </w:rPr>
      </w:pPr>
      <w:r>
        <w:rPr>
          <w:color w:val="auto"/>
          <w:highlight w:val="none"/>
        </w:rPr>
        <w:t> </w:t>
      </w:r>
    </w:p>
    <w:p w14:paraId="1D1E236D">
      <w:pPr>
        <w:pStyle w:val="11"/>
        <w:spacing w:beforeAutospacing="0" w:afterAutospacing="0" w:line="0" w:lineRule="atLeast"/>
        <w:ind w:firstLine="480"/>
        <w:jc w:val="both"/>
        <w:rPr>
          <w:color w:val="auto"/>
          <w:highlight w:val="none"/>
        </w:rPr>
      </w:pPr>
      <w:r>
        <w:rPr>
          <w:color w:val="auto"/>
          <w:highlight w:val="none"/>
        </w:rPr>
        <w:t> </w:t>
      </w:r>
    </w:p>
    <w:p w14:paraId="4629D425">
      <w:pPr>
        <w:pStyle w:val="11"/>
        <w:spacing w:beforeAutospacing="0" w:afterAutospacing="0" w:line="0" w:lineRule="atLeast"/>
        <w:ind w:firstLine="480"/>
        <w:jc w:val="both"/>
        <w:rPr>
          <w:color w:val="auto"/>
          <w:highlight w:val="none"/>
        </w:rPr>
      </w:pPr>
      <w:r>
        <w:rPr>
          <w:color w:val="auto"/>
          <w:highlight w:val="none"/>
        </w:rPr>
        <w:t> </w:t>
      </w:r>
    </w:p>
    <w:p w14:paraId="4F2E54D5">
      <w:pPr>
        <w:pStyle w:val="11"/>
        <w:spacing w:beforeAutospacing="0" w:afterAutospacing="0"/>
        <w:jc w:val="both"/>
        <w:rPr>
          <w:rFonts w:hint="eastAsia" w:ascii="黑体" w:hAnsi="宋体" w:eastAsia="黑体" w:cs="黑体"/>
          <w:i/>
          <w:color w:val="auto"/>
          <w:sz w:val="32"/>
          <w:szCs w:val="32"/>
          <w:highlight w:val="none"/>
          <w:u w:val="single"/>
        </w:rPr>
      </w:pPr>
    </w:p>
    <w:p w14:paraId="536884B9">
      <w:pPr>
        <w:pStyle w:val="11"/>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56755407">
      <w:pPr>
        <w:pStyle w:val="11"/>
        <w:spacing w:beforeAutospacing="0" w:afterAutospacing="0" w:line="0" w:lineRule="atLeast"/>
        <w:ind w:firstLine="480"/>
        <w:jc w:val="both"/>
        <w:rPr>
          <w:color w:val="auto"/>
          <w:highlight w:val="none"/>
        </w:rPr>
      </w:pPr>
      <w:r>
        <w:rPr>
          <w:color w:val="auto"/>
          <w:highlight w:val="none"/>
        </w:rPr>
        <w:t> </w:t>
      </w:r>
    </w:p>
    <w:p w14:paraId="1C261DFD">
      <w:pPr>
        <w:pStyle w:val="11"/>
        <w:spacing w:beforeAutospacing="0" w:afterAutospacing="0"/>
        <w:jc w:val="both"/>
        <w:rPr>
          <w:rFonts w:eastAsia="黑体"/>
          <w:color w:val="auto"/>
          <w:highlight w:val="none"/>
        </w:rPr>
      </w:pPr>
      <w:r>
        <w:rPr>
          <w:rFonts w:hint="eastAsia" w:ascii="黑体" w:hAnsi="宋体" w:eastAsia="黑体" w:cs="黑体"/>
          <w:i/>
          <w:color w:val="auto"/>
          <w:sz w:val="32"/>
          <w:szCs w:val="32"/>
          <w:highlight w:val="none"/>
          <w:u w:val="single"/>
        </w:rPr>
        <w:t>二、上一年度的财务状况报表</w:t>
      </w:r>
    </w:p>
    <w:p w14:paraId="21DC5F9B">
      <w:pPr>
        <w:pStyle w:val="11"/>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92"/>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至少提供资产负债表、利润表，</w:t>
      </w:r>
      <w:r>
        <w:rPr>
          <w:rFonts w:hint="eastAsia" w:ascii="宋体" w:hAnsi="宋体" w:eastAsia="宋体" w:cs="宋体"/>
          <w:color w:val="auto"/>
          <w:highlight w:val="none"/>
        </w:rPr>
        <w:t>投标人成立不满一年无需提供</w:t>
      </w:r>
    </w:p>
    <w:p w14:paraId="62874300">
      <w:pPr>
        <w:pStyle w:val="11"/>
        <w:spacing w:beforeAutospacing="0" w:afterAutospacing="0"/>
        <w:jc w:val="both"/>
        <w:rPr>
          <w:color w:val="auto"/>
          <w:highlight w:val="none"/>
        </w:rPr>
      </w:pPr>
      <w:r>
        <w:rPr>
          <w:color w:val="auto"/>
          <w:highlight w:val="none"/>
        </w:rPr>
        <w:t> </w:t>
      </w:r>
    </w:p>
    <w:p w14:paraId="6707E679">
      <w:pPr>
        <w:pStyle w:val="11"/>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三</w:t>
      </w:r>
      <w:r>
        <w:rPr>
          <w:rFonts w:hint="eastAsia" w:ascii="黑体" w:hAnsi="宋体" w:eastAsia="黑体" w:cs="黑体"/>
          <w:i/>
          <w:color w:val="auto"/>
          <w:sz w:val="32"/>
          <w:szCs w:val="32"/>
          <w:highlight w:val="none"/>
          <w:u w:val="single"/>
        </w:rPr>
        <w:t>、具备履行合同所必需的设备和专业技术能力的书面声明</w:t>
      </w:r>
    </w:p>
    <w:p w14:paraId="7DFCF95B">
      <w:pPr>
        <w:pStyle w:val="11"/>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92"/>
        <w:jc w:val="both"/>
        <w:textAlignment w:val="auto"/>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01E7BB42">
      <w:pPr>
        <w:pStyle w:val="11"/>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92"/>
        <w:jc w:val="both"/>
        <w:textAlignment w:val="auto"/>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468B5A6C">
      <w:pPr>
        <w:pStyle w:val="11"/>
        <w:keepNext w:val="0"/>
        <w:keepLines w:val="0"/>
        <w:pageBreakBefore w:val="0"/>
        <w:widowControl w:val="0"/>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25BCE374">
      <w:pPr>
        <w:pStyle w:val="11"/>
        <w:spacing w:beforeAutospacing="0" w:afterAutospacing="0"/>
        <w:jc w:val="both"/>
        <w:rPr>
          <w:rFonts w:hint="eastAsia" w:ascii="黑体" w:hAnsi="宋体" w:eastAsia="黑体" w:cs="黑体"/>
          <w:i/>
          <w:color w:val="auto"/>
          <w:sz w:val="32"/>
          <w:szCs w:val="32"/>
          <w:highlight w:val="none"/>
          <w:u w:val="single"/>
          <w:lang w:val="en-US" w:eastAsia="zh-CN"/>
        </w:rPr>
      </w:pPr>
    </w:p>
    <w:p w14:paraId="5426FBE6">
      <w:pPr>
        <w:pStyle w:val="11"/>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四</w:t>
      </w:r>
      <w:r>
        <w:rPr>
          <w:rFonts w:hint="eastAsia" w:ascii="黑体" w:hAnsi="宋体" w:eastAsia="黑体" w:cs="黑体"/>
          <w:i/>
          <w:color w:val="auto"/>
          <w:sz w:val="32"/>
          <w:szCs w:val="32"/>
          <w:highlight w:val="none"/>
          <w:u w:val="single"/>
        </w:rPr>
        <w:t>、依法缴纳税收和社会保障资金的相关材料</w:t>
      </w:r>
    </w:p>
    <w:p w14:paraId="15D971B5">
      <w:pPr>
        <w:pStyle w:val="11"/>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92"/>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p>
    <w:p w14:paraId="3896B947">
      <w:pPr>
        <w:pStyle w:val="11"/>
        <w:spacing w:beforeAutospacing="0" w:afterAutospacing="0"/>
        <w:jc w:val="both"/>
        <w:rPr>
          <w:rFonts w:hint="eastAsia" w:ascii="黑体" w:hAnsi="宋体" w:eastAsia="黑体" w:cs="黑体"/>
          <w:i/>
          <w:color w:val="auto"/>
          <w:sz w:val="32"/>
          <w:szCs w:val="32"/>
          <w:highlight w:val="none"/>
          <w:u w:val="single"/>
        </w:rPr>
      </w:pPr>
      <w:r>
        <w:rPr>
          <w:color w:val="auto"/>
          <w:highlight w:val="none"/>
        </w:rPr>
        <w:t> </w:t>
      </w:r>
    </w:p>
    <w:p w14:paraId="4D626E84">
      <w:pPr>
        <w:pStyle w:val="11"/>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0AF15C53">
      <w:pPr>
        <w:pStyle w:val="11"/>
        <w:spacing w:beforeAutospacing="0" w:afterAutospacing="0" w:line="0" w:lineRule="atLeast"/>
        <w:ind w:firstLine="3092" w:firstLineChars="700"/>
        <w:jc w:val="both"/>
        <w:rPr>
          <w:color w:val="auto"/>
          <w:highlight w:val="none"/>
        </w:rPr>
      </w:pPr>
      <w:r>
        <w:rPr>
          <w:rFonts w:hint="eastAsia" w:ascii="宋体" w:hAnsi="宋体" w:eastAsia="宋体" w:cs="宋体"/>
          <w:b/>
          <w:color w:val="auto"/>
          <w:sz w:val="44"/>
          <w:szCs w:val="44"/>
          <w:highlight w:val="none"/>
        </w:rPr>
        <w:t>      声  明</w:t>
      </w:r>
    </w:p>
    <w:p w14:paraId="07B52836">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855"/>
        <w:jc w:val="both"/>
        <w:textAlignment w:val="auto"/>
        <w:rPr>
          <w:rFonts w:ascii="宋体" w:hAnsi="宋体" w:eastAsia="宋体" w:cs="宋体"/>
          <w:color w:val="auto"/>
          <w:highlight w:val="none"/>
        </w:rPr>
      </w:pP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0ADD15E7">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855"/>
        <w:jc w:val="both"/>
        <w:textAlignment w:val="auto"/>
        <w:rPr>
          <w:color w:val="auto"/>
          <w:highlight w:val="none"/>
        </w:rPr>
      </w:pPr>
    </w:p>
    <w:p w14:paraId="1FE63114">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right="180" w:firstLine="360"/>
        <w:jc w:val="right"/>
        <w:textAlignment w:val="auto"/>
        <w:rPr>
          <w:color w:val="auto"/>
          <w:highlight w:val="none"/>
        </w:rPr>
      </w:pPr>
      <w:r>
        <w:rPr>
          <w:color w:val="auto"/>
          <w:highlight w:val="none"/>
        </w:rPr>
        <w:t> </w:t>
      </w:r>
      <w:r>
        <w:rPr>
          <w:rFonts w:hint="eastAsia" w:ascii="宋体" w:hAnsi="宋体" w:eastAsia="宋体" w:cs="宋体"/>
          <w:color w:val="auto"/>
          <w:highlight w:val="none"/>
        </w:rPr>
        <w:t>企业名称（加盖CA电子公章）：</w:t>
      </w:r>
    </w:p>
    <w:p w14:paraId="706119F6">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right="480" w:firstLine="5400"/>
        <w:jc w:val="both"/>
        <w:textAlignment w:val="auto"/>
        <w:rPr>
          <w:rFonts w:hint="eastAsia" w:ascii="黑体" w:hAnsi="宋体" w:eastAsia="黑体" w:cs="黑体"/>
          <w:i/>
          <w:color w:val="auto"/>
          <w:sz w:val="32"/>
          <w:szCs w:val="32"/>
          <w:highlight w:val="none"/>
          <w:u w:val="single"/>
        </w:rPr>
      </w:pPr>
      <w:r>
        <w:rPr>
          <w:rFonts w:hint="eastAsia" w:ascii="宋体" w:hAnsi="宋体" w:eastAsia="宋体" w:cs="宋体"/>
          <w:color w:val="auto"/>
          <w:highlight w:val="none"/>
        </w:rPr>
        <w:t>日  期：</w:t>
      </w:r>
    </w:p>
    <w:p w14:paraId="666B57DF">
      <w:pPr>
        <w:pStyle w:val="11"/>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六、特定资格要求的证明文件</w:t>
      </w:r>
    </w:p>
    <w:p w14:paraId="20FA38C0">
      <w:pPr>
        <w:pStyle w:val="1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如果本项目申请人的特定资格要求中要求提供的，</w:t>
      </w:r>
      <w:r>
        <w:rPr>
          <w:rFonts w:hint="eastAsia" w:ascii="宋体" w:hAnsi="宋体" w:eastAsia="宋体" w:cs="宋体"/>
          <w:i w:val="0"/>
          <w:iCs/>
          <w:color w:val="auto"/>
          <w:sz w:val="24"/>
          <w:szCs w:val="24"/>
          <w:highlight w:val="none"/>
          <w:u w:val="none"/>
        </w:rPr>
        <w:t>则需要提供</w:t>
      </w:r>
      <w:bookmarkStart w:id="204" w:name="_GoBack"/>
      <w:bookmarkEnd w:id="204"/>
      <w:r>
        <w:rPr>
          <w:rFonts w:hint="eastAsia" w:ascii="宋体" w:hAnsi="宋体" w:eastAsia="宋体" w:cs="宋体"/>
          <w:color w:val="auto"/>
          <w:highlight w:val="none"/>
        </w:rPr>
        <w:t>。</w:t>
      </w:r>
    </w:p>
    <w:p w14:paraId="29F3948B">
      <w:pPr>
        <w:pStyle w:val="11"/>
        <w:spacing w:beforeAutospacing="0" w:afterAutospacing="0" w:line="0" w:lineRule="atLeast"/>
        <w:jc w:val="both"/>
        <w:rPr>
          <w:rFonts w:hint="eastAsia" w:ascii="宋体" w:hAnsi="宋体" w:eastAsia="宋体" w:cs="宋体"/>
          <w:color w:val="auto"/>
          <w:highlight w:val="none"/>
        </w:rPr>
      </w:pPr>
    </w:p>
    <w:p w14:paraId="5637BE9E">
      <w:pPr>
        <w:pStyle w:val="11"/>
        <w:spacing w:beforeAutospacing="0" w:afterAutospacing="0"/>
        <w:jc w:val="both"/>
        <w:rPr>
          <w:rFonts w:ascii="黑体" w:hAnsi="宋体" w:eastAsia="黑体" w:cs="黑体"/>
          <w:i/>
          <w:color w:val="auto"/>
          <w:sz w:val="32"/>
          <w:szCs w:val="32"/>
          <w:highlight w:val="none"/>
          <w:u w:val="single"/>
        </w:rPr>
      </w:pPr>
      <w:bookmarkStart w:id="186" w:name="_格式3__银行出具的资信证明"/>
      <w:bookmarkStart w:id="187" w:name="_Toc120614284"/>
      <w:bookmarkStart w:id="188" w:name="_Hlt26671380"/>
      <w:bookmarkStart w:id="189" w:name="_Hlt26955070"/>
    </w:p>
    <w:p w14:paraId="70FF9994">
      <w:pPr>
        <w:pStyle w:val="11"/>
        <w:spacing w:beforeAutospacing="0" w:afterAutospacing="0"/>
        <w:jc w:val="center"/>
        <w:rPr>
          <w:rFonts w:hint="eastAsia" w:ascii="黑体" w:hAnsi="宋体" w:eastAsia="黑体" w:cs="黑体"/>
          <w:i/>
          <w:color w:val="auto"/>
          <w:sz w:val="32"/>
          <w:szCs w:val="32"/>
          <w:highlight w:val="none"/>
          <w:u w:val="single"/>
        </w:rPr>
      </w:pPr>
    </w:p>
    <w:p w14:paraId="62180F48">
      <w:pPr>
        <w:pStyle w:val="11"/>
        <w:spacing w:beforeAutospacing="0" w:afterAutospacing="0"/>
        <w:jc w:val="center"/>
        <w:rPr>
          <w:color w:val="auto"/>
          <w:highlight w:val="none"/>
        </w:rPr>
      </w:pPr>
      <w:r>
        <w:rPr>
          <w:rFonts w:hint="eastAsia" w:ascii="黑体" w:hAnsi="宋体" w:eastAsia="黑体" w:cs="黑体"/>
          <w:i/>
          <w:color w:val="auto"/>
          <w:sz w:val="32"/>
          <w:szCs w:val="32"/>
          <w:highlight w:val="none"/>
          <w:u w:val="single"/>
        </w:rPr>
        <w:t>七、法人授权书</w:t>
      </w:r>
    </w:p>
    <w:p w14:paraId="1615E327">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color w:val="auto"/>
          <w:sz w:val="24"/>
          <w:szCs w:val="24"/>
          <w:highlight w:val="none"/>
        </w:rPr>
      </w:pPr>
    </w:p>
    <w:p w14:paraId="3111D3F9">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本授权书声明：____________（投标人名称）授权________________（被授权人的姓名）为我方就</w:t>
      </w:r>
      <w:r>
        <w:rPr>
          <w:rFonts w:hint="eastAsia" w:ascii="宋体" w:hAnsi="宋体" w:eastAsia="宋体" w:cs="宋体"/>
          <w:color w:val="auto"/>
          <w:sz w:val="24"/>
          <w:szCs w:val="24"/>
          <w:highlight w:val="none"/>
          <w:u w:val="single"/>
          <w:lang w:val="en-US" w:eastAsia="zh-CN"/>
        </w:rPr>
        <w:t xml:space="preserve">JSZC         </w:t>
      </w:r>
      <w:r>
        <w:rPr>
          <w:rFonts w:hint="eastAsia" w:ascii="Times New Roman" w:hAnsi="Times New Roman"/>
          <w:color w:val="auto"/>
          <w:sz w:val="24"/>
          <w:szCs w:val="24"/>
          <w:highlight w:val="none"/>
          <w:u w:val="single"/>
        </w:rPr>
        <w:t>号</w:t>
      </w:r>
      <w:r>
        <w:rPr>
          <w:rFonts w:hint="eastAsia" w:ascii="Times New Roman" w:hAnsi="Times New Roman"/>
          <w:color w:val="auto"/>
          <w:sz w:val="24"/>
          <w:szCs w:val="24"/>
          <w:highlight w:val="none"/>
        </w:rPr>
        <w:t>项目采购活动的合法代理人，以本单位名义全权处理一切与该项目采购有关的事务。</w:t>
      </w:r>
    </w:p>
    <w:p w14:paraId="3954CC95">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本授权书于______年____月____日起生效，特此声明。</w:t>
      </w:r>
    </w:p>
    <w:p w14:paraId="41432772">
      <w:pPr>
        <w:keepNext w:val="0"/>
        <w:keepLines w:val="0"/>
        <w:pageBreakBefore w:val="0"/>
        <w:widowControl w:val="0"/>
        <w:tabs>
          <w:tab w:val="left" w:pos="360"/>
        </w:tabs>
        <w:kinsoku/>
        <w:wordWrap/>
        <w:overflowPunct/>
        <w:topLinePunct w:val="0"/>
        <w:autoSpaceDE/>
        <w:autoSpaceDN/>
        <w:bidi w:val="0"/>
        <w:adjustRightInd/>
        <w:snapToGrid/>
        <w:spacing w:line="440" w:lineRule="exact"/>
        <w:textAlignment w:val="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         </w:t>
      </w:r>
    </w:p>
    <w:p w14:paraId="10A57563">
      <w:pPr>
        <w:keepNext w:val="0"/>
        <w:keepLines w:val="0"/>
        <w:pageBreakBefore w:val="0"/>
        <w:widowControl w:val="0"/>
        <w:tabs>
          <w:tab w:val="left" w:pos="360"/>
        </w:tabs>
        <w:kinsoku/>
        <w:wordWrap/>
        <w:overflowPunct/>
        <w:topLinePunct w:val="0"/>
        <w:autoSpaceDE/>
        <w:autoSpaceDN/>
        <w:bidi w:val="0"/>
        <w:adjustRightInd/>
        <w:snapToGrid/>
        <w:spacing w:line="440" w:lineRule="exact"/>
        <w:textAlignment w:val="auto"/>
        <w:rPr>
          <w:rFonts w:hint="eastAsia" w:ascii="Times New Roman" w:hAnsi="Times New Roman"/>
          <w:color w:val="auto"/>
          <w:sz w:val="24"/>
          <w:szCs w:val="24"/>
          <w:highlight w:val="none"/>
        </w:rPr>
      </w:pPr>
    </w:p>
    <w:p w14:paraId="4B6BAB02">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1200" w:firstLineChars="500"/>
        <w:textAlignment w:val="auto"/>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被授权人身份证号码：</w:t>
      </w:r>
      <w:r>
        <w:rPr>
          <w:rFonts w:hint="eastAsia" w:ascii="Times New Roman" w:hAnsi="Times New Roman"/>
          <w:color w:val="auto"/>
          <w:sz w:val="24"/>
          <w:szCs w:val="24"/>
          <w:highlight w:val="none"/>
          <w:u w:val="single"/>
        </w:rPr>
        <w:t xml:space="preserve">                              </w:t>
      </w:r>
    </w:p>
    <w:p w14:paraId="6F062DEE">
      <w:pPr>
        <w:keepNext w:val="0"/>
        <w:keepLines w:val="0"/>
        <w:pageBreakBefore w:val="0"/>
        <w:widowControl w:val="0"/>
        <w:tabs>
          <w:tab w:val="left" w:pos="360"/>
        </w:tabs>
        <w:kinsoku/>
        <w:wordWrap/>
        <w:overflowPunct/>
        <w:topLinePunct w:val="0"/>
        <w:autoSpaceDE/>
        <w:autoSpaceDN/>
        <w:bidi w:val="0"/>
        <w:adjustRightInd/>
        <w:snapToGrid/>
        <w:spacing w:line="440" w:lineRule="exact"/>
        <w:textAlignment w:val="auto"/>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w:t>
      </w:r>
      <w:r>
        <w:rPr>
          <w:rFonts w:hint="eastAsia" w:ascii="Times New Roman" w:hAnsi="Times New Roman"/>
          <w:color w:val="auto"/>
          <w:sz w:val="24"/>
          <w:szCs w:val="24"/>
          <w:highlight w:val="none"/>
          <w:lang w:val="en-US" w:eastAsia="zh-CN"/>
        </w:rPr>
        <w:t xml:space="preserve"> </w:t>
      </w:r>
      <w:r>
        <w:rPr>
          <w:rFonts w:hint="eastAsia" w:ascii="Times New Roman" w:hAnsi="Times New Roman"/>
          <w:color w:val="auto"/>
          <w:sz w:val="24"/>
          <w:szCs w:val="24"/>
          <w:highlight w:val="none"/>
        </w:rPr>
        <w:t>被授权人联系电话：（手机）</w:t>
      </w:r>
      <w:r>
        <w:rPr>
          <w:rFonts w:hint="eastAsia" w:ascii="Times New Roman" w:hAnsi="Times New Roman"/>
          <w:color w:val="auto"/>
          <w:sz w:val="24"/>
          <w:szCs w:val="24"/>
          <w:highlight w:val="none"/>
          <w:u w:val="single"/>
        </w:rPr>
        <w:t xml:space="preserve">                          </w:t>
      </w:r>
    </w:p>
    <w:p w14:paraId="7D087344">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1440" w:firstLineChars="600"/>
        <w:textAlignment w:val="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授权单位名称：</w:t>
      </w:r>
      <w:r>
        <w:rPr>
          <w:rFonts w:hint="eastAsia" w:ascii="Times New Roman" w:hAnsi="Times New Roman"/>
          <w:color w:val="auto"/>
          <w:sz w:val="24"/>
          <w:szCs w:val="24"/>
          <w:highlight w:val="none"/>
          <w:u w:val="single"/>
        </w:rPr>
        <w:t>（加盖CA电子公章）</w:t>
      </w:r>
    </w:p>
    <w:p w14:paraId="1A7DD2B0">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w:t>
      </w:r>
      <w:r>
        <w:rPr>
          <w:rFonts w:hint="eastAsia" w:ascii="Times New Roman" w:hAnsi="Times New Roman"/>
          <w:color w:val="auto"/>
          <w:sz w:val="24"/>
          <w:szCs w:val="24"/>
          <w:highlight w:val="none"/>
          <w:lang w:val="en-US" w:eastAsia="zh-CN"/>
        </w:rPr>
        <w:t xml:space="preserve"> </w:t>
      </w:r>
      <w:r>
        <w:rPr>
          <w:rFonts w:hint="eastAsia" w:ascii="Times New Roman" w:hAnsi="Times New Roman"/>
          <w:color w:val="auto"/>
          <w:sz w:val="24"/>
          <w:szCs w:val="24"/>
          <w:highlight w:val="none"/>
        </w:rPr>
        <w:t>单位地址：</w:t>
      </w:r>
      <w:r>
        <w:rPr>
          <w:rFonts w:hint="eastAsia" w:ascii="Times New Roman" w:hAnsi="Times New Roman"/>
          <w:color w:val="auto"/>
          <w:sz w:val="24"/>
          <w:szCs w:val="24"/>
          <w:highlight w:val="none"/>
          <w:u w:val="single"/>
        </w:rPr>
        <w:t xml:space="preserve">                                         </w:t>
      </w:r>
    </w:p>
    <w:p w14:paraId="0CB84FE7">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     </w:t>
      </w:r>
      <w:r>
        <w:rPr>
          <w:rFonts w:hint="eastAsia" w:ascii="Times New Roman" w:hAnsi="Times New Roman"/>
          <w:color w:val="auto"/>
          <w:sz w:val="24"/>
          <w:szCs w:val="24"/>
          <w:highlight w:val="none"/>
          <w:lang w:val="en-US" w:eastAsia="zh-CN"/>
        </w:rPr>
        <w:t xml:space="preserve"> </w:t>
      </w:r>
      <w:r>
        <w:rPr>
          <w:rFonts w:hint="eastAsia" w:ascii="Times New Roman" w:hAnsi="Times New Roman"/>
          <w:color w:val="auto"/>
          <w:sz w:val="24"/>
          <w:szCs w:val="24"/>
          <w:highlight w:val="none"/>
        </w:rPr>
        <w:t xml:space="preserve"> 日期：</w:t>
      </w:r>
      <w:r>
        <w:rPr>
          <w:rFonts w:hint="eastAsia" w:ascii="Times New Roman" w:hAnsi="Times New Roman"/>
          <w:color w:val="auto"/>
          <w:sz w:val="24"/>
          <w:szCs w:val="24"/>
          <w:highlight w:val="none"/>
          <w:u w:val="single"/>
        </w:rPr>
        <w:t xml:space="preserve">                                         </w:t>
      </w:r>
    </w:p>
    <w:p w14:paraId="67120A20">
      <w:pPr>
        <w:pStyle w:val="11"/>
        <w:spacing w:beforeAutospacing="0" w:afterAutospacing="0"/>
        <w:ind w:firstLine="420"/>
        <w:jc w:val="both"/>
        <w:rPr>
          <w:color w:val="auto"/>
          <w:highlight w:val="none"/>
        </w:rPr>
      </w:pPr>
      <w:r>
        <w:rPr>
          <w:color w:val="auto"/>
          <w:highlight w:val="none"/>
        </w:rPr>
        <w:t> </w:t>
      </w:r>
    </w:p>
    <w:p w14:paraId="0F25C9B1">
      <w:pPr>
        <w:pStyle w:val="11"/>
        <w:spacing w:beforeAutospacing="0" w:afterAutospacing="0"/>
        <w:jc w:val="both"/>
        <w:rPr>
          <w:color w:val="auto"/>
          <w:highlight w:val="none"/>
        </w:rPr>
      </w:pPr>
      <w:r>
        <w:rPr>
          <w:color w:val="auto"/>
          <w:highlight w:val="none"/>
        </w:rPr>
        <w:t> </w:t>
      </w:r>
    </w:p>
    <w:p w14:paraId="2C939425">
      <w:pPr>
        <w:pStyle w:val="11"/>
        <w:spacing w:beforeAutospacing="0" w:afterAutospacing="0"/>
        <w:jc w:val="both"/>
        <w:rPr>
          <w:color w:val="auto"/>
          <w:highlight w:val="none"/>
        </w:rPr>
      </w:pPr>
    </w:p>
    <w:p w14:paraId="2A2D6ACB">
      <w:pPr>
        <w:pStyle w:val="11"/>
        <w:spacing w:beforeAutospacing="0" w:afterAutospacing="0"/>
        <w:jc w:val="both"/>
        <w:rPr>
          <w:color w:val="auto"/>
          <w:highlight w:val="none"/>
        </w:rPr>
      </w:pPr>
    </w:p>
    <w:p w14:paraId="1D721CFF">
      <w:pPr>
        <w:pStyle w:val="11"/>
        <w:spacing w:beforeAutospacing="0" w:afterAutospacing="0"/>
        <w:jc w:val="both"/>
        <w:rPr>
          <w:color w:val="auto"/>
          <w:highlight w:val="none"/>
        </w:rPr>
      </w:pPr>
    </w:p>
    <w:p w14:paraId="096C64E3">
      <w:pPr>
        <w:pStyle w:val="11"/>
        <w:spacing w:beforeAutospacing="0" w:afterAutospacing="0"/>
        <w:jc w:val="both"/>
        <w:rPr>
          <w:color w:val="auto"/>
          <w:highlight w:val="none"/>
        </w:rPr>
      </w:pPr>
    </w:p>
    <w:p w14:paraId="6E7FAF4D">
      <w:pPr>
        <w:pStyle w:val="11"/>
        <w:spacing w:beforeAutospacing="0" w:afterAutospacing="0"/>
        <w:jc w:val="both"/>
        <w:rPr>
          <w:color w:val="auto"/>
          <w:highlight w:val="none"/>
        </w:rPr>
      </w:pPr>
    </w:p>
    <w:p w14:paraId="2E57C829">
      <w:pPr>
        <w:pStyle w:val="11"/>
        <w:spacing w:beforeAutospacing="0" w:afterAutospacing="0"/>
        <w:jc w:val="both"/>
        <w:rPr>
          <w:color w:val="auto"/>
          <w:highlight w:val="none"/>
        </w:rPr>
      </w:pPr>
    </w:p>
    <w:p w14:paraId="5B2DCB2C">
      <w:pPr>
        <w:pStyle w:val="11"/>
        <w:spacing w:beforeAutospacing="0" w:afterAutospacing="0"/>
        <w:jc w:val="both"/>
        <w:rPr>
          <w:color w:val="auto"/>
          <w:highlight w:val="none"/>
        </w:rPr>
      </w:pPr>
    </w:p>
    <w:p w14:paraId="3843F864">
      <w:pPr>
        <w:pStyle w:val="11"/>
        <w:spacing w:beforeAutospacing="0" w:afterAutospacing="0"/>
        <w:jc w:val="both"/>
        <w:rPr>
          <w:color w:val="auto"/>
          <w:highlight w:val="none"/>
        </w:rPr>
      </w:pPr>
    </w:p>
    <w:p w14:paraId="25AEE1B5">
      <w:pPr>
        <w:pStyle w:val="11"/>
        <w:spacing w:beforeAutospacing="0" w:afterAutospacing="0"/>
        <w:jc w:val="both"/>
        <w:rPr>
          <w:color w:val="auto"/>
          <w:highlight w:val="none"/>
        </w:rPr>
      </w:pPr>
    </w:p>
    <w:p w14:paraId="6E07BF1C">
      <w:pPr>
        <w:pStyle w:val="11"/>
        <w:spacing w:beforeAutospacing="0" w:afterAutospacing="0"/>
        <w:jc w:val="both"/>
        <w:rPr>
          <w:color w:val="auto"/>
          <w:highlight w:val="none"/>
        </w:rPr>
      </w:pPr>
    </w:p>
    <w:p w14:paraId="549A2812">
      <w:pPr>
        <w:pStyle w:val="11"/>
        <w:spacing w:beforeAutospacing="0" w:afterAutospacing="0"/>
        <w:jc w:val="both"/>
        <w:rPr>
          <w:color w:val="auto"/>
          <w:highlight w:val="none"/>
        </w:rPr>
      </w:pPr>
    </w:p>
    <w:p w14:paraId="2959F75A">
      <w:pPr>
        <w:pStyle w:val="11"/>
        <w:spacing w:beforeAutospacing="0" w:afterAutospacing="0"/>
        <w:jc w:val="both"/>
        <w:rPr>
          <w:color w:val="auto"/>
          <w:highlight w:val="none"/>
        </w:rPr>
      </w:pPr>
    </w:p>
    <w:p w14:paraId="38D3716D">
      <w:pPr>
        <w:pStyle w:val="11"/>
        <w:spacing w:beforeAutospacing="0" w:afterAutospacing="0"/>
        <w:jc w:val="both"/>
        <w:rPr>
          <w:color w:val="auto"/>
          <w:highlight w:val="none"/>
        </w:rPr>
      </w:pPr>
    </w:p>
    <w:p w14:paraId="106C8948">
      <w:pPr>
        <w:pStyle w:val="11"/>
        <w:spacing w:beforeAutospacing="0" w:afterAutospacing="0"/>
        <w:jc w:val="both"/>
        <w:rPr>
          <w:color w:val="auto"/>
          <w:highlight w:val="none"/>
        </w:rPr>
      </w:pPr>
    </w:p>
    <w:p w14:paraId="2413A003">
      <w:pPr>
        <w:pStyle w:val="11"/>
        <w:spacing w:beforeAutospacing="0" w:afterAutospacing="0"/>
        <w:jc w:val="both"/>
        <w:rPr>
          <w:color w:val="auto"/>
          <w:highlight w:val="none"/>
        </w:rPr>
      </w:pPr>
    </w:p>
    <w:p w14:paraId="701737DC">
      <w:pPr>
        <w:pStyle w:val="11"/>
        <w:spacing w:beforeAutospacing="0" w:afterAutospacing="0"/>
        <w:jc w:val="both"/>
        <w:rPr>
          <w:color w:val="auto"/>
          <w:highlight w:val="none"/>
        </w:rPr>
      </w:pPr>
    </w:p>
    <w:p w14:paraId="5E40565D">
      <w:pPr>
        <w:pStyle w:val="11"/>
        <w:keepNext/>
        <w:keepLines/>
        <w:spacing w:before="260" w:beforeAutospacing="0" w:after="260" w:afterAutospacing="0" w:line="415" w:lineRule="auto"/>
        <w:jc w:val="both"/>
        <w:rPr>
          <w:rFonts w:hint="eastAsia" w:ascii="宋体" w:hAnsi="宋体" w:eastAsia="宋体" w:cs="宋体"/>
          <w:b/>
          <w:color w:val="auto"/>
          <w:highlight w:val="none"/>
        </w:rPr>
      </w:pPr>
      <w:r>
        <w:rPr>
          <w:rFonts w:hint="eastAsia" w:ascii="宋体" w:hAnsi="宋体" w:eastAsia="宋体" w:cs="宋体"/>
          <w:b/>
          <w:color w:val="auto"/>
          <w:highlight w:val="none"/>
        </w:rPr>
        <w:t> </w:t>
      </w:r>
    </w:p>
    <w:p w14:paraId="47C469B0">
      <w:pPr>
        <w:pStyle w:val="11"/>
        <w:keepNext/>
        <w:keepLines/>
        <w:spacing w:before="260" w:beforeAutospacing="0" w:after="260" w:afterAutospacing="0" w:line="415" w:lineRule="auto"/>
        <w:jc w:val="center"/>
        <w:rPr>
          <w:color w:val="auto"/>
          <w:highlight w:val="none"/>
        </w:rPr>
      </w:pPr>
      <w:r>
        <w:rPr>
          <w:rFonts w:hint="eastAsia" w:ascii="黑体" w:hAnsi="宋体" w:eastAsia="黑体" w:cs="黑体"/>
          <w:b/>
          <w:i/>
          <w:color w:val="auto"/>
          <w:sz w:val="32"/>
          <w:szCs w:val="32"/>
          <w:highlight w:val="none"/>
          <w:u w:val="single"/>
        </w:rPr>
        <w:t>八、投标函</w:t>
      </w:r>
    </w:p>
    <w:p w14:paraId="1B24DD9F">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textAlignment w:val="auto"/>
        <w:rPr>
          <w:rFonts w:hint="eastAsia" w:eastAsia="宋体"/>
          <w:color w:val="auto"/>
          <w:highlight w:val="none"/>
          <w:lang w:eastAsia="zh-CN"/>
        </w:rPr>
      </w:pPr>
      <w:r>
        <w:rPr>
          <w:rFonts w:hint="eastAsia" w:ascii="宋体" w:hAnsi="宋体" w:eastAsia="宋体" w:cs="宋体"/>
          <w:color w:val="auto"/>
          <w:highlight w:val="none"/>
        </w:rPr>
        <w:t>致：</w:t>
      </w:r>
      <w:r>
        <w:rPr>
          <w:rFonts w:hint="eastAsia" w:ascii="宋体" w:hAnsi="宋体" w:eastAsia="宋体" w:cs="宋体"/>
          <w:color w:val="auto"/>
          <w:highlight w:val="none"/>
          <w:lang w:eastAsia="zh-CN"/>
        </w:rPr>
        <w:t>阜宁县公共资源代理机构</w:t>
      </w:r>
    </w:p>
    <w:p w14:paraId="42E7DC66">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textAlignment w:val="auto"/>
        <w:rPr>
          <w:color w:val="auto"/>
          <w:highlight w:val="none"/>
        </w:rPr>
      </w:pPr>
      <w:r>
        <w:rPr>
          <w:rFonts w:hint="eastAsia" w:ascii="宋体" w:hAnsi="宋体" w:eastAsia="宋体" w:cs="宋体"/>
          <w:color w:val="auto"/>
          <w:highlight w:val="none"/>
        </w:rPr>
        <w:t>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号招标文件，正式授权下述签字人_________________(姓名)代表我方______________（投标人的名称），全权处理本次项目投标的有关事宜。</w:t>
      </w:r>
    </w:p>
    <w:p w14:paraId="50CE1F3F">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textAlignment w:val="auto"/>
        <w:rPr>
          <w:color w:val="auto"/>
          <w:highlight w:val="none"/>
        </w:rPr>
      </w:pPr>
      <w:r>
        <w:rPr>
          <w:rFonts w:hint="eastAsia" w:ascii="宋体" w:hAnsi="宋体" w:eastAsia="宋体" w:cs="宋体"/>
          <w:color w:val="auto"/>
          <w:highlight w:val="none"/>
        </w:rPr>
        <w:t>据此函，_________</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姓名)签字人兹宣布同意如下：</w:t>
      </w:r>
    </w:p>
    <w:p w14:paraId="3429A5F4">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textAlignment w:val="auto"/>
        <w:rPr>
          <w:color w:val="auto"/>
          <w:highlight w:val="none"/>
        </w:rPr>
      </w:pPr>
      <w:r>
        <w:rPr>
          <w:rFonts w:hint="eastAsia" w:ascii="宋体" w:hAnsi="宋体" w:eastAsia="宋体" w:cs="宋体"/>
          <w:color w:val="auto"/>
          <w:highlight w:val="none"/>
        </w:rPr>
        <w:t>1.按招标文件规定的各项要求，向买方提供所需货物（包含与货物相关的服务）。</w:t>
      </w:r>
    </w:p>
    <w:p w14:paraId="6729D4AD">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textAlignment w:val="auto"/>
        <w:rPr>
          <w:color w:val="auto"/>
          <w:highlight w:val="none"/>
        </w:rPr>
      </w:pPr>
      <w:r>
        <w:rPr>
          <w:rFonts w:hint="eastAsia" w:ascii="宋体" w:hAnsi="宋体" w:eastAsia="宋体" w:cs="宋体"/>
          <w:color w:val="auto"/>
          <w:highlight w:val="none"/>
        </w:rPr>
        <w:t>2.我们完全理解贵方不一定将合同授予最低报价的投标人。</w:t>
      </w:r>
    </w:p>
    <w:p w14:paraId="726E8D2C">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textAlignment w:val="auto"/>
        <w:rPr>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7C48C33B">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textAlignment w:val="auto"/>
        <w:rPr>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39A6DADB">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textAlignment w:val="auto"/>
        <w:rPr>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3DACD161">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textAlignment w:val="auto"/>
        <w:rPr>
          <w:color w:val="auto"/>
          <w:highlight w:val="none"/>
        </w:rPr>
      </w:pPr>
      <w:r>
        <w:rPr>
          <w:rFonts w:hint="eastAsia" w:ascii="宋体" w:hAnsi="宋体" w:eastAsia="宋体" w:cs="宋体"/>
          <w:color w:val="auto"/>
          <w:highlight w:val="none"/>
        </w:rPr>
        <w:t>6.一旦我方中标,我方将根据招标文件的规定，严格履行合同的责任和义务,并保证在招标文件规定的时间完成项目，交付买方验收、使用。</w:t>
      </w:r>
    </w:p>
    <w:p w14:paraId="5CD6A7BE">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textAlignment w:val="auto"/>
        <w:rPr>
          <w:color w:val="auto"/>
          <w:highlight w:val="none"/>
        </w:rPr>
      </w:pPr>
      <w:r>
        <w:rPr>
          <w:rFonts w:hint="eastAsia" w:ascii="宋体" w:hAnsi="宋体" w:eastAsia="宋体" w:cs="宋体"/>
          <w:color w:val="auto"/>
          <w:highlight w:val="none"/>
        </w:rPr>
        <w:t>7.与本投标有关的正式通讯地址为：</w:t>
      </w:r>
    </w:p>
    <w:p w14:paraId="0F8E163C">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1024" w:firstLineChars="427"/>
        <w:textAlignment w:val="auto"/>
        <w:rPr>
          <w:color w:val="auto"/>
          <w:highlight w:val="none"/>
        </w:rPr>
      </w:pPr>
      <w:r>
        <w:rPr>
          <w:rFonts w:hint="eastAsia" w:ascii="宋体" w:hAnsi="宋体" w:eastAsia="宋体" w:cs="宋体"/>
          <w:color w:val="auto"/>
          <w:highlight w:val="none"/>
        </w:rPr>
        <w:t>地          址：</w:t>
      </w:r>
    </w:p>
    <w:p w14:paraId="5521915D">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1024" w:firstLineChars="427"/>
        <w:textAlignment w:val="auto"/>
        <w:rPr>
          <w:color w:val="auto"/>
          <w:highlight w:val="none"/>
        </w:rPr>
      </w:pPr>
      <w:r>
        <w:rPr>
          <w:rFonts w:hint="eastAsia" w:ascii="宋体" w:hAnsi="宋体" w:eastAsia="宋体" w:cs="宋体"/>
          <w:color w:val="auto"/>
          <w:highlight w:val="none"/>
        </w:rPr>
        <w:t>邮          编：</w:t>
      </w:r>
    </w:p>
    <w:p w14:paraId="26B35F56">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1024" w:firstLineChars="427"/>
        <w:textAlignment w:val="auto"/>
        <w:rPr>
          <w:color w:val="auto"/>
          <w:highlight w:val="none"/>
        </w:rPr>
      </w:pPr>
      <w:r>
        <w:rPr>
          <w:rFonts w:hint="eastAsia" w:ascii="宋体" w:hAnsi="宋体" w:eastAsia="宋体" w:cs="宋体"/>
          <w:color w:val="auto"/>
          <w:highlight w:val="none"/>
        </w:rPr>
        <w:t>电          话：</w:t>
      </w:r>
    </w:p>
    <w:p w14:paraId="4D973286">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1024" w:firstLineChars="427"/>
        <w:textAlignment w:val="auto"/>
        <w:rPr>
          <w:color w:val="auto"/>
          <w:highlight w:val="none"/>
        </w:rPr>
      </w:pPr>
      <w:r>
        <w:rPr>
          <w:rFonts w:hint="eastAsia" w:ascii="宋体" w:hAnsi="宋体" w:eastAsia="宋体" w:cs="宋体"/>
          <w:color w:val="auto"/>
          <w:highlight w:val="none"/>
        </w:rPr>
        <w:t>传          真：</w:t>
      </w:r>
    </w:p>
    <w:p w14:paraId="3A7CF084">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1024" w:firstLineChars="427"/>
        <w:textAlignment w:val="auto"/>
        <w:rPr>
          <w:color w:val="auto"/>
          <w:highlight w:val="none"/>
        </w:rPr>
      </w:pPr>
      <w:r>
        <w:rPr>
          <w:rFonts w:hint="eastAsia" w:ascii="宋体" w:hAnsi="宋体" w:eastAsia="宋体" w:cs="宋体"/>
          <w:color w:val="auto"/>
          <w:highlight w:val="none"/>
        </w:rPr>
        <w:t>投标人开户行：</w:t>
      </w:r>
    </w:p>
    <w:p w14:paraId="7A9BE478">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1024" w:firstLineChars="427"/>
        <w:textAlignment w:val="auto"/>
        <w:rPr>
          <w:color w:val="auto"/>
          <w:highlight w:val="none"/>
        </w:rPr>
      </w:pPr>
      <w:r>
        <w:rPr>
          <w:rFonts w:hint="eastAsia" w:ascii="宋体" w:hAnsi="宋体" w:eastAsia="宋体" w:cs="宋体"/>
          <w:color w:val="auto"/>
          <w:highlight w:val="none"/>
        </w:rPr>
        <w:t xml:space="preserve">账          号： </w:t>
      </w:r>
    </w:p>
    <w:p w14:paraId="3289D8DE">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firstLine="1024" w:firstLineChars="427"/>
        <w:textAlignment w:val="auto"/>
        <w:rPr>
          <w:color w:val="auto"/>
          <w:highlight w:val="none"/>
        </w:rPr>
      </w:pPr>
      <w:r>
        <w:rPr>
          <w:rFonts w:hint="eastAsia" w:ascii="宋体" w:hAnsi="宋体" w:eastAsia="宋体" w:cs="宋体"/>
          <w:color w:val="auto"/>
          <w:highlight w:val="none"/>
        </w:rPr>
        <w:t>日           期：________年____月____日</w:t>
      </w:r>
    </w:p>
    <w:p w14:paraId="55E92F80">
      <w:pPr>
        <w:pStyle w:val="11"/>
        <w:spacing w:beforeAutospacing="0" w:afterAutospacing="0" w:line="0" w:lineRule="atLeast"/>
        <w:ind w:firstLine="240"/>
        <w:jc w:val="center"/>
        <w:rPr>
          <w:color w:val="auto"/>
          <w:highlight w:val="none"/>
        </w:rPr>
      </w:pPr>
      <w:r>
        <w:rPr>
          <w:color w:val="auto"/>
          <w:highlight w:val="none"/>
        </w:rPr>
        <w:t> </w:t>
      </w:r>
    </w:p>
    <w:p w14:paraId="2581F8DF">
      <w:pPr>
        <w:pStyle w:val="11"/>
        <w:spacing w:beforeAutospacing="0" w:afterAutospacing="0" w:line="0" w:lineRule="atLeast"/>
        <w:ind w:firstLine="240"/>
        <w:jc w:val="center"/>
        <w:rPr>
          <w:color w:val="auto"/>
          <w:highlight w:val="none"/>
        </w:rPr>
      </w:pPr>
      <w:r>
        <w:rPr>
          <w:color w:val="auto"/>
          <w:highlight w:val="none"/>
        </w:rPr>
        <w:t> </w:t>
      </w:r>
    </w:p>
    <w:p w14:paraId="2556A19E">
      <w:pPr>
        <w:pStyle w:val="11"/>
        <w:spacing w:beforeAutospacing="0" w:afterAutospacing="0" w:line="0" w:lineRule="atLeast"/>
        <w:ind w:firstLine="240"/>
        <w:jc w:val="center"/>
        <w:rPr>
          <w:color w:val="auto"/>
          <w:highlight w:val="none"/>
        </w:rPr>
      </w:pPr>
      <w:r>
        <w:rPr>
          <w:color w:val="auto"/>
          <w:highlight w:val="none"/>
        </w:rPr>
        <w:t> </w:t>
      </w:r>
    </w:p>
    <w:p w14:paraId="104AC9EF">
      <w:pPr>
        <w:pStyle w:val="11"/>
        <w:spacing w:beforeAutospacing="0" w:afterAutospacing="0" w:line="0" w:lineRule="atLeast"/>
        <w:ind w:firstLine="240"/>
        <w:jc w:val="center"/>
        <w:rPr>
          <w:color w:val="auto"/>
          <w:highlight w:val="none"/>
        </w:rPr>
      </w:pPr>
      <w:r>
        <w:rPr>
          <w:color w:val="auto"/>
          <w:highlight w:val="none"/>
        </w:rPr>
        <w:t> </w:t>
      </w:r>
    </w:p>
    <w:p w14:paraId="74F92C1F">
      <w:pPr>
        <w:pStyle w:val="11"/>
        <w:spacing w:beforeAutospacing="0" w:afterAutospacing="0" w:line="0" w:lineRule="atLeast"/>
        <w:ind w:firstLine="240"/>
        <w:jc w:val="center"/>
        <w:rPr>
          <w:color w:val="auto"/>
          <w:highlight w:val="none"/>
        </w:rPr>
      </w:pPr>
      <w:r>
        <w:rPr>
          <w:color w:val="auto"/>
          <w:highlight w:val="none"/>
        </w:rPr>
        <w:t> </w:t>
      </w:r>
    </w:p>
    <w:p w14:paraId="2EB21085">
      <w:pPr>
        <w:pStyle w:val="11"/>
        <w:spacing w:beforeAutospacing="0" w:afterAutospacing="0" w:line="0" w:lineRule="atLeast"/>
        <w:ind w:firstLine="240"/>
        <w:jc w:val="center"/>
        <w:rPr>
          <w:color w:val="auto"/>
          <w:highlight w:val="none"/>
        </w:rPr>
      </w:pPr>
    </w:p>
    <w:p w14:paraId="123D4F4A">
      <w:pPr>
        <w:pStyle w:val="11"/>
        <w:spacing w:beforeAutospacing="0" w:afterAutospacing="0" w:line="0" w:lineRule="atLeast"/>
        <w:ind w:firstLine="240"/>
        <w:jc w:val="center"/>
        <w:rPr>
          <w:color w:val="auto"/>
          <w:highlight w:val="none"/>
        </w:rPr>
      </w:pPr>
    </w:p>
    <w:p w14:paraId="3E7CCA49">
      <w:pPr>
        <w:pStyle w:val="11"/>
        <w:keepNext/>
        <w:keepLines/>
        <w:spacing w:before="260" w:beforeAutospacing="0" w:after="260" w:afterAutospacing="0" w:line="415" w:lineRule="auto"/>
        <w:jc w:val="cente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t>九、小微企业声明函（货物）</w:t>
      </w:r>
    </w:p>
    <w:p w14:paraId="1DAA1E6A">
      <w:pPr>
        <w:pStyle w:val="11"/>
        <w:keepNext w:val="0"/>
        <w:keepLines w:val="0"/>
        <w:pageBreakBefore w:val="0"/>
        <w:widowControl w:val="0"/>
        <w:kinsoku/>
        <w:wordWrap/>
        <w:overflowPunct/>
        <w:topLinePunct w:val="0"/>
        <w:autoSpaceDE/>
        <w:autoSpaceDN/>
        <w:bidi w:val="0"/>
        <w:adjustRightInd/>
        <w:snapToGrid/>
        <w:spacing w:beforeAutospacing="0" w:afterAutospacing="0" w:line="460" w:lineRule="exact"/>
        <w:ind w:right="0" w:firstLine="650" w:firstLineChars="271"/>
        <w:jc w:val="both"/>
        <w:textAlignment w:val="auto"/>
        <w:rPr>
          <w:color w:val="auto"/>
          <w:highlight w:val="none"/>
        </w:rPr>
      </w:pPr>
      <w:r>
        <w:rPr>
          <w:rFonts w:hint="eastAsia" w:ascii="宋体" w:hAnsi="宋体" w:eastAsia="宋体" w:cs="宋体"/>
          <w:color w:val="auto"/>
          <w:highlight w:val="none"/>
        </w:rPr>
        <w:t>本公司（联合体）郑重声明，根据《政府采购促进中小企业发展管理办法》(财库[2020]46号)的规定，本公司（联合体）参加</w:t>
      </w:r>
      <w:r>
        <w:rPr>
          <w:rFonts w:hint="eastAsia" w:ascii="宋体" w:hAnsi="宋体" w:eastAsia="宋体" w:cs="宋体"/>
          <w:color w:val="auto"/>
          <w:highlight w:val="none"/>
          <w:lang w:eastAsia="zh-CN"/>
        </w:rPr>
        <w:t>阜宁县公共资源代理机构</w:t>
      </w:r>
      <w:r>
        <w:rPr>
          <w:rFonts w:hint="eastAsia" w:ascii="宋体" w:hAnsi="宋体" w:eastAsia="宋体" w:cs="宋体"/>
          <w:color w:val="auto"/>
          <w:highlight w:val="none"/>
        </w:rPr>
        <w:t>组织的</w:t>
      </w:r>
      <w:r>
        <w:rPr>
          <w:rFonts w:hint="eastAsia" w:ascii="宋体" w:hAnsi="宋体" w:eastAsia="宋体" w:cs="宋体"/>
          <w:color w:val="auto"/>
          <w:highlight w:val="none"/>
          <w:u w:val="single"/>
        </w:rPr>
        <w:t>（单位名称）</w:t>
      </w:r>
      <w:r>
        <w:rPr>
          <w:rFonts w:hint="eastAsia" w:ascii="宋体" w:hAnsi="宋体" w:eastAsia="宋体" w:cs="宋体"/>
          <w:color w:val="auto"/>
          <w:highlight w:val="none"/>
        </w:rPr>
        <w:t>采购编号为</w:t>
      </w:r>
      <w:r>
        <w:rPr>
          <w:rFonts w:hint="eastAsia" w:ascii="宋体" w:hAnsi="宋体" w:eastAsia="宋体" w:cs="宋体"/>
          <w:color w:val="auto"/>
          <w:highlight w:val="none"/>
          <w:u w:val="single"/>
        </w:rPr>
        <w:t>***</w:t>
      </w:r>
      <w:r>
        <w:rPr>
          <w:rFonts w:hint="eastAsia" w:ascii="宋体" w:hAnsi="宋体" w:eastAsia="宋体" w:cs="宋体"/>
          <w:color w:val="auto"/>
          <w:highlight w:val="none"/>
        </w:rPr>
        <w:t>，</w:t>
      </w:r>
      <w:r>
        <w:rPr>
          <w:rFonts w:hint="eastAsia" w:ascii="宋体" w:hAnsi="宋体" w:eastAsia="宋体" w:cs="宋体"/>
          <w:color w:val="auto"/>
          <w:highlight w:val="none"/>
          <w:u w:val="single"/>
        </w:rPr>
        <w:t>（项目名称）</w:t>
      </w:r>
      <w:r>
        <w:rPr>
          <w:rFonts w:hint="eastAsia" w:ascii="宋体" w:hAnsi="宋体" w:eastAsia="宋体" w:cs="宋体"/>
          <w:color w:val="auto"/>
          <w:highlight w:val="none"/>
        </w:rPr>
        <w:t>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2E4078BC">
      <w:pPr>
        <w:pStyle w:val="11"/>
        <w:keepNext w:val="0"/>
        <w:keepLines w:val="0"/>
        <w:pageBreakBefore w:val="0"/>
        <w:widowControl w:val="0"/>
        <w:kinsoku/>
        <w:wordWrap/>
        <w:overflowPunct/>
        <w:topLinePunct w:val="0"/>
        <w:autoSpaceDE/>
        <w:autoSpaceDN/>
        <w:bidi w:val="0"/>
        <w:adjustRightInd/>
        <w:snapToGrid/>
        <w:spacing w:beforeAutospacing="0" w:afterAutospacing="0" w:line="460" w:lineRule="exact"/>
        <w:ind w:right="0" w:firstLine="650" w:firstLineChars="271"/>
        <w:jc w:val="both"/>
        <w:textAlignment w:val="auto"/>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u w:val="single"/>
        </w:rPr>
        <w:t>（标的名称）</w:t>
      </w:r>
      <w:r>
        <w:rPr>
          <w:rFonts w:hint="eastAsia" w:ascii="宋体" w:hAnsi="宋体" w:eastAsia="宋体" w:cs="宋体"/>
          <w:i/>
          <w:color w:val="auto"/>
          <w:highlight w:val="non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行业；制造商为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（小型企业、微型企业）；</w:t>
      </w:r>
    </w:p>
    <w:p w14:paraId="12C041E4">
      <w:pPr>
        <w:pStyle w:val="11"/>
        <w:keepNext w:val="0"/>
        <w:keepLines w:val="0"/>
        <w:pageBreakBefore w:val="0"/>
        <w:widowControl w:val="0"/>
        <w:kinsoku/>
        <w:wordWrap/>
        <w:overflowPunct/>
        <w:topLinePunct w:val="0"/>
        <w:autoSpaceDE/>
        <w:autoSpaceDN/>
        <w:bidi w:val="0"/>
        <w:adjustRightInd/>
        <w:snapToGrid/>
        <w:spacing w:beforeAutospacing="0" w:afterAutospacing="0" w:line="460" w:lineRule="exact"/>
        <w:ind w:right="0" w:firstLine="650" w:firstLineChars="271"/>
        <w:jc w:val="both"/>
        <w:textAlignment w:val="auto"/>
        <w:rPr>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u w:val="single"/>
        </w:rPr>
        <w:t>（标的名称）</w:t>
      </w:r>
      <w:r>
        <w:rPr>
          <w:rFonts w:hint="eastAsia" w:ascii="宋体" w:hAnsi="宋体" w:eastAsia="宋体" w:cs="宋体"/>
          <w:i/>
          <w:color w:val="auto"/>
          <w:highlight w:val="non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行业；制造商为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（小型企业、微型企业）；</w:t>
      </w:r>
    </w:p>
    <w:p w14:paraId="66EED517">
      <w:pPr>
        <w:pStyle w:val="11"/>
        <w:keepNext w:val="0"/>
        <w:keepLines w:val="0"/>
        <w:pageBreakBefore w:val="0"/>
        <w:widowControl w:val="0"/>
        <w:kinsoku/>
        <w:wordWrap/>
        <w:overflowPunct/>
        <w:topLinePunct w:val="0"/>
        <w:autoSpaceDE/>
        <w:autoSpaceDN/>
        <w:bidi w:val="0"/>
        <w:adjustRightInd/>
        <w:snapToGrid/>
        <w:spacing w:beforeAutospacing="0" w:afterAutospacing="0" w:line="460" w:lineRule="exact"/>
        <w:ind w:right="0" w:firstLine="360"/>
        <w:jc w:val="both"/>
        <w:textAlignment w:val="auto"/>
        <w:rPr>
          <w:color w:val="auto"/>
          <w:highlight w:val="none"/>
        </w:rPr>
      </w:pPr>
      <w:r>
        <w:rPr>
          <w:rFonts w:hint="eastAsia" w:ascii="宋体" w:hAnsi="宋体" w:eastAsia="宋体" w:cs="宋体"/>
          <w:color w:val="auto"/>
          <w:highlight w:val="none"/>
        </w:rPr>
        <w:t>……</w:t>
      </w:r>
    </w:p>
    <w:p w14:paraId="17A0DD82">
      <w:pPr>
        <w:pStyle w:val="11"/>
        <w:keepNext w:val="0"/>
        <w:keepLines w:val="0"/>
        <w:pageBreakBefore w:val="0"/>
        <w:widowControl w:val="0"/>
        <w:kinsoku/>
        <w:wordWrap/>
        <w:overflowPunct/>
        <w:topLinePunct w:val="0"/>
        <w:autoSpaceDE/>
        <w:autoSpaceDN/>
        <w:bidi w:val="0"/>
        <w:adjustRightInd/>
        <w:snapToGrid/>
        <w:spacing w:beforeAutospacing="0" w:afterAutospacing="0" w:line="460" w:lineRule="exact"/>
        <w:ind w:right="0" w:firstLine="650" w:firstLineChars="271"/>
        <w:jc w:val="both"/>
        <w:textAlignment w:val="auto"/>
        <w:rPr>
          <w:color w:val="auto"/>
          <w:highlight w:val="none"/>
        </w:rPr>
      </w:pPr>
      <w:r>
        <w:rPr>
          <w:rFonts w:hint="eastAsia" w:ascii="宋体" w:hAnsi="宋体" w:eastAsia="宋体" w:cs="宋体"/>
          <w:color w:val="auto"/>
          <w:highlight w:val="none"/>
        </w:rPr>
        <w:t>以上企业，不属于大企业的分支机构，不存在控股股东为大企业的情形，也不存在与大企业的负责人为同一人的情形。</w:t>
      </w:r>
    </w:p>
    <w:p w14:paraId="6586B331">
      <w:pPr>
        <w:pStyle w:val="11"/>
        <w:keepNext w:val="0"/>
        <w:keepLines w:val="0"/>
        <w:pageBreakBefore w:val="0"/>
        <w:widowControl w:val="0"/>
        <w:kinsoku/>
        <w:wordWrap/>
        <w:overflowPunct/>
        <w:topLinePunct w:val="0"/>
        <w:autoSpaceDE/>
        <w:autoSpaceDN/>
        <w:bidi w:val="0"/>
        <w:adjustRightInd/>
        <w:snapToGrid/>
        <w:spacing w:beforeAutospacing="0" w:afterAutospacing="0" w:line="460" w:lineRule="exact"/>
        <w:ind w:right="0" w:firstLine="650" w:firstLineChars="271"/>
        <w:jc w:val="both"/>
        <w:textAlignment w:val="auto"/>
        <w:rPr>
          <w:color w:val="auto"/>
          <w:highlight w:val="none"/>
        </w:rPr>
      </w:pPr>
      <w:r>
        <w:rPr>
          <w:rFonts w:hint="eastAsia" w:ascii="宋体" w:hAnsi="宋体" w:eastAsia="宋体" w:cs="宋体"/>
          <w:color w:val="auto"/>
          <w:highlight w:val="none"/>
        </w:rPr>
        <w:t>本企业对上述声明内容的真实性负责。如有虚假，将依法承担相应责任</w:t>
      </w:r>
    </w:p>
    <w:p w14:paraId="6B8AFF64">
      <w:pPr>
        <w:pStyle w:val="11"/>
        <w:keepNext w:val="0"/>
        <w:keepLines w:val="0"/>
        <w:pageBreakBefore w:val="0"/>
        <w:widowControl w:val="0"/>
        <w:kinsoku/>
        <w:wordWrap/>
        <w:overflowPunct/>
        <w:topLinePunct w:val="0"/>
        <w:autoSpaceDE/>
        <w:autoSpaceDN/>
        <w:bidi w:val="0"/>
        <w:adjustRightInd/>
        <w:snapToGrid/>
        <w:spacing w:beforeAutospacing="0" w:afterAutospacing="0" w:line="460" w:lineRule="exact"/>
        <w:ind w:right="0"/>
        <w:jc w:val="both"/>
        <w:textAlignment w:val="auto"/>
        <w:rPr>
          <w:color w:val="auto"/>
          <w:highlight w:val="none"/>
        </w:rPr>
      </w:pPr>
      <w:r>
        <w:rPr>
          <w:color w:val="auto"/>
          <w:highlight w:val="none"/>
        </w:rPr>
        <w:t> </w:t>
      </w:r>
    </w:p>
    <w:p w14:paraId="2CCDF2A6">
      <w:pPr>
        <w:pStyle w:val="11"/>
        <w:keepNext w:val="0"/>
        <w:keepLines w:val="0"/>
        <w:pageBreakBefore w:val="0"/>
        <w:widowControl w:val="0"/>
        <w:kinsoku/>
        <w:wordWrap/>
        <w:overflowPunct/>
        <w:topLinePunct w:val="0"/>
        <w:autoSpaceDE/>
        <w:autoSpaceDN/>
        <w:bidi w:val="0"/>
        <w:adjustRightInd/>
        <w:snapToGrid/>
        <w:spacing w:beforeAutospacing="0" w:afterAutospacing="0" w:line="460" w:lineRule="exact"/>
        <w:ind w:right="0" w:firstLine="360"/>
        <w:jc w:val="right"/>
        <w:textAlignment w:val="auto"/>
        <w:rPr>
          <w:color w:val="auto"/>
          <w:highlight w:val="none"/>
        </w:rPr>
      </w:pPr>
      <w:r>
        <w:rPr>
          <w:rFonts w:hint="eastAsia" w:ascii="宋体" w:hAnsi="宋体" w:eastAsia="宋体" w:cs="宋体"/>
          <w:color w:val="auto"/>
          <w:highlight w:val="none"/>
        </w:rPr>
        <w:t>企业名称（加盖CA电子公章）：</w:t>
      </w:r>
    </w:p>
    <w:p w14:paraId="0E31C992">
      <w:pPr>
        <w:pStyle w:val="11"/>
        <w:keepNext w:val="0"/>
        <w:keepLines w:val="0"/>
        <w:pageBreakBefore w:val="0"/>
        <w:widowControl w:val="0"/>
        <w:kinsoku/>
        <w:wordWrap/>
        <w:overflowPunct/>
        <w:topLinePunct w:val="0"/>
        <w:autoSpaceDE/>
        <w:autoSpaceDN/>
        <w:bidi w:val="0"/>
        <w:adjustRightInd/>
        <w:snapToGrid/>
        <w:spacing w:beforeAutospacing="0" w:afterAutospacing="0" w:line="460" w:lineRule="exact"/>
        <w:ind w:right="0" w:firstLine="5400"/>
        <w:jc w:val="both"/>
        <w:textAlignment w:val="auto"/>
        <w:rPr>
          <w:color w:val="auto"/>
          <w:highlight w:val="none"/>
        </w:rPr>
      </w:pPr>
      <w:r>
        <w:rPr>
          <w:rFonts w:hint="eastAsia" w:ascii="宋体" w:hAnsi="宋体" w:eastAsia="宋体" w:cs="宋体"/>
          <w:color w:val="auto"/>
          <w:highlight w:val="none"/>
        </w:rPr>
        <w:t>日  期：</w:t>
      </w:r>
    </w:p>
    <w:p w14:paraId="756E4A8B">
      <w:pPr>
        <w:pStyle w:val="11"/>
        <w:keepNext w:val="0"/>
        <w:keepLines w:val="0"/>
        <w:pageBreakBefore w:val="0"/>
        <w:widowControl w:val="0"/>
        <w:kinsoku/>
        <w:wordWrap/>
        <w:overflowPunct/>
        <w:topLinePunct w:val="0"/>
        <w:autoSpaceDE/>
        <w:autoSpaceDN/>
        <w:bidi w:val="0"/>
        <w:adjustRightInd/>
        <w:snapToGrid/>
        <w:spacing w:beforeAutospacing="0" w:afterAutospacing="0" w:line="460" w:lineRule="exact"/>
        <w:ind w:right="0" w:firstLine="360"/>
        <w:jc w:val="both"/>
        <w:textAlignment w:val="auto"/>
        <w:rPr>
          <w:color w:val="auto"/>
          <w:highlight w:val="none"/>
        </w:rPr>
      </w:pPr>
      <w:r>
        <w:rPr>
          <w:color w:val="auto"/>
          <w:highlight w:val="none"/>
        </w:rPr>
        <w:t> </w:t>
      </w:r>
    </w:p>
    <w:p w14:paraId="4F7C194B">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color w:val="auto"/>
          <w:sz w:val="22"/>
          <w:szCs w:val="22"/>
          <w:highlight w:val="none"/>
        </w:rPr>
      </w:pPr>
      <w:r>
        <w:rPr>
          <w:rFonts w:hint="eastAsia" w:ascii="宋体" w:hAnsi="宋体" w:eastAsia="宋体" w:cs="宋体"/>
          <w:color w:val="auto"/>
          <w:sz w:val="22"/>
          <w:szCs w:val="22"/>
          <w:highlight w:val="none"/>
        </w:rPr>
        <w:t>备注1：从业人员、营业收入、资产总额填报上一年度数据，无上一年度数据的新成立企业可不填报。</w:t>
      </w:r>
    </w:p>
    <w:p w14:paraId="00412EAB">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color w:val="auto"/>
          <w:sz w:val="22"/>
          <w:szCs w:val="22"/>
          <w:highlight w:val="none"/>
        </w:rPr>
      </w:pPr>
      <w:r>
        <w:rPr>
          <w:rFonts w:hint="eastAsia" w:ascii="宋体" w:hAnsi="宋体" w:eastAsia="宋体" w:cs="宋体"/>
          <w:color w:val="auto"/>
          <w:sz w:val="22"/>
          <w:szCs w:val="22"/>
          <w:highlight w:val="none"/>
        </w:rPr>
        <w:t>备注2：供应商如不提供此声明函，价格将不做相应扣除</w:t>
      </w:r>
      <w:r>
        <w:rPr>
          <w:rFonts w:hint="eastAsia" w:ascii="宋体" w:hAnsi="宋体" w:eastAsia="宋体" w:cs="宋体"/>
          <w:color w:val="auto"/>
          <w:sz w:val="22"/>
          <w:szCs w:val="22"/>
          <w:highlight w:val="none"/>
          <w:lang w:eastAsia="zh-CN"/>
        </w:rPr>
        <w:t>（如项目全面面向中小企业，则资格审查不通过）</w:t>
      </w:r>
      <w:r>
        <w:rPr>
          <w:rFonts w:hint="eastAsia" w:ascii="宋体" w:hAnsi="宋体" w:eastAsia="宋体" w:cs="宋体"/>
          <w:color w:val="auto"/>
          <w:sz w:val="22"/>
          <w:szCs w:val="22"/>
          <w:highlight w:val="none"/>
        </w:rPr>
        <w:t>。</w:t>
      </w:r>
    </w:p>
    <w:p w14:paraId="027ED83F">
      <w:pPr>
        <w:pStyle w:val="11"/>
        <w:spacing w:beforeAutospacing="0" w:afterAutospacing="0" w:line="0" w:lineRule="atLeast"/>
        <w:jc w:val="cente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2837480E">
      <w:pPr>
        <w:pStyle w:val="11"/>
        <w:spacing w:beforeAutospacing="0" w:afterAutospacing="0" w:line="0" w:lineRule="atLeast"/>
        <w:jc w:val="cente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w:t>
      </w:r>
    </w:p>
    <w:p w14:paraId="0BAB9361">
      <w:pPr>
        <w:pStyle w:val="11"/>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残疾人福利性单位声明函</w:t>
      </w:r>
    </w:p>
    <w:p w14:paraId="64F068F2">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right="0" w:firstLine="480"/>
        <w:jc w:val="both"/>
        <w:textAlignment w:val="auto"/>
        <w:rPr>
          <w:rFonts w:hint="eastAsia" w:ascii="宋体" w:hAnsi="宋体" w:eastAsia="宋体" w:cs="宋体"/>
          <w:color w:val="auto"/>
          <w:sz w:val="24"/>
          <w:szCs w:val="24"/>
          <w:highlight w:val="none"/>
        </w:rPr>
      </w:pPr>
    </w:p>
    <w:p w14:paraId="5E1C93DB">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right="0" w:firstLine="480"/>
        <w:jc w:val="both"/>
        <w:textAlignment w:val="auto"/>
        <w:rPr>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项目采购活动由本单位提供服务。</w:t>
      </w:r>
    </w:p>
    <w:p w14:paraId="5767098A">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right="0" w:firstLine="480"/>
        <w:jc w:val="both"/>
        <w:textAlignment w:val="auto"/>
        <w:rPr>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37686C11">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right="0" w:firstLine="480"/>
        <w:jc w:val="both"/>
        <w:textAlignment w:val="auto"/>
        <w:rPr>
          <w:color w:val="auto"/>
          <w:sz w:val="24"/>
          <w:szCs w:val="24"/>
          <w:highlight w:val="none"/>
        </w:rPr>
      </w:pPr>
      <w:r>
        <w:rPr>
          <w:color w:val="auto"/>
          <w:sz w:val="24"/>
          <w:szCs w:val="24"/>
          <w:highlight w:val="none"/>
        </w:rPr>
        <w:t> </w:t>
      </w:r>
    </w:p>
    <w:p w14:paraId="401DC521">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right="0" w:firstLine="480"/>
        <w:jc w:val="both"/>
        <w:textAlignment w:val="auto"/>
        <w:rPr>
          <w:color w:val="auto"/>
          <w:sz w:val="24"/>
          <w:szCs w:val="24"/>
          <w:highlight w:val="none"/>
        </w:rPr>
      </w:pPr>
      <w:r>
        <w:rPr>
          <w:rFonts w:hint="eastAsia" w:ascii="宋体" w:hAnsi="宋体" w:eastAsia="宋体" w:cs="宋体"/>
          <w:color w:val="auto"/>
          <w:sz w:val="24"/>
          <w:szCs w:val="24"/>
          <w:highlight w:val="none"/>
        </w:rPr>
        <w:t>（备注：1、供应商如不提供此声明函，价格将不做相应扣除。2、中标人为残疾人福利单位的，此声明函将随中标结果同时公告，接受社会监督）</w:t>
      </w:r>
    </w:p>
    <w:p w14:paraId="39DC7A2A">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right="0" w:firstLine="624"/>
        <w:jc w:val="both"/>
        <w:textAlignment w:val="auto"/>
        <w:rPr>
          <w:color w:val="auto"/>
          <w:sz w:val="24"/>
          <w:szCs w:val="24"/>
          <w:highlight w:val="none"/>
        </w:rPr>
      </w:pPr>
      <w:r>
        <w:rPr>
          <w:color w:val="auto"/>
          <w:sz w:val="24"/>
          <w:szCs w:val="24"/>
          <w:highlight w:val="none"/>
        </w:rPr>
        <w:t> </w:t>
      </w:r>
    </w:p>
    <w:p w14:paraId="6FCA824A">
      <w:pPr>
        <w:pStyle w:val="11"/>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420" w:lineRule="exact"/>
        <w:ind w:right="0" w:firstLine="624"/>
        <w:jc w:val="center"/>
        <w:textAlignment w:val="auto"/>
        <w:rPr>
          <w:color w:val="auto"/>
          <w:sz w:val="24"/>
          <w:szCs w:val="24"/>
          <w:highlight w:val="none"/>
        </w:rPr>
      </w:pPr>
      <w:r>
        <w:rPr>
          <w:rFonts w:ascii="仿宋_GB2312" w:eastAsia="仿宋_GB2312" w:cs="仿宋_GB2312"/>
          <w:color w:val="auto"/>
          <w:sz w:val="24"/>
          <w:szCs w:val="24"/>
          <w:highlight w:val="none"/>
        </w:rPr>
        <w:t xml:space="preserve">             </w:t>
      </w:r>
      <w:r>
        <w:rPr>
          <w:rFonts w:hint="eastAsia" w:ascii="宋体" w:hAnsi="宋体" w:eastAsia="宋体" w:cs="宋体"/>
          <w:color w:val="auto"/>
          <w:sz w:val="24"/>
          <w:szCs w:val="24"/>
          <w:highlight w:val="none"/>
        </w:rPr>
        <w:t>          供应商全称（加盖CA电子公章）：</w:t>
      </w:r>
    </w:p>
    <w:p w14:paraId="7243A4CE">
      <w:pPr>
        <w:pStyle w:val="11"/>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420" w:lineRule="exact"/>
        <w:ind w:right="0" w:firstLine="480"/>
        <w:jc w:val="center"/>
        <w:textAlignment w:val="auto"/>
        <w:rPr>
          <w:color w:val="auto"/>
          <w:sz w:val="24"/>
          <w:szCs w:val="24"/>
          <w:highlight w:val="none"/>
        </w:rPr>
      </w:pPr>
      <w:r>
        <w:rPr>
          <w:rFonts w:hint="eastAsia" w:ascii="宋体" w:hAnsi="宋体" w:eastAsia="宋体" w:cs="宋体"/>
          <w:color w:val="auto"/>
          <w:sz w:val="24"/>
          <w:szCs w:val="24"/>
          <w:highlight w:val="none"/>
        </w:rPr>
        <w:t>        日  期：</w:t>
      </w:r>
    </w:p>
    <w:p w14:paraId="6F53E7F6">
      <w:pPr>
        <w:pStyle w:val="11"/>
        <w:spacing w:beforeAutospacing="0" w:afterAutospacing="0" w:line="0" w:lineRule="atLeast"/>
        <w:jc w:val="center"/>
        <w:rPr>
          <w:color w:val="auto"/>
          <w:highlight w:val="none"/>
        </w:rPr>
      </w:pPr>
    </w:p>
    <w:p w14:paraId="2F822DDF">
      <w:pPr>
        <w:pStyle w:val="11"/>
        <w:spacing w:beforeAutospacing="0" w:afterAutospacing="0" w:line="0" w:lineRule="atLeast"/>
        <w:jc w:val="center"/>
        <w:rPr>
          <w:color w:val="auto"/>
          <w:highlight w:val="none"/>
        </w:rPr>
      </w:pPr>
      <w:r>
        <w:rPr>
          <w:color w:val="auto"/>
          <w:highlight w:val="none"/>
        </w:rPr>
        <w:t> </w:t>
      </w:r>
    </w:p>
    <w:p w14:paraId="1947103E">
      <w:pPr>
        <w:pStyle w:val="11"/>
        <w:spacing w:beforeAutospacing="0" w:afterAutospacing="0" w:line="0" w:lineRule="atLeast"/>
        <w:jc w:val="center"/>
        <w:rPr>
          <w:color w:val="auto"/>
          <w:highlight w:val="none"/>
        </w:rPr>
      </w:pPr>
    </w:p>
    <w:p w14:paraId="15E49E3D">
      <w:pPr>
        <w:pStyle w:val="11"/>
        <w:spacing w:beforeAutospacing="0" w:afterAutospacing="0" w:line="0" w:lineRule="atLeast"/>
        <w:jc w:val="center"/>
        <w:rPr>
          <w:color w:val="auto"/>
          <w:highlight w:val="none"/>
        </w:rPr>
      </w:pPr>
      <w:r>
        <w:rPr>
          <w:color w:val="auto"/>
          <w:highlight w:val="none"/>
        </w:rPr>
        <w:t> </w:t>
      </w:r>
    </w:p>
    <w:p w14:paraId="0A601C21">
      <w:pPr>
        <w:pStyle w:val="11"/>
        <w:spacing w:beforeAutospacing="0" w:afterAutospacing="0" w:line="0" w:lineRule="atLeast"/>
        <w:jc w:val="center"/>
        <w:rPr>
          <w:color w:val="auto"/>
          <w:highlight w:val="none"/>
        </w:rPr>
      </w:pPr>
      <w:r>
        <w:rPr>
          <w:color w:val="auto"/>
          <w:highlight w:val="none"/>
        </w:rPr>
        <w:t> </w:t>
      </w:r>
    </w:p>
    <w:p w14:paraId="26FADEE7">
      <w:pPr>
        <w:pStyle w:val="11"/>
        <w:spacing w:beforeAutospacing="0" w:afterAutospacing="0" w:line="0" w:lineRule="atLeast"/>
        <w:jc w:val="center"/>
        <w:rPr>
          <w:color w:val="auto"/>
          <w:highlight w:val="none"/>
        </w:rPr>
      </w:pPr>
      <w:r>
        <w:rPr>
          <w:color w:val="auto"/>
          <w:highlight w:val="none"/>
        </w:rPr>
        <w:t> </w:t>
      </w:r>
    </w:p>
    <w:p w14:paraId="1E5D3A3E">
      <w:pPr>
        <w:pStyle w:val="11"/>
        <w:spacing w:beforeAutospacing="0" w:afterAutospacing="0" w:line="0" w:lineRule="atLeast"/>
        <w:jc w:val="center"/>
        <w:rPr>
          <w:color w:val="auto"/>
          <w:highlight w:val="none"/>
        </w:rPr>
      </w:pPr>
      <w:r>
        <w:rPr>
          <w:color w:val="auto"/>
          <w:highlight w:val="none"/>
        </w:rPr>
        <w:t> </w:t>
      </w:r>
    </w:p>
    <w:p w14:paraId="2488157E">
      <w:pPr>
        <w:pStyle w:val="11"/>
        <w:spacing w:beforeAutospacing="0" w:afterAutospacing="0" w:line="0" w:lineRule="atLeast"/>
        <w:jc w:val="center"/>
        <w:rPr>
          <w:color w:val="auto"/>
          <w:highlight w:val="none"/>
        </w:rPr>
      </w:pPr>
    </w:p>
    <w:p w14:paraId="72DE6AC7">
      <w:pPr>
        <w:pStyle w:val="11"/>
        <w:spacing w:beforeAutospacing="0" w:afterAutospacing="0" w:line="0" w:lineRule="atLeast"/>
        <w:jc w:val="center"/>
        <w:rPr>
          <w:color w:val="auto"/>
          <w:highlight w:val="none"/>
        </w:rPr>
      </w:pPr>
    </w:p>
    <w:p w14:paraId="6B21DF85">
      <w:pPr>
        <w:pStyle w:val="11"/>
        <w:spacing w:beforeAutospacing="0" w:afterAutospacing="0" w:line="0" w:lineRule="atLeast"/>
        <w:jc w:val="center"/>
        <w:rPr>
          <w:color w:val="auto"/>
          <w:highlight w:val="none"/>
        </w:rPr>
      </w:pPr>
    </w:p>
    <w:p w14:paraId="2DF2C44C">
      <w:pPr>
        <w:pStyle w:val="11"/>
        <w:spacing w:beforeAutospacing="0" w:afterAutospacing="0" w:line="0" w:lineRule="atLeast"/>
        <w:jc w:val="center"/>
        <w:rPr>
          <w:color w:val="auto"/>
          <w:highlight w:val="none"/>
        </w:rPr>
      </w:pPr>
    </w:p>
    <w:p w14:paraId="232CE6E5">
      <w:pPr>
        <w:pStyle w:val="11"/>
        <w:spacing w:beforeAutospacing="0" w:afterAutospacing="0" w:line="0" w:lineRule="atLeast"/>
        <w:jc w:val="center"/>
        <w:rPr>
          <w:color w:val="auto"/>
          <w:highlight w:val="none"/>
        </w:rPr>
      </w:pPr>
    </w:p>
    <w:p w14:paraId="6189F165">
      <w:pPr>
        <w:pStyle w:val="11"/>
        <w:spacing w:beforeAutospacing="0" w:afterAutospacing="0" w:line="0" w:lineRule="atLeast"/>
        <w:jc w:val="center"/>
        <w:rPr>
          <w:color w:val="auto"/>
          <w:highlight w:val="none"/>
        </w:rPr>
      </w:pPr>
    </w:p>
    <w:p w14:paraId="0638D032">
      <w:pPr>
        <w:pStyle w:val="11"/>
        <w:spacing w:beforeAutospacing="0" w:afterAutospacing="0" w:line="0" w:lineRule="atLeast"/>
        <w:jc w:val="center"/>
        <w:rPr>
          <w:color w:val="auto"/>
          <w:highlight w:val="none"/>
        </w:rPr>
      </w:pPr>
    </w:p>
    <w:p w14:paraId="32063BEE">
      <w:pPr>
        <w:pStyle w:val="11"/>
        <w:spacing w:beforeAutospacing="0" w:afterAutospacing="0" w:line="0" w:lineRule="atLeast"/>
        <w:jc w:val="center"/>
        <w:rPr>
          <w:color w:val="auto"/>
          <w:highlight w:val="none"/>
        </w:rPr>
      </w:pPr>
    </w:p>
    <w:p w14:paraId="4287D5B7">
      <w:pPr>
        <w:pStyle w:val="11"/>
        <w:spacing w:beforeAutospacing="0" w:afterAutospacing="0" w:line="0" w:lineRule="atLeast"/>
        <w:jc w:val="center"/>
        <w:rPr>
          <w:color w:val="auto"/>
          <w:highlight w:val="none"/>
        </w:rPr>
      </w:pPr>
    </w:p>
    <w:p w14:paraId="2EED1241">
      <w:pPr>
        <w:pStyle w:val="11"/>
        <w:spacing w:beforeAutospacing="0" w:afterAutospacing="0" w:line="0" w:lineRule="atLeast"/>
        <w:jc w:val="center"/>
        <w:rPr>
          <w:color w:val="auto"/>
          <w:highlight w:val="none"/>
        </w:rPr>
      </w:pPr>
    </w:p>
    <w:p w14:paraId="45669634">
      <w:pPr>
        <w:pStyle w:val="11"/>
        <w:spacing w:beforeAutospacing="0" w:afterAutospacing="0" w:line="0" w:lineRule="atLeast"/>
        <w:jc w:val="center"/>
        <w:rPr>
          <w:color w:val="auto"/>
          <w:highlight w:val="none"/>
        </w:rPr>
      </w:pPr>
    </w:p>
    <w:p w14:paraId="30670733">
      <w:pPr>
        <w:pStyle w:val="11"/>
        <w:spacing w:beforeAutospacing="0" w:afterAutospacing="0" w:line="0" w:lineRule="atLeast"/>
        <w:jc w:val="center"/>
        <w:rPr>
          <w:color w:val="auto"/>
          <w:highlight w:val="none"/>
        </w:rPr>
      </w:pPr>
    </w:p>
    <w:p w14:paraId="10FD5065">
      <w:pPr>
        <w:pStyle w:val="11"/>
        <w:spacing w:beforeAutospacing="0" w:afterAutospacing="0" w:line="0" w:lineRule="atLeast"/>
        <w:jc w:val="center"/>
        <w:rPr>
          <w:color w:val="auto"/>
          <w:highlight w:val="none"/>
        </w:rPr>
      </w:pPr>
    </w:p>
    <w:p w14:paraId="07E61C11">
      <w:pPr>
        <w:pStyle w:val="11"/>
        <w:spacing w:beforeAutospacing="0" w:afterAutospacing="0" w:line="0" w:lineRule="atLeast"/>
        <w:jc w:val="center"/>
        <w:rPr>
          <w:color w:val="auto"/>
          <w:highlight w:val="none"/>
        </w:rPr>
      </w:pPr>
    </w:p>
    <w:p w14:paraId="4783929C">
      <w:pPr>
        <w:pStyle w:val="11"/>
        <w:spacing w:beforeAutospacing="0" w:afterAutospacing="0" w:line="0" w:lineRule="atLeast"/>
        <w:jc w:val="center"/>
        <w:rPr>
          <w:color w:val="auto"/>
          <w:highlight w:val="none"/>
        </w:rPr>
      </w:pPr>
    </w:p>
    <w:p w14:paraId="1B9D5348">
      <w:pPr>
        <w:pStyle w:val="11"/>
        <w:spacing w:beforeAutospacing="0" w:afterAutospacing="0" w:line="0" w:lineRule="atLeast"/>
        <w:jc w:val="center"/>
        <w:rPr>
          <w:color w:val="auto"/>
          <w:highlight w:val="none"/>
        </w:rPr>
      </w:pPr>
    </w:p>
    <w:p w14:paraId="2838E441">
      <w:pPr>
        <w:pStyle w:val="11"/>
        <w:spacing w:beforeAutospacing="0" w:afterAutospacing="0" w:line="0" w:lineRule="atLeast"/>
        <w:jc w:val="center"/>
        <w:rPr>
          <w:color w:val="auto"/>
          <w:highlight w:val="none"/>
        </w:rPr>
      </w:pPr>
    </w:p>
    <w:p w14:paraId="568F043C">
      <w:pPr>
        <w:pStyle w:val="11"/>
        <w:spacing w:beforeAutospacing="0" w:afterAutospacing="0" w:line="0" w:lineRule="atLeast"/>
        <w:jc w:val="center"/>
        <w:rPr>
          <w:color w:val="auto"/>
          <w:highlight w:val="none"/>
        </w:rPr>
      </w:pPr>
    </w:p>
    <w:p w14:paraId="65A8CDB1">
      <w:pPr>
        <w:pStyle w:val="11"/>
        <w:spacing w:beforeAutospacing="0" w:afterAutospacing="0" w:line="0" w:lineRule="atLeast"/>
        <w:jc w:val="center"/>
        <w:rPr>
          <w:color w:val="auto"/>
          <w:highlight w:val="none"/>
        </w:rPr>
      </w:pPr>
    </w:p>
    <w:p w14:paraId="1462533A">
      <w:pPr>
        <w:pStyle w:val="11"/>
        <w:spacing w:beforeAutospacing="0" w:afterAutospacing="0" w:line="0" w:lineRule="atLeast"/>
        <w:jc w:val="center"/>
        <w:rPr>
          <w:color w:val="auto"/>
          <w:highlight w:val="none"/>
        </w:rPr>
      </w:pPr>
      <w:r>
        <w:rPr>
          <w:color w:val="auto"/>
          <w:highlight w:val="none"/>
        </w:rPr>
        <w:t> </w:t>
      </w:r>
    </w:p>
    <w:p w14:paraId="4E20389A">
      <w:pPr>
        <w:pStyle w:val="11"/>
        <w:spacing w:beforeAutospacing="0" w:afterAutospacing="0"/>
        <w:jc w:val="center"/>
        <w:rPr>
          <w:rFonts w:hint="eastAsia" w:ascii="黑体" w:hAnsi="宋体" w:eastAsia="黑体" w:cs="黑体"/>
          <w:b/>
          <w:color w:val="auto"/>
          <w:sz w:val="32"/>
          <w:szCs w:val="32"/>
          <w:highlight w:val="none"/>
        </w:rPr>
      </w:pPr>
    </w:p>
    <w:p w14:paraId="42E036A5">
      <w:pPr>
        <w:pStyle w:val="11"/>
        <w:spacing w:beforeAutospacing="0" w:afterAutospacing="0"/>
        <w:jc w:val="center"/>
        <w:rPr>
          <w:color w:val="auto"/>
          <w:highlight w:val="none"/>
        </w:rPr>
      </w:pPr>
      <w:r>
        <w:rPr>
          <w:rFonts w:hint="eastAsia" w:ascii="黑体" w:hAnsi="宋体" w:eastAsia="黑体" w:cs="黑体"/>
          <w:b/>
          <w:color w:val="auto"/>
          <w:sz w:val="32"/>
          <w:szCs w:val="32"/>
          <w:highlight w:val="none"/>
        </w:rPr>
        <w:t>十、投标分项报价表</w:t>
      </w:r>
    </w:p>
    <w:tbl>
      <w:tblPr>
        <w:tblStyle w:val="13"/>
        <w:tblW w:w="8517" w:type="dxa"/>
        <w:tblCellSpacing w:w="0" w:type="dxa"/>
        <w:tblInd w:w="10" w:type="dxa"/>
        <w:tblLayout w:type="fixed"/>
        <w:tblCellMar>
          <w:top w:w="0" w:type="dxa"/>
          <w:left w:w="108" w:type="dxa"/>
          <w:bottom w:w="0" w:type="dxa"/>
          <w:right w:w="108" w:type="dxa"/>
        </w:tblCellMar>
      </w:tblPr>
      <w:tblGrid>
        <w:gridCol w:w="546"/>
        <w:gridCol w:w="996"/>
        <w:gridCol w:w="905"/>
        <w:gridCol w:w="1298"/>
        <w:gridCol w:w="746"/>
        <w:gridCol w:w="918"/>
        <w:gridCol w:w="696"/>
        <w:gridCol w:w="1261"/>
        <w:gridCol w:w="1151"/>
      </w:tblGrid>
      <w:tr w14:paraId="1B717546">
        <w:tblPrEx>
          <w:tblCellMar>
            <w:top w:w="0" w:type="dxa"/>
            <w:left w:w="108" w:type="dxa"/>
            <w:bottom w:w="0" w:type="dxa"/>
            <w:right w:w="108" w:type="dxa"/>
          </w:tblCellMar>
        </w:tblPrEx>
        <w:trPr>
          <w:trHeight w:val="54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0B98C">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序号</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DCF34">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1</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579A3">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2</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AF6EE">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3</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5C0CE">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4</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B9F17">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5</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10AB7">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6</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0C983">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7</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D6FE1">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8</w:t>
            </w:r>
          </w:p>
        </w:tc>
      </w:tr>
      <w:tr w14:paraId="2C18029B">
        <w:tblPrEx>
          <w:tblCellMar>
            <w:top w:w="0" w:type="dxa"/>
            <w:left w:w="108" w:type="dxa"/>
            <w:bottom w:w="0" w:type="dxa"/>
            <w:right w:w="108" w:type="dxa"/>
          </w:tblCellMar>
        </w:tblPrEx>
        <w:trPr>
          <w:trHeight w:val="29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96377">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1</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AC3EB">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产品</w:t>
            </w:r>
          </w:p>
          <w:p w14:paraId="0DF0456E">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名称</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0883B">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品牌</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606EA">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规格</w:t>
            </w:r>
          </w:p>
          <w:p w14:paraId="0A20FE8E">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型号</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FB5CF">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产地</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A7BAF">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交付期</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5F562">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数量</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268CC">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分项单价</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14D18">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分项总价</w:t>
            </w:r>
          </w:p>
        </w:tc>
      </w:tr>
      <w:tr w14:paraId="064ED011">
        <w:tblPrEx>
          <w:tblCellMar>
            <w:top w:w="0" w:type="dxa"/>
            <w:left w:w="108" w:type="dxa"/>
            <w:bottom w:w="0" w:type="dxa"/>
            <w:right w:w="108" w:type="dxa"/>
          </w:tblCellMar>
        </w:tblPrEx>
        <w:trPr>
          <w:trHeight w:val="696"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A87DB">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2</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68A4B">
            <w:pPr>
              <w:pStyle w:val="11"/>
              <w:spacing w:beforeAutospacing="0" w:afterAutospacing="0" w:line="0" w:lineRule="atLeast"/>
              <w:jc w:val="both"/>
              <w:rPr>
                <w:color w:val="auto"/>
                <w:highlight w:val="none"/>
              </w:rPr>
            </w:pPr>
            <w:r>
              <w:rPr>
                <w:color w:val="auto"/>
                <w:highlight w:val="none"/>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8ECBE">
            <w:pPr>
              <w:pStyle w:val="11"/>
              <w:spacing w:beforeAutospacing="0" w:afterAutospacing="0" w:line="0" w:lineRule="atLeast"/>
              <w:jc w:val="both"/>
              <w:rPr>
                <w:color w:val="auto"/>
                <w:highlight w:val="none"/>
              </w:rPr>
            </w:pPr>
            <w:r>
              <w:rPr>
                <w:color w:val="auto"/>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535C7">
            <w:pPr>
              <w:pStyle w:val="11"/>
              <w:spacing w:beforeAutospacing="0" w:afterAutospacing="0" w:line="0" w:lineRule="atLeast"/>
              <w:jc w:val="both"/>
              <w:rPr>
                <w:rFonts w:hint="eastAsia" w:eastAsiaTheme="minorEastAsia"/>
                <w:color w:val="auto"/>
                <w:highlight w:val="none"/>
                <w:lang w:eastAsia="zh-CN"/>
              </w:rPr>
            </w:pPr>
            <w:r>
              <w:rPr>
                <w:color w:val="auto"/>
                <w:highlight w:val="none"/>
              </w:rPr>
              <w:t> </w:t>
            </w:r>
            <w:r>
              <w:rPr>
                <w:rFonts w:hint="eastAsia"/>
                <w:color w:val="auto"/>
                <w:highlight w:val="none"/>
                <w:lang w:eastAsia="zh-CN"/>
              </w:rPr>
              <w:t>详见附表</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83A9B">
            <w:pPr>
              <w:pStyle w:val="11"/>
              <w:spacing w:beforeAutospacing="0" w:afterAutospacing="0" w:line="0" w:lineRule="atLeast"/>
              <w:jc w:val="both"/>
              <w:rPr>
                <w:color w:val="auto"/>
                <w:highlight w:val="none"/>
              </w:rPr>
            </w:pPr>
            <w:r>
              <w:rPr>
                <w:color w:val="auto"/>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D720E">
            <w:pPr>
              <w:pStyle w:val="11"/>
              <w:spacing w:beforeAutospacing="0" w:afterAutospacing="0" w:line="0" w:lineRule="atLeast"/>
              <w:jc w:val="both"/>
              <w:rPr>
                <w:color w:val="auto"/>
                <w:highlight w:val="none"/>
              </w:rPr>
            </w:pPr>
            <w:r>
              <w:rPr>
                <w:color w:val="auto"/>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AE78A">
            <w:pPr>
              <w:pStyle w:val="11"/>
              <w:spacing w:beforeAutospacing="0" w:afterAutospacing="0" w:line="0" w:lineRule="atLeast"/>
              <w:jc w:val="both"/>
              <w:rPr>
                <w:color w:val="auto"/>
                <w:highlight w:val="none"/>
              </w:rPr>
            </w:pPr>
            <w:r>
              <w:rPr>
                <w:color w:val="auto"/>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3460C">
            <w:pPr>
              <w:pStyle w:val="11"/>
              <w:spacing w:beforeAutospacing="0" w:afterAutospacing="0" w:line="0" w:lineRule="atLeast"/>
              <w:jc w:val="both"/>
              <w:rPr>
                <w:color w:val="auto"/>
                <w:highlight w:val="none"/>
              </w:rPr>
            </w:pPr>
            <w:r>
              <w:rPr>
                <w:color w:val="auto"/>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D7D08">
            <w:pPr>
              <w:pStyle w:val="11"/>
              <w:spacing w:beforeAutospacing="0" w:afterAutospacing="0" w:line="0" w:lineRule="atLeast"/>
              <w:jc w:val="both"/>
              <w:rPr>
                <w:color w:val="auto"/>
                <w:highlight w:val="none"/>
              </w:rPr>
            </w:pPr>
            <w:r>
              <w:rPr>
                <w:color w:val="auto"/>
                <w:highlight w:val="none"/>
              </w:rPr>
              <w:t> </w:t>
            </w:r>
          </w:p>
        </w:tc>
      </w:tr>
      <w:tr w14:paraId="7529FA46">
        <w:tblPrEx>
          <w:tblCellMar>
            <w:top w:w="0" w:type="dxa"/>
            <w:left w:w="108" w:type="dxa"/>
            <w:bottom w:w="0" w:type="dxa"/>
            <w:right w:w="108" w:type="dxa"/>
          </w:tblCellMar>
        </w:tblPrEx>
        <w:trPr>
          <w:trHeight w:val="72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26937">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3</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DAF1F">
            <w:pPr>
              <w:pStyle w:val="11"/>
              <w:spacing w:beforeAutospacing="0" w:afterAutospacing="0" w:line="0" w:lineRule="atLeast"/>
              <w:jc w:val="both"/>
              <w:rPr>
                <w:color w:val="auto"/>
                <w:highlight w:val="none"/>
              </w:rPr>
            </w:pPr>
            <w:r>
              <w:rPr>
                <w:color w:val="auto"/>
                <w:highlight w:val="none"/>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2F97A">
            <w:pPr>
              <w:pStyle w:val="11"/>
              <w:spacing w:beforeAutospacing="0" w:afterAutospacing="0" w:line="0" w:lineRule="atLeast"/>
              <w:jc w:val="both"/>
              <w:rPr>
                <w:color w:val="auto"/>
                <w:highlight w:val="none"/>
              </w:rPr>
            </w:pPr>
            <w:r>
              <w:rPr>
                <w:color w:val="auto"/>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F6EE0">
            <w:pPr>
              <w:pStyle w:val="11"/>
              <w:spacing w:beforeAutospacing="0" w:afterAutospacing="0" w:line="0" w:lineRule="atLeast"/>
              <w:jc w:val="both"/>
              <w:rPr>
                <w:color w:val="auto"/>
                <w:highlight w:val="none"/>
              </w:rPr>
            </w:pPr>
            <w:r>
              <w:rPr>
                <w:color w:val="auto"/>
                <w:highlight w:val="none"/>
              </w:rPr>
              <w:t> </w:t>
            </w:r>
            <w:r>
              <w:rPr>
                <w:rFonts w:hint="eastAsia"/>
                <w:color w:val="auto"/>
                <w:highlight w:val="none"/>
                <w:lang w:eastAsia="zh-CN"/>
              </w:rPr>
              <w:t>详见附表</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0903E">
            <w:pPr>
              <w:pStyle w:val="11"/>
              <w:spacing w:beforeAutospacing="0" w:afterAutospacing="0" w:line="0" w:lineRule="atLeast"/>
              <w:jc w:val="both"/>
              <w:rPr>
                <w:color w:val="auto"/>
                <w:highlight w:val="none"/>
              </w:rPr>
            </w:pPr>
            <w:r>
              <w:rPr>
                <w:color w:val="auto"/>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357FB">
            <w:pPr>
              <w:pStyle w:val="11"/>
              <w:spacing w:beforeAutospacing="0" w:afterAutospacing="0" w:line="0" w:lineRule="atLeast"/>
              <w:jc w:val="both"/>
              <w:rPr>
                <w:color w:val="auto"/>
                <w:highlight w:val="none"/>
              </w:rPr>
            </w:pPr>
            <w:r>
              <w:rPr>
                <w:color w:val="auto"/>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7C169">
            <w:pPr>
              <w:pStyle w:val="11"/>
              <w:spacing w:beforeAutospacing="0" w:afterAutospacing="0" w:line="0" w:lineRule="atLeast"/>
              <w:jc w:val="both"/>
              <w:rPr>
                <w:color w:val="auto"/>
                <w:highlight w:val="none"/>
              </w:rPr>
            </w:pPr>
            <w:r>
              <w:rPr>
                <w:color w:val="auto"/>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F1582">
            <w:pPr>
              <w:pStyle w:val="11"/>
              <w:spacing w:beforeAutospacing="0" w:afterAutospacing="0" w:line="0" w:lineRule="atLeast"/>
              <w:jc w:val="both"/>
              <w:rPr>
                <w:color w:val="auto"/>
                <w:highlight w:val="none"/>
              </w:rPr>
            </w:pPr>
            <w:r>
              <w:rPr>
                <w:color w:val="auto"/>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43F34">
            <w:pPr>
              <w:pStyle w:val="11"/>
              <w:spacing w:beforeAutospacing="0" w:afterAutospacing="0" w:line="0" w:lineRule="atLeast"/>
              <w:jc w:val="both"/>
              <w:rPr>
                <w:color w:val="auto"/>
                <w:highlight w:val="none"/>
              </w:rPr>
            </w:pPr>
            <w:r>
              <w:rPr>
                <w:color w:val="auto"/>
                <w:highlight w:val="none"/>
              </w:rPr>
              <w:t> </w:t>
            </w:r>
          </w:p>
        </w:tc>
      </w:tr>
      <w:tr w14:paraId="71912866">
        <w:tblPrEx>
          <w:tblCellMar>
            <w:top w:w="0" w:type="dxa"/>
            <w:left w:w="108" w:type="dxa"/>
            <w:bottom w:w="0" w:type="dxa"/>
            <w:right w:w="108" w:type="dxa"/>
          </w:tblCellMar>
        </w:tblPrEx>
        <w:trPr>
          <w:trHeight w:val="64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6949E">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4</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ECE2A">
            <w:pPr>
              <w:pStyle w:val="11"/>
              <w:spacing w:beforeAutospacing="0" w:afterAutospacing="0" w:line="0" w:lineRule="atLeast"/>
              <w:jc w:val="both"/>
              <w:rPr>
                <w:color w:val="auto"/>
                <w:highlight w:val="none"/>
              </w:rPr>
            </w:pPr>
            <w:r>
              <w:rPr>
                <w:color w:val="auto"/>
                <w:highlight w:val="none"/>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42DC4">
            <w:pPr>
              <w:pStyle w:val="11"/>
              <w:spacing w:beforeAutospacing="0" w:afterAutospacing="0" w:line="0" w:lineRule="atLeast"/>
              <w:jc w:val="both"/>
              <w:rPr>
                <w:color w:val="auto"/>
                <w:highlight w:val="none"/>
              </w:rPr>
            </w:pPr>
            <w:r>
              <w:rPr>
                <w:color w:val="auto"/>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F2454">
            <w:pPr>
              <w:pStyle w:val="11"/>
              <w:spacing w:beforeAutospacing="0" w:afterAutospacing="0" w:line="0" w:lineRule="atLeast"/>
              <w:jc w:val="both"/>
              <w:rPr>
                <w:color w:val="auto"/>
                <w:highlight w:val="none"/>
              </w:rPr>
            </w:pPr>
            <w:r>
              <w:rPr>
                <w:color w:val="auto"/>
                <w:highlight w:val="none"/>
              </w:rPr>
              <w:t> </w:t>
            </w:r>
            <w:r>
              <w:rPr>
                <w:rFonts w:hint="eastAsia"/>
                <w:color w:val="auto"/>
                <w:highlight w:val="none"/>
                <w:lang w:eastAsia="zh-CN"/>
              </w:rPr>
              <w:t>详见附表</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3F786">
            <w:pPr>
              <w:pStyle w:val="11"/>
              <w:spacing w:beforeAutospacing="0" w:afterAutospacing="0" w:line="0" w:lineRule="atLeast"/>
              <w:jc w:val="both"/>
              <w:rPr>
                <w:color w:val="auto"/>
                <w:highlight w:val="none"/>
              </w:rPr>
            </w:pPr>
            <w:r>
              <w:rPr>
                <w:color w:val="auto"/>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50BE5">
            <w:pPr>
              <w:pStyle w:val="11"/>
              <w:spacing w:beforeAutospacing="0" w:afterAutospacing="0" w:line="0" w:lineRule="atLeast"/>
              <w:jc w:val="both"/>
              <w:rPr>
                <w:color w:val="auto"/>
                <w:highlight w:val="none"/>
              </w:rPr>
            </w:pPr>
            <w:r>
              <w:rPr>
                <w:color w:val="auto"/>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9C727">
            <w:pPr>
              <w:pStyle w:val="11"/>
              <w:spacing w:beforeAutospacing="0" w:afterAutospacing="0" w:line="0" w:lineRule="atLeast"/>
              <w:jc w:val="both"/>
              <w:rPr>
                <w:color w:val="auto"/>
                <w:highlight w:val="none"/>
              </w:rPr>
            </w:pPr>
            <w:r>
              <w:rPr>
                <w:color w:val="auto"/>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2DD74">
            <w:pPr>
              <w:pStyle w:val="11"/>
              <w:spacing w:beforeAutospacing="0" w:afterAutospacing="0" w:line="0" w:lineRule="atLeast"/>
              <w:jc w:val="both"/>
              <w:rPr>
                <w:color w:val="auto"/>
                <w:highlight w:val="none"/>
              </w:rPr>
            </w:pPr>
            <w:r>
              <w:rPr>
                <w:color w:val="auto"/>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CA502">
            <w:pPr>
              <w:pStyle w:val="11"/>
              <w:spacing w:beforeAutospacing="0" w:afterAutospacing="0" w:line="0" w:lineRule="atLeast"/>
              <w:jc w:val="both"/>
              <w:rPr>
                <w:color w:val="auto"/>
                <w:highlight w:val="none"/>
              </w:rPr>
            </w:pPr>
            <w:r>
              <w:rPr>
                <w:color w:val="auto"/>
                <w:highlight w:val="none"/>
              </w:rPr>
              <w:t> </w:t>
            </w:r>
          </w:p>
        </w:tc>
      </w:tr>
      <w:tr w14:paraId="3B44B7E0">
        <w:tblPrEx>
          <w:tblCellMar>
            <w:top w:w="0" w:type="dxa"/>
            <w:left w:w="108" w:type="dxa"/>
            <w:bottom w:w="0" w:type="dxa"/>
            <w:right w:w="108" w:type="dxa"/>
          </w:tblCellMar>
        </w:tblPrEx>
        <w:trPr>
          <w:trHeight w:val="58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51F46">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27C9C">
            <w:pPr>
              <w:pStyle w:val="11"/>
              <w:spacing w:beforeAutospacing="0" w:afterAutospacing="0" w:line="0" w:lineRule="atLeast"/>
              <w:jc w:val="both"/>
              <w:rPr>
                <w:color w:val="auto"/>
                <w:highlight w:val="none"/>
              </w:rPr>
            </w:pPr>
            <w:r>
              <w:rPr>
                <w:rFonts w:hint="eastAsia" w:ascii="宋体" w:hAnsi="宋体" w:eastAsia="宋体" w:cs="宋体"/>
                <w:color w:val="auto"/>
                <w:highlight w:val="none"/>
              </w:rPr>
              <w:t>……</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B4351">
            <w:pPr>
              <w:pStyle w:val="11"/>
              <w:spacing w:beforeAutospacing="0" w:afterAutospacing="0" w:line="0" w:lineRule="atLeast"/>
              <w:jc w:val="both"/>
              <w:rPr>
                <w:color w:val="auto"/>
                <w:highlight w:val="none"/>
              </w:rPr>
            </w:pPr>
            <w:r>
              <w:rPr>
                <w:color w:val="auto"/>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DB25E">
            <w:pPr>
              <w:pStyle w:val="11"/>
              <w:spacing w:beforeAutospacing="0" w:afterAutospacing="0" w:line="0" w:lineRule="atLeast"/>
              <w:jc w:val="both"/>
              <w:rPr>
                <w:color w:val="auto"/>
                <w:highlight w:val="none"/>
              </w:rPr>
            </w:pPr>
            <w:r>
              <w:rPr>
                <w:color w:val="auto"/>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616E6">
            <w:pPr>
              <w:pStyle w:val="11"/>
              <w:spacing w:beforeAutospacing="0" w:afterAutospacing="0" w:line="0" w:lineRule="atLeast"/>
              <w:jc w:val="both"/>
              <w:rPr>
                <w:color w:val="auto"/>
                <w:highlight w:val="none"/>
              </w:rPr>
            </w:pPr>
            <w:r>
              <w:rPr>
                <w:color w:val="auto"/>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B491F">
            <w:pPr>
              <w:pStyle w:val="11"/>
              <w:spacing w:beforeAutospacing="0" w:afterAutospacing="0" w:line="0" w:lineRule="atLeast"/>
              <w:jc w:val="both"/>
              <w:rPr>
                <w:color w:val="auto"/>
                <w:highlight w:val="none"/>
              </w:rPr>
            </w:pPr>
            <w:r>
              <w:rPr>
                <w:color w:val="auto"/>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A2EBF">
            <w:pPr>
              <w:pStyle w:val="11"/>
              <w:spacing w:beforeAutospacing="0" w:afterAutospacing="0" w:line="0" w:lineRule="atLeast"/>
              <w:jc w:val="both"/>
              <w:rPr>
                <w:color w:val="auto"/>
                <w:highlight w:val="none"/>
              </w:rPr>
            </w:pPr>
            <w:r>
              <w:rPr>
                <w:color w:val="auto"/>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B3CA6">
            <w:pPr>
              <w:pStyle w:val="11"/>
              <w:spacing w:beforeAutospacing="0" w:afterAutospacing="0" w:line="0" w:lineRule="atLeast"/>
              <w:jc w:val="both"/>
              <w:rPr>
                <w:color w:val="auto"/>
                <w:highlight w:val="none"/>
              </w:rPr>
            </w:pPr>
            <w:r>
              <w:rPr>
                <w:color w:val="auto"/>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EDBA9">
            <w:pPr>
              <w:pStyle w:val="11"/>
              <w:spacing w:beforeAutospacing="0" w:afterAutospacing="0" w:line="0" w:lineRule="atLeast"/>
              <w:jc w:val="both"/>
              <w:rPr>
                <w:color w:val="auto"/>
                <w:highlight w:val="none"/>
              </w:rPr>
            </w:pPr>
            <w:r>
              <w:rPr>
                <w:color w:val="auto"/>
                <w:highlight w:val="none"/>
              </w:rPr>
              <w:t> </w:t>
            </w:r>
          </w:p>
        </w:tc>
      </w:tr>
      <w:tr w14:paraId="7CFB00F0">
        <w:tblPrEx>
          <w:tblCellMar>
            <w:top w:w="0" w:type="dxa"/>
            <w:left w:w="108" w:type="dxa"/>
            <w:bottom w:w="0" w:type="dxa"/>
            <w:right w:w="108" w:type="dxa"/>
          </w:tblCellMar>
        </w:tblPrEx>
        <w:trPr>
          <w:trHeight w:val="1030" w:hRule="atLeast"/>
          <w:tblCellSpacing w:w="0" w:type="dxa"/>
        </w:trPr>
        <w:tc>
          <w:tcPr>
            <w:tcW w:w="7366"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D738190">
            <w:pPr>
              <w:pStyle w:val="11"/>
              <w:spacing w:beforeAutospacing="0" w:afterAutospacing="0"/>
              <w:jc w:val="center"/>
              <w:rPr>
                <w:color w:val="auto"/>
                <w:highlight w:val="none"/>
              </w:rPr>
            </w:pPr>
            <w:r>
              <w:rPr>
                <w:rFonts w:hint="eastAsia" w:ascii="宋体" w:hAnsi="宋体" w:eastAsia="宋体" w:cs="宋体"/>
                <w:color w:val="auto"/>
                <w:highlight w:val="none"/>
              </w:rPr>
              <w:t>投标总报价（人民币：元）</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42226">
            <w:pPr>
              <w:pStyle w:val="11"/>
              <w:spacing w:beforeAutospacing="0" w:afterAutospacing="0"/>
              <w:jc w:val="both"/>
              <w:rPr>
                <w:color w:val="auto"/>
                <w:highlight w:val="none"/>
              </w:rPr>
            </w:pPr>
            <w:r>
              <w:rPr>
                <w:color w:val="auto"/>
                <w:highlight w:val="none"/>
              </w:rPr>
              <w:t> </w:t>
            </w:r>
          </w:p>
        </w:tc>
      </w:tr>
    </w:tbl>
    <w:p w14:paraId="74B2D78A">
      <w:pPr>
        <w:pStyle w:val="11"/>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40" w:firstLineChars="200"/>
        <w:jc w:val="both"/>
        <w:textAlignment w:val="auto"/>
        <w:rPr>
          <w:rFonts w:hint="eastAsia" w:ascii="宋体" w:hAnsi="宋体" w:eastAsia="宋体" w:cs="宋体"/>
          <w:color w:val="auto"/>
          <w:sz w:val="22"/>
          <w:szCs w:val="22"/>
          <w:highlight w:val="none"/>
        </w:rPr>
      </w:pPr>
    </w:p>
    <w:p w14:paraId="0E38F1E6">
      <w:pPr>
        <w:pStyle w:val="11"/>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40" w:firstLineChars="200"/>
        <w:jc w:val="both"/>
        <w:textAlignment w:val="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备注：1.投标报价采用总承包方式，“投标总报价”应包括所投货物（包含与货物相关的服务）费用、安装</w:t>
      </w:r>
      <w:r>
        <w:rPr>
          <w:rFonts w:hint="eastAsia" w:ascii="宋体" w:hAnsi="宋体" w:eastAsia="宋体" w:cs="宋体"/>
          <w:color w:val="auto"/>
          <w:sz w:val="22"/>
          <w:szCs w:val="22"/>
          <w:highlight w:val="none"/>
          <w:lang w:eastAsia="zh-CN"/>
        </w:rPr>
        <w:t>调试（含测试）</w:t>
      </w:r>
      <w:r>
        <w:rPr>
          <w:rFonts w:hint="eastAsia" w:ascii="宋体" w:hAnsi="宋体" w:eastAsia="宋体" w:cs="宋体"/>
          <w:color w:val="auto"/>
          <w:sz w:val="22"/>
          <w:szCs w:val="22"/>
          <w:highlight w:val="none"/>
        </w:rPr>
        <w:t>费、测试验收费、培训费、运行维护费用、税金、国际国内运输保险、报关清关、开证、办理全套免税手续费用及其他有关的为完成本项目发生的所有费用，招标文件中另有规定的除外。2. “投标分项报价表”中“投标总报价”数额应当与“开标一览表”中“投标总报价”数额一致。</w:t>
      </w:r>
      <w:r>
        <w:rPr>
          <w:rFonts w:hint="eastAsia" w:ascii="宋体" w:hAnsi="宋体" w:eastAsia="宋体" w:cs="宋体"/>
          <w:color w:val="auto"/>
          <w:sz w:val="22"/>
          <w:szCs w:val="22"/>
          <w:highlight w:val="none"/>
          <w:lang w:val="en-US" w:eastAsia="zh-CN"/>
        </w:rPr>
        <w:t>3.上表中“规格型号”要求详见后附“技术参数表”。4.上表表格不够可另接。</w:t>
      </w:r>
    </w:p>
    <w:p w14:paraId="3A9A806E">
      <w:pPr>
        <w:pStyle w:val="11"/>
        <w:spacing w:beforeAutospacing="0" w:afterAutospacing="0"/>
        <w:jc w:val="both"/>
        <w:rPr>
          <w:color w:val="auto"/>
          <w:highlight w:val="none"/>
        </w:rPr>
      </w:pPr>
      <w:r>
        <w:rPr>
          <w:color w:val="auto"/>
          <w:highlight w:val="none"/>
        </w:rPr>
        <w:t> </w:t>
      </w:r>
    </w:p>
    <w:p w14:paraId="4B28DB14">
      <w:pPr>
        <w:pStyle w:val="11"/>
        <w:spacing w:beforeAutospacing="0" w:afterAutospacing="0"/>
        <w:jc w:val="both"/>
        <w:rPr>
          <w:color w:val="auto"/>
          <w:highlight w:val="none"/>
        </w:rPr>
      </w:pPr>
      <w:r>
        <w:rPr>
          <w:color w:val="auto"/>
          <w:highlight w:val="none"/>
        </w:rPr>
        <w:t> </w:t>
      </w:r>
    </w:p>
    <w:p w14:paraId="25EA0710">
      <w:pPr>
        <w:pStyle w:val="11"/>
        <w:spacing w:beforeAutospacing="0" w:afterAutospacing="0"/>
        <w:jc w:val="both"/>
        <w:rPr>
          <w:color w:val="auto"/>
          <w:highlight w:val="none"/>
        </w:rPr>
      </w:pPr>
      <w:r>
        <w:rPr>
          <w:color w:val="auto"/>
          <w:highlight w:val="none"/>
        </w:rPr>
        <w:t> </w:t>
      </w:r>
    </w:p>
    <w:p w14:paraId="02AB6865">
      <w:pPr>
        <w:pStyle w:val="11"/>
        <w:spacing w:beforeAutospacing="0" w:afterAutospacing="0"/>
        <w:jc w:val="both"/>
        <w:rPr>
          <w:color w:val="auto"/>
          <w:highlight w:val="none"/>
        </w:rPr>
      </w:pPr>
      <w:r>
        <w:rPr>
          <w:color w:val="auto"/>
          <w:highlight w:val="none"/>
        </w:rPr>
        <w:t> </w:t>
      </w:r>
    </w:p>
    <w:p w14:paraId="43A80D7E">
      <w:pPr>
        <w:pStyle w:val="11"/>
        <w:spacing w:beforeAutospacing="0" w:afterAutospacing="0"/>
        <w:jc w:val="both"/>
        <w:rPr>
          <w:color w:val="auto"/>
          <w:highlight w:val="none"/>
        </w:rPr>
      </w:pPr>
      <w:r>
        <w:rPr>
          <w:color w:val="auto"/>
          <w:highlight w:val="none"/>
        </w:rPr>
        <w:t> </w:t>
      </w:r>
    </w:p>
    <w:p w14:paraId="4FAB6A85">
      <w:pPr>
        <w:pStyle w:val="11"/>
        <w:spacing w:beforeAutospacing="0" w:afterAutospacing="0"/>
        <w:jc w:val="both"/>
        <w:rPr>
          <w:color w:val="auto"/>
          <w:highlight w:val="none"/>
        </w:rPr>
      </w:pPr>
      <w:r>
        <w:rPr>
          <w:color w:val="auto"/>
          <w:highlight w:val="none"/>
        </w:rPr>
        <w:t> </w:t>
      </w:r>
    </w:p>
    <w:p w14:paraId="2B451E5B">
      <w:pPr>
        <w:pStyle w:val="11"/>
        <w:spacing w:beforeAutospacing="0" w:afterAutospacing="0"/>
        <w:jc w:val="both"/>
        <w:rPr>
          <w:color w:val="auto"/>
          <w:highlight w:val="none"/>
        </w:rPr>
      </w:pPr>
    </w:p>
    <w:p w14:paraId="7FDCEBB4">
      <w:pPr>
        <w:pStyle w:val="11"/>
        <w:spacing w:beforeAutospacing="0" w:afterAutospacing="0"/>
        <w:jc w:val="both"/>
        <w:rPr>
          <w:color w:val="auto"/>
          <w:highlight w:val="none"/>
        </w:rPr>
      </w:pPr>
    </w:p>
    <w:p w14:paraId="4675D65D">
      <w:pPr>
        <w:pStyle w:val="11"/>
        <w:spacing w:beforeAutospacing="0" w:afterAutospacing="0"/>
        <w:jc w:val="both"/>
        <w:rPr>
          <w:color w:val="auto"/>
          <w:highlight w:val="none"/>
        </w:rPr>
        <w:sectPr>
          <w:pgSz w:w="11906" w:h="16838"/>
          <w:pgMar w:top="1440" w:right="1440" w:bottom="1440" w:left="1474" w:header="851" w:footer="992" w:gutter="0"/>
          <w:cols w:space="425" w:num="1"/>
          <w:docGrid w:type="lines" w:linePitch="312" w:charSpace="0"/>
        </w:sectPr>
      </w:pPr>
    </w:p>
    <w:p w14:paraId="58E5D46E">
      <w:pPr>
        <w:pStyle w:val="11"/>
        <w:spacing w:beforeAutospacing="0" w:afterAutospacing="0"/>
        <w:jc w:val="cente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lang w:eastAsia="zh-CN"/>
        </w:rPr>
        <w:t>附：</w:t>
      </w:r>
      <w:r>
        <w:rPr>
          <w:rFonts w:hint="eastAsia" w:ascii="黑体" w:hAnsi="宋体" w:eastAsia="黑体" w:cs="黑体"/>
          <w:b/>
          <w:color w:val="auto"/>
          <w:sz w:val="32"/>
          <w:szCs w:val="32"/>
          <w:highlight w:val="none"/>
          <w:lang w:val="en-US" w:eastAsia="zh-CN"/>
        </w:rPr>
        <w:t>10-1</w:t>
      </w:r>
      <w:r>
        <w:rPr>
          <w:rFonts w:hint="eastAsia" w:ascii="黑体" w:hAnsi="宋体" w:eastAsia="黑体" w:cs="黑体"/>
          <w:b/>
          <w:color w:val="auto"/>
          <w:sz w:val="32"/>
          <w:szCs w:val="32"/>
          <w:highlight w:val="none"/>
          <w:lang w:eastAsia="zh-CN"/>
        </w:rPr>
        <w:t>技术参数</w:t>
      </w:r>
      <w:r>
        <w:rPr>
          <w:rFonts w:hint="eastAsia" w:ascii="黑体" w:hAnsi="宋体" w:eastAsia="黑体" w:cs="黑体"/>
          <w:b/>
          <w:color w:val="auto"/>
          <w:sz w:val="32"/>
          <w:szCs w:val="32"/>
          <w:highlight w:val="none"/>
        </w:rPr>
        <w:t>表</w:t>
      </w:r>
    </w:p>
    <w:p w14:paraId="6A340390">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（一）总建设清单</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9"/>
        <w:gridCol w:w="2472"/>
        <w:gridCol w:w="3310"/>
        <w:gridCol w:w="2456"/>
      </w:tblGrid>
      <w:tr w14:paraId="7D283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69" w:type="dxa"/>
            <w:vAlign w:val="center"/>
          </w:tcPr>
          <w:p w14:paraId="36DFF93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r>
              <w:rPr>
                <w:rFonts w:hint="eastAsia" w:ascii="宋体" w:hAnsi="宋体" w:eastAsia="宋体" w:cs="宋体"/>
                <w:b/>
                <w:bCs/>
                <w:color w:val="auto"/>
                <w:kern w:val="0"/>
                <w:sz w:val="20"/>
                <w:szCs w:val="20"/>
                <w:highlight w:val="none"/>
                <w:lang w:eastAsia="zh-CN"/>
              </w:rPr>
              <w:t>序号</w:t>
            </w:r>
          </w:p>
        </w:tc>
        <w:tc>
          <w:tcPr>
            <w:tcW w:w="2472" w:type="dxa"/>
            <w:vAlign w:val="center"/>
          </w:tcPr>
          <w:p w14:paraId="3DD9D21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r>
              <w:rPr>
                <w:rFonts w:hint="eastAsia" w:ascii="宋体" w:hAnsi="宋体" w:eastAsia="宋体" w:cs="宋体"/>
                <w:b/>
                <w:bCs/>
                <w:color w:val="auto"/>
                <w:kern w:val="0"/>
                <w:sz w:val="20"/>
                <w:szCs w:val="20"/>
                <w:highlight w:val="none"/>
                <w:lang w:eastAsia="zh-CN"/>
              </w:rPr>
              <w:t>分类</w:t>
            </w:r>
          </w:p>
        </w:tc>
        <w:tc>
          <w:tcPr>
            <w:tcW w:w="3310" w:type="dxa"/>
            <w:vAlign w:val="center"/>
          </w:tcPr>
          <w:p w14:paraId="4566983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r>
              <w:rPr>
                <w:rFonts w:hint="eastAsia" w:ascii="宋体" w:hAnsi="宋体" w:eastAsia="宋体" w:cs="宋体"/>
                <w:b/>
                <w:bCs/>
                <w:color w:val="auto"/>
                <w:kern w:val="0"/>
                <w:sz w:val="20"/>
                <w:szCs w:val="20"/>
                <w:highlight w:val="none"/>
                <w:lang w:eastAsia="zh-CN"/>
              </w:rPr>
              <w:t>分项名称</w:t>
            </w:r>
          </w:p>
        </w:tc>
        <w:tc>
          <w:tcPr>
            <w:tcW w:w="2456" w:type="dxa"/>
            <w:vAlign w:val="center"/>
          </w:tcPr>
          <w:p w14:paraId="25FA95A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r>
              <w:rPr>
                <w:rFonts w:hint="eastAsia" w:ascii="宋体" w:hAnsi="宋体" w:eastAsia="宋体" w:cs="宋体"/>
                <w:b/>
                <w:bCs/>
                <w:color w:val="auto"/>
                <w:kern w:val="0"/>
                <w:sz w:val="20"/>
                <w:szCs w:val="20"/>
                <w:highlight w:val="none"/>
                <w:lang w:eastAsia="zh-CN"/>
              </w:rPr>
              <w:t>对应的中小企业划分标准所属行业</w:t>
            </w:r>
          </w:p>
        </w:tc>
      </w:tr>
      <w:tr w14:paraId="7DECA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1" w:type="dxa"/>
            <w:gridSpan w:val="3"/>
            <w:vAlign w:val="center"/>
          </w:tcPr>
          <w:p w14:paraId="52691318">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b/>
                <w:bCs/>
                <w:color w:val="auto"/>
                <w:kern w:val="0"/>
                <w:sz w:val="20"/>
                <w:szCs w:val="20"/>
                <w:highlight w:val="none"/>
                <w:lang w:eastAsia="zh-CN"/>
              </w:rPr>
            </w:pPr>
            <w:r>
              <w:rPr>
                <w:rFonts w:hint="eastAsia" w:ascii="宋体" w:hAnsi="宋体" w:eastAsia="宋体" w:cs="宋体"/>
                <w:b/>
                <w:bCs/>
                <w:color w:val="auto"/>
                <w:kern w:val="0"/>
                <w:sz w:val="20"/>
                <w:szCs w:val="20"/>
                <w:highlight w:val="none"/>
                <w:lang w:eastAsia="zh-CN"/>
              </w:rPr>
              <w:t>数字化医共体“十张网”建设清单</w:t>
            </w:r>
          </w:p>
        </w:tc>
        <w:tc>
          <w:tcPr>
            <w:tcW w:w="2456" w:type="dxa"/>
            <w:vAlign w:val="center"/>
          </w:tcPr>
          <w:p w14:paraId="30BCAB32">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b/>
                <w:bCs/>
                <w:color w:val="auto"/>
                <w:kern w:val="0"/>
                <w:sz w:val="20"/>
                <w:szCs w:val="20"/>
                <w:highlight w:val="none"/>
                <w:lang w:eastAsia="zh-CN"/>
              </w:rPr>
            </w:pPr>
          </w:p>
        </w:tc>
      </w:tr>
      <w:tr w14:paraId="6542B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vAlign w:val="center"/>
          </w:tcPr>
          <w:p w14:paraId="3AB92E1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1</w:t>
            </w:r>
          </w:p>
        </w:tc>
        <w:tc>
          <w:tcPr>
            <w:tcW w:w="2472" w:type="dxa"/>
            <w:vMerge w:val="restart"/>
            <w:vAlign w:val="center"/>
          </w:tcPr>
          <w:p w14:paraId="406DB1D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r>
              <w:rPr>
                <w:rFonts w:hint="eastAsia" w:ascii="宋体" w:hAnsi="宋体" w:eastAsia="宋体" w:cs="宋体"/>
                <w:b/>
                <w:bCs/>
                <w:color w:val="auto"/>
                <w:kern w:val="0"/>
                <w:sz w:val="20"/>
                <w:szCs w:val="20"/>
                <w:highlight w:val="none"/>
                <w:lang w:eastAsia="zh-CN"/>
              </w:rPr>
              <w:t>软</w:t>
            </w:r>
            <w:r>
              <w:rPr>
                <w:rFonts w:hint="eastAsia" w:ascii="宋体" w:hAnsi="宋体" w:eastAsia="宋体" w:cs="宋体"/>
                <w:b/>
                <w:bCs/>
                <w:color w:val="auto"/>
                <w:kern w:val="0"/>
                <w:sz w:val="20"/>
                <w:szCs w:val="20"/>
                <w:highlight w:val="none"/>
                <w:lang w:val="en-US" w:eastAsia="zh-CN"/>
              </w:rPr>
              <w:t xml:space="preserve"> </w:t>
            </w:r>
            <w:r>
              <w:rPr>
                <w:rFonts w:hint="eastAsia" w:ascii="宋体" w:hAnsi="宋体" w:eastAsia="宋体" w:cs="宋体"/>
                <w:b/>
                <w:bCs/>
                <w:color w:val="auto"/>
                <w:kern w:val="0"/>
                <w:sz w:val="20"/>
                <w:szCs w:val="20"/>
                <w:highlight w:val="none"/>
                <w:lang w:eastAsia="zh-CN"/>
              </w:rPr>
              <w:t>件</w:t>
            </w:r>
          </w:p>
        </w:tc>
        <w:tc>
          <w:tcPr>
            <w:tcW w:w="3310" w:type="dxa"/>
            <w:vAlign w:val="center"/>
          </w:tcPr>
          <w:p w14:paraId="321454E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eastAsia="zh-CN"/>
              </w:rPr>
            </w:pPr>
            <w:r>
              <w:rPr>
                <w:rFonts w:hint="eastAsia" w:ascii="宋体" w:hAnsi="宋体" w:eastAsia="宋体" w:cs="宋体"/>
                <w:b w:val="0"/>
                <w:bCs w:val="0"/>
                <w:color w:val="auto"/>
                <w:kern w:val="0"/>
                <w:sz w:val="20"/>
                <w:szCs w:val="20"/>
                <w:highlight w:val="none"/>
                <w:lang w:val="en-US" w:eastAsia="zh-CN"/>
              </w:rPr>
              <w:t>区域检验中心</w:t>
            </w:r>
          </w:p>
        </w:tc>
        <w:tc>
          <w:tcPr>
            <w:tcW w:w="2456" w:type="dxa"/>
            <w:vMerge w:val="restart"/>
            <w:vAlign w:val="center"/>
          </w:tcPr>
          <w:p w14:paraId="3787DE7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rPr>
              <w:t>软件和信息技术服务业</w:t>
            </w:r>
          </w:p>
        </w:tc>
      </w:tr>
      <w:tr w14:paraId="102BA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vAlign w:val="center"/>
          </w:tcPr>
          <w:p w14:paraId="30B7FB0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2</w:t>
            </w:r>
          </w:p>
        </w:tc>
        <w:tc>
          <w:tcPr>
            <w:tcW w:w="2472" w:type="dxa"/>
            <w:vMerge w:val="continue"/>
            <w:vAlign w:val="center"/>
          </w:tcPr>
          <w:p w14:paraId="1571F85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3310" w:type="dxa"/>
            <w:vAlign w:val="center"/>
          </w:tcPr>
          <w:p w14:paraId="70DC3A5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eastAsia="zh-CN"/>
              </w:rPr>
            </w:pPr>
            <w:r>
              <w:rPr>
                <w:rFonts w:hint="eastAsia" w:ascii="宋体" w:hAnsi="宋体" w:eastAsia="宋体" w:cs="宋体"/>
                <w:b w:val="0"/>
                <w:bCs w:val="0"/>
                <w:color w:val="auto"/>
                <w:kern w:val="0"/>
                <w:sz w:val="20"/>
                <w:szCs w:val="20"/>
                <w:highlight w:val="none"/>
                <w:lang w:val="en-US" w:eastAsia="zh-CN"/>
              </w:rPr>
              <w:t>网络心电中心</w:t>
            </w:r>
          </w:p>
        </w:tc>
        <w:tc>
          <w:tcPr>
            <w:tcW w:w="2456" w:type="dxa"/>
            <w:vMerge w:val="continue"/>
            <w:vAlign w:val="center"/>
          </w:tcPr>
          <w:p w14:paraId="4857CCB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12B48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69" w:type="dxa"/>
            <w:vAlign w:val="center"/>
          </w:tcPr>
          <w:p w14:paraId="713810F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3</w:t>
            </w:r>
          </w:p>
        </w:tc>
        <w:tc>
          <w:tcPr>
            <w:tcW w:w="2472" w:type="dxa"/>
            <w:vMerge w:val="continue"/>
            <w:vAlign w:val="center"/>
          </w:tcPr>
          <w:p w14:paraId="20E862B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3310" w:type="dxa"/>
            <w:vAlign w:val="center"/>
          </w:tcPr>
          <w:p w14:paraId="348A6CD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eastAsia="zh-CN"/>
              </w:rPr>
            </w:pPr>
            <w:r>
              <w:rPr>
                <w:rFonts w:hint="eastAsia" w:ascii="宋体" w:hAnsi="宋体" w:eastAsia="宋体" w:cs="宋体"/>
                <w:b w:val="0"/>
                <w:bCs w:val="0"/>
                <w:color w:val="auto"/>
                <w:kern w:val="0"/>
                <w:sz w:val="20"/>
                <w:szCs w:val="20"/>
                <w:highlight w:val="none"/>
                <w:lang w:val="en-US" w:eastAsia="zh-CN"/>
              </w:rPr>
              <w:t>影像云诊中心</w:t>
            </w:r>
          </w:p>
        </w:tc>
        <w:tc>
          <w:tcPr>
            <w:tcW w:w="2456" w:type="dxa"/>
            <w:vMerge w:val="continue"/>
            <w:vAlign w:val="center"/>
          </w:tcPr>
          <w:p w14:paraId="151D956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40F47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vAlign w:val="center"/>
          </w:tcPr>
          <w:p w14:paraId="30B9A01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4</w:t>
            </w:r>
          </w:p>
        </w:tc>
        <w:tc>
          <w:tcPr>
            <w:tcW w:w="2472" w:type="dxa"/>
            <w:vMerge w:val="continue"/>
            <w:vAlign w:val="center"/>
          </w:tcPr>
          <w:p w14:paraId="4E10C51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3310" w:type="dxa"/>
            <w:vAlign w:val="center"/>
          </w:tcPr>
          <w:p w14:paraId="201A783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eastAsia="zh-CN"/>
              </w:rPr>
            </w:pPr>
            <w:r>
              <w:rPr>
                <w:rFonts w:hint="eastAsia" w:ascii="宋体" w:hAnsi="宋体" w:eastAsia="宋体" w:cs="宋体"/>
                <w:b w:val="0"/>
                <w:bCs w:val="0"/>
                <w:color w:val="auto"/>
                <w:kern w:val="0"/>
                <w:sz w:val="20"/>
                <w:szCs w:val="20"/>
                <w:highlight w:val="none"/>
                <w:lang w:val="en-US" w:eastAsia="zh-CN"/>
              </w:rPr>
              <w:t>智慧急救中心</w:t>
            </w:r>
          </w:p>
        </w:tc>
        <w:tc>
          <w:tcPr>
            <w:tcW w:w="2456" w:type="dxa"/>
            <w:vMerge w:val="continue"/>
            <w:vAlign w:val="center"/>
          </w:tcPr>
          <w:p w14:paraId="2FC0AF4E">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val="0"/>
                <w:color w:val="auto"/>
                <w:kern w:val="0"/>
                <w:sz w:val="20"/>
                <w:szCs w:val="20"/>
                <w:highlight w:val="none"/>
                <w:lang w:val="en-US" w:eastAsia="zh-CN"/>
              </w:rPr>
            </w:pPr>
          </w:p>
        </w:tc>
      </w:tr>
      <w:tr w14:paraId="6B7FB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vAlign w:val="center"/>
          </w:tcPr>
          <w:p w14:paraId="42FF947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5</w:t>
            </w:r>
          </w:p>
        </w:tc>
        <w:tc>
          <w:tcPr>
            <w:tcW w:w="2472" w:type="dxa"/>
            <w:vMerge w:val="continue"/>
            <w:vAlign w:val="center"/>
          </w:tcPr>
          <w:p w14:paraId="6942AE3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3310" w:type="dxa"/>
            <w:vAlign w:val="center"/>
          </w:tcPr>
          <w:p w14:paraId="52DF592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eastAsia="zh-CN"/>
              </w:rPr>
            </w:pPr>
            <w:r>
              <w:rPr>
                <w:rFonts w:hint="eastAsia" w:ascii="宋体" w:hAnsi="宋体" w:eastAsia="宋体" w:cs="宋体"/>
                <w:b w:val="0"/>
                <w:bCs w:val="0"/>
                <w:color w:val="auto"/>
                <w:kern w:val="0"/>
                <w:sz w:val="20"/>
                <w:szCs w:val="20"/>
                <w:highlight w:val="none"/>
                <w:lang w:val="en-US" w:eastAsia="zh-CN"/>
              </w:rPr>
              <w:t>远程会诊中心</w:t>
            </w:r>
          </w:p>
        </w:tc>
        <w:tc>
          <w:tcPr>
            <w:tcW w:w="2456" w:type="dxa"/>
            <w:vMerge w:val="continue"/>
            <w:vAlign w:val="center"/>
          </w:tcPr>
          <w:p w14:paraId="57378C7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55C59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vAlign w:val="center"/>
          </w:tcPr>
          <w:p w14:paraId="2503522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6</w:t>
            </w:r>
          </w:p>
        </w:tc>
        <w:tc>
          <w:tcPr>
            <w:tcW w:w="2472" w:type="dxa"/>
            <w:vMerge w:val="continue"/>
            <w:vAlign w:val="center"/>
          </w:tcPr>
          <w:p w14:paraId="5A00CEF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3310" w:type="dxa"/>
            <w:vAlign w:val="center"/>
          </w:tcPr>
          <w:p w14:paraId="3494AB8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eastAsia="zh-CN"/>
              </w:rPr>
            </w:pPr>
            <w:r>
              <w:rPr>
                <w:rFonts w:hint="eastAsia" w:ascii="宋体" w:hAnsi="宋体" w:eastAsia="宋体" w:cs="宋体"/>
                <w:b w:val="0"/>
                <w:bCs w:val="0"/>
                <w:color w:val="auto"/>
                <w:kern w:val="0"/>
                <w:sz w:val="20"/>
                <w:szCs w:val="20"/>
                <w:highlight w:val="none"/>
                <w:lang w:val="en-US" w:eastAsia="zh-CN"/>
              </w:rPr>
              <w:t>集中审方中心</w:t>
            </w:r>
          </w:p>
        </w:tc>
        <w:tc>
          <w:tcPr>
            <w:tcW w:w="2456" w:type="dxa"/>
            <w:vMerge w:val="continue"/>
            <w:vAlign w:val="center"/>
          </w:tcPr>
          <w:p w14:paraId="684D1F2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27FDA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vAlign w:val="center"/>
          </w:tcPr>
          <w:p w14:paraId="134E2D0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7</w:t>
            </w:r>
          </w:p>
        </w:tc>
        <w:tc>
          <w:tcPr>
            <w:tcW w:w="2472" w:type="dxa"/>
            <w:vMerge w:val="continue"/>
            <w:vAlign w:val="center"/>
          </w:tcPr>
          <w:p w14:paraId="1F29FA4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3310" w:type="dxa"/>
            <w:vAlign w:val="center"/>
          </w:tcPr>
          <w:p w14:paraId="372FD28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eastAsia="zh-CN"/>
              </w:rPr>
            </w:pPr>
            <w:r>
              <w:rPr>
                <w:rFonts w:hint="eastAsia" w:ascii="宋体" w:hAnsi="宋体" w:eastAsia="宋体" w:cs="宋体"/>
                <w:b w:val="0"/>
                <w:bCs w:val="0"/>
                <w:color w:val="auto"/>
                <w:kern w:val="0"/>
                <w:sz w:val="20"/>
                <w:szCs w:val="20"/>
                <w:highlight w:val="none"/>
                <w:lang w:val="en-US" w:eastAsia="zh-CN"/>
              </w:rPr>
              <w:t>健康随访中心</w:t>
            </w:r>
          </w:p>
        </w:tc>
        <w:tc>
          <w:tcPr>
            <w:tcW w:w="2456" w:type="dxa"/>
            <w:vMerge w:val="continue"/>
            <w:vAlign w:val="center"/>
          </w:tcPr>
          <w:p w14:paraId="72D123C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76C55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vAlign w:val="center"/>
          </w:tcPr>
          <w:p w14:paraId="15896DE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8</w:t>
            </w:r>
          </w:p>
        </w:tc>
        <w:tc>
          <w:tcPr>
            <w:tcW w:w="2472" w:type="dxa"/>
            <w:vMerge w:val="continue"/>
            <w:vAlign w:val="center"/>
          </w:tcPr>
          <w:p w14:paraId="0FA82A2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3310" w:type="dxa"/>
            <w:vAlign w:val="center"/>
          </w:tcPr>
          <w:p w14:paraId="6136B13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eastAsia="zh-CN"/>
              </w:rPr>
            </w:pPr>
            <w:r>
              <w:rPr>
                <w:rFonts w:hint="eastAsia" w:ascii="宋体" w:hAnsi="宋体" w:eastAsia="宋体" w:cs="宋体"/>
                <w:b w:val="0"/>
                <w:bCs w:val="0"/>
                <w:color w:val="auto"/>
                <w:kern w:val="0"/>
                <w:sz w:val="20"/>
                <w:szCs w:val="20"/>
                <w:highlight w:val="none"/>
                <w:lang w:val="en-US" w:eastAsia="zh-CN"/>
              </w:rPr>
              <w:t>医护调度中心</w:t>
            </w:r>
          </w:p>
        </w:tc>
        <w:tc>
          <w:tcPr>
            <w:tcW w:w="2456" w:type="dxa"/>
            <w:vMerge w:val="continue"/>
            <w:vAlign w:val="center"/>
          </w:tcPr>
          <w:p w14:paraId="53A6A8D8">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val="0"/>
                <w:color w:val="auto"/>
                <w:kern w:val="0"/>
                <w:sz w:val="20"/>
                <w:szCs w:val="20"/>
                <w:highlight w:val="none"/>
                <w:lang w:val="en-US" w:eastAsia="zh-CN"/>
              </w:rPr>
            </w:pPr>
          </w:p>
        </w:tc>
      </w:tr>
      <w:tr w14:paraId="05F70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vAlign w:val="center"/>
          </w:tcPr>
          <w:p w14:paraId="2C89FFB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9</w:t>
            </w:r>
          </w:p>
        </w:tc>
        <w:tc>
          <w:tcPr>
            <w:tcW w:w="2472" w:type="dxa"/>
            <w:vMerge w:val="continue"/>
            <w:vAlign w:val="center"/>
          </w:tcPr>
          <w:p w14:paraId="1862301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3310" w:type="dxa"/>
            <w:vAlign w:val="center"/>
          </w:tcPr>
          <w:p w14:paraId="74B8B67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eastAsia="zh-CN"/>
              </w:rPr>
            </w:pPr>
            <w:r>
              <w:rPr>
                <w:rFonts w:hint="eastAsia" w:ascii="宋体" w:hAnsi="宋体" w:eastAsia="宋体" w:cs="宋体"/>
                <w:b w:val="0"/>
                <w:bCs w:val="0"/>
                <w:color w:val="auto"/>
                <w:kern w:val="0"/>
                <w:sz w:val="20"/>
                <w:szCs w:val="20"/>
                <w:highlight w:val="none"/>
                <w:lang w:val="en-US" w:eastAsia="zh-CN"/>
              </w:rPr>
              <w:t>药物配送中心</w:t>
            </w:r>
          </w:p>
        </w:tc>
        <w:tc>
          <w:tcPr>
            <w:tcW w:w="2456" w:type="dxa"/>
            <w:vMerge w:val="continue"/>
            <w:vAlign w:val="center"/>
          </w:tcPr>
          <w:p w14:paraId="77A71F2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6EB65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vAlign w:val="center"/>
          </w:tcPr>
          <w:p w14:paraId="25E1EF1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10</w:t>
            </w:r>
          </w:p>
        </w:tc>
        <w:tc>
          <w:tcPr>
            <w:tcW w:w="2472" w:type="dxa"/>
            <w:vMerge w:val="continue"/>
            <w:vAlign w:val="center"/>
          </w:tcPr>
          <w:p w14:paraId="6F10AB9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3310" w:type="dxa"/>
            <w:vAlign w:val="center"/>
          </w:tcPr>
          <w:p w14:paraId="72EE1DD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eastAsia="zh-CN"/>
              </w:rPr>
            </w:pPr>
            <w:r>
              <w:rPr>
                <w:rFonts w:hint="eastAsia" w:ascii="宋体" w:hAnsi="宋体" w:eastAsia="宋体" w:cs="宋体"/>
                <w:b w:val="0"/>
                <w:bCs w:val="0"/>
                <w:color w:val="auto"/>
                <w:kern w:val="0"/>
                <w:sz w:val="20"/>
                <w:szCs w:val="20"/>
                <w:highlight w:val="none"/>
                <w:lang w:val="en-US" w:eastAsia="zh-CN"/>
              </w:rPr>
              <w:t>消毒供应中心</w:t>
            </w:r>
          </w:p>
        </w:tc>
        <w:tc>
          <w:tcPr>
            <w:tcW w:w="2456" w:type="dxa"/>
            <w:vMerge w:val="continue"/>
            <w:vAlign w:val="center"/>
          </w:tcPr>
          <w:p w14:paraId="0263B8A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3FD77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vAlign w:val="center"/>
          </w:tcPr>
          <w:p w14:paraId="36B7868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11</w:t>
            </w:r>
          </w:p>
        </w:tc>
        <w:tc>
          <w:tcPr>
            <w:tcW w:w="2472" w:type="dxa"/>
            <w:vMerge w:val="continue"/>
            <w:vAlign w:val="center"/>
          </w:tcPr>
          <w:p w14:paraId="72723B3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3310" w:type="dxa"/>
            <w:vAlign w:val="center"/>
          </w:tcPr>
          <w:p w14:paraId="1E4116C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eastAsia="zh-CN"/>
              </w:rPr>
            </w:pPr>
            <w:r>
              <w:rPr>
                <w:rFonts w:hint="eastAsia" w:ascii="宋体" w:hAnsi="宋体" w:eastAsia="宋体" w:cs="宋体"/>
                <w:b w:val="0"/>
                <w:bCs w:val="0"/>
                <w:color w:val="auto"/>
                <w:kern w:val="0"/>
                <w:sz w:val="20"/>
                <w:szCs w:val="20"/>
                <w:highlight w:val="none"/>
                <w:lang w:val="en-US" w:eastAsia="zh-CN"/>
              </w:rPr>
              <w:t>医疗质控中心</w:t>
            </w:r>
          </w:p>
        </w:tc>
        <w:tc>
          <w:tcPr>
            <w:tcW w:w="2456" w:type="dxa"/>
            <w:vMerge w:val="continue"/>
            <w:vAlign w:val="center"/>
          </w:tcPr>
          <w:p w14:paraId="302D6BF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7A870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vAlign w:val="center"/>
          </w:tcPr>
          <w:p w14:paraId="0CA6EA0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12</w:t>
            </w:r>
          </w:p>
        </w:tc>
        <w:tc>
          <w:tcPr>
            <w:tcW w:w="2472" w:type="dxa"/>
            <w:vMerge w:val="continue"/>
            <w:vAlign w:val="center"/>
          </w:tcPr>
          <w:p w14:paraId="04B7AE1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3310" w:type="dxa"/>
            <w:vAlign w:val="center"/>
          </w:tcPr>
          <w:p w14:paraId="5563E6C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eastAsia="zh-CN"/>
              </w:rPr>
            </w:pPr>
            <w:r>
              <w:rPr>
                <w:rFonts w:hint="eastAsia" w:ascii="宋体" w:hAnsi="宋体" w:eastAsia="宋体" w:cs="宋体"/>
                <w:b w:val="0"/>
                <w:bCs w:val="0"/>
                <w:color w:val="auto"/>
                <w:kern w:val="0"/>
                <w:sz w:val="20"/>
                <w:szCs w:val="20"/>
                <w:highlight w:val="none"/>
                <w:lang w:val="en-US" w:eastAsia="zh-CN"/>
              </w:rPr>
              <w:t>运维监管中心</w:t>
            </w:r>
          </w:p>
        </w:tc>
        <w:tc>
          <w:tcPr>
            <w:tcW w:w="2456" w:type="dxa"/>
            <w:vMerge w:val="continue"/>
            <w:vAlign w:val="center"/>
          </w:tcPr>
          <w:p w14:paraId="21398D01">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val="0"/>
                <w:color w:val="auto"/>
                <w:kern w:val="0"/>
                <w:sz w:val="20"/>
                <w:szCs w:val="20"/>
                <w:highlight w:val="none"/>
                <w:lang w:val="en-US" w:eastAsia="zh-CN"/>
              </w:rPr>
            </w:pPr>
          </w:p>
        </w:tc>
      </w:tr>
      <w:tr w14:paraId="1E76C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vAlign w:val="center"/>
          </w:tcPr>
          <w:p w14:paraId="5D317BD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13</w:t>
            </w:r>
          </w:p>
        </w:tc>
        <w:tc>
          <w:tcPr>
            <w:tcW w:w="2472" w:type="dxa"/>
            <w:vMerge w:val="continue"/>
            <w:vAlign w:val="center"/>
          </w:tcPr>
          <w:p w14:paraId="0F7E074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3310" w:type="dxa"/>
            <w:vAlign w:val="center"/>
          </w:tcPr>
          <w:p w14:paraId="48ECED4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数据分析与共享</w:t>
            </w:r>
          </w:p>
        </w:tc>
        <w:tc>
          <w:tcPr>
            <w:tcW w:w="2456" w:type="dxa"/>
            <w:vMerge w:val="continue"/>
            <w:vAlign w:val="center"/>
          </w:tcPr>
          <w:p w14:paraId="08AE7E7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23CFD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vAlign w:val="center"/>
          </w:tcPr>
          <w:p w14:paraId="69A595A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14</w:t>
            </w:r>
          </w:p>
        </w:tc>
        <w:tc>
          <w:tcPr>
            <w:tcW w:w="2472" w:type="dxa"/>
            <w:vMerge w:val="restart"/>
            <w:vAlign w:val="center"/>
          </w:tcPr>
          <w:p w14:paraId="0CCF851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r>
              <w:rPr>
                <w:rFonts w:hint="eastAsia" w:ascii="宋体" w:hAnsi="宋体" w:eastAsia="宋体" w:cs="宋体"/>
                <w:b/>
                <w:bCs/>
                <w:color w:val="auto"/>
                <w:kern w:val="0"/>
                <w:sz w:val="20"/>
                <w:szCs w:val="20"/>
                <w:highlight w:val="none"/>
                <w:lang w:eastAsia="zh-CN"/>
              </w:rPr>
              <w:t>硬件</w:t>
            </w:r>
          </w:p>
        </w:tc>
        <w:tc>
          <w:tcPr>
            <w:tcW w:w="3310" w:type="dxa"/>
            <w:vAlign w:val="center"/>
          </w:tcPr>
          <w:p w14:paraId="0B8F99A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智慧急救中心（硬件）</w:t>
            </w:r>
          </w:p>
        </w:tc>
        <w:tc>
          <w:tcPr>
            <w:tcW w:w="2456" w:type="dxa"/>
            <w:vMerge w:val="restart"/>
            <w:vAlign w:val="center"/>
          </w:tcPr>
          <w:p w14:paraId="4588D8A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信息传输业</w:t>
            </w:r>
          </w:p>
        </w:tc>
      </w:tr>
      <w:tr w14:paraId="32CF7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vAlign w:val="center"/>
          </w:tcPr>
          <w:p w14:paraId="3FE44D5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15</w:t>
            </w:r>
          </w:p>
        </w:tc>
        <w:tc>
          <w:tcPr>
            <w:tcW w:w="2472" w:type="dxa"/>
            <w:vMerge w:val="continue"/>
            <w:vAlign w:val="center"/>
          </w:tcPr>
          <w:p w14:paraId="12B8520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3310" w:type="dxa"/>
            <w:vAlign w:val="center"/>
          </w:tcPr>
          <w:p w14:paraId="45DB47B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配套（硬件）</w:t>
            </w:r>
          </w:p>
        </w:tc>
        <w:tc>
          <w:tcPr>
            <w:tcW w:w="2456" w:type="dxa"/>
            <w:vMerge w:val="continue"/>
            <w:vAlign w:val="center"/>
          </w:tcPr>
          <w:p w14:paraId="659C26B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5BC31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vAlign w:val="center"/>
          </w:tcPr>
          <w:p w14:paraId="4087542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16</w:t>
            </w:r>
          </w:p>
        </w:tc>
        <w:tc>
          <w:tcPr>
            <w:tcW w:w="2472" w:type="dxa"/>
            <w:vAlign w:val="center"/>
          </w:tcPr>
          <w:p w14:paraId="25860CD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r>
              <w:rPr>
                <w:rFonts w:hint="eastAsia" w:ascii="宋体" w:hAnsi="宋体" w:eastAsia="宋体" w:cs="宋体"/>
                <w:b/>
                <w:bCs/>
                <w:color w:val="auto"/>
                <w:kern w:val="0"/>
                <w:sz w:val="20"/>
                <w:szCs w:val="20"/>
                <w:highlight w:val="none"/>
                <w:lang w:eastAsia="zh-CN"/>
              </w:rPr>
              <w:t>装潢</w:t>
            </w:r>
          </w:p>
        </w:tc>
        <w:tc>
          <w:tcPr>
            <w:tcW w:w="3310" w:type="dxa"/>
            <w:vAlign w:val="center"/>
          </w:tcPr>
          <w:p w14:paraId="65280E2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指挥中心和智慧急救中心装潢</w:t>
            </w:r>
          </w:p>
        </w:tc>
        <w:tc>
          <w:tcPr>
            <w:tcW w:w="2456" w:type="dxa"/>
            <w:vAlign w:val="center"/>
          </w:tcPr>
          <w:p w14:paraId="36D41B5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建筑业</w:t>
            </w:r>
          </w:p>
        </w:tc>
      </w:tr>
      <w:tr w14:paraId="6A1C8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751" w:type="dxa"/>
            <w:gridSpan w:val="3"/>
            <w:vAlign w:val="center"/>
          </w:tcPr>
          <w:p w14:paraId="6EA5406C">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智慧医疗服务能力提升建设清单</w:t>
            </w:r>
          </w:p>
        </w:tc>
        <w:tc>
          <w:tcPr>
            <w:tcW w:w="2456" w:type="dxa"/>
            <w:vAlign w:val="center"/>
          </w:tcPr>
          <w:p w14:paraId="77FBADD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val="en-US" w:eastAsia="zh-CN"/>
              </w:rPr>
            </w:pPr>
          </w:p>
        </w:tc>
      </w:tr>
      <w:tr w14:paraId="47AED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vAlign w:val="center"/>
          </w:tcPr>
          <w:p w14:paraId="1D15426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17</w:t>
            </w:r>
          </w:p>
        </w:tc>
        <w:tc>
          <w:tcPr>
            <w:tcW w:w="2472" w:type="dxa"/>
            <w:vMerge w:val="restart"/>
            <w:vAlign w:val="center"/>
          </w:tcPr>
          <w:p w14:paraId="208BC83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r>
              <w:rPr>
                <w:rFonts w:hint="eastAsia" w:ascii="宋体" w:hAnsi="宋体" w:eastAsia="宋体" w:cs="宋体"/>
                <w:b/>
                <w:bCs/>
                <w:color w:val="auto"/>
                <w:kern w:val="0"/>
                <w:sz w:val="20"/>
                <w:szCs w:val="20"/>
                <w:highlight w:val="none"/>
                <w:lang w:eastAsia="zh-CN"/>
              </w:rPr>
              <w:t>软</w:t>
            </w:r>
            <w:r>
              <w:rPr>
                <w:rFonts w:hint="eastAsia" w:ascii="宋体" w:hAnsi="宋体" w:eastAsia="宋体" w:cs="宋体"/>
                <w:b/>
                <w:bCs/>
                <w:color w:val="auto"/>
                <w:kern w:val="0"/>
                <w:sz w:val="20"/>
                <w:szCs w:val="20"/>
                <w:highlight w:val="none"/>
                <w:lang w:val="en-US" w:eastAsia="zh-CN"/>
              </w:rPr>
              <w:t xml:space="preserve"> </w:t>
            </w:r>
            <w:r>
              <w:rPr>
                <w:rFonts w:hint="eastAsia" w:ascii="宋体" w:hAnsi="宋体" w:eastAsia="宋体" w:cs="宋体"/>
                <w:b/>
                <w:bCs/>
                <w:color w:val="auto"/>
                <w:kern w:val="0"/>
                <w:sz w:val="20"/>
                <w:szCs w:val="20"/>
                <w:highlight w:val="none"/>
                <w:lang w:eastAsia="zh-CN"/>
              </w:rPr>
              <w:t>件</w:t>
            </w:r>
          </w:p>
        </w:tc>
        <w:tc>
          <w:tcPr>
            <w:tcW w:w="3310" w:type="dxa"/>
            <w:vAlign w:val="center"/>
          </w:tcPr>
          <w:p w14:paraId="62C30BD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互联网医院平台</w:t>
            </w:r>
          </w:p>
        </w:tc>
        <w:tc>
          <w:tcPr>
            <w:tcW w:w="2456" w:type="dxa"/>
            <w:vMerge w:val="restart"/>
            <w:vAlign w:val="center"/>
          </w:tcPr>
          <w:p w14:paraId="4CF464A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rPr>
              <w:t>软件和信息技术服务业</w:t>
            </w:r>
          </w:p>
        </w:tc>
      </w:tr>
      <w:tr w14:paraId="17BB3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vAlign w:val="center"/>
          </w:tcPr>
          <w:p w14:paraId="60712D2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18</w:t>
            </w:r>
          </w:p>
        </w:tc>
        <w:tc>
          <w:tcPr>
            <w:tcW w:w="2472" w:type="dxa"/>
            <w:vMerge w:val="continue"/>
            <w:vAlign w:val="center"/>
          </w:tcPr>
          <w:p w14:paraId="648DDB2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3310" w:type="dxa"/>
            <w:vAlign w:val="center"/>
          </w:tcPr>
          <w:p w14:paraId="6FB5F8F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院内急诊与专病信息化平台</w:t>
            </w:r>
          </w:p>
        </w:tc>
        <w:tc>
          <w:tcPr>
            <w:tcW w:w="2456" w:type="dxa"/>
            <w:vMerge w:val="continue"/>
            <w:vAlign w:val="center"/>
          </w:tcPr>
          <w:p w14:paraId="36A4723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450C1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vAlign w:val="center"/>
          </w:tcPr>
          <w:p w14:paraId="22CFB1D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19</w:t>
            </w:r>
          </w:p>
        </w:tc>
        <w:tc>
          <w:tcPr>
            <w:tcW w:w="2472" w:type="dxa"/>
            <w:vMerge w:val="continue"/>
            <w:vAlign w:val="center"/>
          </w:tcPr>
          <w:p w14:paraId="642D73E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3310" w:type="dxa"/>
            <w:vAlign w:val="center"/>
          </w:tcPr>
          <w:p w14:paraId="0FB2F9C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HIS接口改造</w:t>
            </w:r>
          </w:p>
        </w:tc>
        <w:tc>
          <w:tcPr>
            <w:tcW w:w="2456" w:type="dxa"/>
            <w:vMerge w:val="continue"/>
            <w:vAlign w:val="center"/>
          </w:tcPr>
          <w:p w14:paraId="57E3F045">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val="0"/>
                <w:color w:val="auto"/>
                <w:kern w:val="0"/>
                <w:sz w:val="20"/>
                <w:szCs w:val="20"/>
                <w:highlight w:val="none"/>
                <w:lang w:val="en-US" w:eastAsia="zh-CN"/>
              </w:rPr>
            </w:pPr>
          </w:p>
        </w:tc>
      </w:tr>
      <w:tr w14:paraId="12EDC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vAlign w:val="center"/>
          </w:tcPr>
          <w:p w14:paraId="6139BFA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20</w:t>
            </w:r>
          </w:p>
        </w:tc>
        <w:tc>
          <w:tcPr>
            <w:tcW w:w="2472" w:type="dxa"/>
            <w:vMerge w:val="restart"/>
            <w:vAlign w:val="center"/>
          </w:tcPr>
          <w:p w14:paraId="6E146DB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r>
              <w:rPr>
                <w:rFonts w:hint="eastAsia" w:ascii="宋体" w:hAnsi="宋体" w:eastAsia="宋体" w:cs="宋体"/>
                <w:b/>
                <w:bCs/>
                <w:color w:val="auto"/>
                <w:kern w:val="0"/>
                <w:sz w:val="20"/>
                <w:szCs w:val="20"/>
                <w:highlight w:val="none"/>
                <w:lang w:eastAsia="zh-CN"/>
              </w:rPr>
              <w:t>硬件</w:t>
            </w:r>
          </w:p>
        </w:tc>
        <w:tc>
          <w:tcPr>
            <w:tcW w:w="3310" w:type="dxa"/>
            <w:vAlign w:val="center"/>
          </w:tcPr>
          <w:p w14:paraId="2EAE398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数据中心（硬件）</w:t>
            </w:r>
          </w:p>
        </w:tc>
        <w:tc>
          <w:tcPr>
            <w:tcW w:w="2456" w:type="dxa"/>
            <w:vMerge w:val="restart"/>
            <w:vAlign w:val="center"/>
          </w:tcPr>
          <w:p w14:paraId="63B13ED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信息传输业</w:t>
            </w:r>
          </w:p>
        </w:tc>
      </w:tr>
      <w:tr w14:paraId="41047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69" w:type="dxa"/>
            <w:vAlign w:val="center"/>
          </w:tcPr>
          <w:p w14:paraId="7EEBA56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21</w:t>
            </w:r>
          </w:p>
        </w:tc>
        <w:tc>
          <w:tcPr>
            <w:tcW w:w="2472" w:type="dxa"/>
            <w:vMerge w:val="continue"/>
            <w:vAlign w:val="center"/>
          </w:tcPr>
          <w:p w14:paraId="6C8BD4C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0"/>
                <w:szCs w:val="20"/>
                <w:highlight w:val="none"/>
                <w:lang w:eastAsia="zh-CN"/>
              </w:rPr>
            </w:pPr>
          </w:p>
        </w:tc>
        <w:tc>
          <w:tcPr>
            <w:tcW w:w="3310" w:type="dxa"/>
            <w:vAlign w:val="center"/>
          </w:tcPr>
          <w:p w14:paraId="4AC2E12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院内急诊与专病信息化平台（硬件）</w:t>
            </w:r>
          </w:p>
        </w:tc>
        <w:tc>
          <w:tcPr>
            <w:tcW w:w="2456" w:type="dxa"/>
            <w:vMerge w:val="continue"/>
            <w:vAlign w:val="center"/>
          </w:tcPr>
          <w:p w14:paraId="2F4E4AF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bl>
    <w:p w14:paraId="508D9C5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（二）技术参数</w:t>
      </w:r>
    </w:p>
    <w:p w14:paraId="0212466D">
      <w:pPr>
        <w:pStyle w:val="2"/>
        <w:keepNext w:val="0"/>
        <w:keepLines w:val="0"/>
        <w:pageBreakBefore w:val="0"/>
        <w:widowControl w:val="0"/>
        <w:numPr>
          <w:ilvl w:val="0"/>
          <w:numId w:val="0"/>
        </w:numPr>
        <w:kinsoku/>
        <w:wordWrap/>
        <w:overflowPunct/>
        <w:topLinePunct w:val="0"/>
        <w:autoSpaceDE/>
        <w:autoSpaceDN/>
        <w:bidi w:val="0"/>
        <w:adjustRightInd/>
        <w:snapToGrid/>
        <w:spacing w:after="0" w:line="400" w:lineRule="exact"/>
        <w:textAlignment w:val="auto"/>
        <w:rPr>
          <w:rFonts w:hint="eastAsia" w:ascii="宋体" w:hAnsi="宋体" w:eastAsia="宋体" w:cs="宋体"/>
          <w:highlight w:val="yellow"/>
          <w:lang w:val="en-US" w:eastAsia="zh-CN"/>
        </w:rPr>
      </w:pPr>
      <w:r>
        <w:rPr>
          <w:rFonts w:hint="eastAsia" w:ascii="宋体" w:hAnsi="宋体" w:eastAsia="宋体" w:cs="宋体"/>
          <w:highlight w:val="yellow"/>
          <w:lang w:eastAsia="zh-CN"/>
        </w:rPr>
        <w:t>（二）</w:t>
      </w:r>
      <w:r>
        <w:rPr>
          <w:rFonts w:hint="eastAsia" w:ascii="宋体" w:hAnsi="宋体" w:eastAsia="宋体" w:cs="宋体"/>
          <w:highlight w:val="yellow"/>
          <w:lang w:val="en-US" w:eastAsia="zh-CN"/>
        </w:rPr>
        <w:t>-1：</w:t>
      </w:r>
      <w:r>
        <w:rPr>
          <w:rFonts w:hint="eastAsia" w:ascii="宋体" w:hAnsi="宋体" w:eastAsia="宋体" w:cs="宋体"/>
          <w:b w:val="0"/>
          <w:bCs w:val="0"/>
          <w:color w:val="auto"/>
          <w:kern w:val="0"/>
          <w:sz w:val="20"/>
          <w:szCs w:val="20"/>
          <w:highlight w:val="yellow"/>
          <w:lang w:val="en-US" w:eastAsia="zh-CN"/>
        </w:rPr>
        <w:t>区域检验中心</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866"/>
        <w:gridCol w:w="2317"/>
        <w:gridCol w:w="4417"/>
        <w:gridCol w:w="733"/>
        <w:gridCol w:w="714"/>
      </w:tblGrid>
      <w:tr w14:paraId="32886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7EFA33B">
            <w:pPr>
              <w:widowControl/>
              <w:jc w:val="center"/>
              <w:rPr>
                <w:rFonts w:hint="eastAsia" w:ascii="宋体" w:hAnsi="宋体" w:eastAsia="宋体" w:cs="宋体"/>
                <w:b/>
                <w:color w:val="auto"/>
                <w:sz w:val="24"/>
                <w:szCs w:val="24"/>
                <w:highlight w:val="none"/>
                <w:vertAlign w:val="baseline"/>
                <w:lang w:eastAsia="zh-CN"/>
              </w:rPr>
            </w:pPr>
            <w:r>
              <w:rPr>
                <w:rFonts w:hint="eastAsia" w:ascii="宋体" w:hAnsi="宋体" w:cs="宋体"/>
                <w:b/>
                <w:bCs/>
                <w:color w:val="auto"/>
                <w:kern w:val="0"/>
                <w:sz w:val="20"/>
                <w:szCs w:val="20"/>
                <w:highlight w:val="none"/>
              </w:rPr>
              <w:t>序号</w:t>
            </w:r>
          </w:p>
        </w:tc>
        <w:tc>
          <w:tcPr>
            <w:tcW w:w="3903" w:type="dxa"/>
            <w:gridSpan w:val="3"/>
            <w:vAlign w:val="center"/>
          </w:tcPr>
          <w:p w14:paraId="01E7EBB6">
            <w:pPr>
              <w:widowControl/>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bCs/>
                <w:color w:val="auto"/>
                <w:kern w:val="0"/>
                <w:sz w:val="20"/>
                <w:szCs w:val="20"/>
                <w:highlight w:val="none"/>
                <w:lang w:eastAsia="zh-CN"/>
              </w:rPr>
              <w:t>建设内容</w:t>
            </w:r>
          </w:p>
        </w:tc>
        <w:tc>
          <w:tcPr>
            <w:tcW w:w="4417" w:type="dxa"/>
            <w:vAlign w:val="center"/>
          </w:tcPr>
          <w:p w14:paraId="7D78A73B">
            <w:pPr>
              <w:widowControl/>
              <w:jc w:val="center"/>
              <w:rPr>
                <w:rFonts w:hint="default" w:ascii="宋体" w:hAnsi="宋体" w:eastAsia="宋体" w:cs="宋体"/>
                <w:b/>
                <w:color w:val="auto"/>
                <w:sz w:val="24"/>
                <w:szCs w:val="24"/>
                <w:highlight w:val="none"/>
                <w:vertAlign w:val="baseli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6439348C">
            <w:pPr>
              <w:widowControl/>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bCs/>
                <w:color w:val="auto"/>
                <w:kern w:val="0"/>
                <w:sz w:val="20"/>
                <w:szCs w:val="20"/>
                <w:highlight w:val="none"/>
                <w:lang w:eastAsia="zh-CN"/>
              </w:rPr>
              <w:t>单位</w:t>
            </w:r>
          </w:p>
        </w:tc>
        <w:tc>
          <w:tcPr>
            <w:tcW w:w="714" w:type="dxa"/>
            <w:vAlign w:val="center"/>
          </w:tcPr>
          <w:p w14:paraId="175D54EC">
            <w:pPr>
              <w:spacing w:line="240" w:lineRule="exact"/>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bCs/>
                <w:color w:val="auto"/>
                <w:kern w:val="0"/>
                <w:szCs w:val="21"/>
                <w:highlight w:val="none"/>
                <w:lang w:eastAsia="zh-CN"/>
              </w:rPr>
              <w:t>数量</w:t>
            </w:r>
          </w:p>
        </w:tc>
      </w:tr>
      <w:tr w14:paraId="300C9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ECCC7BC">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olor w:val="auto"/>
                <w:sz w:val="22"/>
                <w:szCs w:val="22"/>
                <w:highlight w:val="none"/>
                <w:lang w:val="en-US" w:eastAsia="zh-CN"/>
              </w:rPr>
              <w:t>1</w:t>
            </w:r>
          </w:p>
        </w:tc>
        <w:tc>
          <w:tcPr>
            <w:tcW w:w="720" w:type="dxa"/>
            <w:vMerge w:val="restart"/>
            <w:vAlign w:val="center"/>
          </w:tcPr>
          <w:p w14:paraId="07B6D71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医院LIS系统升级</w:t>
            </w:r>
          </w:p>
        </w:tc>
        <w:tc>
          <w:tcPr>
            <w:tcW w:w="866" w:type="dxa"/>
            <w:vMerge w:val="restart"/>
            <w:vAlign w:val="center"/>
          </w:tcPr>
          <w:p w14:paraId="44DFF1F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中心检验业务信息流转</w:t>
            </w:r>
          </w:p>
        </w:tc>
        <w:tc>
          <w:tcPr>
            <w:tcW w:w="2317" w:type="dxa"/>
            <w:vAlign w:val="center"/>
          </w:tcPr>
          <w:p w14:paraId="5E65CA3F">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电子检验申请下载</w:t>
            </w:r>
          </w:p>
        </w:tc>
        <w:tc>
          <w:tcPr>
            <w:tcW w:w="4417" w:type="dxa"/>
            <w:vAlign w:val="center"/>
          </w:tcPr>
          <w:p w14:paraId="7D7978A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中心检验系统下载基层机构发出的电子检验申请信息</w:t>
            </w:r>
          </w:p>
        </w:tc>
        <w:tc>
          <w:tcPr>
            <w:tcW w:w="733" w:type="dxa"/>
            <w:vMerge w:val="restart"/>
            <w:vAlign w:val="center"/>
          </w:tcPr>
          <w:p w14:paraId="0D43E17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套</w:t>
            </w:r>
          </w:p>
        </w:tc>
        <w:tc>
          <w:tcPr>
            <w:tcW w:w="714" w:type="dxa"/>
            <w:vMerge w:val="restart"/>
            <w:vAlign w:val="center"/>
          </w:tcPr>
          <w:p w14:paraId="6B71B81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1</w:t>
            </w:r>
          </w:p>
        </w:tc>
      </w:tr>
      <w:tr w14:paraId="1A7C6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DC97A0A">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2</w:t>
            </w:r>
          </w:p>
        </w:tc>
        <w:tc>
          <w:tcPr>
            <w:tcW w:w="720" w:type="dxa"/>
            <w:vMerge w:val="continue"/>
            <w:vAlign w:val="center"/>
          </w:tcPr>
          <w:p w14:paraId="52F0BAD0">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2C18BFE6">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2D955B52">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检验报告结果上传</w:t>
            </w:r>
          </w:p>
        </w:tc>
        <w:tc>
          <w:tcPr>
            <w:tcW w:w="4417" w:type="dxa"/>
            <w:vAlign w:val="center"/>
          </w:tcPr>
          <w:p w14:paraId="3BE33EC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检验后将报告上传到检验系统，并进行审核</w:t>
            </w:r>
          </w:p>
        </w:tc>
        <w:tc>
          <w:tcPr>
            <w:tcW w:w="733" w:type="dxa"/>
            <w:vMerge w:val="continue"/>
            <w:vAlign w:val="center"/>
          </w:tcPr>
          <w:p w14:paraId="4F8B1381">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6B58E2EC">
            <w:pPr>
              <w:jc w:val="center"/>
              <w:rPr>
                <w:rFonts w:hint="eastAsia" w:ascii="宋体" w:hAnsi="宋体" w:eastAsia="宋体" w:cs="宋体"/>
                <w:b/>
                <w:color w:val="auto"/>
                <w:sz w:val="24"/>
                <w:szCs w:val="24"/>
                <w:highlight w:val="none"/>
                <w:vertAlign w:val="baseline"/>
                <w:lang w:eastAsia="zh-CN"/>
              </w:rPr>
            </w:pPr>
          </w:p>
        </w:tc>
      </w:tr>
      <w:tr w14:paraId="65DFF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2CB587A">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3</w:t>
            </w:r>
          </w:p>
        </w:tc>
        <w:tc>
          <w:tcPr>
            <w:tcW w:w="720" w:type="dxa"/>
            <w:vMerge w:val="continue"/>
            <w:vAlign w:val="center"/>
          </w:tcPr>
          <w:p w14:paraId="13D15CA1">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7119F464">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7776D89E">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检验图形数据索引上传</w:t>
            </w:r>
          </w:p>
        </w:tc>
        <w:tc>
          <w:tcPr>
            <w:tcW w:w="4417" w:type="dxa"/>
            <w:vAlign w:val="center"/>
          </w:tcPr>
          <w:p w14:paraId="48427CBB">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检验医院将检验图形数据索引上传</w:t>
            </w:r>
          </w:p>
        </w:tc>
        <w:tc>
          <w:tcPr>
            <w:tcW w:w="733" w:type="dxa"/>
            <w:vMerge w:val="continue"/>
            <w:vAlign w:val="center"/>
          </w:tcPr>
          <w:p w14:paraId="60030A0D">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72ABB0A7">
            <w:pPr>
              <w:jc w:val="center"/>
              <w:rPr>
                <w:rFonts w:hint="eastAsia" w:ascii="宋体" w:hAnsi="宋体" w:eastAsia="宋体" w:cs="宋体"/>
                <w:b/>
                <w:color w:val="auto"/>
                <w:sz w:val="24"/>
                <w:szCs w:val="24"/>
                <w:highlight w:val="none"/>
                <w:vertAlign w:val="baseline"/>
                <w:lang w:eastAsia="zh-CN"/>
              </w:rPr>
            </w:pPr>
          </w:p>
        </w:tc>
      </w:tr>
      <w:tr w14:paraId="61639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EECCD79">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4</w:t>
            </w:r>
          </w:p>
        </w:tc>
        <w:tc>
          <w:tcPr>
            <w:tcW w:w="720" w:type="dxa"/>
            <w:vMerge w:val="continue"/>
            <w:vAlign w:val="center"/>
          </w:tcPr>
          <w:p w14:paraId="75BD8A54">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05B0E7A6">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3F0D227D">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医院质控原始数据上传</w:t>
            </w:r>
          </w:p>
        </w:tc>
        <w:tc>
          <w:tcPr>
            <w:tcW w:w="4417" w:type="dxa"/>
            <w:vAlign w:val="center"/>
          </w:tcPr>
          <w:p w14:paraId="36AB7C0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医院上传质控原始数据，进行质控管理</w:t>
            </w:r>
          </w:p>
        </w:tc>
        <w:tc>
          <w:tcPr>
            <w:tcW w:w="733" w:type="dxa"/>
            <w:vMerge w:val="continue"/>
            <w:vAlign w:val="center"/>
          </w:tcPr>
          <w:p w14:paraId="6DE9A281">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698CFB48">
            <w:pPr>
              <w:jc w:val="center"/>
              <w:rPr>
                <w:rFonts w:hint="eastAsia" w:ascii="宋体" w:hAnsi="宋体" w:eastAsia="宋体" w:cs="宋体"/>
                <w:b/>
                <w:color w:val="auto"/>
                <w:sz w:val="24"/>
                <w:szCs w:val="24"/>
                <w:highlight w:val="none"/>
                <w:vertAlign w:val="baseline"/>
                <w:lang w:eastAsia="zh-CN"/>
              </w:rPr>
            </w:pPr>
          </w:p>
        </w:tc>
      </w:tr>
      <w:tr w14:paraId="2FF4C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EB103B9">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5</w:t>
            </w:r>
          </w:p>
        </w:tc>
        <w:tc>
          <w:tcPr>
            <w:tcW w:w="720" w:type="dxa"/>
            <w:vMerge w:val="continue"/>
            <w:vAlign w:val="center"/>
          </w:tcPr>
          <w:p w14:paraId="04377AB6">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405FC107">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3A09D783">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医院不合格标本上传</w:t>
            </w:r>
          </w:p>
        </w:tc>
        <w:tc>
          <w:tcPr>
            <w:tcW w:w="4417" w:type="dxa"/>
            <w:vAlign w:val="center"/>
          </w:tcPr>
          <w:p w14:paraId="305B2FE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医院将不合格的标本进行上传、打回，填写不合格原因</w:t>
            </w:r>
          </w:p>
        </w:tc>
        <w:tc>
          <w:tcPr>
            <w:tcW w:w="733" w:type="dxa"/>
            <w:vMerge w:val="continue"/>
            <w:vAlign w:val="center"/>
          </w:tcPr>
          <w:p w14:paraId="2FD40462">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7C1C9EC7">
            <w:pPr>
              <w:jc w:val="center"/>
              <w:rPr>
                <w:rFonts w:hint="eastAsia" w:ascii="宋体" w:hAnsi="宋体" w:eastAsia="宋体" w:cs="宋体"/>
                <w:b/>
                <w:color w:val="auto"/>
                <w:sz w:val="24"/>
                <w:szCs w:val="24"/>
                <w:highlight w:val="none"/>
                <w:vertAlign w:val="baseline"/>
                <w:lang w:eastAsia="zh-CN"/>
              </w:rPr>
            </w:pPr>
          </w:p>
        </w:tc>
      </w:tr>
      <w:tr w14:paraId="21D07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5C79477">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6</w:t>
            </w:r>
          </w:p>
        </w:tc>
        <w:tc>
          <w:tcPr>
            <w:tcW w:w="720" w:type="dxa"/>
            <w:vMerge w:val="continue"/>
            <w:vAlign w:val="center"/>
          </w:tcPr>
          <w:p w14:paraId="3211E38A">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44481202">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428420F4">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医院危急值上传</w:t>
            </w:r>
          </w:p>
        </w:tc>
        <w:tc>
          <w:tcPr>
            <w:tcW w:w="4417" w:type="dxa"/>
            <w:vAlign w:val="center"/>
          </w:tcPr>
          <w:p w14:paraId="7A96A2D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检验过程中出现危急值时，医院将危急值进行上报，对相关责任人进行预警提醒</w:t>
            </w:r>
          </w:p>
        </w:tc>
        <w:tc>
          <w:tcPr>
            <w:tcW w:w="733" w:type="dxa"/>
            <w:vMerge w:val="continue"/>
            <w:vAlign w:val="center"/>
          </w:tcPr>
          <w:p w14:paraId="20A9F32A">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67A5198F">
            <w:pPr>
              <w:jc w:val="center"/>
              <w:rPr>
                <w:rFonts w:hint="eastAsia" w:ascii="宋体" w:hAnsi="宋体" w:eastAsia="宋体" w:cs="宋体"/>
                <w:b/>
                <w:color w:val="auto"/>
                <w:sz w:val="24"/>
                <w:szCs w:val="24"/>
                <w:highlight w:val="none"/>
                <w:vertAlign w:val="baseline"/>
                <w:lang w:eastAsia="zh-CN"/>
              </w:rPr>
            </w:pPr>
          </w:p>
        </w:tc>
      </w:tr>
      <w:tr w14:paraId="47DB7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798381D">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7</w:t>
            </w:r>
          </w:p>
        </w:tc>
        <w:tc>
          <w:tcPr>
            <w:tcW w:w="720" w:type="dxa"/>
            <w:vMerge w:val="continue"/>
            <w:vAlign w:val="center"/>
          </w:tcPr>
          <w:p w14:paraId="3227588E">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557F4062">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4E69992E">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医院检验申请单状态共享查询</w:t>
            </w:r>
          </w:p>
        </w:tc>
        <w:tc>
          <w:tcPr>
            <w:tcW w:w="4417" w:type="dxa"/>
            <w:vAlign w:val="center"/>
          </w:tcPr>
          <w:p w14:paraId="6F80B7F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医院查询检验申请单共享状态，包括已上传、正在检验、确认报告等</w:t>
            </w:r>
          </w:p>
        </w:tc>
        <w:tc>
          <w:tcPr>
            <w:tcW w:w="733" w:type="dxa"/>
            <w:vMerge w:val="continue"/>
            <w:vAlign w:val="center"/>
          </w:tcPr>
          <w:p w14:paraId="6E7FB601">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36816FE6">
            <w:pPr>
              <w:jc w:val="center"/>
              <w:rPr>
                <w:rFonts w:hint="eastAsia" w:ascii="宋体" w:hAnsi="宋体" w:eastAsia="宋体" w:cs="宋体"/>
                <w:b/>
                <w:color w:val="auto"/>
                <w:sz w:val="24"/>
                <w:szCs w:val="24"/>
                <w:highlight w:val="none"/>
                <w:vertAlign w:val="baseline"/>
                <w:lang w:eastAsia="zh-CN"/>
              </w:rPr>
            </w:pPr>
          </w:p>
        </w:tc>
      </w:tr>
      <w:tr w14:paraId="31A17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C2DF1CF">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8</w:t>
            </w:r>
          </w:p>
        </w:tc>
        <w:tc>
          <w:tcPr>
            <w:tcW w:w="720" w:type="dxa"/>
            <w:vMerge w:val="restart"/>
            <w:vAlign w:val="center"/>
          </w:tcPr>
          <w:p w14:paraId="3271287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区域LIS系统升级</w:t>
            </w:r>
          </w:p>
        </w:tc>
        <w:tc>
          <w:tcPr>
            <w:tcW w:w="866" w:type="dxa"/>
            <w:vMerge w:val="restart"/>
            <w:vAlign w:val="center"/>
          </w:tcPr>
          <w:p w14:paraId="4AA77B3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区域检验业务信息流转</w:t>
            </w:r>
          </w:p>
        </w:tc>
        <w:tc>
          <w:tcPr>
            <w:tcW w:w="2317" w:type="dxa"/>
            <w:vAlign w:val="center"/>
          </w:tcPr>
          <w:p w14:paraId="2B9D399C">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电子检验申请上传</w:t>
            </w:r>
          </w:p>
        </w:tc>
        <w:tc>
          <w:tcPr>
            <w:tcW w:w="4417" w:type="dxa"/>
            <w:vAlign w:val="center"/>
          </w:tcPr>
          <w:p w14:paraId="46A29E8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基层机构发起远程检验，将电子检验申请单上传到检验中心</w:t>
            </w:r>
          </w:p>
        </w:tc>
        <w:tc>
          <w:tcPr>
            <w:tcW w:w="733" w:type="dxa"/>
            <w:vMerge w:val="restart"/>
            <w:vAlign w:val="center"/>
          </w:tcPr>
          <w:p w14:paraId="50C4229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套</w:t>
            </w:r>
          </w:p>
        </w:tc>
        <w:tc>
          <w:tcPr>
            <w:tcW w:w="714" w:type="dxa"/>
            <w:vMerge w:val="restart"/>
            <w:vAlign w:val="center"/>
          </w:tcPr>
          <w:p w14:paraId="109ADBE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1</w:t>
            </w:r>
          </w:p>
        </w:tc>
      </w:tr>
      <w:tr w14:paraId="6C501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BC93E3F">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9</w:t>
            </w:r>
          </w:p>
        </w:tc>
        <w:tc>
          <w:tcPr>
            <w:tcW w:w="720" w:type="dxa"/>
            <w:vMerge w:val="continue"/>
            <w:vAlign w:val="center"/>
          </w:tcPr>
          <w:p w14:paraId="5B41411F">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25FD0F97">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4E2E62C3">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检验报告结果下载</w:t>
            </w:r>
          </w:p>
        </w:tc>
        <w:tc>
          <w:tcPr>
            <w:tcW w:w="4417" w:type="dxa"/>
            <w:vAlign w:val="center"/>
          </w:tcPr>
          <w:p w14:paraId="2542E9F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基层机构下载上级机构已发布的检验报告结果</w:t>
            </w:r>
          </w:p>
        </w:tc>
        <w:tc>
          <w:tcPr>
            <w:tcW w:w="733" w:type="dxa"/>
            <w:vMerge w:val="continue"/>
            <w:vAlign w:val="center"/>
          </w:tcPr>
          <w:p w14:paraId="2A2D2C1B">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1FDDA41E">
            <w:pPr>
              <w:jc w:val="center"/>
              <w:rPr>
                <w:rFonts w:hint="eastAsia" w:ascii="宋体" w:hAnsi="宋体" w:eastAsia="宋体" w:cs="宋体"/>
                <w:b/>
                <w:color w:val="auto"/>
                <w:sz w:val="24"/>
                <w:szCs w:val="24"/>
                <w:highlight w:val="none"/>
                <w:vertAlign w:val="baseline"/>
                <w:lang w:eastAsia="zh-CN"/>
              </w:rPr>
            </w:pPr>
          </w:p>
        </w:tc>
      </w:tr>
      <w:tr w14:paraId="303B8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C977CC4">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10</w:t>
            </w:r>
          </w:p>
        </w:tc>
        <w:tc>
          <w:tcPr>
            <w:tcW w:w="720" w:type="dxa"/>
            <w:vMerge w:val="continue"/>
            <w:vAlign w:val="center"/>
          </w:tcPr>
          <w:p w14:paraId="6D3F5D9F">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0B71D086">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6DD288AE">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检验图形数据索引下载</w:t>
            </w:r>
          </w:p>
        </w:tc>
        <w:tc>
          <w:tcPr>
            <w:tcW w:w="4417" w:type="dxa"/>
            <w:vAlign w:val="center"/>
          </w:tcPr>
          <w:p w14:paraId="219BDEE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基层机构将检验图形数据索引进行下载操作</w:t>
            </w:r>
          </w:p>
        </w:tc>
        <w:tc>
          <w:tcPr>
            <w:tcW w:w="733" w:type="dxa"/>
            <w:vMerge w:val="continue"/>
            <w:vAlign w:val="center"/>
          </w:tcPr>
          <w:p w14:paraId="5155A69D">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2EBE6230">
            <w:pPr>
              <w:jc w:val="center"/>
              <w:rPr>
                <w:rFonts w:hint="eastAsia" w:ascii="宋体" w:hAnsi="宋体" w:eastAsia="宋体" w:cs="宋体"/>
                <w:b/>
                <w:color w:val="auto"/>
                <w:sz w:val="24"/>
                <w:szCs w:val="24"/>
                <w:highlight w:val="none"/>
                <w:vertAlign w:val="baseline"/>
                <w:lang w:eastAsia="zh-CN"/>
              </w:rPr>
            </w:pPr>
          </w:p>
        </w:tc>
      </w:tr>
      <w:tr w14:paraId="157E2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7559242">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11</w:t>
            </w:r>
          </w:p>
        </w:tc>
        <w:tc>
          <w:tcPr>
            <w:tcW w:w="720" w:type="dxa"/>
            <w:vMerge w:val="continue"/>
            <w:vAlign w:val="center"/>
          </w:tcPr>
          <w:p w14:paraId="7B11BF94">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047317EF">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198ED3A9">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基层质控原始数据上传</w:t>
            </w:r>
          </w:p>
        </w:tc>
        <w:tc>
          <w:tcPr>
            <w:tcW w:w="4417" w:type="dxa"/>
            <w:vAlign w:val="center"/>
          </w:tcPr>
          <w:p w14:paraId="477F298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基层机构上传质控原始数据，进行质控管理</w:t>
            </w:r>
          </w:p>
        </w:tc>
        <w:tc>
          <w:tcPr>
            <w:tcW w:w="733" w:type="dxa"/>
            <w:vMerge w:val="continue"/>
            <w:vAlign w:val="center"/>
          </w:tcPr>
          <w:p w14:paraId="7DEA5D3A">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1EA53537">
            <w:pPr>
              <w:jc w:val="center"/>
              <w:rPr>
                <w:rFonts w:hint="eastAsia" w:ascii="宋体" w:hAnsi="宋体" w:eastAsia="宋体" w:cs="宋体"/>
                <w:b/>
                <w:color w:val="auto"/>
                <w:sz w:val="24"/>
                <w:szCs w:val="24"/>
                <w:highlight w:val="none"/>
                <w:vertAlign w:val="baseline"/>
                <w:lang w:eastAsia="zh-CN"/>
              </w:rPr>
            </w:pPr>
          </w:p>
        </w:tc>
      </w:tr>
      <w:tr w14:paraId="07F8C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CD8C447">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12</w:t>
            </w:r>
          </w:p>
        </w:tc>
        <w:tc>
          <w:tcPr>
            <w:tcW w:w="720" w:type="dxa"/>
            <w:vMerge w:val="continue"/>
            <w:vAlign w:val="center"/>
          </w:tcPr>
          <w:p w14:paraId="2DCF256B">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34350CE9">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2C44D5C9">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基层不合格标本接收</w:t>
            </w:r>
          </w:p>
        </w:tc>
        <w:tc>
          <w:tcPr>
            <w:tcW w:w="4417" w:type="dxa"/>
            <w:vAlign w:val="center"/>
          </w:tcPr>
          <w:p w14:paraId="382CF8D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基层机构接收上级医院打回的不合格标本信息，查看不合格原因并进行重新采样</w:t>
            </w:r>
          </w:p>
        </w:tc>
        <w:tc>
          <w:tcPr>
            <w:tcW w:w="733" w:type="dxa"/>
            <w:vMerge w:val="continue"/>
            <w:vAlign w:val="center"/>
          </w:tcPr>
          <w:p w14:paraId="47AED21C">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09B4BF07">
            <w:pPr>
              <w:jc w:val="center"/>
              <w:rPr>
                <w:rFonts w:hint="eastAsia" w:ascii="宋体" w:hAnsi="宋体" w:eastAsia="宋体" w:cs="宋体"/>
                <w:b/>
                <w:color w:val="auto"/>
                <w:sz w:val="24"/>
                <w:szCs w:val="24"/>
                <w:highlight w:val="none"/>
                <w:vertAlign w:val="baseline"/>
                <w:lang w:eastAsia="zh-CN"/>
              </w:rPr>
            </w:pPr>
          </w:p>
        </w:tc>
      </w:tr>
      <w:tr w14:paraId="1A38C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A094A6B">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13</w:t>
            </w:r>
          </w:p>
        </w:tc>
        <w:tc>
          <w:tcPr>
            <w:tcW w:w="720" w:type="dxa"/>
            <w:vMerge w:val="continue"/>
            <w:vAlign w:val="center"/>
          </w:tcPr>
          <w:p w14:paraId="7B38C088">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6E94E652">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736D284B">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基层危急值上传</w:t>
            </w:r>
          </w:p>
        </w:tc>
        <w:tc>
          <w:tcPr>
            <w:tcW w:w="4417" w:type="dxa"/>
            <w:vAlign w:val="center"/>
          </w:tcPr>
          <w:p w14:paraId="6D37FA5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检验过程中出现危急值时，基层机构将危急值进行上报，对相关责任人进行预警提醒</w:t>
            </w:r>
          </w:p>
        </w:tc>
        <w:tc>
          <w:tcPr>
            <w:tcW w:w="733" w:type="dxa"/>
            <w:vMerge w:val="continue"/>
            <w:vAlign w:val="center"/>
          </w:tcPr>
          <w:p w14:paraId="3C1BFDFD">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70E7183B">
            <w:pPr>
              <w:jc w:val="center"/>
              <w:rPr>
                <w:rFonts w:hint="eastAsia" w:ascii="宋体" w:hAnsi="宋体" w:eastAsia="宋体" w:cs="宋体"/>
                <w:b/>
                <w:color w:val="auto"/>
                <w:sz w:val="24"/>
                <w:szCs w:val="24"/>
                <w:highlight w:val="none"/>
                <w:vertAlign w:val="baseline"/>
                <w:lang w:eastAsia="zh-CN"/>
              </w:rPr>
            </w:pPr>
          </w:p>
        </w:tc>
      </w:tr>
      <w:tr w14:paraId="387C3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1CFAE37">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14</w:t>
            </w:r>
          </w:p>
        </w:tc>
        <w:tc>
          <w:tcPr>
            <w:tcW w:w="720" w:type="dxa"/>
            <w:vMerge w:val="continue"/>
            <w:vAlign w:val="center"/>
          </w:tcPr>
          <w:p w14:paraId="52BDABAF">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4E8605E2">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72B3C922">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基层检验申请单状态共享查询</w:t>
            </w:r>
          </w:p>
        </w:tc>
        <w:tc>
          <w:tcPr>
            <w:tcW w:w="4417" w:type="dxa"/>
            <w:vAlign w:val="center"/>
          </w:tcPr>
          <w:p w14:paraId="4B4EECC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基层机构查询检验申请单共享状态，包括已上传、已下载、报告、已接收等</w:t>
            </w:r>
          </w:p>
        </w:tc>
        <w:tc>
          <w:tcPr>
            <w:tcW w:w="733" w:type="dxa"/>
            <w:vMerge w:val="continue"/>
            <w:vAlign w:val="center"/>
          </w:tcPr>
          <w:p w14:paraId="5F648059">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3199B6E6">
            <w:pPr>
              <w:jc w:val="center"/>
              <w:rPr>
                <w:rFonts w:hint="eastAsia" w:ascii="宋体" w:hAnsi="宋体" w:eastAsia="宋体" w:cs="宋体"/>
                <w:b/>
                <w:color w:val="auto"/>
                <w:sz w:val="24"/>
                <w:szCs w:val="24"/>
                <w:highlight w:val="none"/>
                <w:vertAlign w:val="baseline"/>
                <w:lang w:eastAsia="zh-CN"/>
              </w:rPr>
            </w:pPr>
          </w:p>
        </w:tc>
      </w:tr>
      <w:tr w14:paraId="6195C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6FD4EFE">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15</w:t>
            </w:r>
          </w:p>
        </w:tc>
        <w:tc>
          <w:tcPr>
            <w:tcW w:w="720" w:type="dxa"/>
            <w:vMerge w:val="continue"/>
            <w:vAlign w:val="center"/>
          </w:tcPr>
          <w:p w14:paraId="67CAAC51">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3DF0893F">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6440CFB4">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报告预览</w:t>
            </w:r>
          </w:p>
        </w:tc>
        <w:tc>
          <w:tcPr>
            <w:tcW w:w="4417" w:type="dxa"/>
            <w:vAlign w:val="center"/>
          </w:tcPr>
          <w:p w14:paraId="12E1EA9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基层单位预览PDF格式的检验报告信息，能够打印、下载</w:t>
            </w:r>
          </w:p>
        </w:tc>
        <w:tc>
          <w:tcPr>
            <w:tcW w:w="733" w:type="dxa"/>
            <w:vMerge w:val="continue"/>
            <w:vAlign w:val="center"/>
          </w:tcPr>
          <w:p w14:paraId="07311E9A">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4933E9D2">
            <w:pPr>
              <w:jc w:val="center"/>
              <w:rPr>
                <w:rFonts w:hint="eastAsia" w:ascii="宋体" w:hAnsi="宋体" w:eastAsia="宋体" w:cs="宋体"/>
                <w:b/>
                <w:color w:val="auto"/>
                <w:sz w:val="24"/>
                <w:szCs w:val="24"/>
                <w:highlight w:val="none"/>
                <w:vertAlign w:val="baseline"/>
                <w:lang w:eastAsia="zh-CN"/>
              </w:rPr>
            </w:pPr>
          </w:p>
        </w:tc>
      </w:tr>
      <w:tr w14:paraId="5BF81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48B2BAB">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16</w:t>
            </w:r>
          </w:p>
        </w:tc>
        <w:tc>
          <w:tcPr>
            <w:tcW w:w="720" w:type="dxa"/>
            <w:vMerge w:val="restart"/>
            <w:vAlign w:val="center"/>
          </w:tcPr>
          <w:p w14:paraId="237D560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标本外送系统</w:t>
            </w:r>
          </w:p>
        </w:tc>
        <w:tc>
          <w:tcPr>
            <w:tcW w:w="866" w:type="dxa"/>
            <w:vMerge w:val="restart"/>
            <w:vAlign w:val="center"/>
          </w:tcPr>
          <w:p w14:paraId="6E014EF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基础信息维护</w:t>
            </w:r>
          </w:p>
        </w:tc>
        <w:tc>
          <w:tcPr>
            <w:tcW w:w="2317" w:type="dxa"/>
            <w:vAlign w:val="center"/>
          </w:tcPr>
          <w:p w14:paraId="3C55BF4B">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用户管理</w:t>
            </w:r>
          </w:p>
        </w:tc>
        <w:tc>
          <w:tcPr>
            <w:tcW w:w="4417" w:type="dxa"/>
            <w:vAlign w:val="center"/>
          </w:tcPr>
          <w:p w14:paraId="6A706B5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维护标本外送系统的用户信息</w:t>
            </w:r>
          </w:p>
        </w:tc>
        <w:tc>
          <w:tcPr>
            <w:tcW w:w="733" w:type="dxa"/>
            <w:vMerge w:val="restart"/>
            <w:vAlign w:val="center"/>
          </w:tcPr>
          <w:p w14:paraId="520FCAD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套</w:t>
            </w:r>
          </w:p>
        </w:tc>
        <w:tc>
          <w:tcPr>
            <w:tcW w:w="714" w:type="dxa"/>
            <w:vMerge w:val="restart"/>
            <w:vAlign w:val="center"/>
          </w:tcPr>
          <w:p w14:paraId="49AAB96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1</w:t>
            </w:r>
          </w:p>
        </w:tc>
      </w:tr>
      <w:tr w14:paraId="2A3CF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9FE4F0A">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17</w:t>
            </w:r>
          </w:p>
        </w:tc>
        <w:tc>
          <w:tcPr>
            <w:tcW w:w="720" w:type="dxa"/>
            <w:vMerge w:val="continue"/>
            <w:vAlign w:val="center"/>
          </w:tcPr>
          <w:p w14:paraId="3EEAB0B5">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50A0CA9C">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3ADF0675">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角色管理</w:t>
            </w:r>
          </w:p>
        </w:tc>
        <w:tc>
          <w:tcPr>
            <w:tcW w:w="4417" w:type="dxa"/>
            <w:vAlign w:val="center"/>
          </w:tcPr>
          <w:p w14:paraId="532A53A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维护标本外送系统的角色信息</w:t>
            </w:r>
          </w:p>
        </w:tc>
        <w:tc>
          <w:tcPr>
            <w:tcW w:w="733" w:type="dxa"/>
            <w:vMerge w:val="continue"/>
            <w:vAlign w:val="center"/>
          </w:tcPr>
          <w:p w14:paraId="6BB89C8B">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264F7BFE">
            <w:pPr>
              <w:jc w:val="center"/>
              <w:rPr>
                <w:rFonts w:hint="eastAsia" w:ascii="宋体" w:hAnsi="宋体" w:eastAsia="宋体" w:cs="宋体"/>
                <w:b/>
                <w:color w:val="auto"/>
                <w:sz w:val="24"/>
                <w:szCs w:val="24"/>
                <w:highlight w:val="none"/>
                <w:vertAlign w:val="baseline"/>
                <w:lang w:eastAsia="zh-CN"/>
              </w:rPr>
            </w:pPr>
          </w:p>
        </w:tc>
      </w:tr>
      <w:tr w14:paraId="5C6B9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98D1116">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18</w:t>
            </w:r>
          </w:p>
        </w:tc>
        <w:tc>
          <w:tcPr>
            <w:tcW w:w="720" w:type="dxa"/>
            <w:vMerge w:val="continue"/>
            <w:vAlign w:val="center"/>
          </w:tcPr>
          <w:p w14:paraId="502FA24D">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298ACDDF">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162BF4BB">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权限管理</w:t>
            </w:r>
          </w:p>
        </w:tc>
        <w:tc>
          <w:tcPr>
            <w:tcW w:w="4417" w:type="dxa"/>
            <w:vAlign w:val="center"/>
          </w:tcPr>
          <w:p w14:paraId="6D11481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维护标本外送系统的权限信息</w:t>
            </w:r>
          </w:p>
        </w:tc>
        <w:tc>
          <w:tcPr>
            <w:tcW w:w="733" w:type="dxa"/>
            <w:vMerge w:val="continue"/>
            <w:vAlign w:val="center"/>
          </w:tcPr>
          <w:p w14:paraId="4066CDEC">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08CF57FA">
            <w:pPr>
              <w:jc w:val="center"/>
              <w:rPr>
                <w:rFonts w:hint="eastAsia" w:ascii="宋体" w:hAnsi="宋体" w:eastAsia="宋体" w:cs="宋体"/>
                <w:b/>
                <w:color w:val="auto"/>
                <w:sz w:val="24"/>
                <w:szCs w:val="24"/>
                <w:highlight w:val="none"/>
                <w:vertAlign w:val="baseline"/>
                <w:lang w:eastAsia="zh-CN"/>
              </w:rPr>
            </w:pPr>
          </w:p>
        </w:tc>
      </w:tr>
      <w:tr w14:paraId="12FDF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44BC006">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19</w:t>
            </w:r>
          </w:p>
        </w:tc>
        <w:tc>
          <w:tcPr>
            <w:tcW w:w="720" w:type="dxa"/>
            <w:vMerge w:val="continue"/>
            <w:vAlign w:val="center"/>
          </w:tcPr>
          <w:p w14:paraId="31B584A6">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484A2F42">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11855978">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机构管理</w:t>
            </w:r>
          </w:p>
        </w:tc>
        <w:tc>
          <w:tcPr>
            <w:tcW w:w="4417" w:type="dxa"/>
            <w:vAlign w:val="center"/>
          </w:tcPr>
          <w:p w14:paraId="76E857A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维护标本外送系统的机构信息</w:t>
            </w:r>
          </w:p>
        </w:tc>
        <w:tc>
          <w:tcPr>
            <w:tcW w:w="733" w:type="dxa"/>
            <w:vMerge w:val="continue"/>
            <w:vAlign w:val="center"/>
          </w:tcPr>
          <w:p w14:paraId="755A8BB2">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072F2E42">
            <w:pPr>
              <w:jc w:val="center"/>
              <w:rPr>
                <w:rFonts w:hint="eastAsia" w:ascii="宋体" w:hAnsi="宋体" w:eastAsia="宋体" w:cs="宋体"/>
                <w:b/>
                <w:color w:val="auto"/>
                <w:sz w:val="24"/>
                <w:szCs w:val="24"/>
                <w:highlight w:val="none"/>
                <w:vertAlign w:val="baseline"/>
                <w:lang w:eastAsia="zh-CN"/>
              </w:rPr>
            </w:pPr>
          </w:p>
        </w:tc>
      </w:tr>
      <w:tr w14:paraId="740B3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25FB972">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20</w:t>
            </w:r>
          </w:p>
        </w:tc>
        <w:tc>
          <w:tcPr>
            <w:tcW w:w="720" w:type="dxa"/>
            <w:vMerge w:val="continue"/>
            <w:vAlign w:val="center"/>
          </w:tcPr>
          <w:p w14:paraId="5DC9BB53">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68BB1FC2">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2B0E84BB">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申请项目基础库管理</w:t>
            </w:r>
          </w:p>
        </w:tc>
        <w:tc>
          <w:tcPr>
            <w:tcW w:w="4417" w:type="dxa"/>
            <w:vAlign w:val="center"/>
          </w:tcPr>
          <w:p w14:paraId="7514FC7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维护申请项目基础标准库，作为全局项目使用</w:t>
            </w:r>
          </w:p>
        </w:tc>
        <w:tc>
          <w:tcPr>
            <w:tcW w:w="733" w:type="dxa"/>
            <w:vMerge w:val="continue"/>
            <w:vAlign w:val="center"/>
          </w:tcPr>
          <w:p w14:paraId="2F95A7FB">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14BE1D02">
            <w:pPr>
              <w:jc w:val="center"/>
              <w:rPr>
                <w:rFonts w:hint="eastAsia" w:ascii="宋体" w:hAnsi="宋体" w:eastAsia="宋体" w:cs="宋体"/>
                <w:b/>
                <w:color w:val="auto"/>
                <w:sz w:val="24"/>
                <w:szCs w:val="24"/>
                <w:highlight w:val="none"/>
                <w:vertAlign w:val="baseline"/>
                <w:lang w:eastAsia="zh-CN"/>
              </w:rPr>
            </w:pPr>
          </w:p>
        </w:tc>
      </w:tr>
      <w:tr w14:paraId="01479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96CEC85">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21</w:t>
            </w:r>
          </w:p>
        </w:tc>
        <w:tc>
          <w:tcPr>
            <w:tcW w:w="720" w:type="dxa"/>
            <w:vMerge w:val="continue"/>
            <w:vAlign w:val="center"/>
          </w:tcPr>
          <w:p w14:paraId="000B74C5">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28EDD7C2">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13F0370C">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医院申请项目维护</w:t>
            </w:r>
          </w:p>
        </w:tc>
        <w:tc>
          <w:tcPr>
            <w:tcW w:w="4417" w:type="dxa"/>
            <w:vAlign w:val="center"/>
          </w:tcPr>
          <w:p w14:paraId="232C092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医院从项目基础库中选择项目，维护本机构申请项目</w:t>
            </w:r>
          </w:p>
        </w:tc>
        <w:tc>
          <w:tcPr>
            <w:tcW w:w="733" w:type="dxa"/>
            <w:vMerge w:val="continue"/>
            <w:vAlign w:val="center"/>
          </w:tcPr>
          <w:p w14:paraId="7A68A08C">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276DD27E">
            <w:pPr>
              <w:jc w:val="center"/>
              <w:rPr>
                <w:rFonts w:hint="eastAsia" w:ascii="宋体" w:hAnsi="宋体" w:eastAsia="宋体" w:cs="宋体"/>
                <w:b/>
                <w:color w:val="auto"/>
                <w:sz w:val="24"/>
                <w:szCs w:val="24"/>
                <w:highlight w:val="none"/>
                <w:vertAlign w:val="baseline"/>
                <w:lang w:eastAsia="zh-CN"/>
              </w:rPr>
            </w:pPr>
          </w:p>
        </w:tc>
      </w:tr>
      <w:tr w14:paraId="117A2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896CBCC">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22</w:t>
            </w:r>
          </w:p>
        </w:tc>
        <w:tc>
          <w:tcPr>
            <w:tcW w:w="720" w:type="dxa"/>
            <w:vMerge w:val="continue"/>
            <w:vAlign w:val="center"/>
          </w:tcPr>
          <w:p w14:paraId="0377BFB6">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3CB71E99">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2A2F9E26">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项目对照</w:t>
            </w:r>
          </w:p>
        </w:tc>
        <w:tc>
          <w:tcPr>
            <w:tcW w:w="4417" w:type="dxa"/>
            <w:vAlign w:val="center"/>
          </w:tcPr>
          <w:p w14:paraId="3EF6460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基准申请项目和医院申请项目对照管理</w:t>
            </w:r>
          </w:p>
        </w:tc>
        <w:tc>
          <w:tcPr>
            <w:tcW w:w="733" w:type="dxa"/>
            <w:vMerge w:val="continue"/>
            <w:vAlign w:val="center"/>
          </w:tcPr>
          <w:p w14:paraId="16E8D4F9">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4B30DF6D">
            <w:pPr>
              <w:jc w:val="center"/>
              <w:rPr>
                <w:rFonts w:hint="eastAsia" w:ascii="宋体" w:hAnsi="宋体" w:eastAsia="宋体" w:cs="宋体"/>
                <w:b/>
                <w:color w:val="auto"/>
                <w:sz w:val="24"/>
                <w:szCs w:val="24"/>
                <w:highlight w:val="none"/>
                <w:vertAlign w:val="baseline"/>
                <w:lang w:eastAsia="zh-CN"/>
              </w:rPr>
            </w:pPr>
          </w:p>
        </w:tc>
      </w:tr>
      <w:tr w14:paraId="50922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EA4FC46">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23</w:t>
            </w:r>
          </w:p>
        </w:tc>
        <w:tc>
          <w:tcPr>
            <w:tcW w:w="720" w:type="dxa"/>
            <w:vMerge w:val="continue"/>
            <w:vAlign w:val="center"/>
          </w:tcPr>
          <w:p w14:paraId="47B19F7E">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064C9775">
            <w:pPr>
              <w:jc w:val="center"/>
              <w:rPr>
                <w:rFonts w:hint="eastAsia" w:ascii="宋体" w:hAnsi="宋体" w:eastAsia="宋体" w:cs="宋体"/>
                <w:b/>
                <w:color w:val="auto"/>
                <w:sz w:val="24"/>
                <w:szCs w:val="24"/>
                <w:highlight w:val="none"/>
                <w:vertAlign w:val="baseline"/>
                <w:lang w:eastAsia="zh-CN"/>
              </w:rPr>
            </w:pPr>
          </w:p>
        </w:tc>
        <w:tc>
          <w:tcPr>
            <w:tcW w:w="2317" w:type="dxa"/>
            <w:vAlign w:val="center"/>
          </w:tcPr>
          <w:p w14:paraId="770B906D">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条码规则管理</w:t>
            </w:r>
          </w:p>
        </w:tc>
        <w:tc>
          <w:tcPr>
            <w:tcW w:w="4417" w:type="dxa"/>
            <w:vAlign w:val="center"/>
          </w:tcPr>
          <w:p w14:paraId="4931A49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对区域内统一的条码规则字典进行管理及维护</w:t>
            </w:r>
          </w:p>
        </w:tc>
        <w:tc>
          <w:tcPr>
            <w:tcW w:w="733" w:type="dxa"/>
            <w:vMerge w:val="continue"/>
            <w:vAlign w:val="center"/>
          </w:tcPr>
          <w:p w14:paraId="56C68F0E">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37EB5B1B">
            <w:pPr>
              <w:jc w:val="center"/>
              <w:rPr>
                <w:rFonts w:hint="eastAsia" w:ascii="宋体" w:hAnsi="宋体" w:eastAsia="宋体" w:cs="宋体"/>
                <w:b/>
                <w:color w:val="auto"/>
                <w:sz w:val="24"/>
                <w:szCs w:val="24"/>
                <w:highlight w:val="none"/>
                <w:vertAlign w:val="baseline"/>
                <w:lang w:eastAsia="zh-CN"/>
              </w:rPr>
            </w:pPr>
          </w:p>
        </w:tc>
      </w:tr>
      <w:tr w14:paraId="16ED4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AC3F840">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24</w:t>
            </w:r>
          </w:p>
        </w:tc>
        <w:tc>
          <w:tcPr>
            <w:tcW w:w="720" w:type="dxa"/>
            <w:vMerge w:val="continue"/>
            <w:vAlign w:val="center"/>
          </w:tcPr>
          <w:p w14:paraId="6AE5FCD3">
            <w:pPr>
              <w:jc w:val="center"/>
              <w:rPr>
                <w:rFonts w:hint="eastAsia" w:ascii="宋体" w:hAnsi="宋体" w:eastAsia="宋体" w:cs="宋体"/>
                <w:b/>
                <w:color w:val="auto"/>
                <w:sz w:val="24"/>
                <w:szCs w:val="24"/>
                <w:highlight w:val="none"/>
                <w:vertAlign w:val="baseline"/>
                <w:lang w:eastAsia="zh-CN"/>
              </w:rPr>
            </w:pPr>
          </w:p>
        </w:tc>
        <w:tc>
          <w:tcPr>
            <w:tcW w:w="866" w:type="dxa"/>
            <w:vMerge w:val="restart"/>
            <w:vAlign w:val="center"/>
          </w:tcPr>
          <w:p w14:paraId="27C11F6B">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标本外送管理</w:t>
            </w:r>
          </w:p>
        </w:tc>
        <w:tc>
          <w:tcPr>
            <w:tcW w:w="2317" w:type="dxa"/>
            <w:vAlign w:val="center"/>
          </w:tcPr>
          <w:p w14:paraId="3606B47D">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检验申请管理</w:t>
            </w:r>
          </w:p>
        </w:tc>
        <w:tc>
          <w:tcPr>
            <w:tcW w:w="4417" w:type="dxa"/>
            <w:vAlign w:val="center"/>
          </w:tcPr>
          <w:p w14:paraId="1567C7AE">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查询系统内检验申请单信息</w:t>
            </w:r>
          </w:p>
        </w:tc>
        <w:tc>
          <w:tcPr>
            <w:tcW w:w="733" w:type="dxa"/>
            <w:vMerge w:val="continue"/>
            <w:vAlign w:val="center"/>
          </w:tcPr>
          <w:p w14:paraId="419BC10A">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1EE80962">
            <w:pPr>
              <w:jc w:val="center"/>
              <w:rPr>
                <w:rFonts w:hint="eastAsia" w:ascii="宋体" w:hAnsi="宋体" w:eastAsia="宋体" w:cs="宋体"/>
                <w:b/>
                <w:color w:val="auto"/>
                <w:sz w:val="24"/>
                <w:szCs w:val="24"/>
                <w:highlight w:val="none"/>
                <w:vertAlign w:val="baseline"/>
                <w:lang w:eastAsia="zh-CN"/>
              </w:rPr>
            </w:pPr>
          </w:p>
        </w:tc>
      </w:tr>
      <w:tr w14:paraId="1BE07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EF74B92">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25</w:t>
            </w:r>
          </w:p>
        </w:tc>
        <w:tc>
          <w:tcPr>
            <w:tcW w:w="720" w:type="dxa"/>
            <w:vMerge w:val="continue"/>
            <w:vAlign w:val="center"/>
          </w:tcPr>
          <w:p w14:paraId="6038F70C">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4314E74B">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2317" w:type="dxa"/>
            <w:vAlign w:val="center"/>
          </w:tcPr>
          <w:p w14:paraId="20CDF0E2">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标本剔回查询</w:t>
            </w:r>
          </w:p>
        </w:tc>
        <w:tc>
          <w:tcPr>
            <w:tcW w:w="4417" w:type="dxa"/>
            <w:vAlign w:val="center"/>
          </w:tcPr>
          <w:p w14:paraId="23A6281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查询系统内标本剔回信息，并查看剔回原因</w:t>
            </w:r>
          </w:p>
        </w:tc>
        <w:tc>
          <w:tcPr>
            <w:tcW w:w="733" w:type="dxa"/>
            <w:vMerge w:val="continue"/>
            <w:vAlign w:val="center"/>
          </w:tcPr>
          <w:p w14:paraId="206153A7">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568CFC3A">
            <w:pPr>
              <w:jc w:val="center"/>
              <w:rPr>
                <w:rFonts w:hint="eastAsia" w:ascii="宋体" w:hAnsi="宋体" w:eastAsia="宋体" w:cs="宋体"/>
                <w:b/>
                <w:color w:val="auto"/>
                <w:sz w:val="24"/>
                <w:szCs w:val="24"/>
                <w:highlight w:val="none"/>
                <w:vertAlign w:val="baseline"/>
                <w:lang w:eastAsia="zh-CN"/>
              </w:rPr>
            </w:pPr>
          </w:p>
        </w:tc>
      </w:tr>
      <w:tr w14:paraId="67FCA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5B80399">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26</w:t>
            </w:r>
          </w:p>
        </w:tc>
        <w:tc>
          <w:tcPr>
            <w:tcW w:w="720" w:type="dxa"/>
            <w:vMerge w:val="continue"/>
            <w:vAlign w:val="center"/>
          </w:tcPr>
          <w:p w14:paraId="568E05B5">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65119DE2">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2317" w:type="dxa"/>
            <w:vAlign w:val="center"/>
          </w:tcPr>
          <w:p w14:paraId="7BA6B605">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检验申请录入</w:t>
            </w:r>
          </w:p>
        </w:tc>
        <w:tc>
          <w:tcPr>
            <w:tcW w:w="4417" w:type="dxa"/>
            <w:vAlign w:val="center"/>
          </w:tcPr>
          <w:p w14:paraId="1F9698F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支持手工录检验申请信息</w:t>
            </w:r>
          </w:p>
        </w:tc>
        <w:tc>
          <w:tcPr>
            <w:tcW w:w="733" w:type="dxa"/>
            <w:vMerge w:val="continue"/>
            <w:vAlign w:val="center"/>
          </w:tcPr>
          <w:p w14:paraId="7E0125F1">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4486C632">
            <w:pPr>
              <w:jc w:val="center"/>
              <w:rPr>
                <w:rFonts w:hint="eastAsia" w:ascii="宋体" w:hAnsi="宋体" w:eastAsia="宋体" w:cs="宋体"/>
                <w:b/>
                <w:color w:val="auto"/>
                <w:sz w:val="24"/>
                <w:szCs w:val="24"/>
                <w:highlight w:val="none"/>
                <w:vertAlign w:val="baseline"/>
                <w:lang w:eastAsia="zh-CN"/>
              </w:rPr>
            </w:pPr>
          </w:p>
        </w:tc>
      </w:tr>
      <w:tr w14:paraId="2BC85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2DA1339">
            <w:pPr>
              <w:spacing w:line="300" w:lineRule="exact"/>
              <w:jc w:val="center"/>
              <w:rPr>
                <w:rFonts w:hint="eastAsia" w:ascii="宋体" w:hAnsi="宋体" w:eastAsia="宋体" w:cs="宋体"/>
                <w:b/>
                <w:color w:val="auto"/>
                <w:sz w:val="24"/>
                <w:szCs w:val="24"/>
                <w:highlight w:val="none"/>
                <w:vertAlign w:val="baseline"/>
                <w:lang w:eastAsia="zh-CN"/>
              </w:rPr>
            </w:pPr>
            <w:r>
              <w:rPr>
                <w:rFonts w:hint="eastAsia" w:ascii="仿宋" w:hAnsi="仿宋" w:eastAsia="仿宋" w:cs="宋体"/>
                <w:color w:val="auto"/>
                <w:sz w:val="22"/>
                <w:szCs w:val="22"/>
                <w:highlight w:val="none"/>
                <w:lang w:val="en-US" w:eastAsia="zh-CN"/>
              </w:rPr>
              <w:t>27</w:t>
            </w:r>
          </w:p>
        </w:tc>
        <w:tc>
          <w:tcPr>
            <w:tcW w:w="720" w:type="dxa"/>
            <w:vMerge w:val="continue"/>
            <w:vAlign w:val="center"/>
          </w:tcPr>
          <w:p w14:paraId="3276654E">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3A7B038B">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2317" w:type="dxa"/>
            <w:vAlign w:val="center"/>
          </w:tcPr>
          <w:p w14:paraId="05B40904">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申请单修改</w:t>
            </w:r>
          </w:p>
        </w:tc>
        <w:tc>
          <w:tcPr>
            <w:tcW w:w="4417" w:type="dxa"/>
            <w:vAlign w:val="center"/>
          </w:tcPr>
          <w:p w14:paraId="7CBF6F7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支持对申请单信息进行修改、保存</w:t>
            </w:r>
          </w:p>
        </w:tc>
        <w:tc>
          <w:tcPr>
            <w:tcW w:w="733" w:type="dxa"/>
            <w:vMerge w:val="continue"/>
            <w:vAlign w:val="center"/>
          </w:tcPr>
          <w:p w14:paraId="294FFA11">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0ACA7746">
            <w:pPr>
              <w:jc w:val="center"/>
              <w:rPr>
                <w:rFonts w:hint="eastAsia" w:ascii="宋体" w:hAnsi="宋体" w:eastAsia="宋体" w:cs="宋体"/>
                <w:b/>
                <w:color w:val="auto"/>
                <w:sz w:val="24"/>
                <w:szCs w:val="24"/>
                <w:highlight w:val="none"/>
                <w:vertAlign w:val="baseline"/>
                <w:lang w:eastAsia="zh-CN"/>
              </w:rPr>
            </w:pPr>
          </w:p>
        </w:tc>
      </w:tr>
      <w:tr w14:paraId="5A58D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8F15A59">
            <w:pPr>
              <w:spacing w:line="300" w:lineRule="exact"/>
              <w:jc w:val="center"/>
              <w:rPr>
                <w:rFonts w:hint="default" w:ascii="宋体" w:hAnsi="宋体" w:eastAsia="宋体" w:cs="宋体"/>
                <w:b/>
                <w:color w:val="auto"/>
                <w:sz w:val="24"/>
                <w:szCs w:val="24"/>
                <w:highlight w:val="none"/>
                <w:vertAlign w:val="baseline"/>
                <w:lang w:val="en-US" w:eastAsia="zh-CN"/>
              </w:rPr>
            </w:pPr>
            <w:r>
              <w:rPr>
                <w:rFonts w:hint="eastAsia" w:ascii="仿宋" w:hAnsi="仿宋" w:eastAsia="仿宋" w:cs="宋体"/>
                <w:color w:val="auto"/>
                <w:sz w:val="22"/>
                <w:szCs w:val="22"/>
                <w:highlight w:val="none"/>
                <w:lang w:val="en-US" w:eastAsia="zh-CN"/>
              </w:rPr>
              <w:t>28</w:t>
            </w:r>
          </w:p>
        </w:tc>
        <w:tc>
          <w:tcPr>
            <w:tcW w:w="720" w:type="dxa"/>
            <w:vMerge w:val="continue"/>
            <w:vAlign w:val="center"/>
          </w:tcPr>
          <w:p w14:paraId="6A94992E">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38496EFB">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2317" w:type="dxa"/>
            <w:vAlign w:val="center"/>
          </w:tcPr>
          <w:p w14:paraId="315E43A3">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申请单修改日志</w:t>
            </w:r>
          </w:p>
        </w:tc>
        <w:tc>
          <w:tcPr>
            <w:tcW w:w="4417" w:type="dxa"/>
            <w:vAlign w:val="center"/>
          </w:tcPr>
          <w:p w14:paraId="64AF564E">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支持查看申请单历史修改记录，形成修改履历，进行数据变更追踪</w:t>
            </w:r>
          </w:p>
        </w:tc>
        <w:tc>
          <w:tcPr>
            <w:tcW w:w="733" w:type="dxa"/>
            <w:vMerge w:val="continue"/>
            <w:vAlign w:val="center"/>
          </w:tcPr>
          <w:p w14:paraId="6BE5F5D7">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3D6A9CF8">
            <w:pPr>
              <w:jc w:val="center"/>
              <w:rPr>
                <w:rFonts w:hint="eastAsia" w:ascii="宋体" w:hAnsi="宋体" w:eastAsia="宋体" w:cs="宋体"/>
                <w:b/>
                <w:color w:val="auto"/>
                <w:sz w:val="24"/>
                <w:szCs w:val="24"/>
                <w:highlight w:val="none"/>
                <w:vertAlign w:val="baseline"/>
                <w:lang w:eastAsia="zh-CN"/>
              </w:rPr>
            </w:pPr>
          </w:p>
        </w:tc>
      </w:tr>
      <w:tr w14:paraId="0B059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4C7AF71">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29</w:t>
            </w:r>
          </w:p>
        </w:tc>
        <w:tc>
          <w:tcPr>
            <w:tcW w:w="720" w:type="dxa"/>
            <w:vMerge w:val="continue"/>
            <w:vAlign w:val="center"/>
          </w:tcPr>
          <w:p w14:paraId="04EE8CC4">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195CB91A">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2317" w:type="dxa"/>
            <w:vAlign w:val="center"/>
          </w:tcPr>
          <w:p w14:paraId="1F40A023">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检验申请审核</w:t>
            </w:r>
          </w:p>
        </w:tc>
        <w:tc>
          <w:tcPr>
            <w:tcW w:w="4417" w:type="dxa"/>
            <w:vAlign w:val="center"/>
          </w:tcPr>
          <w:p w14:paraId="2E39FD0E">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支持管理员对检验申请进行审核</w:t>
            </w:r>
          </w:p>
        </w:tc>
        <w:tc>
          <w:tcPr>
            <w:tcW w:w="733" w:type="dxa"/>
            <w:vMerge w:val="continue"/>
            <w:vAlign w:val="center"/>
          </w:tcPr>
          <w:p w14:paraId="30FAA128">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041E945B">
            <w:pPr>
              <w:jc w:val="center"/>
              <w:rPr>
                <w:rFonts w:hint="eastAsia" w:ascii="宋体" w:hAnsi="宋体" w:eastAsia="宋体" w:cs="宋体"/>
                <w:b/>
                <w:color w:val="auto"/>
                <w:sz w:val="24"/>
                <w:szCs w:val="24"/>
                <w:highlight w:val="none"/>
                <w:vertAlign w:val="baseline"/>
                <w:lang w:eastAsia="zh-CN"/>
              </w:rPr>
            </w:pPr>
          </w:p>
        </w:tc>
      </w:tr>
      <w:tr w14:paraId="12DCF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0D4E550">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30</w:t>
            </w:r>
          </w:p>
        </w:tc>
        <w:tc>
          <w:tcPr>
            <w:tcW w:w="720" w:type="dxa"/>
            <w:vMerge w:val="continue"/>
            <w:vAlign w:val="center"/>
          </w:tcPr>
          <w:p w14:paraId="6BD853E3">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2A17BEEB">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2317" w:type="dxa"/>
            <w:vAlign w:val="center"/>
          </w:tcPr>
          <w:p w14:paraId="15E77ECE">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申请录入组套维护</w:t>
            </w:r>
          </w:p>
        </w:tc>
        <w:tc>
          <w:tcPr>
            <w:tcW w:w="4417" w:type="dxa"/>
            <w:vAlign w:val="center"/>
          </w:tcPr>
          <w:p w14:paraId="161019C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支持录入检验组套，快捷开立检验项目</w:t>
            </w:r>
          </w:p>
        </w:tc>
        <w:tc>
          <w:tcPr>
            <w:tcW w:w="733" w:type="dxa"/>
            <w:vMerge w:val="continue"/>
            <w:vAlign w:val="center"/>
          </w:tcPr>
          <w:p w14:paraId="4F170C9B">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75E8A88C">
            <w:pPr>
              <w:jc w:val="center"/>
              <w:rPr>
                <w:rFonts w:hint="eastAsia" w:ascii="宋体" w:hAnsi="宋体" w:eastAsia="宋体" w:cs="宋体"/>
                <w:b/>
                <w:color w:val="auto"/>
                <w:sz w:val="24"/>
                <w:szCs w:val="24"/>
                <w:highlight w:val="none"/>
                <w:vertAlign w:val="baseline"/>
                <w:lang w:eastAsia="zh-CN"/>
              </w:rPr>
            </w:pPr>
          </w:p>
        </w:tc>
      </w:tr>
      <w:tr w14:paraId="4ACFF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77BED3D">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31</w:t>
            </w:r>
          </w:p>
        </w:tc>
        <w:tc>
          <w:tcPr>
            <w:tcW w:w="720" w:type="dxa"/>
            <w:vMerge w:val="continue"/>
            <w:vAlign w:val="center"/>
          </w:tcPr>
          <w:p w14:paraId="2B66FDB9">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7AA00C58">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2317" w:type="dxa"/>
            <w:vAlign w:val="center"/>
          </w:tcPr>
          <w:p w14:paraId="543CA00A">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检验申请Excel导入</w:t>
            </w:r>
          </w:p>
        </w:tc>
        <w:tc>
          <w:tcPr>
            <w:tcW w:w="4417" w:type="dxa"/>
            <w:vAlign w:val="center"/>
          </w:tcPr>
          <w:p w14:paraId="4F1B126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支持按excel批量导入检验申请信息</w:t>
            </w:r>
          </w:p>
        </w:tc>
        <w:tc>
          <w:tcPr>
            <w:tcW w:w="733" w:type="dxa"/>
            <w:vMerge w:val="continue"/>
            <w:vAlign w:val="center"/>
          </w:tcPr>
          <w:p w14:paraId="0F94FE6B">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0F875614">
            <w:pPr>
              <w:jc w:val="center"/>
              <w:rPr>
                <w:rFonts w:hint="eastAsia" w:ascii="宋体" w:hAnsi="宋体" w:eastAsia="宋体" w:cs="宋体"/>
                <w:b/>
                <w:color w:val="auto"/>
                <w:sz w:val="24"/>
                <w:szCs w:val="24"/>
                <w:highlight w:val="none"/>
                <w:vertAlign w:val="baseline"/>
                <w:lang w:eastAsia="zh-CN"/>
              </w:rPr>
            </w:pPr>
          </w:p>
        </w:tc>
      </w:tr>
      <w:tr w14:paraId="26278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09EF128">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32</w:t>
            </w:r>
          </w:p>
        </w:tc>
        <w:tc>
          <w:tcPr>
            <w:tcW w:w="720" w:type="dxa"/>
            <w:vMerge w:val="continue"/>
            <w:vAlign w:val="center"/>
          </w:tcPr>
          <w:p w14:paraId="679FCF60">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221E6AAE">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2317" w:type="dxa"/>
            <w:vAlign w:val="center"/>
          </w:tcPr>
          <w:p w14:paraId="3CAFB39A">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按分类拆分条码导入</w:t>
            </w:r>
          </w:p>
        </w:tc>
        <w:tc>
          <w:tcPr>
            <w:tcW w:w="4417" w:type="dxa"/>
            <w:vAlign w:val="center"/>
          </w:tcPr>
          <w:p w14:paraId="5176100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支持按项目分类导入申请单信息</w:t>
            </w:r>
          </w:p>
        </w:tc>
        <w:tc>
          <w:tcPr>
            <w:tcW w:w="733" w:type="dxa"/>
            <w:vMerge w:val="continue"/>
            <w:vAlign w:val="center"/>
          </w:tcPr>
          <w:p w14:paraId="62802278">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67548C00">
            <w:pPr>
              <w:jc w:val="center"/>
              <w:rPr>
                <w:rFonts w:hint="eastAsia" w:ascii="宋体" w:hAnsi="宋体" w:eastAsia="宋体" w:cs="宋体"/>
                <w:b/>
                <w:color w:val="auto"/>
                <w:sz w:val="24"/>
                <w:szCs w:val="24"/>
                <w:highlight w:val="none"/>
                <w:vertAlign w:val="baseline"/>
                <w:lang w:eastAsia="zh-CN"/>
              </w:rPr>
            </w:pPr>
          </w:p>
        </w:tc>
      </w:tr>
      <w:tr w14:paraId="2F1EC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F56199A">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33</w:t>
            </w:r>
          </w:p>
        </w:tc>
        <w:tc>
          <w:tcPr>
            <w:tcW w:w="720" w:type="dxa"/>
            <w:vMerge w:val="continue"/>
            <w:vAlign w:val="center"/>
          </w:tcPr>
          <w:p w14:paraId="09BF2DBE">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0F6A7A09">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2317" w:type="dxa"/>
            <w:vAlign w:val="center"/>
          </w:tcPr>
          <w:p w14:paraId="2616A7DF">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混样申请导入</w:t>
            </w:r>
          </w:p>
        </w:tc>
        <w:tc>
          <w:tcPr>
            <w:tcW w:w="4417" w:type="dxa"/>
            <w:vAlign w:val="center"/>
          </w:tcPr>
          <w:p w14:paraId="27967DAB">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支持混检申请单信息导入</w:t>
            </w:r>
          </w:p>
        </w:tc>
        <w:tc>
          <w:tcPr>
            <w:tcW w:w="733" w:type="dxa"/>
            <w:vMerge w:val="continue"/>
            <w:vAlign w:val="center"/>
          </w:tcPr>
          <w:p w14:paraId="32638A8C">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2DDCE00A">
            <w:pPr>
              <w:jc w:val="center"/>
              <w:rPr>
                <w:rFonts w:hint="eastAsia" w:ascii="宋体" w:hAnsi="宋体" w:eastAsia="宋体" w:cs="宋体"/>
                <w:b/>
                <w:color w:val="auto"/>
                <w:sz w:val="24"/>
                <w:szCs w:val="24"/>
                <w:highlight w:val="none"/>
                <w:vertAlign w:val="baseline"/>
                <w:lang w:eastAsia="zh-CN"/>
              </w:rPr>
            </w:pPr>
          </w:p>
        </w:tc>
      </w:tr>
      <w:tr w14:paraId="7FF52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E1C8C15">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34</w:t>
            </w:r>
          </w:p>
        </w:tc>
        <w:tc>
          <w:tcPr>
            <w:tcW w:w="720" w:type="dxa"/>
            <w:vMerge w:val="continue"/>
            <w:vAlign w:val="center"/>
          </w:tcPr>
          <w:p w14:paraId="55CD6E6A">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6EA57B5E">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2317" w:type="dxa"/>
            <w:vAlign w:val="center"/>
          </w:tcPr>
          <w:p w14:paraId="1A452805">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条码绑定</w:t>
            </w:r>
          </w:p>
        </w:tc>
        <w:tc>
          <w:tcPr>
            <w:tcW w:w="4417" w:type="dxa"/>
            <w:vAlign w:val="center"/>
          </w:tcPr>
          <w:p w14:paraId="06C62BFB">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支持送检医院条码重新绑定</w:t>
            </w:r>
          </w:p>
        </w:tc>
        <w:tc>
          <w:tcPr>
            <w:tcW w:w="733" w:type="dxa"/>
            <w:vMerge w:val="continue"/>
            <w:vAlign w:val="center"/>
          </w:tcPr>
          <w:p w14:paraId="141DD148">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33B0905C">
            <w:pPr>
              <w:jc w:val="center"/>
              <w:rPr>
                <w:rFonts w:hint="eastAsia" w:ascii="宋体" w:hAnsi="宋体" w:eastAsia="宋体" w:cs="宋体"/>
                <w:b/>
                <w:color w:val="auto"/>
                <w:sz w:val="24"/>
                <w:szCs w:val="24"/>
                <w:highlight w:val="none"/>
                <w:vertAlign w:val="baseline"/>
                <w:lang w:eastAsia="zh-CN"/>
              </w:rPr>
            </w:pPr>
          </w:p>
        </w:tc>
      </w:tr>
      <w:tr w14:paraId="0702F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BB3307C">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35</w:t>
            </w:r>
          </w:p>
        </w:tc>
        <w:tc>
          <w:tcPr>
            <w:tcW w:w="720" w:type="dxa"/>
            <w:vMerge w:val="continue"/>
            <w:vAlign w:val="center"/>
          </w:tcPr>
          <w:p w14:paraId="2D6183F5">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3A17B7AA">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2317" w:type="dxa"/>
            <w:vAlign w:val="center"/>
          </w:tcPr>
          <w:p w14:paraId="3DE0497E">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红冲项目录入</w:t>
            </w:r>
          </w:p>
        </w:tc>
        <w:tc>
          <w:tcPr>
            <w:tcW w:w="4417" w:type="dxa"/>
            <w:vAlign w:val="center"/>
          </w:tcPr>
          <w:p w14:paraId="727906A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支持财务红冲金额录入</w:t>
            </w:r>
          </w:p>
        </w:tc>
        <w:tc>
          <w:tcPr>
            <w:tcW w:w="733" w:type="dxa"/>
            <w:vMerge w:val="continue"/>
            <w:vAlign w:val="center"/>
          </w:tcPr>
          <w:p w14:paraId="370445FB">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11E59DD3">
            <w:pPr>
              <w:jc w:val="center"/>
              <w:rPr>
                <w:rFonts w:hint="eastAsia" w:ascii="宋体" w:hAnsi="宋体" w:eastAsia="宋体" w:cs="宋体"/>
                <w:b/>
                <w:color w:val="auto"/>
                <w:sz w:val="24"/>
                <w:szCs w:val="24"/>
                <w:highlight w:val="none"/>
                <w:vertAlign w:val="baseline"/>
                <w:lang w:eastAsia="zh-CN"/>
              </w:rPr>
            </w:pPr>
          </w:p>
        </w:tc>
      </w:tr>
      <w:tr w14:paraId="51BB3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32D91F0">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36</w:t>
            </w:r>
          </w:p>
        </w:tc>
        <w:tc>
          <w:tcPr>
            <w:tcW w:w="720" w:type="dxa"/>
            <w:vMerge w:val="continue"/>
            <w:vAlign w:val="center"/>
          </w:tcPr>
          <w:p w14:paraId="32D74882">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487E55FA">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2317" w:type="dxa"/>
            <w:vAlign w:val="center"/>
          </w:tcPr>
          <w:p w14:paraId="59C1ED0F">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标本外送登记</w:t>
            </w:r>
          </w:p>
        </w:tc>
        <w:tc>
          <w:tcPr>
            <w:tcW w:w="4417" w:type="dxa"/>
            <w:vAlign w:val="center"/>
          </w:tcPr>
          <w:p w14:paraId="3D7BEE8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支持标本外送登记，进入流转信息中</w:t>
            </w:r>
          </w:p>
        </w:tc>
        <w:tc>
          <w:tcPr>
            <w:tcW w:w="733" w:type="dxa"/>
            <w:vMerge w:val="continue"/>
            <w:vAlign w:val="center"/>
          </w:tcPr>
          <w:p w14:paraId="67D40EF2">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4C683007">
            <w:pPr>
              <w:jc w:val="center"/>
              <w:rPr>
                <w:rFonts w:hint="eastAsia" w:ascii="宋体" w:hAnsi="宋体" w:eastAsia="宋体" w:cs="宋体"/>
                <w:b/>
                <w:color w:val="auto"/>
                <w:sz w:val="24"/>
                <w:szCs w:val="24"/>
                <w:highlight w:val="none"/>
                <w:vertAlign w:val="baseline"/>
                <w:lang w:eastAsia="zh-CN"/>
              </w:rPr>
            </w:pPr>
          </w:p>
        </w:tc>
      </w:tr>
      <w:tr w14:paraId="0C3DD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AD0A39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37</w:t>
            </w:r>
          </w:p>
        </w:tc>
        <w:tc>
          <w:tcPr>
            <w:tcW w:w="720" w:type="dxa"/>
            <w:vMerge w:val="continue"/>
            <w:vAlign w:val="center"/>
          </w:tcPr>
          <w:p w14:paraId="4E1A0DAD">
            <w:pPr>
              <w:jc w:val="center"/>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178715F2">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2317" w:type="dxa"/>
            <w:vAlign w:val="center"/>
          </w:tcPr>
          <w:p w14:paraId="650183EB">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申请单删除审核</w:t>
            </w:r>
          </w:p>
        </w:tc>
        <w:tc>
          <w:tcPr>
            <w:tcW w:w="4417" w:type="dxa"/>
            <w:vAlign w:val="center"/>
          </w:tcPr>
          <w:p w14:paraId="6A423D4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支持对删除申请单操作进行审核，填写审核原因</w:t>
            </w:r>
          </w:p>
        </w:tc>
        <w:tc>
          <w:tcPr>
            <w:tcW w:w="733" w:type="dxa"/>
            <w:vMerge w:val="continue"/>
            <w:vAlign w:val="center"/>
          </w:tcPr>
          <w:p w14:paraId="5228BB38">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43ADE20A">
            <w:pPr>
              <w:jc w:val="center"/>
              <w:rPr>
                <w:rFonts w:hint="eastAsia" w:ascii="宋体" w:hAnsi="宋体" w:eastAsia="宋体" w:cs="宋体"/>
                <w:b/>
                <w:color w:val="auto"/>
                <w:sz w:val="24"/>
                <w:szCs w:val="24"/>
                <w:highlight w:val="none"/>
                <w:vertAlign w:val="baseline"/>
                <w:lang w:eastAsia="zh-CN"/>
              </w:rPr>
            </w:pPr>
          </w:p>
        </w:tc>
      </w:tr>
      <w:tr w14:paraId="02EA9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1DBA945">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38</w:t>
            </w:r>
          </w:p>
        </w:tc>
        <w:tc>
          <w:tcPr>
            <w:tcW w:w="720" w:type="dxa"/>
            <w:vMerge w:val="restart"/>
            <w:vAlign w:val="center"/>
          </w:tcPr>
          <w:p w14:paraId="47C23704">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实施</w:t>
            </w:r>
          </w:p>
          <w:p w14:paraId="06548C29">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对接</w:t>
            </w:r>
          </w:p>
        </w:tc>
        <w:tc>
          <w:tcPr>
            <w:tcW w:w="3183" w:type="dxa"/>
            <w:gridSpan w:val="2"/>
            <w:vAlign w:val="center"/>
          </w:tcPr>
          <w:p w14:paraId="5EABF887">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检验字典标准化</w:t>
            </w:r>
          </w:p>
        </w:tc>
        <w:tc>
          <w:tcPr>
            <w:tcW w:w="4417" w:type="dxa"/>
            <w:vAlign w:val="center"/>
          </w:tcPr>
          <w:p w14:paraId="6B2C12F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统一医共体内的检验字典信息，医院和区域LIS系统完成与检验字典的对照，保证数据一致性，实现数据区域内的流转</w:t>
            </w:r>
          </w:p>
        </w:tc>
        <w:tc>
          <w:tcPr>
            <w:tcW w:w="733" w:type="dxa"/>
            <w:vAlign w:val="center"/>
          </w:tcPr>
          <w:p w14:paraId="0255BF1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5689E77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3</w:t>
            </w:r>
          </w:p>
        </w:tc>
      </w:tr>
      <w:tr w14:paraId="1FBDE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021DEB3">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39</w:t>
            </w:r>
          </w:p>
        </w:tc>
        <w:tc>
          <w:tcPr>
            <w:tcW w:w="720" w:type="dxa"/>
            <w:vMerge w:val="continue"/>
            <w:vAlign w:val="center"/>
          </w:tcPr>
          <w:p w14:paraId="2934F5D7">
            <w:pPr>
              <w:widowControl/>
              <w:jc w:val="left"/>
              <w:rPr>
                <w:rFonts w:hint="eastAsia" w:ascii="宋体" w:hAnsi="宋体" w:eastAsia="宋体" w:cs="宋体"/>
                <w:b/>
                <w:color w:val="auto"/>
                <w:sz w:val="24"/>
                <w:szCs w:val="24"/>
                <w:highlight w:val="none"/>
                <w:vertAlign w:val="baseline"/>
                <w:lang w:eastAsia="zh-CN"/>
              </w:rPr>
            </w:pPr>
          </w:p>
        </w:tc>
        <w:tc>
          <w:tcPr>
            <w:tcW w:w="866" w:type="dxa"/>
            <w:vMerge w:val="restart"/>
            <w:vAlign w:val="center"/>
          </w:tcPr>
          <w:p w14:paraId="56839D0A">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医院LIS对接区域平台调试</w:t>
            </w:r>
          </w:p>
        </w:tc>
        <w:tc>
          <w:tcPr>
            <w:tcW w:w="2317" w:type="dxa"/>
            <w:vAlign w:val="center"/>
          </w:tcPr>
          <w:p w14:paraId="4A5AEFE6">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发送检验申请接口</w:t>
            </w:r>
          </w:p>
        </w:tc>
        <w:tc>
          <w:tcPr>
            <w:tcW w:w="4417" w:type="dxa"/>
            <w:vAlign w:val="center"/>
          </w:tcPr>
          <w:p w14:paraId="622A1F55">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对接区域平台，实现发送检验申请接口开发工作</w:t>
            </w:r>
          </w:p>
        </w:tc>
        <w:tc>
          <w:tcPr>
            <w:tcW w:w="733" w:type="dxa"/>
            <w:vMerge w:val="restart"/>
            <w:vAlign w:val="center"/>
          </w:tcPr>
          <w:p w14:paraId="3461B68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31DD039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2</w:t>
            </w:r>
          </w:p>
        </w:tc>
      </w:tr>
      <w:tr w14:paraId="26153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19802AB">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40</w:t>
            </w:r>
          </w:p>
        </w:tc>
        <w:tc>
          <w:tcPr>
            <w:tcW w:w="720" w:type="dxa"/>
            <w:vMerge w:val="continue"/>
            <w:vAlign w:val="center"/>
          </w:tcPr>
          <w:p w14:paraId="1054DFBD">
            <w:pPr>
              <w:widowControl/>
              <w:jc w:val="left"/>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1F9FA696">
            <w:pPr>
              <w:jc w:val="center"/>
              <w:rPr>
                <w:rFonts w:hint="eastAsia" w:ascii="宋体" w:hAnsi="宋体" w:eastAsia="宋体" w:cs="宋体"/>
                <w:b w:val="0"/>
                <w:bCs w:val="0"/>
                <w:color w:val="auto"/>
                <w:kern w:val="0"/>
                <w:sz w:val="20"/>
                <w:szCs w:val="20"/>
                <w:highlight w:val="none"/>
                <w:lang w:val="en-US" w:eastAsia="zh-CN" w:bidi="ar-SA"/>
              </w:rPr>
            </w:pPr>
          </w:p>
        </w:tc>
        <w:tc>
          <w:tcPr>
            <w:tcW w:w="2317" w:type="dxa"/>
            <w:vAlign w:val="center"/>
          </w:tcPr>
          <w:p w14:paraId="23775E6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取消检验申请接口</w:t>
            </w:r>
          </w:p>
        </w:tc>
        <w:tc>
          <w:tcPr>
            <w:tcW w:w="4417" w:type="dxa"/>
            <w:vAlign w:val="center"/>
          </w:tcPr>
          <w:p w14:paraId="13DCCD6E">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对接区域平台，实现取消检验申请接口开发工作</w:t>
            </w:r>
          </w:p>
        </w:tc>
        <w:tc>
          <w:tcPr>
            <w:tcW w:w="733" w:type="dxa"/>
            <w:vMerge w:val="continue"/>
            <w:vAlign w:val="center"/>
          </w:tcPr>
          <w:p w14:paraId="1DDE662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FD23DB0">
            <w:pPr>
              <w:jc w:val="center"/>
              <w:rPr>
                <w:rFonts w:hint="eastAsia" w:ascii="宋体" w:hAnsi="宋体" w:eastAsia="宋体" w:cs="宋体"/>
                <w:b w:val="0"/>
                <w:bCs w:val="0"/>
                <w:color w:val="auto"/>
                <w:kern w:val="0"/>
                <w:sz w:val="20"/>
                <w:szCs w:val="20"/>
                <w:highlight w:val="none"/>
                <w:lang w:val="en-US" w:eastAsia="zh-CN" w:bidi="ar-SA"/>
              </w:rPr>
            </w:pPr>
          </w:p>
        </w:tc>
      </w:tr>
      <w:tr w14:paraId="1DDEA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B4F691B">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41</w:t>
            </w:r>
          </w:p>
        </w:tc>
        <w:tc>
          <w:tcPr>
            <w:tcW w:w="720" w:type="dxa"/>
            <w:vMerge w:val="continue"/>
            <w:vAlign w:val="center"/>
          </w:tcPr>
          <w:p w14:paraId="39FEF08E">
            <w:pPr>
              <w:widowControl/>
              <w:jc w:val="left"/>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0AEDC4BF">
            <w:pPr>
              <w:jc w:val="center"/>
              <w:rPr>
                <w:rFonts w:hint="eastAsia" w:ascii="宋体" w:hAnsi="宋体" w:eastAsia="宋体" w:cs="宋体"/>
                <w:b w:val="0"/>
                <w:bCs w:val="0"/>
                <w:color w:val="auto"/>
                <w:kern w:val="0"/>
                <w:sz w:val="20"/>
                <w:szCs w:val="20"/>
                <w:highlight w:val="none"/>
                <w:lang w:val="en-US" w:eastAsia="zh-CN" w:bidi="ar-SA"/>
              </w:rPr>
            </w:pPr>
          </w:p>
        </w:tc>
        <w:tc>
          <w:tcPr>
            <w:tcW w:w="2317" w:type="dxa"/>
            <w:vAlign w:val="center"/>
          </w:tcPr>
          <w:p w14:paraId="1164CEE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查询检验申请接口</w:t>
            </w:r>
          </w:p>
        </w:tc>
        <w:tc>
          <w:tcPr>
            <w:tcW w:w="4417" w:type="dxa"/>
            <w:vAlign w:val="center"/>
          </w:tcPr>
          <w:p w14:paraId="38EA297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对接区域平台，实现查询检验申请接口开发工作</w:t>
            </w:r>
          </w:p>
        </w:tc>
        <w:tc>
          <w:tcPr>
            <w:tcW w:w="733" w:type="dxa"/>
            <w:vMerge w:val="continue"/>
            <w:vAlign w:val="center"/>
          </w:tcPr>
          <w:p w14:paraId="250D0B9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78C52BE">
            <w:pPr>
              <w:jc w:val="center"/>
              <w:rPr>
                <w:rFonts w:hint="eastAsia" w:ascii="宋体" w:hAnsi="宋体" w:eastAsia="宋体" w:cs="宋体"/>
                <w:b w:val="0"/>
                <w:bCs w:val="0"/>
                <w:color w:val="auto"/>
                <w:kern w:val="0"/>
                <w:sz w:val="20"/>
                <w:szCs w:val="20"/>
                <w:highlight w:val="none"/>
                <w:lang w:val="en-US" w:eastAsia="zh-CN" w:bidi="ar-SA"/>
              </w:rPr>
            </w:pPr>
          </w:p>
        </w:tc>
      </w:tr>
      <w:tr w14:paraId="67A67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67C5D5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42</w:t>
            </w:r>
          </w:p>
        </w:tc>
        <w:tc>
          <w:tcPr>
            <w:tcW w:w="720" w:type="dxa"/>
            <w:vMerge w:val="continue"/>
            <w:vAlign w:val="center"/>
          </w:tcPr>
          <w:p w14:paraId="19738D08">
            <w:pPr>
              <w:widowControl/>
              <w:jc w:val="left"/>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7E880F1E">
            <w:pPr>
              <w:jc w:val="center"/>
              <w:rPr>
                <w:rFonts w:hint="eastAsia" w:ascii="宋体" w:hAnsi="宋体" w:eastAsia="宋体" w:cs="宋体"/>
                <w:b w:val="0"/>
                <w:bCs w:val="0"/>
                <w:color w:val="auto"/>
                <w:kern w:val="0"/>
                <w:sz w:val="20"/>
                <w:szCs w:val="20"/>
                <w:highlight w:val="none"/>
                <w:lang w:val="en-US" w:eastAsia="zh-CN" w:bidi="ar-SA"/>
              </w:rPr>
            </w:pPr>
          </w:p>
        </w:tc>
        <w:tc>
          <w:tcPr>
            <w:tcW w:w="2317" w:type="dxa"/>
            <w:vAlign w:val="center"/>
          </w:tcPr>
          <w:p w14:paraId="6B3B51E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发送检验报告接口</w:t>
            </w:r>
          </w:p>
        </w:tc>
        <w:tc>
          <w:tcPr>
            <w:tcW w:w="4417" w:type="dxa"/>
            <w:vAlign w:val="center"/>
          </w:tcPr>
          <w:p w14:paraId="79AF375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对接区域平台，实现发送检验报告接口开发工作</w:t>
            </w:r>
          </w:p>
        </w:tc>
        <w:tc>
          <w:tcPr>
            <w:tcW w:w="733" w:type="dxa"/>
            <w:vMerge w:val="continue"/>
            <w:vAlign w:val="center"/>
          </w:tcPr>
          <w:p w14:paraId="28ADEB1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586CE6E">
            <w:pPr>
              <w:jc w:val="center"/>
              <w:rPr>
                <w:rFonts w:hint="eastAsia" w:ascii="宋体" w:hAnsi="宋体" w:eastAsia="宋体" w:cs="宋体"/>
                <w:b w:val="0"/>
                <w:bCs w:val="0"/>
                <w:color w:val="auto"/>
                <w:kern w:val="0"/>
                <w:sz w:val="20"/>
                <w:szCs w:val="20"/>
                <w:highlight w:val="none"/>
                <w:lang w:val="en-US" w:eastAsia="zh-CN" w:bidi="ar-SA"/>
              </w:rPr>
            </w:pPr>
          </w:p>
        </w:tc>
      </w:tr>
      <w:tr w14:paraId="40BC8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207CEFE">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43</w:t>
            </w:r>
          </w:p>
        </w:tc>
        <w:tc>
          <w:tcPr>
            <w:tcW w:w="720" w:type="dxa"/>
            <w:vMerge w:val="continue"/>
            <w:vAlign w:val="center"/>
          </w:tcPr>
          <w:p w14:paraId="73641BF3">
            <w:pPr>
              <w:widowControl/>
              <w:jc w:val="left"/>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56A5BF95">
            <w:pPr>
              <w:jc w:val="center"/>
              <w:rPr>
                <w:rFonts w:hint="eastAsia" w:ascii="宋体" w:hAnsi="宋体" w:eastAsia="宋体" w:cs="宋体"/>
                <w:b w:val="0"/>
                <w:bCs w:val="0"/>
                <w:color w:val="auto"/>
                <w:kern w:val="0"/>
                <w:sz w:val="20"/>
                <w:szCs w:val="20"/>
                <w:highlight w:val="none"/>
                <w:lang w:val="en-US" w:eastAsia="zh-CN" w:bidi="ar-SA"/>
              </w:rPr>
            </w:pPr>
          </w:p>
        </w:tc>
        <w:tc>
          <w:tcPr>
            <w:tcW w:w="2317" w:type="dxa"/>
            <w:vAlign w:val="center"/>
          </w:tcPr>
          <w:p w14:paraId="4E91E7E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撤回检验报告接口</w:t>
            </w:r>
          </w:p>
        </w:tc>
        <w:tc>
          <w:tcPr>
            <w:tcW w:w="4417" w:type="dxa"/>
            <w:vAlign w:val="center"/>
          </w:tcPr>
          <w:p w14:paraId="587D5D6E">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对接区域平台，实现撤回检验报告接口开发工作</w:t>
            </w:r>
          </w:p>
        </w:tc>
        <w:tc>
          <w:tcPr>
            <w:tcW w:w="733" w:type="dxa"/>
            <w:vMerge w:val="continue"/>
            <w:vAlign w:val="center"/>
          </w:tcPr>
          <w:p w14:paraId="5ABAF00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4903F67">
            <w:pPr>
              <w:jc w:val="center"/>
              <w:rPr>
                <w:rFonts w:hint="eastAsia" w:ascii="宋体" w:hAnsi="宋体" w:eastAsia="宋体" w:cs="宋体"/>
                <w:b w:val="0"/>
                <w:bCs w:val="0"/>
                <w:color w:val="auto"/>
                <w:kern w:val="0"/>
                <w:sz w:val="20"/>
                <w:szCs w:val="20"/>
                <w:highlight w:val="none"/>
                <w:lang w:val="en-US" w:eastAsia="zh-CN" w:bidi="ar-SA"/>
              </w:rPr>
            </w:pPr>
          </w:p>
        </w:tc>
      </w:tr>
      <w:tr w14:paraId="0C873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E0593CD">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44</w:t>
            </w:r>
          </w:p>
        </w:tc>
        <w:tc>
          <w:tcPr>
            <w:tcW w:w="720" w:type="dxa"/>
            <w:vMerge w:val="continue"/>
            <w:vAlign w:val="center"/>
          </w:tcPr>
          <w:p w14:paraId="34D319EF">
            <w:pPr>
              <w:widowControl/>
              <w:jc w:val="left"/>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164CEC9B">
            <w:pPr>
              <w:jc w:val="center"/>
              <w:rPr>
                <w:rFonts w:hint="eastAsia" w:ascii="宋体" w:hAnsi="宋体" w:eastAsia="宋体" w:cs="宋体"/>
                <w:b w:val="0"/>
                <w:bCs w:val="0"/>
                <w:color w:val="auto"/>
                <w:kern w:val="0"/>
                <w:sz w:val="20"/>
                <w:szCs w:val="20"/>
                <w:highlight w:val="none"/>
                <w:lang w:val="en-US" w:eastAsia="zh-CN" w:bidi="ar-SA"/>
              </w:rPr>
            </w:pPr>
          </w:p>
        </w:tc>
        <w:tc>
          <w:tcPr>
            <w:tcW w:w="2317" w:type="dxa"/>
            <w:vAlign w:val="center"/>
          </w:tcPr>
          <w:p w14:paraId="7868D4A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查询检验报告接口</w:t>
            </w:r>
          </w:p>
        </w:tc>
        <w:tc>
          <w:tcPr>
            <w:tcW w:w="4417" w:type="dxa"/>
            <w:vAlign w:val="center"/>
          </w:tcPr>
          <w:p w14:paraId="632BA74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对接区域平台，实现查询检验报告接口开发工作</w:t>
            </w:r>
          </w:p>
        </w:tc>
        <w:tc>
          <w:tcPr>
            <w:tcW w:w="733" w:type="dxa"/>
            <w:vMerge w:val="continue"/>
            <w:vAlign w:val="center"/>
          </w:tcPr>
          <w:p w14:paraId="14488FC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D8B62EF">
            <w:pPr>
              <w:jc w:val="center"/>
              <w:rPr>
                <w:rFonts w:hint="eastAsia" w:ascii="宋体" w:hAnsi="宋体" w:eastAsia="宋体" w:cs="宋体"/>
                <w:b w:val="0"/>
                <w:bCs w:val="0"/>
                <w:color w:val="auto"/>
                <w:kern w:val="0"/>
                <w:sz w:val="20"/>
                <w:szCs w:val="20"/>
                <w:highlight w:val="none"/>
                <w:lang w:val="en-US" w:eastAsia="zh-CN" w:bidi="ar-SA"/>
              </w:rPr>
            </w:pPr>
          </w:p>
        </w:tc>
      </w:tr>
      <w:tr w14:paraId="77E5F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5FB55F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45</w:t>
            </w:r>
          </w:p>
        </w:tc>
        <w:tc>
          <w:tcPr>
            <w:tcW w:w="720" w:type="dxa"/>
            <w:vMerge w:val="continue"/>
            <w:vAlign w:val="center"/>
          </w:tcPr>
          <w:p w14:paraId="27C91A9C">
            <w:pPr>
              <w:widowControl/>
              <w:jc w:val="left"/>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565E41E7">
            <w:pPr>
              <w:jc w:val="center"/>
              <w:rPr>
                <w:rFonts w:hint="eastAsia" w:ascii="宋体" w:hAnsi="宋体" w:eastAsia="宋体" w:cs="宋体"/>
                <w:b w:val="0"/>
                <w:bCs w:val="0"/>
                <w:color w:val="auto"/>
                <w:kern w:val="0"/>
                <w:sz w:val="20"/>
                <w:szCs w:val="20"/>
                <w:highlight w:val="none"/>
                <w:lang w:val="en-US" w:eastAsia="zh-CN" w:bidi="ar-SA"/>
              </w:rPr>
            </w:pPr>
          </w:p>
        </w:tc>
        <w:tc>
          <w:tcPr>
            <w:tcW w:w="2317" w:type="dxa"/>
            <w:vAlign w:val="center"/>
          </w:tcPr>
          <w:p w14:paraId="5C4F784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更新检验状态接口</w:t>
            </w:r>
          </w:p>
        </w:tc>
        <w:tc>
          <w:tcPr>
            <w:tcW w:w="4417" w:type="dxa"/>
            <w:vAlign w:val="center"/>
          </w:tcPr>
          <w:p w14:paraId="5C3AC1AB">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对接区域平台，实现更新检验状态接口开发工作</w:t>
            </w:r>
          </w:p>
        </w:tc>
        <w:tc>
          <w:tcPr>
            <w:tcW w:w="733" w:type="dxa"/>
            <w:vMerge w:val="continue"/>
            <w:vAlign w:val="center"/>
          </w:tcPr>
          <w:p w14:paraId="07E1A64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06D1D7E">
            <w:pPr>
              <w:jc w:val="center"/>
              <w:rPr>
                <w:rFonts w:hint="eastAsia" w:ascii="宋体" w:hAnsi="宋体" w:eastAsia="宋体" w:cs="宋体"/>
                <w:b w:val="0"/>
                <w:bCs w:val="0"/>
                <w:color w:val="auto"/>
                <w:kern w:val="0"/>
                <w:sz w:val="20"/>
                <w:szCs w:val="20"/>
                <w:highlight w:val="none"/>
                <w:lang w:val="en-US" w:eastAsia="zh-CN" w:bidi="ar-SA"/>
              </w:rPr>
            </w:pPr>
          </w:p>
        </w:tc>
      </w:tr>
      <w:tr w14:paraId="02F1D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F98DDD9">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46</w:t>
            </w:r>
          </w:p>
        </w:tc>
        <w:tc>
          <w:tcPr>
            <w:tcW w:w="720" w:type="dxa"/>
            <w:vMerge w:val="continue"/>
            <w:vAlign w:val="center"/>
          </w:tcPr>
          <w:p w14:paraId="61B4E403">
            <w:pPr>
              <w:widowControl/>
              <w:jc w:val="left"/>
              <w:rPr>
                <w:rFonts w:hint="eastAsia" w:ascii="宋体" w:hAnsi="宋体" w:eastAsia="宋体" w:cs="宋体"/>
                <w:b/>
                <w:color w:val="auto"/>
                <w:sz w:val="24"/>
                <w:szCs w:val="24"/>
                <w:highlight w:val="none"/>
                <w:vertAlign w:val="baseline"/>
                <w:lang w:eastAsia="zh-CN"/>
              </w:rPr>
            </w:pPr>
          </w:p>
        </w:tc>
        <w:tc>
          <w:tcPr>
            <w:tcW w:w="866" w:type="dxa"/>
            <w:vMerge w:val="continue"/>
            <w:vAlign w:val="center"/>
          </w:tcPr>
          <w:p w14:paraId="407CF11D">
            <w:pPr>
              <w:jc w:val="center"/>
              <w:rPr>
                <w:rFonts w:hint="eastAsia" w:ascii="宋体" w:hAnsi="宋体" w:eastAsia="宋体" w:cs="宋体"/>
                <w:b w:val="0"/>
                <w:bCs w:val="0"/>
                <w:color w:val="auto"/>
                <w:kern w:val="0"/>
                <w:sz w:val="20"/>
                <w:szCs w:val="20"/>
                <w:highlight w:val="none"/>
                <w:lang w:val="en-US" w:eastAsia="zh-CN" w:bidi="ar-SA"/>
              </w:rPr>
            </w:pPr>
          </w:p>
        </w:tc>
        <w:tc>
          <w:tcPr>
            <w:tcW w:w="2317" w:type="dxa"/>
            <w:vAlign w:val="center"/>
          </w:tcPr>
          <w:p w14:paraId="0DF5E16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查询检验状态接口</w:t>
            </w:r>
          </w:p>
        </w:tc>
        <w:tc>
          <w:tcPr>
            <w:tcW w:w="4417" w:type="dxa"/>
            <w:vAlign w:val="center"/>
          </w:tcPr>
          <w:p w14:paraId="59353CB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对接区域平台，实现查询检验状态接口开发工作</w:t>
            </w:r>
          </w:p>
        </w:tc>
        <w:tc>
          <w:tcPr>
            <w:tcW w:w="733" w:type="dxa"/>
            <w:vMerge w:val="continue"/>
            <w:vAlign w:val="center"/>
          </w:tcPr>
          <w:p w14:paraId="589660F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162526A">
            <w:pPr>
              <w:jc w:val="center"/>
              <w:rPr>
                <w:rFonts w:hint="eastAsia" w:ascii="宋体" w:hAnsi="宋体" w:eastAsia="宋体" w:cs="宋体"/>
                <w:b w:val="0"/>
                <w:bCs w:val="0"/>
                <w:color w:val="auto"/>
                <w:kern w:val="0"/>
                <w:sz w:val="20"/>
                <w:szCs w:val="20"/>
                <w:highlight w:val="none"/>
                <w:lang w:val="en-US" w:eastAsia="zh-CN" w:bidi="ar-SA"/>
              </w:rPr>
            </w:pPr>
          </w:p>
        </w:tc>
      </w:tr>
      <w:tr w14:paraId="66004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F98485A">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47</w:t>
            </w:r>
          </w:p>
        </w:tc>
        <w:tc>
          <w:tcPr>
            <w:tcW w:w="720" w:type="dxa"/>
            <w:vMerge w:val="continue"/>
            <w:vAlign w:val="center"/>
          </w:tcPr>
          <w:p w14:paraId="0D63F24C">
            <w:pPr>
              <w:widowControl/>
              <w:jc w:val="left"/>
              <w:rPr>
                <w:rFonts w:hint="eastAsia" w:ascii="宋体" w:hAnsi="宋体" w:eastAsia="宋体" w:cs="宋体"/>
                <w:b/>
                <w:color w:val="auto"/>
                <w:sz w:val="24"/>
                <w:szCs w:val="24"/>
                <w:highlight w:val="none"/>
                <w:vertAlign w:val="baseline"/>
                <w:lang w:eastAsia="zh-CN"/>
              </w:rPr>
            </w:pPr>
          </w:p>
        </w:tc>
        <w:tc>
          <w:tcPr>
            <w:tcW w:w="3183" w:type="dxa"/>
            <w:gridSpan w:val="2"/>
            <w:vAlign w:val="center"/>
          </w:tcPr>
          <w:p w14:paraId="03F3AB78">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区域平台对接调试</w:t>
            </w:r>
          </w:p>
        </w:tc>
        <w:tc>
          <w:tcPr>
            <w:tcW w:w="4417" w:type="dxa"/>
            <w:vAlign w:val="center"/>
          </w:tcPr>
          <w:p w14:paraId="22160EA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区域平台配置服务路由，实现区域LIS、医院LIS检验申请、报告等信息流转，数据对接调试</w:t>
            </w:r>
          </w:p>
        </w:tc>
        <w:tc>
          <w:tcPr>
            <w:tcW w:w="733" w:type="dxa"/>
            <w:vAlign w:val="center"/>
          </w:tcPr>
          <w:p w14:paraId="72CE6E3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1FD772E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78EEC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98B3567">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48</w:t>
            </w:r>
          </w:p>
        </w:tc>
        <w:tc>
          <w:tcPr>
            <w:tcW w:w="720" w:type="dxa"/>
            <w:vMerge w:val="continue"/>
            <w:vAlign w:val="center"/>
          </w:tcPr>
          <w:p w14:paraId="6D168FE1">
            <w:pPr>
              <w:widowControl/>
              <w:jc w:val="left"/>
              <w:rPr>
                <w:rFonts w:hint="eastAsia" w:ascii="宋体" w:hAnsi="宋体" w:eastAsia="宋体" w:cs="宋体"/>
                <w:b/>
                <w:color w:val="auto"/>
                <w:sz w:val="24"/>
                <w:szCs w:val="24"/>
                <w:highlight w:val="none"/>
                <w:vertAlign w:val="baseline"/>
                <w:lang w:eastAsia="zh-CN"/>
              </w:rPr>
            </w:pPr>
          </w:p>
        </w:tc>
        <w:tc>
          <w:tcPr>
            <w:tcW w:w="3183" w:type="dxa"/>
            <w:gridSpan w:val="2"/>
            <w:vAlign w:val="center"/>
          </w:tcPr>
          <w:p w14:paraId="62A469D0">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物流平台冷链运输监管和GPS定位接口预留</w:t>
            </w:r>
          </w:p>
        </w:tc>
        <w:tc>
          <w:tcPr>
            <w:tcW w:w="4417" w:type="dxa"/>
            <w:vAlign w:val="center"/>
          </w:tcPr>
          <w:p w14:paraId="5BE1580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预留与物流平台对接接口，包括冷链运输监管和GPS定位接口对接工作</w:t>
            </w:r>
          </w:p>
        </w:tc>
        <w:tc>
          <w:tcPr>
            <w:tcW w:w="733" w:type="dxa"/>
            <w:vAlign w:val="center"/>
          </w:tcPr>
          <w:p w14:paraId="33CD6C5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50413E2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06F4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8024FF5">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49</w:t>
            </w:r>
          </w:p>
        </w:tc>
        <w:tc>
          <w:tcPr>
            <w:tcW w:w="720" w:type="dxa"/>
            <w:vMerge w:val="restart"/>
            <w:vAlign w:val="center"/>
          </w:tcPr>
          <w:p w14:paraId="008B110A">
            <w:pPr>
              <w:widowControl/>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数据大屏</w:t>
            </w:r>
          </w:p>
        </w:tc>
        <w:tc>
          <w:tcPr>
            <w:tcW w:w="3183" w:type="dxa"/>
            <w:gridSpan w:val="2"/>
            <w:vMerge w:val="restart"/>
            <w:vAlign w:val="center"/>
          </w:tcPr>
          <w:p w14:paraId="2658B196">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区域检验中心</w:t>
            </w:r>
          </w:p>
        </w:tc>
        <w:tc>
          <w:tcPr>
            <w:tcW w:w="4417" w:type="dxa"/>
            <w:vAlign w:val="center"/>
          </w:tcPr>
          <w:p w14:paraId="17D49E1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展示区域内检验申请和执行的总人次，可按年度进行筛选</w:t>
            </w:r>
          </w:p>
        </w:tc>
        <w:tc>
          <w:tcPr>
            <w:tcW w:w="733" w:type="dxa"/>
            <w:vMerge w:val="restart"/>
            <w:vAlign w:val="center"/>
          </w:tcPr>
          <w:p w14:paraId="7C1D75A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0157C7D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w:t>
            </w:r>
          </w:p>
        </w:tc>
      </w:tr>
      <w:tr w14:paraId="49AC3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2C41BBD">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50</w:t>
            </w:r>
          </w:p>
        </w:tc>
        <w:tc>
          <w:tcPr>
            <w:tcW w:w="720" w:type="dxa"/>
            <w:vMerge w:val="continue"/>
            <w:vAlign w:val="center"/>
          </w:tcPr>
          <w:p w14:paraId="17364DAB">
            <w:pPr>
              <w:widowControl/>
              <w:jc w:val="left"/>
              <w:rPr>
                <w:rFonts w:hint="eastAsia" w:ascii="宋体" w:hAnsi="宋体" w:eastAsia="宋体" w:cs="宋体"/>
                <w:b/>
                <w:color w:val="auto"/>
                <w:sz w:val="24"/>
                <w:szCs w:val="24"/>
                <w:highlight w:val="none"/>
                <w:vertAlign w:val="baseline"/>
                <w:lang w:eastAsia="zh-CN"/>
              </w:rPr>
            </w:pPr>
          </w:p>
        </w:tc>
        <w:tc>
          <w:tcPr>
            <w:tcW w:w="3183" w:type="dxa"/>
            <w:gridSpan w:val="2"/>
            <w:vMerge w:val="continue"/>
            <w:vAlign w:val="center"/>
          </w:tcPr>
          <w:p w14:paraId="1B86F9F4">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p>
        </w:tc>
        <w:tc>
          <w:tcPr>
            <w:tcW w:w="4417" w:type="dxa"/>
            <w:vAlign w:val="center"/>
          </w:tcPr>
          <w:p w14:paraId="25821C7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展示中心检验机构、接入基层机构、检验医师、检验设备总数</w:t>
            </w:r>
          </w:p>
        </w:tc>
        <w:tc>
          <w:tcPr>
            <w:tcW w:w="733" w:type="dxa"/>
            <w:vMerge w:val="continue"/>
            <w:vAlign w:val="center"/>
          </w:tcPr>
          <w:p w14:paraId="035B6AC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7F2AA8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bidi="ar-SA"/>
              </w:rPr>
            </w:pPr>
          </w:p>
        </w:tc>
      </w:tr>
      <w:tr w14:paraId="4082E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BF5FAE0">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51</w:t>
            </w:r>
          </w:p>
        </w:tc>
        <w:tc>
          <w:tcPr>
            <w:tcW w:w="720" w:type="dxa"/>
            <w:vMerge w:val="continue"/>
            <w:vAlign w:val="center"/>
          </w:tcPr>
          <w:p w14:paraId="58C53729">
            <w:pPr>
              <w:widowControl/>
              <w:jc w:val="left"/>
              <w:rPr>
                <w:rFonts w:hint="eastAsia" w:ascii="宋体" w:hAnsi="宋体" w:eastAsia="宋体" w:cs="宋体"/>
                <w:b/>
                <w:color w:val="auto"/>
                <w:sz w:val="24"/>
                <w:szCs w:val="24"/>
                <w:highlight w:val="none"/>
                <w:vertAlign w:val="baseline"/>
                <w:lang w:eastAsia="zh-CN"/>
              </w:rPr>
            </w:pPr>
          </w:p>
        </w:tc>
        <w:tc>
          <w:tcPr>
            <w:tcW w:w="3183" w:type="dxa"/>
            <w:gridSpan w:val="2"/>
            <w:vMerge w:val="continue"/>
            <w:vAlign w:val="center"/>
          </w:tcPr>
          <w:p w14:paraId="3BF5CE38">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p>
        </w:tc>
        <w:tc>
          <w:tcPr>
            <w:tcW w:w="4417" w:type="dxa"/>
            <w:vAlign w:val="center"/>
          </w:tcPr>
          <w:p w14:paraId="2C4F514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检验医师按职称、检验设备按类型对比分析；分析申请、执行人次的月度趋势</w:t>
            </w:r>
          </w:p>
        </w:tc>
        <w:tc>
          <w:tcPr>
            <w:tcW w:w="733" w:type="dxa"/>
            <w:vMerge w:val="continue"/>
            <w:vAlign w:val="center"/>
          </w:tcPr>
          <w:p w14:paraId="5806899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403875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bidi="ar-SA"/>
              </w:rPr>
            </w:pPr>
          </w:p>
        </w:tc>
      </w:tr>
      <w:tr w14:paraId="713DE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DDD5540">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52</w:t>
            </w:r>
          </w:p>
        </w:tc>
        <w:tc>
          <w:tcPr>
            <w:tcW w:w="720" w:type="dxa"/>
            <w:vMerge w:val="continue"/>
            <w:vAlign w:val="center"/>
          </w:tcPr>
          <w:p w14:paraId="28CC1719">
            <w:pPr>
              <w:widowControl/>
              <w:jc w:val="left"/>
              <w:rPr>
                <w:rFonts w:hint="eastAsia" w:ascii="宋体" w:hAnsi="宋体" w:eastAsia="宋体" w:cs="宋体"/>
                <w:b/>
                <w:color w:val="auto"/>
                <w:sz w:val="24"/>
                <w:szCs w:val="24"/>
                <w:highlight w:val="none"/>
                <w:vertAlign w:val="baseline"/>
                <w:lang w:eastAsia="zh-CN"/>
              </w:rPr>
            </w:pPr>
          </w:p>
        </w:tc>
        <w:tc>
          <w:tcPr>
            <w:tcW w:w="3183" w:type="dxa"/>
            <w:gridSpan w:val="2"/>
            <w:vMerge w:val="continue"/>
            <w:vAlign w:val="center"/>
          </w:tcPr>
          <w:p w14:paraId="3655F049">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p>
        </w:tc>
        <w:tc>
          <w:tcPr>
            <w:tcW w:w="4417" w:type="dxa"/>
            <w:vAlign w:val="center"/>
          </w:tcPr>
          <w:p w14:paraId="662CB48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对检验闭环效率进行质控</w:t>
            </w:r>
          </w:p>
        </w:tc>
        <w:tc>
          <w:tcPr>
            <w:tcW w:w="733" w:type="dxa"/>
            <w:vMerge w:val="continue"/>
            <w:vAlign w:val="center"/>
          </w:tcPr>
          <w:p w14:paraId="360114B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810F56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bidi="ar-SA"/>
              </w:rPr>
            </w:pPr>
          </w:p>
        </w:tc>
      </w:tr>
      <w:tr w14:paraId="5EF5C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AC5612B">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53</w:t>
            </w:r>
          </w:p>
        </w:tc>
        <w:tc>
          <w:tcPr>
            <w:tcW w:w="720" w:type="dxa"/>
            <w:vMerge w:val="continue"/>
            <w:vAlign w:val="center"/>
          </w:tcPr>
          <w:p w14:paraId="76ACDEB4">
            <w:pPr>
              <w:widowControl/>
              <w:jc w:val="left"/>
              <w:rPr>
                <w:rFonts w:hint="eastAsia" w:ascii="宋体" w:hAnsi="宋体" w:eastAsia="宋体" w:cs="宋体"/>
                <w:b/>
                <w:color w:val="auto"/>
                <w:sz w:val="24"/>
                <w:szCs w:val="24"/>
                <w:highlight w:val="none"/>
                <w:vertAlign w:val="baseline"/>
                <w:lang w:eastAsia="zh-CN"/>
              </w:rPr>
            </w:pPr>
          </w:p>
        </w:tc>
        <w:tc>
          <w:tcPr>
            <w:tcW w:w="3183" w:type="dxa"/>
            <w:gridSpan w:val="2"/>
            <w:vMerge w:val="continue"/>
            <w:vAlign w:val="center"/>
          </w:tcPr>
          <w:p w14:paraId="31B071A7">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p>
        </w:tc>
        <w:tc>
          <w:tcPr>
            <w:tcW w:w="4417" w:type="dxa"/>
            <w:vAlign w:val="center"/>
          </w:tcPr>
          <w:p w14:paraId="4B6AEC5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分析送检项目top10，对样本合格率和检出阳性率进行统计，实时展示危急值提醒信息</w:t>
            </w:r>
          </w:p>
        </w:tc>
        <w:tc>
          <w:tcPr>
            <w:tcW w:w="733" w:type="dxa"/>
            <w:vMerge w:val="continue"/>
            <w:vAlign w:val="center"/>
          </w:tcPr>
          <w:p w14:paraId="4484713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9A02A2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bidi="ar-SA"/>
              </w:rPr>
            </w:pPr>
          </w:p>
        </w:tc>
      </w:tr>
    </w:tbl>
    <w:p w14:paraId="37A66B80">
      <w:pPr>
        <w:pStyle w:val="2"/>
        <w:keepNext w:val="0"/>
        <w:keepLines w:val="0"/>
        <w:pageBreakBefore w:val="0"/>
        <w:widowControl w:val="0"/>
        <w:numPr>
          <w:ilvl w:val="0"/>
          <w:numId w:val="0"/>
        </w:numPr>
        <w:kinsoku/>
        <w:wordWrap/>
        <w:overflowPunct/>
        <w:topLinePunct w:val="0"/>
        <w:autoSpaceDE/>
        <w:autoSpaceDN/>
        <w:bidi w:val="0"/>
        <w:adjustRightInd/>
        <w:snapToGrid/>
        <w:spacing w:after="0" w:line="400" w:lineRule="exact"/>
        <w:textAlignment w:val="auto"/>
        <w:rPr>
          <w:rFonts w:hint="eastAsia" w:ascii="宋体" w:hAnsi="宋体" w:eastAsia="宋体" w:cs="宋体"/>
          <w:highlight w:val="yellow"/>
          <w:lang w:val="en-US" w:eastAsia="zh-CN"/>
        </w:rPr>
      </w:pPr>
      <w:r>
        <w:rPr>
          <w:rFonts w:hint="eastAsia" w:ascii="宋体" w:hAnsi="宋体" w:eastAsia="宋体" w:cs="宋体"/>
          <w:highlight w:val="yellow"/>
          <w:lang w:eastAsia="zh-CN"/>
        </w:rPr>
        <w:t>（二）</w:t>
      </w:r>
      <w:r>
        <w:rPr>
          <w:rFonts w:hint="eastAsia" w:ascii="宋体" w:hAnsi="宋体" w:eastAsia="宋体" w:cs="宋体"/>
          <w:highlight w:val="yellow"/>
          <w:lang w:val="en-US" w:eastAsia="zh-CN"/>
        </w:rPr>
        <w:t>-2：</w:t>
      </w:r>
      <w:r>
        <w:rPr>
          <w:rFonts w:hint="eastAsia" w:ascii="宋体" w:hAnsi="宋体" w:eastAsia="宋体" w:cs="宋体"/>
          <w:b w:val="0"/>
          <w:bCs w:val="0"/>
          <w:color w:val="auto"/>
          <w:kern w:val="0"/>
          <w:sz w:val="20"/>
          <w:szCs w:val="20"/>
          <w:highlight w:val="yellow"/>
          <w:lang w:val="en-US" w:eastAsia="zh-CN"/>
        </w:rPr>
        <w:t>网络心电中心</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875"/>
        <w:gridCol w:w="2060"/>
        <w:gridCol w:w="4665"/>
        <w:gridCol w:w="733"/>
        <w:gridCol w:w="714"/>
      </w:tblGrid>
      <w:tr w14:paraId="64FBD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BF2B87F">
            <w:pPr>
              <w:widowControl/>
              <w:jc w:val="center"/>
              <w:rPr>
                <w:rFonts w:hint="eastAsia" w:ascii="宋体" w:hAnsi="宋体" w:eastAsia="宋体" w:cs="宋体"/>
                <w:b/>
                <w:color w:val="auto"/>
                <w:sz w:val="24"/>
                <w:szCs w:val="24"/>
                <w:highlight w:val="none"/>
                <w:vertAlign w:val="baseline"/>
                <w:lang w:eastAsia="zh-CN"/>
              </w:rPr>
            </w:pPr>
            <w:r>
              <w:rPr>
                <w:rFonts w:hint="eastAsia" w:ascii="宋体" w:hAnsi="宋体" w:cs="宋体"/>
                <w:b/>
                <w:bCs/>
                <w:color w:val="auto"/>
                <w:kern w:val="0"/>
                <w:sz w:val="20"/>
                <w:szCs w:val="20"/>
                <w:highlight w:val="none"/>
              </w:rPr>
              <w:t>序号</w:t>
            </w:r>
          </w:p>
        </w:tc>
        <w:tc>
          <w:tcPr>
            <w:tcW w:w="3655" w:type="dxa"/>
            <w:gridSpan w:val="3"/>
            <w:vAlign w:val="center"/>
          </w:tcPr>
          <w:p w14:paraId="51E31C8B">
            <w:pPr>
              <w:widowControl/>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bCs/>
                <w:color w:val="auto"/>
                <w:kern w:val="0"/>
                <w:sz w:val="20"/>
                <w:szCs w:val="20"/>
                <w:highlight w:val="none"/>
                <w:lang w:eastAsia="zh-CN"/>
              </w:rPr>
              <w:t>建设内容</w:t>
            </w:r>
          </w:p>
        </w:tc>
        <w:tc>
          <w:tcPr>
            <w:tcW w:w="4665" w:type="dxa"/>
            <w:vAlign w:val="center"/>
          </w:tcPr>
          <w:p w14:paraId="083B8D30">
            <w:pPr>
              <w:widowControl/>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0ABB9175">
            <w:pPr>
              <w:widowControl/>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bCs/>
                <w:color w:val="auto"/>
                <w:kern w:val="0"/>
                <w:sz w:val="20"/>
                <w:szCs w:val="20"/>
                <w:highlight w:val="none"/>
                <w:lang w:eastAsia="zh-CN"/>
              </w:rPr>
              <w:t>单位</w:t>
            </w:r>
          </w:p>
        </w:tc>
        <w:tc>
          <w:tcPr>
            <w:tcW w:w="714" w:type="dxa"/>
            <w:vAlign w:val="center"/>
          </w:tcPr>
          <w:p w14:paraId="32A3D46B">
            <w:pPr>
              <w:spacing w:line="240" w:lineRule="exact"/>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bCs/>
                <w:color w:val="auto"/>
                <w:kern w:val="0"/>
                <w:szCs w:val="21"/>
                <w:highlight w:val="none"/>
                <w:lang w:eastAsia="zh-CN"/>
              </w:rPr>
              <w:t>数量</w:t>
            </w:r>
          </w:p>
        </w:tc>
      </w:tr>
      <w:tr w14:paraId="51D21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F63ED6F">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54</w:t>
            </w:r>
          </w:p>
        </w:tc>
        <w:tc>
          <w:tcPr>
            <w:tcW w:w="720" w:type="dxa"/>
            <w:vMerge w:val="restart"/>
            <w:vAlign w:val="center"/>
          </w:tcPr>
          <w:p w14:paraId="14A96A9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医院心电系统</w:t>
            </w:r>
          </w:p>
        </w:tc>
        <w:tc>
          <w:tcPr>
            <w:tcW w:w="875" w:type="dxa"/>
            <w:vMerge w:val="restart"/>
            <w:vAlign w:val="center"/>
          </w:tcPr>
          <w:p w14:paraId="243EFB2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医生工作站-动态心电分析</w:t>
            </w:r>
          </w:p>
        </w:tc>
        <w:tc>
          <w:tcPr>
            <w:tcW w:w="2060" w:type="dxa"/>
            <w:vAlign w:val="center"/>
          </w:tcPr>
          <w:p w14:paraId="69EE7A8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动态分析工具</w:t>
            </w:r>
          </w:p>
        </w:tc>
        <w:tc>
          <w:tcPr>
            <w:tcW w:w="4665" w:type="dxa"/>
            <w:vAlign w:val="center"/>
          </w:tcPr>
          <w:p w14:paraId="22C6D125">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支持K线图、直方图、散点图、栅栏图、诊断图、波形全览图等功能</w:t>
            </w:r>
          </w:p>
        </w:tc>
        <w:tc>
          <w:tcPr>
            <w:tcW w:w="733" w:type="dxa"/>
            <w:vMerge w:val="restart"/>
            <w:vAlign w:val="center"/>
          </w:tcPr>
          <w:p w14:paraId="1797CB0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套</w:t>
            </w:r>
          </w:p>
        </w:tc>
        <w:tc>
          <w:tcPr>
            <w:tcW w:w="714" w:type="dxa"/>
            <w:vMerge w:val="restart"/>
            <w:vAlign w:val="center"/>
          </w:tcPr>
          <w:p w14:paraId="4F41F34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1</w:t>
            </w:r>
          </w:p>
        </w:tc>
      </w:tr>
      <w:tr w14:paraId="73FC0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4844DDE">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55</w:t>
            </w:r>
          </w:p>
        </w:tc>
        <w:tc>
          <w:tcPr>
            <w:tcW w:w="720" w:type="dxa"/>
            <w:vMerge w:val="continue"/>
            <w:vAlign w:val="center"/>
          </w:tcPr>
          <w:p w14:paraId="5C243F5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E4172E1">
            <w:pPr>
              <w:jc w:val="both"/>
              <w:rPr>
                <w:rFonts w:hint="eastAsia" w:ascii="宋体" w:hAnsi="宋体" w:eastAsia="宋体" w:cs="宋体"/>
                <w:b/>
                <w:color w:val="auto"/>
                <w:sz w:val="24"/>
                <w:szCs w:val="24"/>
                <w:highlight w:val="none"/>
                <w:vertAlign w:val="baseline"/>
                <w:lang w:eastAsia="zh-CN"/>
              </w:rPr>
            </w:pPr>
          </w:p>
        </w:tc>
        <w:tc>
          <w:tcPr>
            <w:tcW w:w="2060" w:type="dxa"/>
            <w:vAlign w:val="center"/>
          </w:tcPr>
          <w:p w14:paraId="7AFF72B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自动分析</w:t>
            </w:r>
          </w:p>
        </w:tc>
        <w:tc>
          <w:tcPr>
            <w:tcW w:w="4665" w:type="dxa"/>
            <w:vAlign w:val="center"/>
          </w:tcPr>
          <w:p w14:paraId="68B48CE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default"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yellow"/>
                <w:lang w:val="en-US" w:eastAsia="zh-CN"/>
              </w:rPr>
              <w:t>▲报告测值：可查看室率、房率、P电轴、QRS 电轴、T电轴、P波时限、PR 间期、QRS 时限、QT 间期、T 波时限等测值信息，用于查看心电自动分析结果（提供检测报告原件彩色扫描件或复印件加盖投标单位公章）。</w:t>
            </w:r>
          </w:p>
        </w:tc>
        <w:tc>
          <w:tcPr>
            <w:tcW w:w="733" w:type="dxa"/>
            <w:vMerge w:val="continue"/>
            <w:vAlign w:val="center"/>
          </w:tcPr>
          <w:p w14:paraId="6873C0A4">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610A4258">
            <w:pPr>
              <w:jc w:val="center"/>
              <w:rPr>
                <w:rFonts w:hint="eastAsia" w:ascii="宋体" w:hAnsi="宋体" w:eastAsia="宋体" w:cs="宋体"/>
                <w:b/>
                <w:color w:val="auto"/>
                <w:sz w:val="24"/>
                <w:szCs w:val="24"/>
                <w:highlight w:val="none"/>
                <w:vertAlign w:val="baseline"/>
                <w:lang w:eastAsia="zh-CN"/>
              </w:rPr>
            </w:pPr>
          </w:p>
        </w:tc>
      </w:tr>
      <w:tr w14:paraId="629B3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0ED1D12">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56</w:t>
            </w:r>
          </w:p>
        </w:tc>
        <w:tc>
          <w:tcPr>
            <w:tcW w:w="720" w:type="dxa"/>
            <w:vMerge w:val="continue"/>
            <w:vAlign w:val="center"/>
          </w:tcPr>
          <w:p w14:paraId="7B6151E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4612BEF">
            <w:pPr>
              <w:jc w:val="both"/>
              <w:rPr>
                <w:rFonts w:hint="eastAsia" w:ascii="宋体" w:hAnsi="宋体" w:eastAsia="宋体" w:cs="宋体"/>
                <w:b/>
                <w:color w:val="auto"/>
                <w:sz w:val="24"/>
                <w:szCs w:val="24"/>
                <w:highlight w:val="none"/>
                <w:vertAlign w:val="baseline"/>
                <w:lang w:eastAsia="zh-CN"/>
              </w:rPr>
            </w:pPr>
          </w:p>
        </w:tc>
        <w:tc>
          <w:tcPr>
            <w:tcW w:w="2060" w:type="dxa"/>
            <w:vAlign w:val="center"/>
          </w:tcPr>
          <w:p w14:paraId="6DED80E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差异心搏分析</w:t>
            </w:r>
          </w:p>
        </w:tc>
        <w:tc>
          <w:tcPr>
            <w:tcW w:w="4665" w:type="dxa"/>
            <w:vAlign w:val="center"/>
          </w:tcPr>
          <w:p w14:paraId="2E42E18E">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实现P波反混淆快速区分P波形态差异心搏分析</w:t>
            </w:r>
          </w:p>
        </w:tc>
        <w:tc>
          <w:tcPr>
            <w:tcW w:w="733" w:type="dxa"/>
            <w:vMerge w:val="continue"/>
            <w:vAlign w:val="center"/>
          </w:tcPr>
          <w:p w14:paraId="0E119C79">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20242749">
            <w:pPr>
              <w:jc w:val="center"/>
              <w:rPr>
                <w:rFonts w:hint="eastAsia" w:ascii="宋体" w:hAnsi="宋体" w:eastAsia="宋体" w:cs="宋体"/>
                <w:b/>
                <w:color w:val="auto"/>
                <w:sz w:val="24"/>
                <w:szCs w:val="24"/>
                <w:highlight w:val="none"/>
                <w:vertAlign w:val="baseline"/>
                <w:lang w:eastAsia="zh-CN"/>
              </w:rPr>
            </w:pPr>
          </w:p>
        </w:tc>
      </w:tr>
      <w:tr w14:paraId="748D2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DB5C492">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57</w:t>
            </w:r>
          </w:p>
        </w:tc>
        <w:tc>
          <w:tcPr>
            <w:tcW w:w="720" w:type="dxa"/>
            <w:vMerge w:val="continue"/>
            <w:vAlign w:val="center"/>
          </w:tcPr>
          <w:p w14:paraId="0635A69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F9796BC">
            <w:pPr>
              <w:jc w:val="both"/>
              <w:rPr>
                <w:rFonts w:hint="eastAsia" w:ascii="宋体" w:hAnsi="宋体" w:eastAsia="宋体" w:cs="宋体"/>
                <w:b/>
                <w:color w:val="auto"/>
                <w:sz w:val="24"/>
                <w:szCs w:val="24"/>
                <w:highlight w:val="none"/>
                <w:vertAlign w:val="baseline"/>
                <w:lang w:eastAsia="zh-CN"/>
              </w:rPr>
            </w:pPr>
          </w:p>
        </w:tc>
        <w:tc>
          <w:tcPr>
            <w:tcW w:w="2060" w:type="dxa"/>
            <w:vAlign w:val="center"/>
          </w:tcPr>
          <w:p w14:paraId="711D07D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动态心电模板分析</w:t>
            </w:r>
          </w:p>
        </w:tc>
        <w:tc>
          <w:tcPr>
            <w:tcW w:w="4665" w:type="dxa"/>
            <w:vAlign w:val="center"/>
          </w:tcPr>
          <w:p w14:paraId="61C96B0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动态心电可以看模板分析，并可按照提前量、代偿间隙、QRS面积、宽度等方式排序</w:t>
            </w:r>
          </w:p>
        </w:tc>
        <w:tc>
          <w:tcPr>
            <w:tcW w:w="733" w:type="dxa"/>
            <w:vMerge w:val="continue"/>
            <w:vAlign w:val="center"/>
          </w:tcPr>
          <w:p w14:paraId="06232002">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73705DF7">
            <w:pPr>
              <w:jc w:val="center"/>
              <w:rPr>
                <w:rFonts w:hint="eastAsia" w:ascii="宋体" w:hAnsi="宋体" w:eastAsia="宋体" w:cs="宋体"/>
                <w:b/>
                <w:color w:val="auto"/>
                <w:sz w:val="24"/>
                <w:szCs w:val="24"/>
                <w:highlight w:val="none"/>
                <w:vertAlign w:val="baseline"/>
                <w:lang w:eastAsia="zh-CN"/>
              </w:rPr>
            </w:pPr>
          </w:p>
        </w:tc>
      </w:tr>
      <w:tr w14:paraId="177F0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362BBD3">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58</w:t>
            </w:r>
          </w:p>
        </w:tc>
        <w:tc>
          <w:tcPr>
            <w:tcW w:w="720" w:type="dxa"/>
            <w:vMerge w:val="continue"/>
            <w:vAlign w:val="center"/>
          </w:tcPr>
          <w:p w14:paraId="540D591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6E4825F">
            <w:pPr>
              <w:jc w:val="both"/>
              <w:rPr>
                <w:rFonts w:hint="eastAsia" w:ascii="宋体" w:hAnsi="宋体" w:eastAsia="宋体" w:cs="宋体"/>
                <w:b/>
                <w:color w:val="auto"/>
                <w:sz w:val="24"/>
                <w:szCs w:val="24"/>
                <w:highlight w:val="none"/>
                <w:vertAlign w:val="baseline"/>
                <w:lang w:eastAsia="zh-CN"/>
              </w:rPr>
            </w:pPr>
          </w:p>
        </w:tc>
        <w:tc>
          <w:tcPr>
            <w:tcW w:w="2060" w:type="dxa"/>
            <w:vAlign w:val="center"/>
          </w:tcPr>
          <w:p w14:paraId="1AA64B5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组合散点图</w:t>
            </w:r>
          </w:p>
        </w:tc>
        <w:tc>
          <w:tcPr>
            <w:tcW w:w="4665" w:type="dxa"/>
            <w:vAlign w:val="center"/>
          </w:tcPr>
          <w:p w14:paraId="0775F7CE">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通过每个心搏的特征选择相应的心搏参数（心搏可选提前量、R波和S波幅度、间期、代偿间期、QRS面积、宽度等方式作为X、Y轴坐标），形成不同的吸引子，快速区分形态不一样的心搏</w:t>
            </w:r>
          </w:p>
        </w:tc>
        <w:tc>
          <w:tcPr>
            <w:tcW w:w="733" w:type="dxa"/>
            <w:vMerge w:val="continue"/>
            <w:vAlign w:val="center"/>
          </w:tcPr>
          <w:p w14:paraId="783A7589">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7E43D60A">
            <w:pPr>
              <w:jc w:val="center"/>
              <w:rPr>
                <w:rFonts w:hint="eastAsia" w:ascii="宋体" w:hAnsi="宋体" w:eastAsia="宋体" w:cs="宋体"/>
                <w:b/>
                <w:color w:val="auto"/>
                <w:sz w:val="24"/>
                <w:szCs w:val="24"/>
                <w:highlight w:val="none"/>
                <w:vertAlign w:val="baseline"/>
                <w:lang w:eastAsia="zh-CN"/>
              </w:rPr>
            </w:pPr>
          </w:p>
        </w:tc>
      </w:tr>
      <w:tr w14:paraId="0CB27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0B0880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59</w:t>
            </w:r>
          </w:p>
        </w:tc>
        <w:tc>
          <w:tcPr>
            <w:tcW w:w="720" w:type="dxa"/>
            <w:vMerge w:val="continue"/>
            <w:vAlign w:val="center"/>
          </w:tcPr>
          <w:p w14:paraId="243FCD4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F3C3BA8">
            <w:pPr>
              <w:jc w:val="both"/>
              <w:rPr>
                <w:rFonts w:hint="eastAsia" w:ascii="宋体" w:hAnsi="宋体" w:eastAsia="宋体" w:cs="宋体"/>
                <w:b/>
                <w:color w:val="auto"/>
                <w:sz w:val="24"/>
                <w:szCs w:val="24"/>
                <w:highlight w:val="none"/>
                <w:vertAlign w:val="baseline"/>
                <w:lang w:eastAsia="zh-CN"/>
              </w:rPr>
            </w:pPr>
          </w:p>
        </w:tc>
        <w:tc>
          <w:tcPr>
            <w:tcW w:w="2060" w:type="dxa"/>
            <w:vAlign w:val="center"/>
          </w:tcPr>
          <w:p w14:paraId="53B7980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房颤</w:t>
            </w:r>
          </w:p>
        </w:tc>
        <w:tc>
          <w:tcPr>
            <w:tcW w:w="4665" w:type="dxa"/>
            <w:vAlign w:val="center"/>
          </w:tcPr>
          <w:p w14:paraId="1F83F02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yellow"/>
                <w:lang w:val="en-US" w:eastAsia="zh-CN"/>
              </w:rPr>
              <w:t>▲具有自动分析</w:t>
            </w:r>
            <w:r>
              <w:rPr>
                <w:rFonts w:hint="eastAsia" w:ascii="宋体" w:hAnsi="宋体" w:eastAsia="宋体" w:cs="宋体"/>
                <w:b w:val="0"/>
                <w:bCs w:val="0"/>
                <w:color w:val="auto"/>
                <w:kern w:val="0"/>
                <w:sz w:val="20"/>
                <w:szCs w:val="20"/>
                <w:highlight w:val="yellow"/>
                <w:lang w:val="en-US" w:eastAsia="zh-CN" w:bidi="ar-SA"/>
              </w:rPr>
              <w:t>房颤</w:t>
            </w:r>
            <w:r>
              <w:rPr>
                <w:rFonts w:hint="eastAsia" w:ascii="宋体" w:hAnsi="宋体" w:eastAsia="宋体" w:cs="宋体"/>
                <w:b w:val="0"/>
                <w:bCs w:val="0"/>
                <w:color w:val="auto"/>
                <w:kern w:val="0"/>
                <w:sz w:val="20"/>
                <w:szCs w:val="20"/>
                <w:highlight w:val="yellow"/>
                <w:lang w:val="en-US" w:eastAsia="zh-CN"/>
              </w:rPr>
              <w:t>模块,可通过独立</w:t>
            </w:r>
            <w:r>
              <w:rPr>
                <w:rFonts w:hint="eastAsia" w:ascii="宋体" w:hAnsi="宋体" w:eastAsia="宋体" w:cs="宋体"/>
                <w:b w:val="0"/>
                <w:bCs w:val="0"/>
                <w:color w:val="auto"/>
                <w:kern w:val="0"/>
                <w:sz w:val="20"/>
                <w:szCs w:val="20"/>
                <w:highlight w:val="yellow"/>
                <w:lang w:val="en-US" w:eastAsia="zh-CN" w:bidi="ar-SA"/>
              </w:rPr>
              <w:t>房颤</w:t>
            </w:r>
            <w:r>
              <w:rPr>
                <w:rFonts w:hint="eastAsia" w:ascii="宋体" w:hAnsi="宋体" w:eastAsia="宋体" w:cs="宋体"/>
                <w:b w:val="0"/>
                <w:bCs w:val="0"/>
                <w:color w:val="auto"/>
                <w:kern w:val="0"/>
                <w:sz w:val="20"/>
                <w:szCs w:val="20"/>
                <w:highlight w:val="yellow"/>
                <w:lang w:val="en-US" w:eastAsia="zh-CN"/>
              </w:rPr>
              <w:t>模块快速批量编辑阵发性房颤。（提供检测报告原件彩色扫描件或复印件加盖投标单位公章）</w:t>
            </w:r>
          </w:p>
        </w:tc>
        <w:tc>
          <w:tcPr>
            <w:tcW w:w="733" w:type="dxa"/>
            <w:vMerge w:val="continue"/>
            <w:vAlign w:val="center"/>
          </w:tcPr>
          <w:p w14:paraId="66253DC6">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0A0B50A2">
            <w:pPr>
              <w:jc w:val="center"/>
              <w:rPr>
                <w:rFonts w:hint="eastAsia" w:ascii="宋体" w:hAnsi="宋体" w:eastAsia="宋体" w:cs="宋体"/>
                <w:b/>
                <w:color w:val="auto"/>
                <w:sz w:val="24"/>
                <w:szCs w:val="24"/>
                <w:highlight w:val="none"/>
                <w:vertAlign w:val="baseline"/>
                <w:lang w:eastAsia="zh-CN"/>
              </w:rPr>
            </w:pPr>
          </w:p>
        </w:tc>
      </w:tr>
      <w:tr w14:paraId="5A48F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9C75455">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60</w:t>
            </w:r>
          </w:p>
        </w:tc>
        <w:tc>
          <w:tcPr>
            <w:tcW w:w="720" w:type="dxa"/>
            <w:vMerge w:val="continue"/>
            <w:vAlign w:val="center"/>
          </w:tcPr>
          <w:p w14:paraId="6D4B6FE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9C67A7A">
            <w:pPr>
              <w:jc w:val="both"/>
              <w:rPr>
                <w:rFonts w:hint="eastAsia" w:ascii="宋体" w:hAnsi="宋体" w:eastAsia="宋体" w:cs="宋体"/>
                <w:b/>
                <w:color w:val="auto"/>
                <w:sz w:val="24"/>
                <w:szCs w:val="24"/>
                <w:highlight w:val="none"/>
                <w:vertAlign w:val="baseline"/>
                <w:lang w:eastAsia="zh-CN"/>
              </w:rPr>
            </w:pPr>
          </w:p>
        </w:tc>
        <w:tc>
          <w:tcPr>
            <w:tcW w:w="2060" w:type="dxa"/>
            <w:vAlign w:val="center"/>
          </w:tcPr>
          <w:p w14:paraId="553262A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测量工具</w:t>
            </w:r>
          </w:p>
        </w:tc>
        <w:tc>
          <w:tcPr>
            <w:tcW w:w="4665" w:type="dxa"/>
            <w:vAlign w:val="center"/>
          </w:tcPr>
          <w:p w14:paraId="6713631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提供并行分规测量和放大镜工具</w:t>
            </w:r>
          </w:p>
        </w:tc>
        <w:tc>
          <w:tcPr>
            <w:tcW w:w="733" w:type="dxa"/>
            <w:vMerge w:val="continue"/>
            <w:vAlign w:val="center"/>
          </w:tcPr>
          <w:p w14:paraId="67B0ED54">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30B80700">
            <w:pPr>
              <w:jc w:val="center"/>
              <w:rPr>
                <w:rFonts w:hint="eastAsia" w:ascii="宋体" w:hAnsi="宋体" w:eastAsia="宋体" w:cs="宋体"/>
                <w:b/>
                <w:color w:val="auto"/>
                <w:sz w:val="24"/>
                <w:szCs w:val="24"/>
                <w:highlight w:val="none"/>
                <w:vertAlign w:val="baseline"/>
                <w:lang w:eastAsia="zh-CN"/>
              </w:rPr>
            </w:pPr>
          </w:p>
        </w:tc>
      </w:tr>
      <w:tr w14:paraId="6A7DF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EBEFBC0">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61</w:t>
            </w:r>
          </w:p>
        </w:tc>
        <w:tc>
          <w:tcPr>
            <w:tcW w:w="720" w:type="dxa"/>
            <w:vMerge w:val="continue"/>
            <w:vAlign w:val="center"/>
          </w:tcPr>
          <w:p w14:paraId="2BD28B1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875" w:type="dxa"/>
            <w:vMerge w:val="continue"/>
            <w:vAlign w:val="center"/>
          </w:tcPr>
          <w:p w14:paraId="2223BA1F">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val="0"/>
                <w:color w:val="auto"/>
                <w:kern w:val="0"/>
                <w:sz w:val="20"/>
                <w:szCs w:val="20"/>
                <w:highlight w:val="none"/>
                <w:lang w:val="en-US" w:eastAsia="zh-CN"/>
              </w:rPr>
            </w:pPr>
          </w:p>
        </w:tc>
        <w:tc>
          <w:tcPr>
            <w:tcW w:w="2060" w:type="dxa"/>
            <w:vAlign w:val="center"/>
          </w:tcPr>
          <w:p w14:paraId="51886F0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PR间期趋势图</w:t>
            </w:r>
          </w:p>
        </w:tc>
        <w:tc>
          <w:tcPr>
            <w:tcW w:w="4665" w:type="dxa"/>
            <w:vAlign w:val="center"/>
          </w:tcPr>
          <w:p w14:paraId="0030854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提供PR间期趋势图功能，辅助医生进行诊断分析</w:t>
            </w:r>
          </w:p>
        </w:tc>
        <w:tc>
          <w:tcPr>
            <w:tcW w:w="733" w:type="dxa"/>
            <w:vMerge w:val="continue"/>
            <w:vAlign w:val="center"/>
          </w:tcPr>
          <w:p w14:paraId="2657169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74CB8A6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604F2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BC9C59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62</w:t>
            </w:r>
          </w:p>
        </w:tc>
        <w:tc>
          <w:tcPr>
            <w:tcW w:w="720" w:type="dxa"/>
            <w:vMerge w:val="continue"/>
            <w:vAlign w:val="center"/>
          </w:tcPr>
          <w:p w14:paraId="3D18BCB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4EA4EFD">
            <w:pPr>
              <w:jc w:val="both"/>
              <w:rPr>
                <w:rFonts w:hint="eastAsia" w:ascii="宋体" w:hAnsi="宋体" w:eastAsia="宋体" w:cs="宋体"/>
                <w:b/>
                <w:color w:val="auto"/>
                <w:sz w:val="24"/>
                <w:szCs w:val="24"/>
                <w:highlight w:val="none"/>
                <w:vertAlign w:val="baseline"/>
                <w:lang w:eastAsia="zh-CN"/>
              </w:rPr>
            </w:pPr>
          </w:p>
        </w:tc>
        <w:tc>
          <w:tcPr>
            <w:tcW w:w="2060" w:type="dxa"/>
            <w:vAlign w:val="center"/>
          </w:tcPr>
          <w:p w14:paraId="3E02B53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异常心搏分析</w:t>
            </w:r>
          </w:p>
        </w:tc>
        <w:tc>
          <w:tcPr>
            <w:tcW w:w="4665" w:type="dxa"/>
            <w:vAlign w:val="center"/>
          </w:tcPr>
          <w:p w14:paraId="5DB52ED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对不同心搏分类模板整体叠加反混淆，快速定位异常心博</w:t>
            </w:r>
          </w:p>
        </w:tc>
        <w:tc>
          <w:tcPr>
            <w:tcW w:w="733" w:type="dxa"/>
            <w:vMerge w:val="continue"/>
            <w:vAlign w:val="center"/>
          </w:tcPr>
          <w:p w14:paraId="43E8A0C7">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3DD1A401">
            <w:pPr>
              <w:jc w:val="center"/>
              <w:rPr>
                <w:rFonts w:hint="eastAsia" w:ascii="宋体" w:hAnsi="宋体" w:eastAsia="宋体" w:cs="宋体"/>
                <w:b/>
                <w:color w:val="auto"/>
                <w:sz w:val="24"/>
                <w:szCs w:val="24"/>
                <w:highlight w:val="none"/>
                <w:vertAlign w:val="baseline"/>
                <w:lang w:eastAsia="zh-CN"/>
              </w:rPr>
            </w:pPr>
          </w:p>
        </w:tc>
      </w:tr>
      <w:tr w14:paraId="60992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20A5614">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63</w:t>
            </w:r>
          </w:p>
        </w:tc>
        <w:tc>
          <w:tcPr>
            <w:tcW w:w="720" w:type="dxa"/>
            <w:vMerge w:val="continue"/>
            <w:vAlign w:val="center"/>
          </w:tcPr>
          <w:p w14:paraId="0546E5D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E235888">
            <w:pPr>
              <w:jc w:val="both"/>
              <w:rPr>
                <w:rFonts w:hint="eastAsia" w:ascii="宋体" w:hAnsi="宋体" w:eastAsia="宋体" w:cs="宋体"/>
                <w:b/>
                <w:color w:val="auto"/>
                <w:sz w:val="24"/>
                <w:szCs w:val="24"/>
                <w:highlight w:val="none"/>
                <w:vertAlign w:val="baseline"/>
                <w:lang w:eastAsia="zh-CN"/>
              </w:rPr>
            </w:pPr>
          </w:p>
        </w:tc>
        <w:tc>
          <w:tcPr>
            <w:tcW w:w="2060" w:type="dxa"/>
            <w:vAlign w:val="center"/>
          </w:tcPr>
          <w:p w14:paraId="1803284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参数编辑</w:t>
            </w:r>
          </w:p>
        </w:tc>
        <w:tc>
          <w:tcPr>
            <w:tcW w:w="4665" w:type="dxa"/>
            <w:vAlign w:val="center"/>
          </w:tcPr>
          <w:p w14:paraId="469C3D5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对ST段扫描，并进行参数编辑，可调整任意导联抬高压低参数</w:t>
            </w:r>
          </w:p>
        </w:tc>
        <w:tc>
          <w:tcPr>
            <w:tcW w:w="733" w:type="dxa"/>
            <w:vMerge w:val="continue"/>
            <w:vAlign w:val="center"/>
          </w:tcPr>
          <w:p w14:paraId="17C1FDAD">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5741CCAB">
            <w:pPr>
              <w:jc w:val="center"/>
              <w:rPr>
                <w:rFonts w:hint="eastAsia" w:ascii="宋体" w:hAnsi="宋体" w:eastAsia="宋体" w:cs="宋体"/>
                <w:b/>
                <w:color w:val="auto"/>
                <w:sz w:val="24"/>
                <w:szCs w:val="24"/>
                <w:highlight w:val="none"/>
                <w:vertAlign w:val="baseline"/>
                <w:lang w:eastAsia="zh-CN"/>
              </w:rPr>
            </w:pPr>
          </w:p>
        </w:tc>
      </w:tr>
      <w:tr w14:paraId="7E64B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C55B0D0">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64</w:t>
            </w:r>
          </w:p>
        </w:tc>
        <w:tc>
          <w:tcPr>
            <w:tcW w:w="720" w:type="dxa"/>
            <w:vMerge w:val="continue"/>
            <w:vAlign w:val="center"/>
          </w:tcPr>
          <w:p w14:paraId="4554518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3F93356">
            <w:pPr>
              <w:jc w:val="both"/>
              <w:rPr>
                <w:rFonts w:hint="eastAsia" w:ascii="宋体" w:hAnsi="宋体" w:eastAsia="宋体" w:cs="宋体"/>
                <w:b/>
                <w:color w:val="auto"/>
                <w:sz w:val="24"/>
                <w:szCs w:val="24"/>
                <w:highlight w:val="none"/>
                <w:vertAlign w:val="baseline"/>
                <w:lang w:eastAsia="zh-CN"/>
              </w:rPr>
            </w:pPr>
          </w:p>
        </w:tc>
        <w:tc>
          <w:tcPr>
            <w:tcW w:w="2060" w:type="dxa"/>
            <w:vAlign w:val="center"/>
          </w:tcPr>
          <w:p w14:paraId="3860CE9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高级功能</w:t>
            </w:r>
          </w:p>
        </w:tc>
        <w:tc>
          <w:tcPr>
            <w:tcW w:w="4665" w:type="dxa"/>
            <w:vAlign w:val="center"/>
          </w:tcPr>
          <w:p w14:paraId="744860C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提供心率变异性、心室晚电位、心率减速力、心率震荡、T波电交替、心向量等高级功能</w:t>
            </w:r>
          </w:p>
        </w:tc>
        <w:tc>
          <w:tcPr>
            <w:tcW w:w="733" w:type="dxa"/>
            <w:vMerge w:val="continue"/>
            <w:vAlign w:val="center"/>
          </w:tcPr>
          <w:p w14:paraId="7CDF4B2A">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0B360D49">
            <w:pPr>
              <w:jc w:val="center"/>
              <w:rPr>
                <w:rFonts w:hint="eastAsia" w:ascii="宋体" w:hAnsi="宋体" w:eastAsia="宋体" w:cs="宋体"/>
                <w:b/>
                <w:color w:val="auto"/>
                <w:sz w:val="24"/>
                <w:szCs w:val="24"/>
                <w:highlight w:val="none"/>
                <w:vertAlign w:val="baseline"/>
                <w:lang w:eastAsia="zh-CN"/>
              </w:rPr>
            </w:pPr>
          </w:p>
        </w:tc>
      </w:tr>
      <w:tr w14:paraId="1C4EF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47F79CC">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65</w:t>
            </w:r>
          </w:p>
        </w:tc>
        <w:tc>
          <w:tcPr>
            <w:tcW w:w="720" w:type="dxa"/>
            <w:vMerge w:val="continue"/>
            <w:vAlign w:val="center"/>
          </w:tcPr>
          <w:p w14:paraId="6C2D747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985E406">
            <w:pPr>
              <w:jc w:val="both"/>
              <w:rPr>
                <w:rFonts w:hint="eastAsia" w:ascii="宋体" w:hAnsi="宋体" w:eastAsia="宋体" w:cs="宋体"/>
                <w:b/>
                <w:color w:val="auto"/>
                <w:sz w:val="24"/>
                <w:szCs w:val="24"/>
                <w:highlight w:val="none"/>
                <w:vertAlign w:val="baseline"/>
                <w:lang w:eastAsia="zh-CN"/>
              </w:rPr>
            </w:pPr>
          </w:p>
        </w:tc>
        <w:tc>
          <w:tcPr>
            <w:tcW w:w="2060" w:type="dxa"/>
            <w:vAlign w:val="center"/>
          </w:tcPr>
          <w:p w14:paraId="24E79C3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起搏器分析</w:t>
            </w:r>
          </w:p>
        </w:tc>
        <w:tc>
          <w:tcPr>
            <w:tcW w:w="4665" w:type="dxa"/>
            <w:vAlign w:val="center"/>
          </w:tcPr>
          <w:p w14:paraId="122E80D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通过硬件检测起搏脉冲信号，无需勾选起搏器型号，具备全导联起搏检测</w:t>
            </w:r>
          </w:p>
        </w:tc>
        <w:tc>
          <w:tcPr>
            <w:tcW w:w="733" w:type="dxa"/>
            <w:vMerge w:val="continue"/>
            <w:vAlign w:val="center"/>
          </w:tcPr>
          <w:p w14:paraId="3EC50B4F">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6A76EAD0">
            <w:pPr>
              <w:jc w:val="center"/>
              <w:rPr>
                <w:rFonts w:hint="eastAsia" w:ascii="宋体" w:hAnsi="宋体" w:eastAsia="宋体" w:cs="宋体"/>
                <w:b/>
                <w:color w:val="auto"/>
                <w:sz w:val="24"/>
                <w:szCs w:val="24"/>
                <w:highlight w:val="none"/>
                <w:vertAlign w:val="baseline"/>
                <w:lang w:eastAsia="zh-CN"/>
              </w:rPr>
            </w:pPr>
          </w:p>
        </w:tc>
      </w:tr>
      <w:tr w14:paraId="2C4C4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FA0D899">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66</w:t>
            </w:r>
          </w:p>
        </w:tc>
        <w:tc>
          <w:tcPr>
            <w:tcW w:w="720" w:type="dxa"/>
            <w:vMerge w:val="continue"/>
            <w:vAlign w:val="center"/>
          </w:tcPr>
          <w:p w14:paraId="79B401A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875" w:type="dxa"/>
            <w:vMerge w:val="restart"/>
            <w:vAlign w:val="center"/>
          </w:tcPr>
          <w:p w14:paraId="2BDF07C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医生工作站-动态血压分析</w:t>
            </w:r>
          </w:p>
        </w:tc>
        <w:tc>
          <w:tcPr>
            <w:tcW w:w="2060" w:type="dxa"/>
            <w:vAlign w:val="center"/>
          </w:tcPr>
          <w:p w14:paraId="00CB7E7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血压脉搏波形图</w:t>
            </w:r>
          </w:p>
        </w:tc>
        <w:tc>
          <w:tcPr>
            <w:tcW w:w="4665" w:type="dxa"/>
            <w:vAlign w:val="center"/>
          </w:tcPr>
          <w:p w14:paraId="7034740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提供血压脉搏波形图显示，辅助医生进行二次诊断</w:t>
            </w:r>
          </w:p>
        </w:tc>
        <w:tc>
          <w:tcPr>
            <w:tcW w:w="733" w:type="dxa"/>
            <w:vMerge w:val="continue"/>
            <w:vAlign w:val="center"/>
          </w:tcPr>
          <w:p w14:paraId="3BC902A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71CE129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r>
      <w:tr w14:paraId="633E6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6C01845">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67</w:t>
            </w:r>
          </w:p>
        </w:tc>
        <w:tc>
          <w:tcPr>
            <w:tcW w:w="720" w:type="dxa"/>
            <w:vMerge w:val="continue"/>
            <w:vAlign w:val="center"/>
          </w:tcPr>
          <w:p w14:paraId="26863B8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F93E885">
            <w:pPr>
              <w:jc w:val="center"/>
              <w:rPr>
                <w:rFonts w:hint="eastAsia" w:ascii="宋体" w:hAnsi="宋体" w:eastAsia="宋体" w:cs="宋体"/>
                <w:b/>
                <w:color w:val="auto"/>
                <w:sz w:val="24"/>
                <w:szCs w:val="24"/>
                <w:highlight w:val="none"/>
                <w:vertAlign w:val="baseline"/>
                <w:lang w:eastAsia="zh-CN"/>
              </w:rPr>
            </w:pPr>
          </w:p>
        </w:tc>
        <w:tc>
          <w:tcPr>
            <w:tcW w:w="2060" w:type="dxa"/>
            <w:vAlign w:val="center"/>
          </w:tcPr>
          <w:p w14:paraId="6B9F60D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图标辅助分析工具</w:t>
            </w:r>
          </w:p>
        </w:tc>
        <w:tc>
          <w:tcPr>
            <w:tcW w:w="4665" w:type="dxa"/>
            <w:vAlign w:val="center"/>
          </w:tcPr>
          <w:p w14:paraId="74D9D14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提供多种图标辅助分析工具，包括趋势图、关联图、直方图、饼图、K线图等</w:t>
            </w:r>
          </w:p>
        </w:tc>
        <w:tc>
          <w:tcPr>
            <w:tcW w:w="733" w:type="dxa"/>
            <w:vMerge w:val="continue"/>
            <w:vAlign w:val="center"/>
          </w:tcPr>
          <w:p w14:paraId="134124B3">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1F973868">
            <w:pPr>
              <w:jc w:val="center"/>
              <w:rPr>
                <w:rFonts w:hint="eastAsia" w:ascii="宋体" w:hAnsi="宋体" w:eastAsia="宋体" w:cs="宋体"/>
                <w:b/>
                <w:color w:val="auto"/>
                <w:sz w:val="24"/>
                <w:szCs w:val="24"/>
                <w:highlight w:val="none"/>
                <w:vertAlign w:val="baseline"/>
                <w:lang w:eastAsia="zh-CN"/>
              </w:rPr>
            </w:pPr>
          </w:p>
        </w:tc>
      </w:tr>
      <w:tr w14:paraId="57899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D5B90D9">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68</w:t>
            </w:r>
          </w:p>
        </w:tc>
        <w:tc>
          <w:tcPr>
            <w:tcW w:w="720" w:type="dxa"/>
            <w:vMerge w:val="continue"/>
            <w:vAlign w:val="center"/>
          </w:tcPr>
          <w:p w14:paraId="303A3DE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DF796D1">
            <w:pPr>
              <w:jc w:val="center"/>
              <w:rPr>
                <w:rFonts w:hint="eastAsia" w:ascii="宋体" w:hAnsi="宋体" w:eastAsia="宋体" w:cs="宋体"/>
                <w:b/>
                <w:color w:val="auto"/>
                <w:sz w:val="24"/>
                <w:szCs w:val="24"/>
                <w:highlight w:val="none"/>
                <w:vertAlign w:val="baseline"/>
                <w:lang w:eastAsia="zh-CN"/>
              </w:rPr>
            </w:pPr>
          </w:p>
        </w:tc>
        <w:tc>
          <w:tcPr>
            <w:tcW w:w="2060" w:type="dxa"/>
            <w:vAlign w:val="center"/>
          </w:tcPr>
          <w:p w14:paraId="3F6F031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指标分析</w:t>
            </w:r>
          </w:p>
        </w:tc>
        <w:tc>
          <w:tcPr>
            <w:tcW w:w="4665" w:type="dxa"/>
            <w:vAlign w:val="center"/>
          </w:tcPr>
          <w:p w14:paraId="4B8C614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血压变异系数、夜间血压下降比、血压负荷、晨峰血压等分析指标</w:t>
            </w:r>
          </w:p>
        </w:tc>
        <w:tc>
          <w:tcPr>
            <w:tcW w:w="733" w:type="dxa"/>
            <w:vMerge w:val="continue"/>
            <w:vAlign w:val="center"/>
          </w:tcPr>
          <w:p w14:paraId="0E2F07FB">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3669C918">
            <w:pPr>
              <w:jc w:val="center"/>
              <w:rPr>
                <w:rFonts w:hint="eastAsia" w:ascii="宋体" w:hAnsi="宋体" w:eastAsia="宋体" w:cs="宋体"/>
                <w:b/>
                <w:color w:val="auto"/>
                <w:sz w:val="24"/>
                <w:szCs w:val="24"/>
                <w:highlight w:val="none"/>
                <w:vertAlign w:val="baseline"/>
                <w:lang w:eastAsia="zh-CN"/>
              </w:rPr>
            </w:pPr>
          </w:p>
        </w:tc>
      </w:tr>
      <w:tr w14:paraId="45A5D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184AB39">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69</w:t>
            </w:r>
          </w:p>
        </w:tc>
        <w:tc>
          <w:tcPr>
            <w:tcW w:w="720" w:type="dxa"/>
            <w:vMerge w:val="continue"/>
            <w:vAlign w:val="center"/>
          </w:tcPr>
          <w:p w14:paraId="6A1352C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204D83C">
            <w:pPr>
              <w:jc w:val="center"/>
              <w:rPr>
                <w:rFonts w:hint="eastAsia" w:ascii="宋体" w:hAnsi="宋体" w:eastAsia="宋体" w:cs="宋体"/>
                <w:b/>
                <w:color w:val="auto"/>
                <w:sz w:val="24"/>
                <w:szCs w:val="24"/>
                <w:highlight w:val="none"/>
                <w:vertAlign w:val="baseline"/>
                <w:lang w:eastAsia="zh-CN"/>
              </w:rPr>
            </w:pPr>
          </w:p>
        </w:tc>
        <w:tc>
          <w:tcPr>
            <w:tcW w:w="2060" w:type="dxa"/>
            <w:vAlign w:val="center"/>
          </w:tcPr>
          <w:p w14:paraId="417BADF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数据管理</w:t>
            </w:r>
          </w:p>
        </w:tc>
        <w:tc>
          <w:tcPr>
            <w:tcW w:w="4665" w:type="dxa"/>
            <w:vAlign w:val="center"/>
          </w:tcPr>
          <w:p w14:paraId="540AF98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可进行动态血压数据的查询、诊断、备份、还原、删除功能</w:t>
            </w:r>
          </w:p>
        </w:tc>
        <w:tc>
          <w:tcPr>
            <w:tcW w:w="733" w:type="dxa"/>
            <w:vMerge w:val="continue"/>
            <w:vAlign w:val="center"/>
          </w:tcPr>
          <w:p w14:paraId="54CF2BD2">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18D315A5">
            <w:pPr>
              <w:jc w:val="center"/>
              <w:rPr>
                <w:rFonts w:hint="eastAsia" w:ascii="宋体" w:hAnsi="宋体" w:eastAsia="宋体" w:cs="宋体"/>
                <w:b/>
                <w:color w:val="auto"/>
                <w:sz w:val="24"/>
                <w:szCs w:val="24"/>
                <w:highlight w:val="none"/>
                <w:vertAlign w:val="baseline"/>
                <w:lang w:eastAsia="zh-CN"/>
              </w:rPr>
            </w:pPr>
          </w:p>
        </w:tc>
      </w:tr>
      <w:tr w14:paraId="24068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4A413AA">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70</w:t>
            </w:r>
          </w:p>
        </w:tc>
        <w:tc>
          <w:tcPr>
            <w:tcW w:w="720" w:type="dxa"/>
            <w:vMerge w:val="continue"/>
            <w:vAlign w:val="center"/>
          </w:tcPr>
          <w:p w14:paraId="7B1C5F3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25DC7AA">
            <w:pPr>
              <w:jc w:val="center"/>
              <w:rPr>
                <w:rFonts w:hint="eastAsia" w:ascii="宋体" w:hAnsi="宋体" w:eastAsia="宋体" w:cs="宋体"/>
                <w:b/>
                <w:color w:val="auto"/>
                <w:sz w:val="24"/>
                <w:szCs w:val="24"/>
                <w:highlight w:val="none"/>
                <w:vertAlign w:val="baseline"/>
                <w:lang w:eastAsia="zh-CN"/>
              </w:rPr>
            </w:pPr>
          </w:p>
        </w:tc>
        <w:tc>
          <w:tcPr>
            <w:tcW w:w="2060" w:type="dxa"/>
            <w:vAlign w:val="center"/>
          </w:tcPr>
          <w:p w14:paraId="62258A9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报告打印</w:t>
            </w:r>
          </w:p>
        </w:tc>
        <w:tc>
          <w:tcPr>
            <w:tcW w:w="4665" w:type="dxa"/>
            <w:vAlign w:val="center"/>
          </w:tcPr>
          <w:p w14:paraId="2383553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提供PDF报告打印，自定义报告模板，彩色打印等功能</w:t>
            </w:r>
          </w:p>
        </w:tc>
        <w:tc>
          <w:tcPr>
            <w:tcW w:w="733" w:type="dxa"/>
            <w:vMerge w:val="continue"/>
            <w:vAlign w:val="center"/>
          </w:tcPr>
          <w:p w14:paraId="431E4D51">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29036B89">
            <w:pPr>
              <w:jc w:val="center"/>
              <w:rPr>
                <w:rFonts w:hint="eastAsia" w:ascii="宋体" w:hAnsi="宋体" w:eastAsia="宋体" w:cs="宋体"/>
                <w:b/>
                <w:color w:val="auto"/>
                <w:sz w:val="24"/>
                <w:szCs w:val="24"/>
                <w:highlight w:val="none"/>
                <w:vertAlign w:val="baseline"/>
                <w:lang w:eastAsia="zh-CN"/>
              </w:rPr>
            </w:pPr>
          </w:p>
        </w:tc>
      </w:tr>
      <w:tr w14:paraId="38F53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D81664A">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71</w:t>
            </w:r>
          </w:p>
        </w:tc>
        <w:tc>
          <w:tcPr>
            <w:tcW w:w="720" w:type="dxa"/>
            <w:vMerge w:val="continue"/>
            <w:vAlign w:val="center"/>
          </w:tcPr>
          <w:p w14:paraId="7318F2D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DD6563B">
            <w:pPr>
              <w:jc w:val="center"/>
              <w:rPr>
                <w:rFonts w:hint="eastAsia" w:ascii="宋体" w:hAnsi="宋体" w:eastAsia="宋体" w:cs="宋体"/>
                <w:b/>
                <w:color w:val="auto"/>
                <w:sz w:val="24"/>
                <w:szCs w:val="24"/>
                <w:highlight w:val="none"/>
                <w:vertAlign w:val="baseline"/>
                <w:lang w:eastAsia="zh-CN"/>
              </w:rPr>
            </w:pPr>
          </w:p>
        </w:tc>
        <w:tc>
          <w:tcPr>
            <w:tcW w:w="2060" w:type="dxa"/>
            <w:vAlign w:val="center"/>
          </w:tcPr>
          <w:p w14:paraId="2D9BA41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结论分析</w:t>
            </w:r>
          </w:p>
        </w:tc>
        <w:tc>
          <w:tcPr>
            <w:tcW w:w="4665" w:type="dxa"/>
            <w:vAlign w:val="center"/>
          </w:tcPr>
          <w:p w14:paraId="1F98182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提供血压负荷、昼夜节律、动态动脉硬化指数等自动分析结论</w:t>
            </w:r>
          </w:p>
        </w:tc>
        <w:tc>
          <w:tcPr>
            <w:tcW w:w="733" w:type="dxa"/>
            <w:vMerge w:val="continue"/>
            <w:vAlign w:val="center"/>
          </w:tcPr>
          <w:p w14:paraId="64AA2528">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3F8FBBF0">
            <w:pPr>
              <w:jc w:val="center"/>
              <w:rPr>
                <w:rFonts w:hint="eastAsia" w:ascii="宋体" w:hAnsi="宋体" w:eastAsia="宋体" w:cs="宋体"/>
                <w:b/>
                <w:color w:val="auto"/>
                <w:sz w:val="24"/>
                <w:szCs w:val="24"/>
                <w:highlight w:val="none"/>
                <w:vertAlign w:val="baseline"/>
                <w:lang w:eastAsia="zh-CN"/>
              </w:rPr>
            </w:pPr>
          </w:p>
        </w:tc>
      </w:tr>
      <w:tr w14:paraId="3CD63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FCABCFD">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72</w:t>
            </w:r>
          </w:p>
        </w:tc>
        <w:tc>
          <w:tcPr>
            <w:tcW w:w="720" w:type="dxa"/>
            <w:vMerge w:val="continue"/>
            <w:vAlign w:val="center"/>
          </w:tcPr>
          <w:p w14:paraId="76AAEA82">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2E5F8F71">
            <w:pPr>
              <w:keepNext w:val="0"/>
              <w:keepLines w:val="0"/>
              <w:pageBreakBefore w:val="0"/>
              <w:widowControl/>
              <w:tabs>
                <w:tab w:val="left" w:pos="475"/>
              </w:tabs>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业务协同</w:t>
            </w:r>
          </w:p>
        </w:tc>
        <w:tc>
          <w:tcPr>
            <w:tcW w:w="2060" w:type="dxa"/>
            <w:vAlign w:val="center"/>
          </w:tcPr>
          <w:p w14:paraId="0D3FC65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心电远程诊断</w:t>
            </w:r>
          </w:p>
        </w:tc>
        <w:tc>
          <w:tcPr>
            <w:tcW w:w="4665" w:type="dxa"/>
            <w:vAlign w:val="center"/>
          </w:tcPr>
          <w:p w14:paraId="5BB34A1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实现上下级医疗机构心电图像上传，远程阅片、诊断，出具报告</w:t>
            </w:r>
          </w:p>
        </w:tc>
        <w:tc>
          <w:tcPr>
            <w:tcW w:w="733" w:type="dxa"/>
            <w:vMerge w:val="continue"/>
            <w:vAlign w:val="center"/>
          </w:tcPr>
          <w:p w14:paraId="040A5553">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323EB00A">
            <w:pPr>
              <w:jc w:val="center"/>
              <w:rPr>
                <w:rFonts w:hint="eastAsia" w:ascii="宋体" w:hAnsi="宋体" w:eastAsia="宋体" w:cs="宋体"/>
                <w:b/>
                <w:color w:val="auto"/>
                <w:sz w:val="24"/>
                <w:szCs w:val="24"/>
                <w:highlight w:val="none"/>
                <w:vertAlign w:val="baseline"/>
                <w:lang w:eastAsia="zh-CN"/>
              </w:rPr>
            </w:pPr>
          </w:p>
        </w:tc>
      </w:tr>
      <w:tr w14:paraId="36494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F3A58B3">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73</w:t>
            </w:r>
          </w:p>
        </w:tc>
        <w:tc>
          <w:tcPr>
            <w:tcW w:w="720" w:type="dxa"/>
            <w:vMerge w:val="continue"/>
            <w:vAlign w:val="center"/>
          </w:tcPr>
          <w:p w14:paraId="46CADB0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4FD9AB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p>
        </w:tc>
        <w:tc>
          <w:tcPr>
            <w:tcW w:w="2060" w:type="dxa"/>
            <w:vAlign w:val="center"/>
          </w:tcPr>
          <w:p w14:paraId="4F2884D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远程会诊业务</w:t>
            </w:r>
          </w:p>
        </w:tc>
        <w:tc>
          <w:tcPr>
            <w:tcW w:w="4665" w:type="dxa"/>
            <w:vAlign w:val="center"/>
          </w:tcPr>
          <w:p w14:paraId="6DA073E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实现心电远程会诊业务，下级申请后，通过远程手段进行在线诊断</w:t>
            </w:r>
          </w:p>
        </w:tc>
        <w:tc>
          <w:tcPr>
            <w:tcW w:w="733" w:type="dxa"/>
            <w:vMerge w:val="continue"/>
            <w:vAlign w:val="center"/>
          </w:tcPr>
          <w:p w14:paraId="49FF3830">
            <w:pPr>
              <w:jc w:val="center"/>
              <w:rPr>
                <w:rFonts w:hint="eastAsia" w:ascii="宋体" w:hAnsi="宋体" w:eastAsia="宋体" w:cs="宋体"/>
                <w:b/>
                <w:color w:val="auto"/>
                <w:sz w:val="24"/>
                <w:szCs w:val="24"/>
                <w:highlight w:val="none"/>
                <w:vertAlign w:val="baseline"/>
                <w:lang w:eastAsia="zh-CN"/>
              </w:rPr>
            </w:pPr>
          </w:p>
        </w:tc>
        <w:tc>
          <w:tcPr>
            <w:tcW w:w="714" w:type="dxa"/>
            <w:vMerge w:val="continue"/>
            <w:vAlign w:val="center"/>
          </w:tcPr>
          <w:p w14:paraId="4B342513">
            <w:pPr>
              <w:jc w:val="center"/>
              <w:rPr>
                <w:rFonts w:hint="eastAsia" w:ascii="宋体" w:hAnsi="宋体" w:eastAsia="宋体" w:cs="宋体"/>
                <w:b/>
                <w:color w:val="auto"/>
                <w:sz w:val="24"/>
                <w:szCs w:val="24"/>
                <w:highlight w:val="none"/>
                <w:vertAlign w:val="baseline"/>
                <w:lang w:eastAsia="zh-CN"/>
              </w:rPr>
            </w:pPr>
          </w:p>
        </w:tc>
      </w:tr>
      <w:tr w14:paraId="5C0EA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04FAE4F">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74</w:t>
            </w:r>
          </w:p>
        </w:tc>
        <w:tc>
          <w:tcPr>
            <w:tcW w:w="720" w:type="dxa"/>
            <w:vMerge w:val="restart"/>
            <w:vAlign w:val="center"/>
          </w:tcPr>
          <w:p w14:paraId="23EFFF8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区域心电系统</w:t>
            </w:r>
          </w:p>
        </w:tc>
        <w:tc>
          <w:tcPr>
            <w:tcW w:w="875" w:type="dxa"/>
            <w:vMerge w:val="restart"/>
            <w:vAlign w:val="center"/>
          </w:tcPr>
          <w:p w14:paraId="7C3D344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医生工作站</w:t>
            </w:r>
          </w:p>
        </w:tc>
        <w:tc>
          <w:tcPr>
            <w:tcW w:w="2060" w:type="dxa"/>
            <w:vAlign w:val="center"/>
          </w:tcPr>
          <w:p w14:paraId="084358D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综合分析</w:t>
            </w:r>
          </w:p>
        </w:tc>
        <w:tc>
          <w:tcPr>
            <w:tcW w:w="4665" w:type="dxa"/>
            <w:vAlign w:val="center"/>
          </w:tcPr>
          <w:p w14:paraId="1BE879CE">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000000" w:themeColor="text1"/>
                <w:kern w:val="0"/>
                <w:sz w:val="20"/>
                <w:szCs w:val="20"/>
                <w:highlight w:val="none"/>
                <w:lang w:val="en-US" w:eastAsia="zh-CN"/>
                <w14:textFill>
                  <w14:solidFill>
                    <w14:schemeClr w14:val="tx1"/>
                  </w14:solidFill>
                </w14:textFill>
              </w:rPr>
              <w:t>为满足医院业务发展需要，医生工作站须提供静息心电、动态心电、动态血压综合分析功能：一套软件即可以进行静息心电、动态心电、动态血压三种检查的分析会诊工作，支持具有对应检查特点的专业分析工具。</w:t>
            </w:r>
          </w:p>
        </w:tc>
        <w:tc>
          <w:tcPr>
            <w:tcW w:w="733" w:type="dxa"/>
            <w:vMerge w:val="restart"/>
            <w:vAlign w:val="center"/>
          </w:tcPr>
          <w:p w14:paraId="320A311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套</w:t>
            </w:r>
          </w:p>
        </w:tc>
        <w:tc>
          <w:tcPr>
            <w:tcW w:w="714" w:type="dxa"/>
            <w:vMerge w:val="restart"/>
            <w:vAlign w:val="center"/>
          </w:tcPr>
          <w:p w14:paraId="7EDF62C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1</w:t>
            </w:r>
          </w:p>
        </w:tc>
      </w:tr>
      <w:tr w14:paraId="12B9E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635D601">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75</w:t>
            </w:r>
          </w:p>
        </w:tc>
        <w:tc>
          <w:tcPr>
            <w:tcW w:w="720" w:type="dxa"/>
            <w:vMerge w:val="continue"/>
            <w:vAlign w:val="center"/>
          </w:tcPr>
          <w:p w14:paraId="30F1C5A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B35387E">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3D7D8CF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远程诊断预分析</w:t>
            </w:r>
          </w:p>
        </w:tc>
        <w:tc>
          <w:tcPr>
            <w:tcW w:w="4665" w:type="dxa"/>
            <w:vAlign w:val="center"/>
          </w:tcPr>
          <w:p w14:paraId="411F152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接收到远程诊断申请后，提供后台预分析，对于已经判断出存在危险情况的病人标明危急，在客户端、web端、移动端以弹窗、消息等多种方式向诊断医生预警</w:t>
            </w:r>
          </w:p>
        </w:tc>
        <w:tc>
          <w:tcPr>
            <w:tcW w:w="733" w:type="dxa"/>
            <w:vMerge w:val="continue"/>
            <w:vAlign w:val="center"/>
          </w:tcPr>
          <w:p w14:paraId="50CF755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26CB57A">
            <w:pPr>
              <w:jc w:val="center"/>
              <w:rPr>
                <w:rFonts w:hint="eastAsia" w:ascii="宋体" w:hAnsi="宋体" w:eastAsia="宋体" w:cs="宋体"/>
                <w:b w:val="0"/>
                <w:bCs w:val="0"/>
                <w:color w:val="auto"/>
                <w:kern w:val="0"/>
                <w:sz w:val="20"/>
                <w:szCs w:val="20"/>
                <w:highlight w:val="none"/>
                <w:lang w:val="en-US" w:eastAsia="zh-CN" w:bidi="ar-SA"/>
              </w:rPr>
            </w:pPr>
          </w:p>
        </w:tc>
      </w:tr>
      <w:tr w14:paraId="1C8DA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D4F6FBB">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76</w:t>
            </w:r>
          </w:p>
        </w:tc>
        <w:tc>
          <w:tcPr>
            <w:tcW w:w="720" w:type="dxa"/>
            <w:vMerge w:val="continue"/>
            <w:vAlign w:val="center"/>
          </w:tcPr>
          <w:p w14:paraId="57421BB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D2D9E5A">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680BCF0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图谱退回</w:t>
            </w:r>
          </w:p>
        </w:tc>
        <w:tc>
          <w:tcPr>
            <w:tcW w:w="4665" w:type="dxa"/>
            <w:vAlign w:val="center"/>
          </w:tcPr>
          <w:p w14:paraId="2BCC564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支持诊断医生对不符合要求的图谱进行退回、加采、重采等操作，并对退回加采/重采报告加注原因</w:t>
            </w:r>
          </w:p>
        </w:tc>
        <w:tc>
          <w:tcPr>
            <w:tcW w:w="733" w:type="dxa"/>
            <w:vMerge w:val="continue"/>
            <w:vAlign w:val="center"/>
          </w:tcPr>
          <w:p w14:paraId="4BEC8B5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585C0F6">
            <w:pPr>
              <w:jc w:val="center"/>
              <w:rPr>
                <w:rFonts w:hint="eastAsia" w:ascii="宋体" w:hAnsi="宋体" w:eastAsia="宋体" w:cs="宋体"/>
                <w:b w:val="0"/>
                <w:bCs w:val="0"/>
                <w:color w:val="auto"/>
                <w:kern w:val="0"/>
                <w:sz w:val="20"/>
                <w:szCs w:val="20"/>
                <w:highlight w:val="none"/>
                <w:lang w:val="en-US" w:eastAsia="zh-CN" w:bidi="ar-SA"/>
              </w:rPr>
            </w:pPr>
          </w:p>
        </w:tc>
      </w:tr>
      <w:tr w14:paraId="4F5F0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162B3E3">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77</w:t>
            </w:r>
          </w:p>
        </w:tc>
        <w:tc>
          <w:tcPr>
            <w:tcW w:w="720" w:type="dxa"/>
            <w:vMerge w:val="continue"/>
            <w:vAlign w:val="center"/>
          </w:tcPr>
          <w:p w14:paraId="0E751F9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03AE0F0">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6ACF844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报告强制审核</w:t>
            </w:r>
          </w:p>
        </w:tc>
        <w:tc>
          <w:tcPr>
            <w:tcW w:w="4665" w:type="dxa"/>
            <w:vAlign w:val="center"/>
          </w:tcPr>
          <w:p w14:paraId="415E50D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支持设置强制审核模式，设置为强制审核模式的报告必须进行双签之后才能发布，以满足医院多业务形态的需要</w:t>
            </w:r>
          </w:p>
        </w:tc>
        <w:tc>
          <w:tcPr>
            <w:tcW w:w="733" w:type="dxa"/>
            <w:vMerge w:val="continue"/>
            <w:vAlign w:val="center"/>
          </w:tcPr>
          <w:p w14:paraId="0F4A1A3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4950908">
            <w:pPr>
              <w:jc w:val="center"/>
              <w:rPr>
                <w:rFonts w:hint="eastAsia" w:ascii="宋体" w:hAnsi="宋体" w:eastAsia="宋体" w:cs="宋体"/>
                <w:b w:val="0"/>
                <w:bCs w:val="0"/>
                <w:color w:val="auto"/>
                <w:kern w:val="0"/>
                <w:sz w:val="20"/>
                <w:szCs w:val="20"/>
                <w:highlight w:val="none"/>
                <w:lang w:val="en-US" w:eastAsia="zh-CN" w:bidi="ar-SA"/>
              </w:rPr>
            </w:pPr>
          </w:p>
        </w:tc>
      </w:tr>
      <w:tr w14:paraId="2A6D8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0D8340C">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78</w:t>
            </w:r>
          </w:p>
        </w:tc>
        <w:tc>
          <w:tcPr>
            <w:tcW w:w="720" w:type="dxa"/>
            <w:vMerge w:val="continue"/>
            <w:vAlign w:val="center"/>
          </w:tcPr>
          <w:p w14:paraId="4053E14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AC4C16F">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15E5C3D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同屏显示</w:t>
            </w:r>
          </w:p>
        </w:tc>
        <w:tc>
          <w:tcPr>
            <w:tcW w:w="4665" w:type="dxa"/>
            <w:vAlign w:val="center"/>
          </w:tcPr>
          <w:p w14:paraId="11DE455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为提高医生工作效率，系统支持同屏显示报告列表和看图界面。可直接在看图页中查看列表数据，无需在列表页和详情页中来回切换</w:t>
            </w:r>
          </w:p>
        </w:tc>
        <w:tc>
          <w:tcPr>
            <w:tcW w:w="733" w:type="dxa"/>
            <w:vMerge w:val="continue"/>
            <w:vAlign w:val="center"/>
          </w:tcPr>
          <w:p w14:paraId="4A8A3FF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E1517DB">
            <w:pPr>
              <w:jc w:val="center"/>
              <w:rPr>
                <w:rFonts w:hint="eastAsia" w:ascii="宋体" w:hAnsi="宋体" w:eastAsia="宋体" w:cs="宋体"/>
                <w:b w:val="0"/>
                <w:bCs w:val="0"/>
                <w:color w:val="auto"/>
                <w:kern w:val="0"/>
                <w:sz w:val="20"/>
                <w:szCs w:val="20"/>
                <w:highlight w:val="none"/>
                <w:lang w:val="en-US" w:eastAsia="zh-CN" w:bidi="ar-SA"/>
              </w:rPr>
            </w:pPr>
          </w:p>
        </w:tc>
      </w:tr>
      <w:tr w14:paraId="467DD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0A65F8D">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79</w:t>
            </w:r>
          </w:p>
        </w:tc>
        <w:tc>
          <w:tcPr>
            <w:tcW w:w="720" w:type="dxa"/>
            <w:vMerge w:val="continue"/>
            <w:vAlign w:val="center"/>
          </w:tcPr>
          <w:p w14:paraId="616F559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E680155">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4C3AC0F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病例收藏</w:t>
            </w:r>
          </w:p>
        </w:tc>
        <w:tc>
          <w:tcPr>
            <w:tcW w:w="4665" w:type="dxa"/>
            <w:vAlign w:val="center"/>
          </w:tcPr>
          <w:p w14:paraId="6DDCC75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000000" w:themeColor="text1"/>
                <w:kern w:val="0"/>
                <w:sz w:val="20"/>
                <w:szCs w:val="20"/>
                <w:highlight w:val="none"/>
                <w:lang w:val="en-US" w:eastAsia="zh-CN"/>
                <w14:textFill>
                  <w14:solidFill>
                    <w14:schemeClr w14:val="tx1"/>
                  </w14:solidFill>
                </w14:textFill>
              </w:rPr>
              <w:t>提供典型病例收藏功能，支持医生自定义收藏分类，为医生后期培训和进行科研提供素材。</w:t>
            </w:r>
          </w:p>
        </w:tc>
        <w:tc>
          <w:tcPr>
            <w:tcW w:w="733" w:type="dxa"/>
            <w:vMerge w:val="continue"/>
            <w:vAlign w:val="center"/>
          </w:tcPr>
          <w:p w14:paraId="7EA09BF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73E7CCF">
            <w:pPr>
              <w:jc w:val="center"/>
              <w:rPr>
                <w:rFonts w:hint="eastAsia" w:ascii="宋体" w:hAnsi="宋体" w:eastAsia="宋体" w:cs="宋体"/>
                <w:b w:val="0"/>
                <w:bCs w:val="0"/>
                <w:color w:val="auto"/>
                <w:kern w:val="0"/>
                <w:sz w:val="20"/>
                <w:szCs w:val="20"/>
                <w:highlight w:val="none"/>
                <w:lang w:val="en-US" w:eastAsia="zh-CN" w:bidi="ar-SA"/>
              </w:rPr>
            </w:pPr>
          </w:p>
        </w:tc>
      </w:tr>
      <w:tr w14:paraId="7792B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CA050F7">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80</w:t>
            </w:r>
          </w:p>
        </w:tc>
        <w:tc>
          <w:tcPr>
            <w:tcW w:w="720" w:type="dxa"/>
            <w:vMerge w:val="continue"/>
            <w:vAlign w:val="center"/>
          </w:tcPr>
          <w:p w14:paraId="66D3C66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99AC039">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333A5A6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导联纠错</w:t>
            </w:r>
          </w:p>
        </w:tc>
        <w:tc>
          <w:tcPr>
            <w:tcW w:w="4665" w:type="dxa"/>
            <w:vAlign w:val="center"/>
          </w:tcPr>
          <w:p w14:paraId="48D8CC1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支持导联纠错功能，在肢体导联接反或胸导联接错的情况下，可以通过软件直接修正，无需重新采集</w:t>
            </w:r>
          </w:p>
        </w:tc>
        <w:tc>
          <w:tcPr>
            <w:tcW w:w="733" w:type="dxa"/>
            <w:vMerge w:val="continue"/>
            <w:vAlign w:val="center"/>
          </w:tcPr>
          <w:p w14:paraId="4CF15E7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BBA009A">
            <w:pPr>
              <w:jc w:val="center"/>
              <w:rPr>
                <w:rFonts w:hint="eastAsia" w:ascii="宋体" w:hAnsi="宋体" w:eastAsia="宋体" w:cs="宋体"/>
                <w:b w:val="0"/>
                <w:bCs w:val="0"/>
                <w:color w:val="auto"/>
                <w:kern w:val="0"/>
                <w:sz w:val="20"/>
                <w:szCs w:val="20"/>
                <w:highlight w:val="none"/>
                <w:lang w:val="en-US" w:eastAsia="zh-CN" w:bidi="ar-SA"/>
              </w:rPr>
            </w:pPr>
          </w:p>
        </w:tc>
      </w:tr>
      <w:tr w14:paraId="23BB0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A85D2D3">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81</w:t>
            </w:r>
          </w:p>
        </w:tc>
        <w:tc>
          <w:tcPr>
            <w:tcW w:w="720" w:type="dxa"/>
            <w:vMerge w:val="continue"/>
            <w:vAlign w:val="center"/>
          </w:tcPr>
          <w:p w14:paraId="71821A7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E2A0EE9">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2EB08CB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漏诊提示</w:t>
            </w:r>
          </w:p>
        </w:tc>
        <w:tc>
          <w:tcPr>
            <w:tcW w:w="4665" w:type="dxa"/>
            <w:vAlign w:val="center"/>
          </w:tcPr>
          <w:p w14:paraId="47D5DA4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对心电图因显示分辨率问题导致的可能被疏忽的细节异常进行提示，防止造成漏诊</w:t>
            </w:r>
          </w:p>
        </w:tc>
        <w:tc>
          <w:tcPr>
            <w:tcW w:w="733" w:type="dxa"/>
            <w:vMerge w:val="continue"/>
            <w:vAlign w:val="center"/>
          </w:tcPr>
          <w:p w14:paraId="789BB5E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02C2271">
            <w:pPr>
              <w:jc w:val="center"/>
              <w:rPr>
                <w:rFonts w:hint="eastAsia" w:ascii="宋体" w:hAnsi="宋体" w:eastAsia="宋体" w:cs="宋体"/>
                <w:b w:val="0"/>
                <w:bCs w:val="0"/>
                <w:color w:val="auto"/>
                <w:kern w:val="0"/>
                <w:sz w:val="20"/>
                <w:szCs w:val="20"/>
                <w:highlight w:val="none"/>
                <w:lang w:val="en-US" w:eastAsia="zh-CN" w:bidi="ar-SA"/>
              </w:rPr>
            </w:pPr>
          </w:p>
        </w:tc>
      </w:tr>
      <w:tr w14:paraId="68CCF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F4AF828">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82</w:t>
            </w:r>
          </w:p>
        </w:tc>
        <w:tc>
          <w:tcPr>
            <w:tcW w:w="720" w:type="dxa"/>
            <w:vMerge w:val="continue"/>
            <w:vAlign w:val="center"/>
          </w:tcPr>
          <w:p w14:paraId="12C2750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3087FEF">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774C1F3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图谱对比</w:t>
            </w:r>
          </w:p>
        </w:tc>
        <w:tc>
          <w:tcPr>
            <w:tcW w:w="4665" w:type="dxa"/>
            <w:vAlign w:val="center"/>
          </w:tcPr>
          <w:p w14:paraId="72213DE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将5份及以上历史报告加入对比，可引用对比报告的诊断结论</w:t>
            </w:r>
          </w:p>
        </w:tc>
        <w:tc>
          <w:tcPr>
            <w:tcW w:w="733" w:type="dxa"/>
            <w:vMerge w:val="continue"/>
            <w:vAlign w:val="center"/>
          </w:tcPr>
          <w:p w14:paraId="5F356A3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A7CA50C">
            <w:pPr>
              <w:jc w:val="center"/>
              <w:rPr>
                <w:rFonts w:hint="eastAsia" w:ascii="宋体" w:hAnsi="宋体" w:eastAsia="宋体" w:cs="宋体"/>
                <w:b w:val="0"/>
                <w:bCs w:val="0"/>
                <w:color w:val="auto"/>
                <w:kern w:val="0"/>
                <w:sz w:val="20"/>
                <w:szCs w:val="20"/>
                <w:highlight w:val="none"/>
                <w:lang w:val="en-US" w:eastAsia="zh-CN" w:bidi="ar-SA"/>
              </w:rPr>
            </w:pPr>
          </w:p>
        </w:tc>
      </w:tr>
      <w:tr w14:paraId="70D46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7078671">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83</w:t>
            </w:r>
          </w:p>
        </w:tc>
        <w:tc>
          <w:tcPr>
            <w:tcW w:w="720" w:type="dxa"/>
            <w:vMerge w:val="continue"/>
            <w:vAlign w:val="center"/>
          </w:tcPr>
          <w:p w14:paraId="484134D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80D1F8C">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30792EB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胸痛加急</w:t>
            </w:r>
          </w:p>
        </w:tc>
        <w:tc>
          <w:tcPr>
            <w:tcW w:w="4665" w:type="dxa"/>
            <w:vAlign w:val="center"/>
          </w:tcPr>
          <w:p w14:paraId="261C558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支持胸痛加急功能，诊断界面有胸痛加急按钮，点击之后有胸痛加急的提示弹窗并可将检查完成消息推送到手机微信端</w:t>
            </w:r>
          </w:p>
        </w:tc>
        <w:tc>
          <w:tcPr>
            <w:tcW w:w="733" w:type="dxa"/>
            <w:vMerge w:val="continue"/>
            <w:vAlign w:val="center"/>
          </w:tcPr>
          <w:p w14:paraId="1DCB99D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C8A8BCD">
            <w:pPr>
              <w:jc w:val="center"/>
              <w:rPr>
                <w:rFonts w:hint="eastAsia" w:ascii="宋体" w:hAnsi="宋体" w:eastAsia="宋体" w:cs="宋体"/>
                <w:b w:val="0"/>
                <w:bCs w:val="0"/>
                <w:color w:val="auto"/>
                <w:kern w:val="0"/>
                <w:sz w:val="20"/>
                <w:szCs w:val="20"/>
                <w:highlight w:val="none"/>
                <w:lang w:val="en-US" w:eastAsia="zh-CN" w:bidi="ar-SA"/>
              </w:rPr>
            </w:pPr>
          </w:p>
        </w:tc>
      </w:tr>
      <w:tr w14:paraId="5DFF3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BCD862C">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84</w:t>
            </w:r>
          </w:p>
        </w:tc>
        <w:tc>
          <w:tcPr>
            <w:tcW w:w="720" w:type="dxa"/>
            <w:vMerge w:val="continue"/>
            <w:vAlign w:val="center"/>
          </w:tcPr>
          <w:p w14:paraId="6054D8F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97957F6">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255B70C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词条辅助</w:t>
            </w:r>
          </w:p>
        </w:tc>
        <w:tc>
          <w:tcPr>
            <w:tcW w:w="4665" w:type="dxa"/>
            <w:vAlign w:val="center"/>
          </w:tcPr>
          <w:p w14:paraId="4038215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000000" w:themeColor="text1"/>
                <w:kern w:val="0"/>
                <w:sz w:val="20"/>
                <w:szCs w:val="20"/>
                <w:highlight w:val="none"/>
                <w:lang w:val="en-US" w:eastAsia="zh-CN"/>
                <w14:textFill>
                  <w14:solidFill>
                    <w14:schemeClr w14:val="tx1"/>
                  </w14:solidFill>
                </w14:textFill>
              </w:rPr>
              <w:t>提供标准的心电图诊断词条，辅助医生快速进行报告编辑，在编辑过程中支持词条模糊查询及词条与测值的联动。</w:t>
            </w:r>
          </w:p>
        </w:tc>
        <w:tc>
          <w:tcPr>
            <w:tcW w:w="733" w:type="dxa"/>
            <w:vMerge w:val="continue"/>
            <w:vAlign w:val="center"/>
          </w:tcPr>
          <w:p w14:paraId="2C8964B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EEC3197">
            <w:pPr>
              <w:jc w:val="center"/>
              <w:rPr>
                <w:rFonts w:hint="eastAsia" w:ascii="宋体" w:hAnsi="宋体" w:eastAsia="宋体" w:cs="宋体"/>
                <w:b w:val="0"/>
                <w:bCs w:val="0"/>
                <w:color w:val="auto"/>
                <w:kern w:val="0"/>
                <w:sz w:val="20"/>
                <w:szCs w:val="20"/>
                <w:highlight w:val="none"/>
                <w:lang w:val="en-US" w:eastAsia="zh-CN" w:bidi="ar-SA"/>
              </w:rPr>
            </w:pPr>
          </w:p>
        </w:tc>
      </w:tr>
      <w:tr w14:paraId="570F0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A4F8F8A">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85</w:t>
            </w:r>
          </w:p>
        </w:tc>
        <w:tc>
          <w:tcPr>
            <w:tcW w:w="720" w:type="dxa"/>
            <w:vMerge w:val="continue"/>
            <w:vAlign w:val="center"/>
          </w:tcPr>
          <w:p w14:paraId="0564AC9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C1A1598">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29EA00E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自动诊断功能</w:t>
            </w:r>
          </w:p>
        </w:tc>
        <w:tc>
          <w:tcPr>
            <w:tcW w:w="4665" w:type="dxa"/>
            <w:vAlign w:val="center"/>
          </w:tcPr>
          <w:p w14:paraId="4F6B0DEB">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支持心电自动诊断技术，对心电报告进行自动化分析和诊断，辅助诊断医生进行报告诊断，提高诊断效率和质量</w:t>
            </w:r>
          </w:p>
        </w:tc>
        <w:tc>
          <w:tcPr>
            <w:tcW w:w="733" w:type="dxa"/>
            <w:vMerge w:val="continue"/>
            <w:vAlign w:val="center"/>
          </w:tcPr>
          <w:p w14:paraId="5FF3084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5D8B166">
            <w:pPr>
              <w:jc w:val="center"/>
              <w:rPr>
                <w:rFonts w:hint="eastAsia" w:ascii="宋体" w:hAnsi="宋体" w:eastAsia="宋体" w:cs="宋体"/>
                <w:b w:val="0"/>
                <w:bCs w:val="0"/>
                <w:color w:val="auto"/>
                <w:kern w:val="0"/>
                <w:sz w:val="20"/>
                <w:szCs w:val="20"/>
                <w:highlight w:val="none"/>
                <w:lang w:val="en-US" w:eastAsia="zh-CN" w:bidi="ar-SA"/>
              </w:rPr>
            </w:pPr>
          </w:p>
        </w:tc>
      </w:tr>
      <w:tr w14:paraId="1BBD3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D11BF8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86</w:t>
            </w:r>
          </w:p>
        </w:tc>
        <w:tc>
          <w:tcPr>
            <w:tcW w:w="720" w:type="dxa"/>
            <w:vMerge w:val="continue"/>
            <w:vAlign w:val="center"/>
          </w:tcPr>
          <w:p w14:paraId="0469F13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2A1E920">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23000C5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危急值预警</w:t>
            </w:r>
          </w:p>
        </w:tc>
        <w:tc>
          <w:tcPr>
            <w:tcW w:w="4665" w:type="dxa"/>
            <w:vAlign w:val="center"/>
          </w:tcPr>
          <w:p w14:paraId="4C8752D5">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可依据自动诊断结果提供危急值预警功能，通过微信等方式自动推送到相关人员手机上，提醒医护人员及时关注危急心电图</w:t>
            </w:r>
          </w:p>
        </w:tc>
        <w:tc>
          <w:tcPr>
            <w:tcW w:w="733" w:type="dxa"/>
            <w:vMerge w:val="continue"/>
            <w:vAlign w:val="center"/>
          </w:tcPr>
          <w:p w14:paraId="3AE7711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DC4D1AE">
            <w:pPr>
              <w:jc w:val="center"/>
              <w:rPr>
                <w:rFonts w:hint="eastAsia" w:ascii="宋体" w:hAnsi="宋体" w:eastAsia="宋体" w:cs="宋体"/>
                <w:b w:val="0"/>
                <w:bCs w:val="0"/>
                <w:color w:val="auto"/>
                <w:kern w:val="0"/>
                <w:sz w:val="20"/>
                <w:szCs w:val="20"/>
                <w:highlight w:val="none"/>
                <w:lang w:val="en-US" w:eastAsia="zh-CN" w:bidi="ar-SA"/>
              </w:rPr>
            </w:pPr>
          </w:p>
        </w:tc>
      </w:tr>
      <w:tr w14:paraId="52A68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583" w:type="dxa"/>
            <w:vAlign w:val="center"/>
          </w:tcPr>
          <w:p w14:paraId="38E413F7">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87</w:t>
            </w:r>
          </w:p>
        </w:tc>
        <w:tc>
          <w:tcPr>
            <w:tcW w:w="720" w:type="dxa"/>
            <w:vMerge w:val="continue"/>
            <w:vAlign w:val="center"/>
          </w:tcPr>
          <w:p w14:paraId="3E4B20C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FFDCE82">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542F439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数据脱敏</w:t>
            </w:r>
          </w:p>
        </w:tc>
        <w:tc>
          <w:tcPr>
            <w:tcW w:w="4665" w:type="dxa"/>
            <w:vAlign w:val="center"/>
          </w:tcPr>
          <w:p w14:paraId="6DED9D2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为保护受检者信息安全，报告分享支持脱敏显示</w:t>
            </w:r>
          </w:p>
        </w:tc>
        <w:tc>
          <w:tcPr>
            <w:tcW w:w="733" w:type="dxa"/>
            <w:vMerge w:val="continue"/>
            <w:vAlign w:val="center"/>
          </w:tcPr>
          <w:p w14:paraId="6FF8610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E0D0CB7">
            <w:pPr>
              <w:jc w:val="center"/>
              <w:rPr>
                <w:rFonts w:hint="eastAsia" w:ascii="宋体" w:hAnsi="宋体" w:eastAsia="宋体" w:cs="宋体"/>
                <w:b w:val="0"/>
                <w:bCs w:val="0"/>
                <w:color w:val="auto"/>
                <w:kern w:val="0"/>
                <w:sz w:val="20"/>
                <w:szCs w:val="20"/>
                <w:highlight w:val="none"/>
                <w:lang w:val="en-US" w:eastAsia="zh-CN" w:bidi="ar-SA"/>
              </w:rPr>
            </w:pPr>
          </w:p>
        </w:tc>
      </w:tr>
      <w:tr w14:paraId="4372C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318EBAB">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88</w:t>
            </w:r>
          </w:p>
        </w:tc>
        <w:tc>
          <w:tcPr>
            <w:tcW w:w="720" w:type="dxa"/>
            <w:vMerge w:val="continue"/>
            <w:vAlign w:val="center"/>
          </w:tcPr>
          <w:p w14:paraId="173D22F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1121745">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4F6810C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扫码查看报告</w:t>
            </w:r>
          </w:p>
        </w:tc>
        <w:tc>
          <w:tcPr>
            <w:tcW w:w="4665" w:type="dxa"/>
            <w:vAlign w:val="center"/>
          </w:tcPr>
          <w:p w14:paraId="71F0AD6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支持在诊断界面将心电图原始数据生成二维码，并通过手机端微信小程序进行扫码查看、诊断和分享，通过手机扫码方式实现内网到外网的数据传输，物理隔离保障网络安全。</w:t>
            </w:r>
          </w:p>
        </w:tc>
        <w:tc>
          <w:tcPr>
            <w:tcW w:w="733" w:type="dxa"/>
            <w:vMerge w:val="continue"/>
            <w:vAlign w:val="center"/>
          </w:tcPr>
          <w:p w14:paraId="2916C79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AF2F8C7">
            <w:pPr>
              <w:jc w:val="center"/>
              <w:rPr>
                <w:rFonts w:hint="eastAsia" w:ascii="宋体" w:hAnsi="宋体" w:eastAsia="宋体" w:cs="宋体"/>
                <w:b w:val="0"/>
                <w:bCs w:val="0"/>
                <w:color w:val="auto"/>
                <w:kern w:val="0"/>
                <w:sz w:val="20"/>
                <w:szCs w:val="20"/>
                <w:highlight w:val="none"/>
                <w:lang w:val="en-US" w:eastAsia="zh-CN" w:bidi="ar-SA"/>
              </w:rPr>
            </w:pPr>
          </w:p>
        </w:tc>
      </w:tr>
      <w:tr w14:paraId="5DC80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04BCF13">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89</w:t>
            </w:r>
          </w:p>
        </w:tc>
        <w:tc>
          <w:tcPr>
            <w:tcW w:w="720" w:type="dxa"/>
            <w:vMerge w:val="continue"/>
            <w:vAlign w:val="center"/>
          </w:tcPr>
          <w:p w14:paraId="003A75E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7416CA7">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4445564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诊断分析结论</w:t>
            </w:r>
          </w:p>
        </w:tc>
        <w:tc>
          <w:tcPr>
            <w:tcW w:w="4665" w:type="dxa"/>
            <w:vAlign w:val="center"/>
          </w:tcPr>
          <w:p w14:paraId="1BFCFFC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客户端、Web端、移动端支持自动诊断分析结论，可手动选择是否引用自动诊断结论</w:t>
            </w:r>
          </w:p>
        </w:tc>
        <w:tc>
          <w:tcPr>
            <w:tcW w:w="733" w:type="dxa"/>
            <w:vMerge w:val="continue"/>
            <w:vAlign w:val="center"/>
          </w:tcPr>
          <w:p w14:paraId="399CA48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0AA821A">
            <w:pPr>
              <w:jc w:val="center"/>
              <w:rPr>
                <w:rFonts w:hint="eastAsia" w:ascii="宋体" w:hAnsi="宋体" w:eastAsia="宋体" w:cs="宋体"/>
                <w:b w:val="0"/>
                <w:bCs w:val="0"/>
                <w:color w:val="auto"/>
                <w:kern w:val="0"/>
                <w:sz w:val="20"/>
                <w:szCs w:val="20"/>
                <w:highlight w:val="none"/>
                <w:lang w:val="en-US" w:eastAsia="zh-CN" w:bidi="ar-SA"/>
              </w:rPr>
            </w:pPr>
          </w:p>
        </w:tc>
      </w:tr>
      <w:tr w14:paraId="7DEE6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69A1C82">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90</w:t>
            </w:r>
          </w:p>
        </w:tc>
        <w:tc>
          <w:tcPr>
            <w:tcW w:w="720" w:type="dxa"/>
            <w:vMerge w:val="restart"/>
            <w:vAlign w:val="center"/>
          </w:tcPr>
          <w:p w14:paraId="32F00DF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心电质控平台</w:t>
            </w:r>
          </w:p>
        </w:tc>
        <w:tc>
          <w:tcPr>
            <w:tcW w:w="2935" w:type="dxa"/>
            <w:gridSpan w:val="2"/>
            <w:vAlign w:val="center"/>
          </w:tcPr>
          <w:p w14:paraId="5ACB718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质控病例</w:t>
            </w:r>
          </w:p>
        </w:tc>
        <w:tc>
          <w:tcPr>
            <w:tcW w:w="4665" w:type="dxa"/>
            <w:vAlign w:val="center"/>
          </w:tcPr>
          <w:p w14:paraId="60F9475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医生可设置质控查询条件，对诊断组和平台中的所有数据进行质控分析</w:t>
            </w:r>
          </w:p>
        </w:tc>
        <w:tc>
          <w:tcPr>
            <w:tcW w:w="733" w:type="dxa"/>
            <w:vMerge w:val="restart"/>
            <w:vAlign w:val="center"/>
          </w:tcPr>
          <w:p w14:paraId="147C87C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524950A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2FF66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D56BAB8">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91</w:t>
            </w:r>
          </w:p>
        </w:tc>
        <w:tc>
          <w:tcPr>
            <w:tcW w:w="720" w:type="dxa"/>
            <w:vMerge w:val="continue"/>
            <w:vAlign w:val="center"/>
          </w:tcPr>
          <w:p w14:paraId="2EBA813F">
            <w:pPr>
              <w:jc w:val="center"/>
              <w:rPr>
                <w:rFonts w:hint="eastAsia" w:ascii="宋体" w:hAnsi="宋体" w:eastAsia="宋体" w:cs="宋体"/>
                <w:b w:val="0"/>
                <w:bCs w:val="0"/>
                <w:color w:val="auto"/>
                <w:kern w:val="0"/>
                <w:sz w:val="20"/>
                <w:szCs w:val="20"/>
                <w:highlight w:val="none"/>
                <w:lang w:val="en-US" w:eastAsia="zh-CN" w:bidi="ar-SA"/>
              </w:rPr>
            </w:pPr>
          </w:p>
        </w:tc>
        <w:tc>
          <w:tcPr>
            <w:tcW w:w="2935" w:type="dxa"/>
            <w:gridSpan w:val="2"/>
            <w:vAlign w:val="center"/>
          </w:tcPr>
          <w:p w14:paraId="3A5EE10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心电检查结果的统计分析</w:t>
            </w:r>
          </w:p>
        </w:tc>
        <w:tc>
          <w:tcPr>
            <w:tcW w:w="4665" w:type="dxa"/>
            <w:vAlign w:val="center"/>
          </w:tcPr>
          <w:p w14:paraId="615D79B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提供管理部门对设备、病人、医生、检查报告的分析</w:t>
            </w:r>
          </w:p>
        </w:tc>
        <w:tc>
          <w:tcPr>
            <w:tcW w:w="733" w:type="dxa"/>
            <w:vMerge w:val="continue"/>
            <w:vAlign w:val="center"/>
          </w:tcPr>
          <w:p w14:paraId="1C44409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770770B">
            <w:pPr>
              <w:jc w:val="center"/>
              <w:rPr>
                <w:rFonts w:hint="eastAsia" w:ascii="宋体" w:hAnsi="宋体" w:eastAsia="宋体" w:cs="宋体"/>
                <w:b w:val="0"/>
                <w:bCs w:val="0"/>
                <w:color w:val="auto"/>
                <w:kern w:val="0"/>
                <w:sz w:val="20"/>
                <w:szCs w:val="20"/>
                <w:highlight w:val="none"/>
                <w:lang w:val="en-US" w:eastAsia="zh-CN" w:bidi="ar-SA"/>
              </w:rPr>
            </w:pPr>
          </w:p>
        </w:tc>
      </w:tr>
      <w:tr w14:paraId="4C72B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271B30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92</w:t>
            </w:r>
          </w:p>
        </w:tc>
        <w:tc>
          <w:tcPr>
            <w:tcW w:w="720" w:type="dxa"/>
            <w:vMerge w:val="continue"/>
            <w:vAlign w:val="center"/>
          </w:tcPr>
          <w:p w14:paraId="25079084">
            <w:pPr>
              <w:jc w:val="center"/>
              <w:rPr>
                <w:rFonts w:hint="eastAsia" w:ascii="宋体" w:hAnsi="宋体" w:eastAsia="宋体" w:cs="宋体"/>
                <w:b w:val="0"/>
                <w:bCs w:val="0"/>
                <w:color w:val="auto"/>
                <w:kern w:val="0"/>
                <w:sz w:val="20"/>
                <w:szCs w:val="20"/>
                <w:highlight w:val="none"/>
                <w:lang w:val="en-US" w:eastAsia="zh-CN" w:bidi="ar-SA"/>
              </w:rPr>
            </w:pPr>
          </w:p>
        </w:tc>
        <w:tc>
          <w:tcPr>
            <w:tcW w:w="2935" w:type="dxa"/>
            <w:gridSpan w:val="2"/>
            <w:vAlign w:val="center"/>
          </w:tcPr>
          <w:p w14:paraId="0A24BFB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接入趋势分析功能</w:t>
            </w:r>
          </w:p>
        </w:tc>
        <w:tc>
          <w:tcPr>
            <w:tcW w:w="4665" w:type="dxa"/>
            <w:vAlign w:val="center"/>
          </w:tcPr>
          <w:p w14:paraId="7168083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提供检查量分析趋势功能，统计分析当前机构下检查时间在所选择日期范围内的检查量分布情况及占比情况，具有按月统计数据并显示数量，并按检查总量进行倒序排序</w:t>
            </w:r>
          </w:p>
        </w:tc>
        <w:tc>
          <w:tcPr>
            <w:tcW w:w="733" w:type="dxa"/>
            <w:vMerge w:val="continue"/>
            <w:vAlign w:val="center"/>
          </w:tcPr>
          <w:p w14:paraId="76DDE90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2540E67">
            <w:pPr>
              <w:jc w:val="center"/>
              <w:rPr>
                <w:rFonts w:hint="eastAsia" w:ascii="宋体" w:hAnsi="宋体" w:eastAsia="宋体" w:cs="宋体"/>
                <w:b w:val="0"/>
                <w:bCs w:val="0"/>
                <w:color w:val="auto"/>
                <w:kern w:val="0"/>
                <w:sz w:val="20"/>
                <w:szCs w:val="20"/>
                <w:highlight w:val="none"/>
                <w:lang w:val="en-US" w:eastAsia="zh-CN" w:bidi="ar-SA"/>
              </w:rPr>
            </w:pPr>
          </w:p>
        </w:tc>
      </w:tr>
      <w:tr w14:paraId="29B56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8087B45">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93</w:t>
            </w:r>
          </w:p>
        </w:tc>
        <w:tc>
          <w:tcPr>
            <w:tcW w:w="720" w:type="dxa"/>
            <w:vMerge w:val="continue"/>
            <w:vAlign w:val="center"/>
          </w:tcPr>
          <w:p w14:paraId="4F565D99">
            <w:pPr>
              <w:jc w:val="center"/>
              <w:rPr>
                <w:rFonts w:hint="eastAsia" w:ascii="宋体" w:hAnsi="宋体" w:eastAsia="宋体" w:cs="宋体"/>
                <w:b w:val="0"/>
                <w:bCs w:val="0"/>
                <w:color w:val="auto"/>
                <w:kern w:val="0"/>
                <w:sz w:val="20"/>
                <w:szCs w:val="20"/>
                <w:highlight w:val="none"/>
                <w:lang w:val="en-US" w:eastAsia="zh-CN" w:bidi="ar-SA"/>
              </w:rPr>
            </w:pPr>
          </w:p>
        </w:tc>
        <w:tc>
          <w:tcPr>
            <w:tcW w:w="2935" w:type="dxa"/>
            <w:gridSpan w:val="2"/>
            <w:vAlign w:val="center"/>
          </w:tcPr>
          <w:p w14:paraId="2CBCB04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诊断分级和诊断分布</w:t>
            </w:r>
          </w:p>
        </w:tc>
        <w:tc>
          <w:tcPr>
            <w:tcW w:w="4665" w:type="dxa"/>
            <w:vAlign w:val="center"/>
          </w:tcPr>
          <w:p w14:paraId="59A06A7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诊断分级和诊断分布，诊断分级通过饼图展示，统计时间内正常、危急、阳性、采集不良的数据分布情况，同时显示危急和阳性心电图在总体中的占比；诊断分布通过柱状图展示，统计时间内房颤、房性早搏、室性早搏、急性心肌梗死等病种的自动诊断和医生诊断的占比情况</w:t>
            </w:r>
          </w:p>
        </w:tc>
        <w:tc>
          <w:tcPr>
            <w:tcW w:w="733" w:type="dxa"/>
            <w:vMerge w:val="continue"/>
            <w:vAlign w:val="center"/>
          </w:tcPr>
          <w:p w14:paraId="76BE3DB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639FCA9">
            <w:pPr>
              <w:jc w:val="center"/>
              <w:rPr>
                <w:rFonts w:hint="eastAsia" w:ascii="宋体" w:hAnsi="宋体" w:eastAsia="宋体" w:cs="宋体"/>
                <w:b w:val="0"/>
                <w:bCs w:val="0"/>
                <w:color w:val="auto"/>
                <w:kern w:val="0"/>
                <w:sz w:val="20"/>
                <w:szCs w:val="20"/>
                <w:highlight w:val="none"/>
                <w:lang w:val="en-US" w:eastAsia="zh-CN" w:bidi="ar-SA"/>
              </w:rPr>
            </w:pPr>
          </w:p>
        </w:tc>
      </w:tr>
      <w:tr w14:paraId="3D836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E7673A7">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94</w:t>
            </w:r>
          </w:p>
        </w:tc>
        <w:tc>
          <w:tcPr>
            <w:tcW w:w="720" w:type="dxa"/>
            <w:vMerge w:val="continue"/>
            <w:vAlign w:val="center"/>
          </w:tcPr>
          <w:p w14:paraId="2CE3A75F">
            <w:pPr>
              <w:jc w:val="center"/>
              <w:rPr>
                <w:rFonts w:hint="eastAsia" w:ascii="宋体" w:hAnsi="宋体" w:eastAsia="宋体" w:cs="宋体"/>
                <w:b/>
                <w:color w:val="auto"/>
                <w:sz w:val="24"/>
                <w:szCs w:val="24"/>
                <w:highlight w:val="none"/>
                <w:vertAlign w:val="baseline"/>
                <w:lang w:eastAsia="zh-CN"/>
              </w:rPr>
            </w:pPr>
          </w:p>
        </w:tc>
        <w:tc>
          <w:tcPr>
            <w:tcW w:w="2935" w:type="dxa"/>
            <w:gridSpan w:val="2"/>
            <w:vAlign w:val="center"/>
          </w:tcPr>
          <w:p w14:paraId="056915F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检查量分析趋势功能</w:t>
            </w:r>
          </w:p>
        </w:tc>
        <w:tc>
          <w:tcPr>
            <w:tcW w:w="4665" w:type="dxa"/>
            <w:vAlign w:val="center"/>
          </w:tcPr>
          <w:p w14:paraId="004C37C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统计分析当前机构下检查时间在所选择日期范围内的检查量分布情况及占比情况，具有按月统计数据并显示数量，并按检查总量进行倒序排序</w:t>
            </w:r>
          </w:p>
        </w:tc>
        <w:tc>
          <w:tcPr>
            <w:tcW w:w="733" w:type="dxa"/>
            <w:vMerge w:val="continue"/>
            <w:vAlign w:val="center"/>
          </w:tcPr>
          <w:p w14:paraId="4F09959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2E2298B">
            <w:pPr>
              <w:jc w:val="center"/>
              <w:rPr>
                <w:rFonts w:hint="eastAsia" w:ascii="宋体" w:hAnsi="宋体" w:eastAsia="宋体" w:cs="宋体"/>
                <w:b w:val="0"/>
                <w:bCs w:val="0"/>
                <w:color w:val="auto"/>
                <w:kern w:val="0"/>
                <w:sz w:val="20"/>
                <w:szCs w:val="20"/>
                <w:highlight w:val="none"/>
                <w:lang w:val="en-US" w:eastAsia="zh-CN" w:bidi="ar-SA"/>
              </w:rPr>
            </w:pPr>
          </w:p>
        </w:tc>
      </w:tr>
      <w:tr w14:paraId="73B2C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3484663">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95</w:t>
            </w:r>
          </w:p>
        </w:tc>
        <w:tc>
          <w:tcPr>
            <w:tcW w:w="720" w:type="dxa"/>
            <w:vMerge w:val="restart"/>
            <w:vAlign w:val="center"/>
          </w:tcPr>
          <w:p w14:paraId="16FCF63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实施</w:t>
            </w:r>
          </w:p>
          <w:p w14:paraId="05848FDE">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对接</w:t>
            </w:r>
          </w:p>
        </w:tc>
        <w:tc>
          <w:tcPr>
            <w:tcW w:w="875" w:type="dxa"/>
            <w:vMerge w:val="restart"/>
            <w:vAlign w:val="center"/>
          </w:tcPr>
          <w:p w14:paraId="70B98D0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医院心电系统对接平台开发</w:t>
            </w:r>
          </w:p>
        </w:tc>
        <w:tc>
          <w:tcPr>
            <w:tcW w:w="2060" w:type="dxa"/>
            <w:vAlign w:val="center"/>
          </w:tcPr>
          <w:p w14:paraId="265B5E8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发送心电申请接口</w:t>
            </w:r>
          </w:p>
        </w:tc>
        <w:tc>
          <w:tcPr>
            <w:tcW w:w="4665" w:type="dxa"/>
            <w:vAlign w:val="center"/>
          </w:tcPr>
          <w:p w14:paraId="6C6074F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对接区域平台，实现发送心电申请接口开发工作</w:t>
            </w:r>
          </w:p>
        </w:tc>
        <w:tc>
          <w:tcPr>
            <w:tcW w:w="733" w:type="dxa"/>
            <w:vMerge w:val="restart"/>
            <w:vAlign w:val="center"/>
          </w:tcPr>
          <w:p w14:paraId="280C221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3103CB87">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10E5D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ED6568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96</w:t>
            </w:r>
          </w:p>
        </w:tc>
        <w:tc>
          <w:tcPr>
            <w:tcW w:w="720" w:type="dxa"/>
            <w:vMerge w:val="continue"/>
            <w:vAlign w:val="center"/>
          </w:tcPr>
          <w:p w14:paraId="6D42541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8A9D02A">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19946D4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取消心电申请接口</w:t>
            </w:r>
          </w:p>
        </w:tc>
        <w:tc>
          <w:tcPr>
            <w:tcW w:w="4665" w:type="dxa"/>
            <w:vAlign w:val="center"/>
          </w:tcPr>
          <w:p w14:paraId="6A821D0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对接区域平台，实现取消心电申请接口开发工作</w:t>
            </w:r>
          </w:p>
        </w:tc>
        <w:tc>
          <w:tcPr>
            <w:tcW w:w="733" w:type="dxa"/>
            <w:vMerge w:val="continue"/>
            <w:vAlign w:val="center"/>
          </w:tcPr>
          <w:p w14:paraId="1FA1916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7C8CC9B">
            <w:pPr>
              <w:jc w:val="center"/>
              <w:rPr>
                <w:rFonts w:hint="eastAsia" w:ascii="宋体" w:hAnsi="宋体" w:eastAsia="宋体" w:cs="宋体"/>
                <w:b w:val="0"/>
                <w:bCs w:val="0"/>
                <w:color w:val="auto"/>
                <w:kern w:val="0"/>
                <w:sz w:val="20"/>
                <w:szCs w:val="20"/>
                <w:highlight w:val="none"/>
                <w:lang w:val="en-US" w:eastAsia="zh-CN" w:bidi="ar-SA"/>
              </w:rPr>
            </w:pPr>
          </w:p>
        </w:tc>
      </w:tr>
      <w:tr w14:paraId="5B861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D8CD4AC">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97</w:t>
            </w:r>
          </w:p>
        </w:tc>
        <w:tc>
          <w:tcPr>
            <w:tcW w:w="720" w:type="dxa"/>
            <w:vMerge w:val="continue"/>
            <w:vAlign w:val="center"/>
          </w:tcPr>
          <w:p w14:paraId="62D693D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25B7AAF">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0857040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查询心电申请接口</w:t>
            </w:r>
          </w:p>
        </w:tc>
        <w:tc>
          <w:tcPr>
            <w:tcW w:w="4665" w:type="dxa"/>
            <w:vAlign w:val="center"/>
          </w:tcPr>
          <w:p w14:paraId="6D5B3A7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对接区域平台，实现查询心电申请接口开发工作</w:t>
            </w:r>
          </w:p>
        </w:tc>
        <w:tc>
          <w:tcPr>
            <w:tcW w:w="733" w:type="dxa"/>
            <w:vMerge w:val="continue"/>
            <w:vAlign w:val="center"/>
          </w:tcPr>
          <w:p w14:paraId="77F88BB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4460ED2">
            <w:pPr>
              <w:jc w:val="center"/>
              <w:rPr>
                <w:rFonts w:hint="eastAsia" w:ascii="宋体" w:hAnsi="宋体" w:eastAsia="宋体" w:cs="宋体"/>
                <w:b w:val="0"/>
                <w:bCs w:val="0"/>
                <w:color w:val="auto"/>
                <w:kern w:val="0"/>
                <w:sz w:val="20"/>
                <w:szCs w:val="20"/>
                <w:highlight w:val="none"/>
                <w:lang w:val="en-US" w:eastAsia="zh-CN" w:bidi="ar-SA"/>
              </w:rPr>
            </w:pPr>
          </w:p>
        </w:tc>
      </w:tr>
      <w:tr w14:paraId="33DC4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A5CDC5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98</w:t>
            </w:r>
          </w:p>
        </w:tc>
        <w:tc>
          <w:tcPr>
            <w:tcW w:w="720" w:type="dxa"/>
            <w:vMerge w:val="continue"/>
            <w:vAlign w:val="center"/>
          </w:tcPr>
          <w:p w14:paraId="7959DFF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B40BD05">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614433A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发送心电报告接口</w:t>
            </w:r>
          </w:p>
        </w:tc>
        <w:tc>
          <w:tcPr>
            <w:tcW w:w="4665" w:type="dxa"/>
            <w:vAlign w:val="center"/>
          </w:tcPr>
          <w:p w14:paraId="453CD2C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对接区域平台，实现发送心电报告接口开发工作</w:t>
            </w:r>
          </w:p>
        </w:tc>
        <w:tc>
          <w:tcPr>
            <w:tcW w:w="733" w:type="dxa"/>
            <w:vMerge w:val="continue"/>
            <w:vAlign w:val="center"/>
          </w:tcPr>
          <w:p w14:paraId="2D30036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51139DA">
            <w:pPr>
              <w:jc w:val="center"/>
              <w:rPr>
                <w:rFonts w:hint="eastAsia" w:ascii="宋体" w:hAnsi="宋体" w:eastAsia="宋体" w:cs="宋体"/>
                <w:b w:val="0"/>
                <w:bCs w:val="0"/>
                <w:color w:val="auto"/>
                <w:kern w:val="0"/>
                <w:sz w:val="20"/>
                <w:szCs w:val="20"/>
                <w:highlight w:val="none"/>
                <w:lang w:val="en-US" w:eastAsia="zh-CN" w:bidi="ar-SA"/>
              </w:rPr>
            </w:pPr>
          </w:p>
        </w:tc>
      </w:tr>
      <w:tr w14:paraId="0C93D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F154CC7">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99</w:t>
            </w:r>
          </w:p>
        </w:tc>
        <w:tc>
          <w:tcPr>
            <w:tcW w:w="720" w:type="dxa"/>
            <w:vMerge w:val="continue"/>
            <w:vAlign w:val="center"/>
          </w:tcPr>
          <w:p w14:paraId="02FDA66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2EF7AFD">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7FED5F2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撤回心电报告接口</w:t>
            </w:r>
          </w:p>
        </w:tc>
        <w:tc>
          <w:tcPr>
            <w:tcW w:w="4665" w:type="dxa"/>
            <w:vAlign w:val="center"/>
          </w:tcPr>
          <w:p w14:paraId="07E3B83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对接区域平台，实现撤回心电报告接口开发工作</w:t>
            </w:r>
          </w:p>
        </w:tc>
        <w:tc>
          <w:tcPr>
            <w:tcW w:w="733" w:type="dxa"/>
            <w:vMerge w:val="continue"/>
            <w:vAlign w:val="center"/>
          </w:tcPr>
          <w:p w14:paraId="61A4C0B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8CA53B8">
            <w:pPr>
              <w:jc w:val="center"/>
              <w:rPr>
                <w:rFonts w:hint="eastAsia" w:ascii="宋体" w:hAnsi="宋体" w:eastAsia="宋体" w:cs="宋体"/>
                <w:b w:val="0"/>
                <w:bCs w:val="0"/>
                <w:color w:val="auto"/>
                <w:kern w:val="0"/>
                <w:sz w:val="20"/>
                <w:szCs w:val="20"/>
                <w:highlight w:val="none"/>
                <w:lang w:val="en-US" w:eastAsia="zh-CN" w:bidi="ar-SA"/>
              </w:rPr>
            </w:pPr>
          </w:p>
        </w:tc>
      </w:tr>
      <w:tr w14:paraId="211DC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FA35814">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100</w:t>
            </w:r>
          </w:p>
        </w:tc>
        <w:tc>
          <w:tcPr>
            <w:tcW w:w="720" w:type="dxa"/>
            <w:vMerge w:val="continue"/>
            <w:vAlign w:val="center"/>
          </w:tcPr>
          <w:p w14:paraId="2E84766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87BFFD0">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66EF4EF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查询心电报告接口</w:t>
            </w:r>
          </w:p>
        </w:tc>
        <w:tc>
          <w:tcPr>
            <w:tcW w:w="4665" w:type="dxa"/>
            <w:vAlign w:val="center"/>
          </w:tcPr>
          <w:p w14:paraId="06B41E7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对接区域平台，实现查询心电报告接口开发工作</w:t>
            </w:r>
          </w:p>
        </w:tc>
        <w:tc>
          <w:tcPr>
            <w:tcW w:w="733" w:type="dxa"/>
            <w:vMerge w:val="continue"/>
            <w:vAlign w:val="center"/>
          </w:tcPr>
          <w:p w14:paraId="6696026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4BA2A4E">
            <w:pPr>
              <w:jc w:val="center"/>
              <w:rPr>
                <w:rFonts w:hint="eastAsia" w:ascii="宋体" w:hAnsi="宋体" w:eastAsia="宋体" w:cs="宋体"/>
                <w:b w:val="0"/>
                <w:bCs w:val="0"/>
                <w:color w:val="auto"/>
                <w:kern w:val="0"/>
                <w:sz w:val="20"/>
                <w:szCs w:val="20"/>
                <w:highlight w:val="none"/>
                <w:lang w:val="en-US" w:eastAsia="zh-CN" w:bidi="ar-SA"/>
              </w:rPr>
            </w:pPr>
          </w:p>
        </w:tc>
      </w:tr>
      <w:tr w14:paraId="51D43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8CA2478">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101</w:t>
            </w:r>
          </w:p>
        </w:tc>
        <w:tc>
          <w:tcPr>
            <w:tcW w:w="720" w:type="dxa"/>
            <w:vMerge w:val="continue"/>
            <w:vAlign w:val="center"/>
          </w:tcPr>
          <w:p w14:paraId="6C20A3E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8D0750B">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4FECF33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更新心电状态接口</w:t>
            </w:r>
          </w:p>
        </w:tc>
        <w:tc>
          <w:tcPr>
            <w:tcW w:w="4665" w:type="dxa"/>
            <w:vAlign w:val="center"/>
          </w:tcPr>
          <w:p w14:paraId="4D1A0D1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对接区域平台，实现更新心电状态接口开发工作</w:t>
            </w:r>
          </w:p>
        </w:tc>
        <w:tc>
          <w:tcPr>
            <w:tcW w:w="733" w:type="dxa"/>
            <w:vMerge w:val="continue"/>
            <w:vAlign w:val="center"/>
          </w:tcPr>
          <w:p w14:paraId="0EF2CBC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995A72D">
            <w:pPr>
              <w:jc w:val="center"/>
              <w:rPr>
                <w:rFonts w:hint="eastAsia" w:ascii="宋体" w:hAnsi="宋体" w:eastAsia="宋体" w:cs="宋体"/>
                <w:b w:val="0"/>
                <w:bCs w:val="0"/>
                <w:color w:val="auto"/>
                <w:kern w:val="0"/>
                <w:sz w:val="20"/>
                <w:szCs w:val="20"/>
                <w:highlight w:val="none"/>
                <w:lang w:val="en-US" w:eastAsia="zh-CN" w:bidi="ar-SA"/>
              </w:rPr>
            </w:pPr>
          </w:p>
        </w:tc>
      </w:tr>
      <w:tr w14:paraId="5D4B4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806DF37">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102</w:t>
            </w:r>
          </w:p>
        </w:tc>
        <w:tc>
          <w:tcPr>
            <w:tcW w:w="720" w:type="dxa"/>
            <w:vMerge w:val="continue"/>
            <w:vAlign w:val="center"/>
          </w:tcPr>
          <w:p w14:paraId="56B5D62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6E7272D">
            <w:pPr>
              <w:jc w:val="center"/>
              <w:rPr>
                <w:rFonts w:hint="eastAsia" w:ascii="宋体" w:hAnsi="宋体" w:eastAsia="宋体" w:cs="宋体"/>
                <w:b w:val="0"/>
                <w:bCs w:val="0"/>
                <w:color w:val="auto"/>
                <w:kern w:val="0"/>
                <w:sz w:val="20"/>
                <w:szCs w:val="20"/>
                <w:highlight w:val="none"/>
                <w:lang w:val="en-US" w:eastAsia="zh-CN" w:bidi="ar-SA"/>
              </w:rPr>
            </w:pPr>
          </w:p>
        </w:tc>
        <w:tc>
          <w:tcPr>
            <w:tcW w:w="2060" w:type="dxa"/>
            <w:vAlign w:val="center"/>
          </w:tcPr>
          <w:p w14:paraId="62990709">
            <w:pPr>
              <w:keepNext w:val="0"/>
              <w:keepLines w:val="0"/>
              <w:widowControl/>
              <w:suppressLineNumbers w:val="0"/>
              <w:ind w:firstLine="200" w:firstLineChars="10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查询心电状态接口</w:t>
            </w:r>
          </w:p>
        </w:tc>
        <w:tc>
          <w:tcPr>
            <w:tcW w:w="4665" w:type="dxa"/>
            <w:vAlign w:val="center"/>
          </w:tcPr>
          <w:p w14:paraId="106A8D4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对接区域平台，实现查询心电状态接口开发工作</w:t>
            </w:r>
          </w:p>
        </w:tc>
        <w:tc>
          <w:tcPr>
            <w:tcW w:w="733" w:type="dxa"/>
            <w:vMerge w:val="continue"/>
            <w:vAlign w:val="center"/>
          </w:tcPr>
          <w:p w14:paraId="3F56370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6F2B788">
            <w:pPr>
              <w:jc w:val="center"/>
              <w:rPr>
                <w:rFonts w:hint="eastAsia" w:ascii="宋体" w:hAnsi="宋体" w:eastAsia="宋体" w:cs="宋体"/>
                <w:b w:val="0"/>
                <w:bCs w:val="0"/>
                <w:color w:val="auto"/>
                <w:kern w:val="0"/>
                <w:sz w:val="20"/>
                <w:szCs w:val="20"/>
                <w:highlight w:val="none"/>
                <w:lang w:val="en-US" w:eastAsia="zh-CN" w:bidi="ar-SA"/>
              </w:rPr>
            </w:pPr>
          </w:p>
        </w:tc>
      </w:tr>
      <w:tr w14:paraId="494C6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8D8733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103</w:t>
            </w:r>
          </w:p>
        </w:tc>
        <w:tc>
          <w:tcPr>
            <w:tcW w:w="720" w:type="dxa"/>
            <w:vMerge w:val="continue"/>
            <w:vAlign w:val="center"/>
          </w:tcPr>
          <w:p w14:paraId="32777805">
            <w:pPr>
              <w:jc w:val="center"/>
              <w:rPr>
                <w:rFonts w:hint="eastAsia" w:ascii="宋体" w:hAnsi="宋体" w:eastAsia="宋体" w:cs="宋体"/>
                <w:b/>
                <w:color w:val="auto"/>
                <w:sz w:val="24"/>
                <w:szCs w:val="24"/>
                <w:highlight w:val="none"/>
                <w:vertAlign w:val="baseline"/>
                <w:lang w:eastAsia="zh-CN"/>
              </w:rPr>
            </w:pPr>
          </w:p>
        </w:tc>
        <w:tc>
          <w:tcPr>
            <w:tcW w:w="2935" w:type="dxa"/>
            <w:gridSpan w:val="2"/>
            <w:vAlign w:val="center"/>
          </w:tcPr>
          <w:p w14:paraId="19A0A6B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区域平台对接开发</w:t>
            </w:r>
          </w:p>
        </w:tc>
        <w:tc>
          <w:tcPr>
            <w:tcW w:w="4665" w:type="dxa"/>
            <w:shd w:val="clear" w:color="auto" w:fill="auto"/>
            <w:vAlign w:val="center"/>
          </w:tcPr>
          <w:p w14:paraId="2C991F8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区域平台配置服务路由，实现区域心电、医院心电系统心电申请、报告等信息流转，数据对接开发</w:t>
            </w:r>
          </w:p>
        </w:tc>
        <w:tc>
          <w:tcPr>
            <w:tcW w:w="733" w:type="dxa"/>
            <w:vAlign w:val="center"/>
          </w:tcPr>
          <w:p w14:paraId="6DE7F08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4EC4CB49">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48526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5281BF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104</w:t>
            </w:r>
          </w:p>
        </w:tc>
        <w:tc>
          <w:tcPr>
            <w:tcW w:w="720" w:type="dxa"/>
            <w:vMerge w:val="restart"/>
            <w:vAlign w:val="center"/>
          </w:tcPr>
          <w:p w14:paraId="7F88876B">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数据大屏</w:t>
            </w:r>
          </w:p>
        </w:tc>
        <w:tc>
          <w:tcPr>
            <w:tcW w:w="2935" w:type="dxa"/>
            <w:gridSpan w:val="2"/>
            <w:vMerge w:val="restart"/>
            <w:vAlign w:val="center"/>
          </w:tcPr>
          <w:p w14:paraId="106FCF75">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网络心电中心</w:t>
            </w:r>
          </w:p>
        </w:tc>
        <w:tc>
          <w:tcPr>
            <w:tcW w:w="4665" w:type="dxa"/>
            <w:shd w:val="clear" w:color="auto" w:fill="auto"/>
            <w:vAlign w:val="center"/>
          </w:tcPr>
          <w:p w14:paraId="4C99D76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展示区域内总检查量，以及诊断机构、医师和接入基层机构数量</w:t>
            </w:r>
          </w:p>
        </w:tc>
        <w:tc>
          <w:tcPr>
            <w:tcW w:w="733" w:type="dxa"/>
            <w:vMerge w:val="restart"/>
            <w:vAlign w:val="center"/>
          </w:tcPr>
          <w:p w14:paraId="71950ED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04DEAA4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3.5</w:t>
            </w:r>
          </w:p>
        </w:tc>
      </w:tr>
      <w:tr w14:paraId="605C9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031727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105</w:t>
            </w:r>
          </w:p>
        </w:tc>
        <w:tc>
          <w:tcPr>
            <w:tcW w:w="720" w:type="dxa"/>
            <w:vMerge w:val="continue"/>
            <w:vAlign w:val="center"/>
          </w:tcPr>
          <w:p w14:paraId="37318632">
            <w:pPr>
              <w:jc w:val="center"/>
              <w:rPr>
                <w:rFonts w:hint="eastAsia" w:ascii="宋体" w:hAnsi="宋体" w:eastAsia="宋体" w:cs="宋体"/>
                <w:b/>
                <w:color w:val="auto"/>
                <w:sz w:val="24"/>
                <w:szCs w:val="24"/>
                <w:highlight w:val="none"/>
                <w:vertAlign w:val="baseline"/>
                <w:lang w:eastAsia="zh-CN"/>
              </w:rPr>
            </w:pPr>
          </w:p>
        </w:tc>
        <w:tc>
          <w:tcPr>
            <w:tcW w:w="2935" w:type="dxa"/>
            <w:gridSpan w:val="2"/>
            <w:vMerge w:val="continue"/>
            <w:vAlign w:val="center"/>
          </w:tcPr>
          <w:p w14:paraId="68616C8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5" w:type="dxa"/>
            <w:shd w:val="clear" w:color="auto" w:fill="auto"/>
            <w:vAlign w:val="center"/>
          </w:tcPr>
          <w:p w14:paraId="3C10DFD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通过地图展现各机构的申请量信息，可按年度进行筛选</w:t>
            </w:r>
          </w:p>
        </w:tc>
        <w:tc>
          <w:tcPr>
            <w:tcW w:w="733" w:type="dxa"/>
            <w:vMerge w:val="continue"/>
            <w:vAlign w:val="center"/>
          </w:tcPr>
          <w:p w14:paraId="773EC05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550CF35">
            <w:pPr>
              <w:jc w:val="center"/>
              <w:rPr>
                <w:rFonts w:hint="eastAsia" w:ascii="宋体" w:hAnsi="宋体" w:eastAsia="宋体" w:cs="宋体"/>
                <w:b w:val="0"/>
                <w:bCs w:val="0"/>
                <w:color w:val="auto"/>
                <w:kern w:val="0"/>
                <w:sz w:val="20"/>
                <w:szCs w:val="20"/>
                <w:highlight w:val="none"/>
                <w:lang w:val="en-US" w:eastAsia="zh-CN" w:bidi="ar-SA"/>
              </w:rPr>
            </w:pPr>
          </w:p>
        </w:tc>
      </w:tr>
      <w:tr w14:paraId="2246B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1C8C47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106</w:t>
            </w:r>
          </w:p>
        </w:tc>
        <w:tc>
          <w:tcPr>
            <w:tcW w:w="720" w:type="dxa"/>
            <w:vMerge w:val="continue"/>
            <w:vAlign w:val="center"/>
          </w:tcPr>
          <w:p w14:paraId="3814017E">
            <w:pPr>
              <w:jc w:val="center"/>
              <w:rPr>
                <w:rFonts w:hint="eastAsia" w:ascii="宋体" w:hAnsi="宋体" w:eastAsia="宋体" w:cs="宋体"/>
                <w:b/>
                <w:color w:val="auto"/>
                <w:sz w:val="24"/>
                <w:szCs w:val="24"/>
                <w:highlight w:val="none"/>
                <w:vertAlign w:val="baseline"/>
                <w:lang w:eastAsia="zh-CN"/>
              </w:rPr>
            </w:pPr>
          </w:p>
        </w:tc>
        <w:tc>
          <w:tcPr>
            <w:tcW w:w="2935" w:type="dxa"/>
            <w:gridSpan w:val="2"/>
            <w:vMerge w:val="continue"/>
            <w:vAlign w:val="center"/>
          </w:tcPr>
          <w:p w14:paraId="33FD928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5" w:type="dxa"/>
            <w:shd w:val="clear" w:color="auto" w:fill="auto"/>
            <w:vAlign w:val="center"/>
          </w:tcPr>
          <w:p w14:paraId="54EC65A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对检查量年度分布进行趋势分析</w:t>
            </w:r>
          </w:p>
        </w:tc>
        <w:tc>
          <w:tcPr>
            <w:tcW w:w="733" w:type="dxa"/>
            <w:vMerge w:val="continue"/>
            <w:vAlign w:val="center"/>
          </w:tcPr>
          <w:p w14:paraId="2996A41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5536488">
            <w:pPr>
              <w:jc w:val="center"/>
              <w:rPr>
                <w:rFonts w:hint="eastAsia" w:ascii="宋体" w:hAnsi="宋体" w:eastAsia="宋体" w:cs="宋体"/>
                <w:b w:val="0"/>
                <w:bCs w:val="0"/>
                <w:color w:val="auto"/>
                <w:kern w:val="0"/>
                <w:sz w:val="20"/>
                <w:szCs w:val="20"/>
                <w:highlight w:val="none"/>
                <w:lang w:val="en-US" w:eastAsia="zh-CN" w:bidi="ar-SA"/>
              </w:rPr>
            </w:pPr>
          </w:p>
        </w:tc>
      </w:tr>
      <w:tr w14:paraId="7580F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E64179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107</w:t>
            </w:r>
          </w:p>
        </w:tc>
        <w:tc>
          <w:tcPr>
            <w:tcW w:w="720" w:type="dxa"/>
            <w:vMerge w:val="continue"/>
            <w:vAlign w:val="center"/>
          </w:tcPr>
          <w:p w14:paraId="708B5254">
            <w:pPr>
              <w:jc w:val="center"/>
              <w:rPr>
                <w:rFonts w:hint="eastAsia" w:ascii="宋体" w:hAnsi="宋体" w:eastAsia="宋体" w:cs="宋体"/>
                <w:b/>
                <w:color w:val="auto"/>
                <w:sz w:val="24"/>
                <w:szCs w:val="24"/>
                <w:highlight w:val="none"/>
                <w:vertAlign w:val="baseline"/>
                <w:lang w:eastAsia="zh-CN"/>
              </w:rPr>
            </w:pPr>
          </w:p>
        </w:tc>
        <w:tc>
          <w:tcPr>
            <w:tcW w:w="2935" w:type="dxa"/>
            <w:gridSpan w:val="2"/>
            <w:vMerge w:val="continue"/>
            <w:vAlign w:val="center"/>
          </w:tcPr>
          <w:p w14:paraId="0A3D137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5" w:type="dxa"/>
            <w:shd w:val="clear" w:color="auto" w:fill="auto"/>
            <w:vAlign w:val="center"/>
          </w:tcPr>
          <w:p w14:paraId="5A40526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统计诊断医师的工作量，以及检查人次的月度趋势</w:t>
            </w:r>
          </w:p>
        </w:tc>
        <w:tc>
          <w:tcPr>
            <w:tcW w:w="733" w:type="dxa"/>
            <w:vMerge w:val="continue"/>
            <w:vAlign w:val="center"/>
          </w:tcPr>
          <w:p w14:paraId="6A4D42A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BDF75E1">
            <w:pPr>
              <w:jc w:val="center"/>
              <w:rPr>
                <w:rFonts w:hint="eastAsia" w:ascii="宋体" w:hAnsi="宋体" w:eastAsia="宋体" w:cs="宋体"/>
                <w:b w:val="0"/>
                <w:bCs w:val="0"/>
                <w:color w:val="auto"/>
                <w:kern w:val="0"/>
                <w:sz w:val="20"/>
                <w:szCs w:val="20"/>
                <w:highlight w:val="none"/>
                <w:lang w:val="en-US" w:eastAsia="zh-CN" w:bidi="ar-SA"/>
              </w:rPr>
            </w:pPr>
          </w:p>
        </w:tc>
      </w:tr>
      <w:tr w14:paraId="750DA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4B627B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108</w:t>
            </w:r>
          </w:p>
        </w:tc>
        <w:tc>
          <w:tcPr>
            <w:tcW w:w="720" w:type="dxa"/>
            <w:vMerge w:val="continue"/>
            <w:vAlign w:val="center"/>
          </w:tcPr>
          <w:p w14:paraId="37DA1087">
            <w:pPr>
              <w:jc w:val="center"/>
              <w:rPr>
                <w:rFonts w:hint="eastAsia" w:ascii="宋体" w:hAnsi="宋体" w:eastAsia="宋体" w:cs="宋体"/>
                <w:b/>
                <w:color w:val="auto"/>
                <w:sz w:val="24"/>
                <w:szCs w:val="24"/>
                <w:highlight w:val="none"/>
                <w:vertAlign w:val="baseline"/>
                <w:lang w:eastAsia="zh-CN"/>
              </w:rPr>
            </w:pPr>
          </w:p>
        </w:tc>
        <w:tc>
          <w:tcPr>
            <w:tcW w:w="2935" w:type="dxa"/>
            <w:gridSpan w:val="2"/>
            <w:vMerge w:val="continue"/>
            <w:vAlign w:val="center"/>
          </w:tcPr>
          <w:p w14:paraId="4939E2F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5" w:type="dxa"/>
            <w:shd w:val="clear" w:color="auto" w:fill="auto"/>
            <w:vAlign w:val="center"/>
          </w:tcPr>
          <w:p w14:paraId="003F262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实时展示今日报告记录和危急值预警信息；对网络心电闭环效率进行质控，统计危急值上报数量和类别，并质控诊断报告，包括报告合格率和质量对比信息</w:t>
            </w:r>
          </w:p>
        </w:tc>
        <w:tc>
          <w:tcPr>
            <w:tcW w:w="733" w:type="dxa"/>
            <w:vMerge w:val="continue"/>
            <w:vAlign w:val="center"/>
          </w:tcPr>
          <w:p w14:paraId="46C5761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6134B08">
            <w:pPr>
              <w:jc w:val="center"/>
              <w:rPr>
                <w:rFonts w:hint="eastAsia" w:ascii="宋体" w:hAnsi="宋体" w:eastAsia="宋体" w:cs="宋体"/>
                <w:b w:val="0"/>
                <w:bCs w:val="0"/>
                <w:color w:val="auto"/>
                <w:kern w:val="0"/>
                <w:sz w:val="20"/>
                <w:szCs w:val="20"/>
                <w:highlight w:val="none"/>
                <w:lang w:val="en-US" w:eastAsia="zh-CN" w:bidi="ar-SA"/>
              </w:rPr>
            </w:pPr>
          </w:p>
        </w:tc>
      </w:tr>
      <w:tr w14:paraId="00EA4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B0A171A">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109</w:t>
            </w:r>
          </w:p>
        </w:tc>
        <w:tc>
          <w:tcPr>
            <w:tcW w:w="720" w:type="dxa"/>
            <w:vMerge w:val="continue"/>
            <w:vAlign w:val="center"/>
          </w:tcPr>
          <w:p w14:paraId="68AAE8C4">
            <w:pPr>
              <w:jc w:val="center"/>
              <w:rPr>
                <w:rFonts w:hint="eastAsia" w:ascii="宋体" w:hAnsi="宋体" w:eastAsia="宋体" w:cs="宋体"/>
                <w:b/>
                <w:color w:val="auto"/>
                <w:sz w:val="24"/>
                <w:szCs w:val="24"/>
                <w:highlight w:val="none"/>
                <w:vertAlign w:val="baseline"/>
                <w:lang w:eastAsia="zh-CN"/>
              </w:rPr>
            </w:pPr>
          </w:p>
        </w:tc>
        <w:tc>
          <w:tcPr>
            <w:tcW w:w="2935" w:type="dxa"/>
            <w:gridSpan w:val="2"/>
            <w:vMerge w:val="continue"/>
            <w:vAlign w:val="center"/>
          </w:tcPr>
          <w:p w14:paraId="41BBD62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5" w:type="dxa"/>
            <w:shd w:val="clear" w:color="auto" w:fill="auto"/>
            <w:vAlign w:val="center"/>
          </w:tcPr>
          <w:p w14:paraId="60B1E8BB">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点击地图上的机构，联动检查人次、检查时效、报告单质量信息</w:t>
            </w:r>
          </w:p>
        </w:tc>
        <w:tc>
          <w:tcPr>
            <w:tcW w:w="733" w:type="dxa"/>
            <w:vMerge w:val="continue"/>
            <w:vAlign w:val="center"/>
          </w:tcPr>
          <w:p w14:paraId="6F483EA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80ABB01">
            <w:pPr>
              <w:jc w:val="center"/>
              <w:rPr>
                <w:rFonts w:hint="eastAsia" w:ascii="宋体" w:hAnsi="宋体" w:eastAsia="宋体" w:cs="宋体"/>
                <w:b w:val="0"/>
                <w:bCs w:val="0"/>
                <w:color w:val="auto"/>
                <w:kern w:val="0"/>
                <w:sz w:val="20"/>
                <w:szCs w:val="20"/>
                <w:highlight w:val="none"/>
                <w:lang w:val="en-US" w:eastAsia="zh-CN" w:bidi="ar-SA"/>
              </w:rPr>
            </w:pPr>
          </w:p>
        </w:tc>
      </w:tr>
    </w:tbl>
    <w:p w14:paraId="74B1BB36">
      <w:pPr>
        <w:keepNext w:val="0"/>
        <w:keepLines w:val="0"/>
        <w:pageBreakBefore w:val="0"/>
        <w:widowControl w:val="0"/>
        <w:numPr>
          <w:ilvl w:val="0"/>
          <w:numId w:val="0"/>
        </w:numPr>
        <w:kinsoku/>
        <w:wordWrap/>
        <w:overflowPunct/>
        <w:topLinePunct w:val="0"/>
        <w:autoSpaceDE/>
        <w:autoSpaceDN/>
        <w:bidi w:val="0"/>
        <w:adjustRightInd/>
        <w:snapToGrid/>
        <w:spacing w:line="420" w:lineRule="exact"/>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highlight w:val="yellow"/>
          <w:lang w:eastAsia="zh-CN"/>
        </w:rPr>
        <w:t>（二）</w:t>
      </w:r>
      <w:r>
        <w:rPr>
          <w:rFonts w:hint="eastAsia" w:ascii="宋体" w:hAnsi="宋体" w:eastAsia="宋体" w:cs="宋体"/>
          <w:highlight w:val="yellow"/>
          <w:lang w:val="en-US" w:eastAsia="zh-CN"/>
        </w:rPr>
        <w:t>-3：</w:t>
      </w:r>
      <w:r>
        <w:rPr>
          <w:rFonts w:hint="eastAsia" w:ascii="宋体" w:hAnsi="宋体" w:eastAsia="宋体" w:cs="宋体"/>
          <w:b w:val="0"/>
          <w:bCs w:val="0"/>
          <w:color w:val="auto"/>
          <w:kern w:val="0"/>
          <w:sz w:val="20"/>
          <w:szCs w:val="20"/>
          <w:highlight w:val="yellow"/>
          <w:lang w:val="en-US" w:eastAsia="zh-CN"/>
        </w:rPr>
        <w:t>影像云诊中心</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875"/>
        <w:gridCol w:w="2308"/>
        <w:gridCol w:w="4417"/>
        <w:gridCol w:w="733"/>
        <w:gridCol w:w="714"/>
      </w:tblGrid>
      <w:tr w14:paraId="01466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FC182EF">
            <w:pPr>
              <w:widowControl/>
              <w:jc w:val="center"/>
              <w:rPr>
                <w:rFonts w:hint="eastAsia" w:ascii="仿宋" w:hAnsi="仿宋" w:eastAsia="仿宋" w:cs="宋体"/>
                <w:color w:val="auto"/>
                <w:sz w:val="22"/>
                <w:szCs w:val="22"/>
                <w:highlight w:val="none"/>
                <w:lang w:val="en-US" w:eastAsia="zh-CN"/>
              </w:rPr>
            </w:pPr>
            <w:r>
              <w:rPr>
                <w:rFonts w:hint="eastAsia" w:ascii="宋体" w:hAnsi="宋体" w:cs="宋体"/>
                <w:b/>
                <w:bCs/>
                <w:color w:val="auto"/>
                <w:kern w:val="0"/>
                <w:sz w:val="20"/>
                <w:szCs w:val="20"/>
                <w:highlight w:val="none"/>
              </w:rPr>
              <w:t>序号</w:t>
            </w:r>
          </w:p>
        </w:tc>
        <w:tc>
          <w:tcPr>
            <w:tcW w:w="3903" w:type="dxa"/>
            <w:gridSpan w:val="3"/>
            <w:vAlign w:val="center"/>
          </w:tcPr>
          <w:p w14:paraId="75CC5AB5">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建设内容</w:t>
            </w:r>
          </w:p>
        </w:tc>
        <w:tc>
          <w:tcPr>
            <w:tcW w:w="4417" w:type="dxa"/>
            <w:vAlign w:val="center"/>
          </w:tcPr>
          <w:p w14:paraId="5BF2D404">
            <w:pPr>
              <w:widowControl/>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7E6542AF">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单位</w:t>
            </w:r>
          </w:p>
        </w:tc>
        <w:tc>
          <w:tcPr>
            <w:tcW w:w="714" w:type="dxa"/>
            <w:vAlign w:val="center"/>
          </w:tcPr>
          <w:p w14:paraId="6871DB48">
            <w:pPr>
              <w:spacing w:line="240" w:lineRule="exact"/>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Cs w:val="21"/>
                <w:highlight w:val="none"/>
                <w:lang w:eastAsia="zh-CN"/>
              </w:rPr>
              <w:t>数量</w:t>
            </w:r>
          </w:p>
        </w:tc>
      </w:tr>
      <w:tr w14:paraId="6CECB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7FD589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110</w:t>
            </w:r>
          </w:p>
        </w:tc>
        <w:tc>
          <w:tcPr>
            <w:tcW w:w="720" w:type="dxa"/>
            <w:vMerge w:val="restart"/>
            <w:vAlign w:val="center"/>
          </w:tcPr>
          <w:p w14:paraId="5267C0B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PACS影像服务器管理系统</w:t>
            </w:r>
          </w:p>
        </w:tc>
        <w:tc>
          <w:tcPr>
            <w:tcW w:w="875" w:type="dxa"/>
            <w:vMerge w:val="restart"/>
            <w:vAlign w:val="center"/>
          </w:tcPr>
          <w:p w14:paraId="1C2B478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影像管理</w:t>
            </w:r>
          </w:p>
        </w:tc>
        <w:tc>
          <w:tcPr>
            <w:tcW w:w="2308" w:type="dxa"/>
            <w:vAlign w:val="center"/>
          </w:tcPr>
          <w:p w14:paraId="06E0897A">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扩展医疗信息标准</w:t>
            </w:r>
          </w:p>
        </w:tc>
        <w:tc>
          <w:tcPr>
            <w:tcW w:w="4417" w:type="dxa"/>
            <w:vAlign w:val="center"/>
          </w:tcPr>
          <w:p w14:paraId="5D59BB0B">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支持扩展医疗信息标准，包括HL7 v2.x、HL7 v3、X12、XML、DICOM、EDI、NCPDP、Delimited Text等</w:t>
            </w:r>
          </w:p>
        </w:tc>
        <w:tc>
          <w:tcPr>
            <w:tcW w:w="733" w:type="dxa"/>
            <w:vMerge w:val="restart"/>
            <w:vAlign w:val="center"/>
          </w:tcPr>
          <w:p w14:paraId="5A95DDF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6B91E8F4">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69F04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CEB964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111</w:t>
            </w:r>
          </w:p>
        </w:tc>
        <w:tc>
          <w:tcPr>
            <w:tcW w:w="720" w:type="dxa"/>
            <w:vMerge w:val="continue"/>
            <w:vAlign w:val="center"/>
          </w:tcPr>
          <w:p w14:paraId="5E840DC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E2825C0">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5F2624E6">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图像接收</w:t>
            </w:r>
          </w:p>
        </w:tc>
        <w:tc>
          <w:tcPr>
            <w:tcW w:w="4417" w:type="dxa"/>
            <w:vAlign w:val="center"/>
          </w:tcPr>
          <w:p w14:paraId="06E42EE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支持任意DICOM设备的图像接收，支持超声、内镜、放射等科室图像的接收和管理</w:t>
            </w:r>
          </w:p>
        </w:tc>
        <w:tc>
          <w:tcPr>
            <w:tcW w:w="733" w:type="dxa"/>
            <w:vMerge w:val="continue"/>
            <w:vAlign w:val="center"/>
          </w:tcPr>
          <w:p w14:paraId="06D4571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8F2D0F0">
            <w:pPr>
              <w:jc w:val="center"/>
              <w:rPr>
                <w:rFonts w:hint="eastAsia" w:ascii="宋体" w:hAnsi="宋体" w:eastAsia="宋体" w:cs="宋体"/>
                <w:b w:val="0"/>
                <w:bCs w:val="0"/>
                <w:color w:val="auto"/>
                <w:kern w:val="0"/>
                <w:sz w:val="20"/>
                <w:szCs w:val="20"/>
                <w:highlight w:val="none"/>
                <w:lang w:val="en-US" w:eastAsia="zh-CN" w:bidi="ar-SA"/>
              </w:rPr>
            </w:pPr>
          </w:p>
        </w:tc>
      </w:tr>
      <w:tr w14:paraId="19E38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F28DBF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112</w:t>
            </w:r>
          </w:p>
        </w:tc>
        <w:tc>
          <w:tcPr>
            <w:tcW w:w="720" w:type="dxa"/>
            <w:vMerge w:val="continue"/>
            <w:vAlign w:val="center"/>
          </w:tcPr>
          <w:p w14:paraId="17BEB3D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1B265FE">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7762C2DD">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影像状态日志记录</w:t>
            </w:r>
          </w:p>
        </w:tc>
        <w:tc>
          <w:tcPr>
            <w:tcW w:w="4417" w:type="dxa"/>
            <w:vAlign w:val="center"/>
          </w:tcPr>
          <w:p w14:paraId="7CEE10F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有完整的影像状态日志记录系统，对图像、报告等信息及系统的修改、增加、删除均有日志记录</w:t>
            </w:r>
          </w:p>
        </w:tc>
        <w:tc>
          <w:tcPr>
            <w:tcW w:w="733" w:type="dxa"/>
            <w:vMerge w:val="continue"/>
            <w:vAlign w:val="center"/>
          </w:tcPr>
          <w:p w14:paraId="6D729F2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C40DDEA">
            <w:pPr>
              <w:jc w:val="center"/>
              <w:rPr>
                <w:rFonts w:hint="eastAsia" w:ascii="宋体" w:hAnsi="宋体" w:eastAsia="宋体" w:cs="宋体"/>
                <w:b w:val="0"/>
                <w:bCs w:val="0"/>
                <w:color w:val="auto"/>
                <w:kern w:val="0"/>
                <w:sz w:val="20"/>
                <w:szCs w:val="20"/>
                <w:highlight w:val="none"/>
                <w:lang w:val="en-US" w:eastAsia="zh-CN" w:bidi="ar-SA"/>
              </w:rPr>
            </w:pPr>
          </w:p>
        </w:tc>
      </w:tr>
      <w:tr w14:paraId="3AF4E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33A07A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113</w:t>
            </w:r>
          </w:p>
        </w:tc>
        <w:tc>
          <w:tcPr>
            <w:tcW w:w="720" w:type="dxa"/>
            <w:vMerge w:val="continue"/>
            <w:vAlign w:val="center"/>
          </w:tcPr>
          <w:p w14:paraId="48A08D6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7D41F5B">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6E269A95">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调阅影像</w:t>
            </w:r>
          </w:p>
        </w:tc>
        <w:tc>
          <w:tcPr>
            <w:tcW w:w="4417" w:type="dxa"/>
            <w:vAlign w:val="center"/>
          </w:tcPr>
          <w:p w14:paraId="236856F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多个客户端工作站能够同时根据患者姓名、检查设备、检查部位、影像号、检查时间日期等多种查询条件的组合形式查询与调阅影像，并提供查询影像调阅前的缩略图预览功能</w:t>
            </w:r>
          </w:p>
        </w:tc>
        <w:tc>
          <w:tcPr>
            <w:tcW w:w="733" w:type="dxa"/>
            <w:vMerge w:val="continue"/>
            <w:vAlign w:val="center"/>
          </w:tcPr>
          <w:p w14:paraId="0C1F9EE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EACFB07">
            <w:pPr>
              <w:jc w:val="center"/>
              <w:rPr>
                <w:rFonts w:hint="eastAsia" w:ascii="宋体" w:hAnsi="宋体" w:eastAsia="宋体" w:cs="宋体"/>
                <w:b w:val="0"/>
                <w:bCs w:val="0"/>
                <w:color w:val="auto"/>
                <w:kern w:val="0"/>
                <w:sz w:val="20"/>
                <w:szCs w:val="20"/>
                <w:highlight w:val="none"/>
                <w:lang w:val="en-US" w:eastAsia="zh-CN" w:bidi="ar-SA"/>
              </w:rPr>
            </w:pPr>
          </w:p>
        </w:tc>
      </w:tr>
      <w:tr w14:paraId="34E2E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0FE37C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114</w:t>
            </w:r>
          </w:p>
        </w:tc>
        <w:tc>
          <w:tcPr>
            <w:tcW w:w="720" w:type="dxa"/>
            <w:vMerge w:val="continue"/>
            <w:vAlign w:val="center"/>
          </w:tcPr>
          <w:p w14:paraId="614ECD8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B46D40F">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3F6856A3">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存储空间自动监测与报警</w:t>
            </w:r>
          </w:p>
        </w:tc>
        <w:tc>
          <w:tcPr>
            <w:tcW w:w="4417" w:type="dxa"/>
            <w:vAlign w:val="center"/>
          </w:tcPr>
          <w:p w14:paraId="283C99A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支持存储空间的自动监测、报警和管理，对于设定的阀值可以智能处理</w:t>
            </w:r>
          </w:p>
        </w:tc>
        <w:tc>
          <w:tcPr>
            <w:tcW w:w="733" w:type="dxa"/>
            <w:vMerge w:val="continue"/>
            <w:vAlign w:val="center"/>
          </w:tcPr>
          <w:p w14:paraId="23B16A7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A0FCA3D">
            <w:pPr>
              <w:jc w:val="center"/>
              <w:rPr>
                <w:rFonts w:hint="eastAsia" w:ascii="宋体" w:hAnsi="宋体" w:eastAsia="宋体" w:cs="宋体"/>
                <w:b w:val="0"/>
                <w:bCs w:val="0"/>
                <w:color w:val="auto"/>
                <w:kern w:val="0"/>
                <w:sz w:val="20"/>
                <w:szCs w:val="20"/>
                <w:highlight w:val="none"/>
                <w:lang w:val="en-US" w:eastAsia="zh-CN" w:bidi="ar-SA"/>
              </w:rPr>
            </w:pPr>
          </w:p>
        </w:tc>
      </w:tr>
      <w:tr w14:paraId="50CE4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8C7AD4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115</w:t>
            </w:r>
          </w:p>
        </w:tc>
        <w:tc>
          <w:tcPr>
            <w:tcW w:w="720" w:type="dxa"/>
            <w:vMerge w:val="continue"/>
            <w:vAlign w:val="center"/>
          </w:tcPr>
          <w:p w14:paraId="5C0BF5A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10B2807">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23DEF16E">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数据压缩算法</w:t>
            </w:r>
          </w:p>
        </w:tc>
        <w:tc>
          <w:tcPr>
            <w:tcW w:w="4417" w:type="dxa"/>
            <w:vAlign w:val="center"/>
          </w:tcPr>
          <w:p w14:paraId="1ABC025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支持DICOM3.0数据压缩算法，支持Jpeg、Jpeg-Lossless、Jpeg2000、Jpeg-LS、Deflate等有损及无损压缩模式</w:t>
            </w:r>
          </w:p>
        </w:tc>
        <w:tc>
          <w:tcPr>
            <w:tcW w:w="733" w:type="dxa"/>
            <w:vMerge w:val="continue"/>
            <w:vAlign w:val="center"/>
          </w:tcPr>
          <w:p w14:paraId="586DB74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CB4D525">
            <w:pPr>
              <w:jc w:val="center"/>
              <w:rPr>
                <w:rFonts w:hint="eastAsia" w:ascii="宋体" w:hAnsi="宋体" w:eastAsia="宋体" w:cs="宋体"/>
                <w:b w:val="0"/>
                <w:bCs w:val="0"/>
                <w:color w:val="auto"/>
                <w:kern w:val="0"/>
                <w:sz w:val="20"/>
                <w:szCs w:val="20"/>
                <w:highlight w:val="none"/>
                <w:lang w:val="en-US" w:eastAsia="zh-CN" w:bidi="ar-SA"/>
              </w:rPr>
            </w:pPr>
          </w:p>
        </w:tc>
      </w:tr>
      <w:tr w14:paraId="57D1A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CCBD66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116</w:t>
            </w:r>
          </w:p>
        </w:tc>
        <w:tc>
          <w:tcPr>
            <w:tcW w:w="720" w:type="dxa"/>
            <w:vMerge w:val="continue"/>
            <w:vAlign w:val="center"/>
          </w:tcPr>
          <w:p w14:paraId="5E6595E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7ADCEC8">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184D30F9">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影像设备数据发送</w:t>
            </w:r>
          </w:p>
        </w:tc>
        <w:tc>
          <w:tcPr>
            <w:tcW w:w="4417" w:type="dxa"/>
            <w:vAlign w:val="center"/>
          </w:tcPr>
          <w:p w14:paraId="16D48CA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可以同时接受多个不同影像设备发送的数据，并提供影像资料的存储</w:t>
            </w:r>
          </w:p>
        </w:tc>
        <w:tc>
          <w:tcPr>
            <w:tcW w:w="733" w:type="dxa"/>
            <w:vMerge w:val="continue"/>
            <w:vAlign w:val="center"/>
          </w:tcPr>
          <w:p w14:paraId="73C5BB0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36D5759">
            <w:pPr>
              <w:jc w:val="center"/>
              <w:rPr>
                <w:rFonts w:hint="eastAsia" w:ascii="宋体" w:hAnsi="宋体" w:eastAsia="宋体" w:cs="宋体"/>
                <w:b w:val="0"/>
                <w:bCs w:val="0"/>
                <w:color w:val="auto"/>
                <w:kern w:val="0"/>
                <w:sz w:val="20"/>
                <w:szCs w:val="20"/>
                <w:highlight w:val="none"/>
                <w:lang w:val="en-US" w:eastAsia="zh-CN" w:bidi="ar-SA"/>
              </w:rPr>
            </w:pPr>
          </w:p>
        </w:tc>
      </w:tr>
      <w:tr w14:paraId="59819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C35801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117</w:t>
            </w:r>
          </w:p>
        </w:tc>
        <w:tc>
          <w:tcPr>
            <w:tcW w:w="720" w:type="dxa"/>
            <w:vMerge w:val="continue"/>
            <w:vAlign w:val="center"/>
          </w:tcPr>
          <w:p w14:paraId="00DE5D8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C35B54F">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6A0C7228">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用户管理</w:t>
            </w:r>
          </w:p>
        </w:tc>
        <w:tc>
          <w:tcPr>
            <w:tcW w:w="4417" w:type="dxa"/>
            <w:vAlign w:val="center"/>
          </w:tcPr>
          <w:p w14:paraId="72B0191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支持用户管理功能，提供包括用户添加、修改、删除、权限管理、工作组管理等</w:t>
            </w:r>
          </w:p>
        </w:tc>
        <w:tc>
          <w:tcPr>
            <w:tcW w:w="733" w:type="dxa"/>
            <w:vMerge w:val="continue"/>
            <w:vAlign w:val="center"/>
          </w:tcPr>
          <w:p w14:paraId="07ED3E8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6F6075E">
            <w:pPr>
              <w:jc w:val="center"/>
              <w:rPr>
                <w:rFonts w:hint="eastAsia" w:ascii="宋体" w:hAnsi="宋体" w:eastAsia="宋体" w:cs="宋体"/>
                <w:b w:val="0"/>
                <w:bCs w:val="0"/>
                <w:color w:val="auto"/>
                <w:kern w:val="0"/>
                <w:sz w:val="20"/>
                <w:szCs w:val="20"/>
                <w:highlight w:val="none"/>
                <w:lang w:val="en-US" w:eastAsia="zh-CN" w:bidi="ar-SA"/>
              </w:rPr>
            </w:pPr>
          </w:p>
        </w:tc>
      </w:tr>
      <w:tr w14:paraId="104B6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6B3683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118</w:t>
            </w:r>
          </w:p>
        </w:tc>
        <w:tc>
          <w:tcPr>
            <w:tcW w:w="720" w:type="dxa"/>
            <w:vMerge w:val="continue"/>
            <w:vAlign w:val="center"/>
          </w:tcPr>
          <w:p w14:paraId="544535C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68E3DA9">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2BC15FB4">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影像数据集成</w:t>
            </w:r>
          </w:p>
        </w:tc>
        <w:tc>
          <w:tcPr>
            <w:tcW w:w="4417" w:type="dxa"/>
            <w:vAlign w:val="center"/>
          </w:tcPr>
          <w:p w14:paraId="7F99065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支持各类影像数据的一体化平台集成应用（如放射、超声、内镜、介入等）</w:t>
            </w:r>
          </w:p>
        </w:tc>
        <w:tc>
          <w:tcPr>
            <w:tcW w:w="733" w:type="dxa"/>
            <w:vMerge w:val="continue"/>
            <w:vAlign w:val="center"/>
          </w:tcPr>
          <w:p w14:paraId="1EB7A54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4A18C9A">
            <w:pPr>
              <w:jc w:val="center"/>
              <w:rPr>
                <w:rFonts w:hint="eastAsia" w:ascii="宋体" w:hAnsi="宋体" w:eastAsia="宋体" w:cs="宋体"/>
                <w:b w:val="0"/>
                <w:bCs w:val="0"/>
                <w:color w:val="auto"/>
                <w:kern w:val="0"/>
                <w:sz w:val="20"/>
                <w:szCs w:val="20"/>
                <w:highlight w:val="none"/>
                <w:lang w:val="en-US" w:eastAsia="zh-CN" w:bidi="ar-SA"/>
              </w:rPr>
            </w:pPr>
          </w:p>
        </w:tc>
      </w:tr>
      <w:tr w14:paraId="1C5F5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3E5283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119</w:t>
            </w:r>
          </w:p>
        </w:tc>
        <w:tc>
          <w:tcPr>
            <w:tcW w:w="720" w:type="dxa"/>
            <w:vMerge w:val="restart"/>
            <w:vAlign w:val="center"/>
          </w:tcPr>
          <w:p w14:paraId="28961A3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区域影像系统</w:t>
            </w:r>
          </w:p>
        </w:tc>
        <w:tc>
          <w:tcPr>
            <w:tcW w:w="875" w:type="dxa"/>
            <w:vMerge w:val="restart"/>
            <w:vAlign w:val="center"/>
          </w:tcPr>
          <w:p w14:paraId="5F05641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报告管理</w:t>
            </w:r>
          </w:p>
        </w:tc>
        <w:tc>
          <w:tcPr>
            <w:tcW w:w="2308" w:type="dxa"/>
            <w:vAlign w:val="center"/>
          </w:tcPr>
          <w:p w14:paraId="1F6D011D">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检查结果上报</w:t>
            </w:r>
          </w:p>
        </w:tc>
        <w:tc>
          <w:tcPr>
            <w:tcW w:w="4417" w:type="dxa"/>
            <w:vAlign w:val="center"/>
          </w:tcPr>
          <w:p w14:paraId="06BF120E">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基层机构将检查结果上报到影像云诊中心，用于报告生成和质控</w:t>
            </w:r>
          </w:p>
        </w:tc>
        <w:tc>
          <w:tcPr>
            <w:tcW w:w="733" w:type="dxa"/>
            <w:vMerge w:val="restart"/>
            <w:vAlign w:val="center"/>
          </w:tcPr>
          <w:p w14:paraId="7737CA5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26B5DB41">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852B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1B5785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120</w:t>
            </w:r>
          </w:p>
        </w:tc>
        <w:tc>
          <w:tcPr>
            <w:tcW w:w="720" w:type="dxa"/>
            <w:vMerge w:val="continue"/>
            <w:vAlign w:val="center"/>
          </w:tcPr>
          <w:p w14:paraId="25E175A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A8F287D">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3B1FC0D8">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检查报告接收</w:t>
            </w:r>
          </w:p>
        </w:tc>
        <w:tc>
          <w:tcPr>
            <w:tcW w:w="4417" w:type="dxa"/>
            <w:vAlign w:val="center"/>
          </w:tcPr>
          <w:p w14:paraId="72D7BA2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区域影像系统接收上级机构回传的检查报告，并与患者进行关联</w:t>
            </w:r>
          </w:p>
        </w:tc>
        <w:tc>
          <w:tcPr>
            <w:tcW w:w="733" w:type="dxa"/>
            <w:vMerge w:val="continue"/>
            <w:vAlign w:val="center"/>
          </w:tcPr>
          <w:p w14:paraId="5FB953A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6BC2E06">
            <w:pPr>
              <w:jc w:val="center"/>
              <w:rPr>
                <w:rFonts w:hint="eastAsia" w:ascii="宋体" w:hAnsi="宋体" w:eastAsia="宋体" w:cs="宋体"/>
                <w:b w:val="0"/>
                <w:bCs w:val="0"/>
                <w:color w:val="auto"/>
                <w:kern w:val="0"/>
                <w:sz w:val="20"/>
                <w:szCs w:val="20"/>
                <w:highlight w:val="none"/>
                <w:lang w:val="en-US" w:eastAsia="zh-CN" w:bidi="ar-SA"/>
              </w:rPr>
            </w:pPr>
          </w:p>
        </w:tc>
      </w:tr>
      <w:tr w14:paraId="3AACB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F7D946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121</w:t>
            </w:r>
          </w:p>
        </w:tc>
        <w:tc>
          <w:tcPr>
            <w:tcW w:w="720" w:type="dxa"/>
            <w:vMerge w:val="continue"/>
            <w:vAlign w:val="center"/>
          </w:tcPr>
          <w:p w14:paraId="3D40F60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F0E3D0A">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3121671D">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检查报告查看</w:t>
            </w:r>
          </w:p>
        </w:tc>
        <w:tc>
          <w:tcPr>
            <w:tcW w:w="4417" w:type="dxa"/>
            <w:vAlign w:val="center"/>
          </w:tcPr>
          <w:p w14:paraId="0E59193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支持对患者远程诊断报告的查看，下载影像文件并预览原片，支持通过浏览器查看</w:t>
            </w:r>
          </w:p>
        </w:tc>
        <w:tc>
          <w:tcPr>
            <w:tcW w:w="733" w:type="dxa"/>
            <w:vMerge w:val="continue"/>
            <w:vAlign w:val="center"/>
          </w:tcPr>
          <w:p w14:paraId="16ECADE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C9C2EAD">
            <w:pPr>
              <w:jc w:val="center"/>
              <w:rPr>
                <w:rFonts w:hint="eastAsia" w:ascii="宋体" w:hAnsi="宋体" w:eastAsia="宋体" w:cs="宋体"/>
                <w:b w:val="0"/>
                <w:bCs w:val="0"/>
                <w:color w:val="auto"/>
                <w:kern w:val="0"/>
                <w:sz w:val="20"/>
                <w:szCs w:val="20"/>
                <w:highlight w:val="none"/>
                <w:lang w:val="en-US" w:eastAsia="zh-CN" w:bidi="ar-SA"/>
              </w:rPr>
            </w:pPr>
          </w:p>
        </w:tc>
      </w:tr>
      <w:tr w14:paraId="2AE6A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CCFFFD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122</w:t>
            </w:r>
          </w:p>
        </w:tc>
        <w:tc>
          <w:tcPr>
            <w:tcW w:w="720" w:type="dxa"/>
            <w:vMerge w:val="continue"/>
            <w:vAlign w:val="center"/>
          </w:tcPr>
          <w:p w14:paraId="2B6740E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5082A23">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25B6453C">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检查报告质控</w:t>
            </w:r>
          </w:p>
        </w:tc>
        <w:tc>
          <w:tcPr>
            <w:tcW w:w="4417" w:type="dxa"/>
            <w:vAlign w:val="center"/>
          </w:tcPr>
          <w:p w14:paraId="1367478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支持对检查报告进行质量评估</w:t>
            </w:r>
          </w:p>
        </w:tc>
        <w:tc>
          <w:tcPr>
            <w:tcW w:w="733" w:type="dxa"/>
            <w:vMerge w:val="continue"/>
            <w:vAlign w:val="center"/>
          </w:tcPr>
          <w:p w14:paraId="67861E7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1109E7F">
            <w:pPr>
              <w:jc w:val="center"/>
              <w:rPr>
                <w:rFonts w:hint="eastAsia" w:ascii="宋体" w:hAnsi="宋体" w:eastAsia="宋体" w:cs="宋体"/>
                <w:b w:val="0"/>
                <w:bCs w:val="0"/>
                <w:color w:val="auto"/>
                <w:kern w:val="0"/>
                <w:sz w:val="20"/>
                <w:szCs w:val="20"/>
                <w:highlight w:val="none"/>
                <w:lang w:val="en-US" w:eastAsia="zh-CN" w:bidi="ar-SA"/>
              </w:rPr>
            </w:pPr>
          </w:p>
        </w:tc>
      </w:tr>
      <w:tr w14:paraId="31EE4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0F1D11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123</w:t>
            </w:r>
          </w:p>
        </w:tc>
        <w:tc>
          <w:tcPr>
            <w:tcW w:w="720" w:type="dxa"/>
            <w:vMerge w:val="restart"/>
            <w:vAlign w:val="center"/>
          </w:tcPr>
          <w:p w14:paraId="4B138400">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人民医院影像系统</w:t>
            </w:r>
          </w:p>
        </w:tc>
        <w:tc>
          <w:tcPr>
            <w:tcW w:w="875" w:type="dxa"/>
            <w:vMerge w:val="restart"/>
            <w:vAlign w:val="center"/>
          </w:tcPr>
          <w:p w14:paraId="3B5CF603">
            <w:pPr>
              <w:tabs>
                <w:tab w:val="left" w:pos="508"/>
              </w:tabs>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技师工作站</w:t>
            </w:r>
          </w:p>
        </w:tc>
        <w:tc>
          <w:tcPr>
            <w:tcW w:w="2308" w:type="dxa"/>
            <w:vAlign w:val="center"/>
          </w:tcPr>
          <w:p w14:paraId="68FDD98A">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DICOMDIR光盘读取</w:t>
            </w:r>
          </w:p>
        </w:tc>
        <w:tc>
          <w:tcPr>
            <w:tcW w:w="4417" w:type="dxa"/>
            <w:vAlign w:val="center"/>
          </w:tcPr>
          <w:p w14:paraId="1DB5728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支持读取DICOMDIR光盘图像和报告和对DICOMDIR光盘里面的患者信息进行查询，方便定位</w:t>
            </w:r>
          </w:p>
        </w:tc>
        <w:tc>
          <w:tcPr>
            <w:tcW w:w="733" w:type="dxa"/>
            <w:vMerge w:val="restart"/>
            <w:vAlign w:val="center"/>
          </w:tcPr>
          <w:p w14:paraId="0D438E4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608F8134">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744BF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160B62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124</w:t>
            </w:r>
          </w:p>
        </w:tc>
        <w:tc>
          <w:tcPr>
            <w:tcW w:w="720" w:type="dxa"/>
            <w:vMerge w:val="continue"/>
            <w:vAlign w:val="center"/>
          </w:tcPr>
          <w:p w14:paraId="63A41C5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AC0B97B">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3EB2E35B">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上传患者的图像和报告查询</w:t>
            </w:r>
          </w:p>
        </w:tc>
        <w:tc>
          <w:tcPr>
            <w:tcW w:w="4417" w:type="dxa"/>
            <w:vAlign w:val="center"/>
          </w:tcPr>
          <w:p w14:paraId="18CB86F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支持多条件查询患者的图像和报告（根据姓名、病号、住院号、患者来源、报告医师、审核医师、诊断等条件）</w:t>
            </w:r>
          </w:p>
        </w:tc>
        <w:tc>
          <w:tcPr>
            <w:tcW w:w="733" w:type="dxa"/>
            <w:vMerge w:val="continue"/>
            <w:vAlign w:val="center"/>
          </w:tcPr>
          <w:p w14:paraId="7EC232B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929BCCE">
            <w:pPr>
              <w:jc w:val="center"/>
              <w:rPr>
                <w:rFonts w:hint="eastAsia" w:ascii="宋体" w:hAnsi="宋体" w:eastAsia="宋体" w:cs="宋体"/>
                <w:b w:val="0"/>
                <w:bCs w:val="0"/>
                <w:color w:val="auto"/>
                <w:kern w:val="0"/>
                <w:sz w:val="20"/>
                <w:szCs w:val="20"/>
                <w:highlight w:val="none"/>
                <w:lang w:val="en-US" w:eastAsia="zh-CN" w:bidi="ar-SA"/>
              </w:rPr>
            </w:pPr>
          </w:p>
        </w:tc>
      </w:tr>
      <w:tr w14:paraId="18267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BB8AA2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125</w:t>
            </w:r>
          </w:p>
        </w:tc>
        <w:tc>
          <w:tcPr>
            <w:tcW w:w="720" w:type="dxa"/>
            <w:vMerge w:val="continue"/>
            <w:vAlign w:val="center"/>
          </w:tcPr>
          <w:p w14:paraId="65C8F09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FC792AE">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77AF434C">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患者图像</w:t>
            </w:r>
          </w:p>
        </w:tc>
        <w:tc>
          <w:tcPr>
            <w:tcW w:w="4417" w:type="dxa"/>
            <w:vAlign w:val="center"/>
          </w:tcPr>
          <w:p w14:paraId="6212711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支持对患者图像和报告的删除、刷新等操作功能</w:t>
            </w:r>
          </w:p>
        </w:tc>
        <w:tc>
          <w:tcPr>
            <w:tcW w:w="733" w:type="dxa"/>
            <w:vMerge w:val="continue"/>
            <w:vAlign w:val="center"/>
          </w:tcPr>
          <w:p w14:paraId="2BFCB36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92D91F8">
            <w:pPr>
              <w:jc w:val="center"/>
              <w:rPr>
                <w:rFonts w:hint="eastAsia" w:ascii="宋体" w:hAnsi="宋体" w:eastAsia="宋体" w:cs="宋体"/>
                <w:b w:val="0"/>
                <w:bCs w:val="0"/>
                <w:color w:val="auto"/>
                <w:kern w:val="0"/>
                <w:sz w:val="20"/>
                <w:szCs w:val="20"/>
                <w:highlight w:val="none"/>
                <w:lang w:val="en-US" w:eastAsia="zh-CN" w:bidi="ar-SA"/>
              </w:rPr>
            </w:pPr>
          </w:p>
        </w:tc>
      </w:tr>
      <w:tr w14:paraId="62DE1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A6D2EE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126</w:t>
            </w:r>
          </w:p>
        </w:tc>
        <w:tc>
          <w:tcPr>
            <w:tcW w:w="720" w:type="dxa"/>
            <w:vMerge w:val="continue"/>
            <w:vAlign w:val="center"/>
          </w:tcPr>
          <w:p w14:paraId="2B92EAC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B91ED8F">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28D4D8C0">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患者列表</w:t>
            </w:r>
          </w:p>
        </w:tc>
        <w:tc>
          <w:tcPr>
            <w:tcW w:w="4417" w:type="dxa"/>
            <w:vAlign w:val="center"/>
          </w:tcPr>
          <w:p w14:paraId="12CA248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支持在图像浏览窗口内获取检查患者列表，无需进行窗口切换</w:t>
            </w:r>
          </w:p>
        </w:tc>
        <w:tc>
          <w:tcPr>
            <w:tcW w:w="733" w:type="dxa"/>
            <w:vMerge w:val="continue"/>
            <w:vAlign w:val="center"/>
          </w:tcPr>
          <w:p w14:paraId="3AFD1C9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16D828A">
            <w:pPr>
              <w:jc w:val="center"/>
              <w:rPr>
                <w:rFonts w:hint="eastAsia" w:ascii="宋体" w:hAnsi="宋体" w:eastAsia="宋体" w:cs="宋体"/>
                <w:b w:val="0"/>
                <w:bCs w:val="0"/>
                <w:color w:val="auto"/>
                <w:kern w:val="0"/>
                <w:sz w:val="20"/>
                <w:szCs w:val="20"/>
                <w:highlight w:val="none"/>
                <w:lang w:val="en-US" w:eastAsia="zh-CN" w:bidi="ar-SA"/>
              </w:rPr>
            </w:pPr>
          </w:p>
        </w:tc>
      </w:tr>
      <w:tr w14:paraId="4A487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7CCD1C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127</w:t>
            </w:r>
          </w:p>
        </w:tc>
        <w:tc>
          <w:tcPr>
            <w:tcW w:w="720" w:type="dxa"/>
            <w:vMerge w:val="continue"/>
            <w:vAlign w:val="center"/>
          </w:tcPr>
          <w:p w14:paraId="34D81CC5">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75CB919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患者管理</w:t>
            </w:r>
          </w:p>
        </w:tc>
        <w:tc>
          <w:tcPr>
            <w:tcW w:w="2308" w:type="dxa"/>
            <w:vAlign w:val="center"/>
          </w:tcPr>
          <w:p w14:paraId="7019AEEA">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电子申请单调阅</w:t>
            </w:r>
          </w:p>
        </w:tc>
        <w:tc>
          <w:tcPr>
            <w:tcW w:w="4417" w:type="dxa"/>
            <w:vAlign w:val="center"/>
          </w:tcPr>
          <w:p w14:paraId="4C75A41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支持电子申请单查看，电子申请单一体化界面，在书写报告时可直接查看患者电子申请单</w:t>
            </w:r>
          </w:p>
        </w:tc>
        <w:tc>
          <w:tcPr>
            <w:tcW w:w="733" w:type="dxa"/>
            <w:vMerge w:val="continue"/>
            <w:vAlign w:val="center"/>
          </w:tcPr>
          <w:p w14:paraId="1E19A40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ADAADDF">
            <w:pPr>
              <w:jc w:val="center"/>
              <w:rPr>
                <w:rFonts w:hint="eastAsia" w:ascii="宋体" w:hAnsi="宋体" w:eastAsia="宋体" w:cs="宋体"/>
                <w:b w:val="0"/>
                <w:bCs w:val="0"/>
                <w:color w:val="auto"/>
                <w:kern w:val="0"/>
                <w:sz w:val="20"/>
                <w:szCs w:val="20"/>
                <w:highlight w:val="none"/>
                <w:lang w:val="en-US" w:eastAsia="zh-CN" w:bidi="ar-SA"/>
              </w:rPr>
            </w:pPr>
          </w:p>
        </w:tc>
      </w:tr>
      <w:tr w14:paraId="1F83B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632676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128</w:t>
            </w:r>
          </w:p>
        </w:tc>
        <w:tc>
          <w:tcPr>
            <w:tcW w:w="720" w:type="dxa"/>
            <w:vMerge w:val="continue"/>
            <w:vAlign w:val="center"/>
          </w:tcPr>
          <w:p w14:paraId="25309E3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CAC8CFF">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3BA50131">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患者电子病历（EMR）调阅</w:t>
            </w:r>
          </w:p>
        </w:tc>
        <w:tc>
          <w:tcPr>
            <w:tcW w:w="4417" w:type="dxa"/>
            <w:vAlign w:val="center"/>
          </w:tcPr>
          <w:p w14:paraId="455C7A7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支持患者电子病历（EMR）调阅，实现一站式电子病历信息调阅，方便查询患者临床、检验等其他患者数据</w:t>
            </w:r>
          </w:p>
        </w:tc>
        <w:tc>
          <w:tcPr>
            <w:tcW w:w="733" w:type="dxa"/>
            <w:vMerge w:val="continue"/>
            <w:vAlign w:val="center"/>
          </w:tcPr>
          <w:p w14:paraId="5B65B3A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B9995C0">
            <w:pPr>
              <w:jc w:val="center"/>
              <w:rPr>
                <w:rFonts w:hint="eastAsia" w:ascii="宋体" w:hAnsi="宋体" w:eastAsia="宋体" w:cs="宋体"/>
                <w:b w:val="0"/>
                <w:bCs w:val="0"/>
                <w:color w:val="auto"/>
                <w:kern w:val="0"/>
                <w:sz w:val="20"/>
                <w:szCs w:val="20"/>
                <w:highlight w:val="none"/>
                <w:lang w:val="en-US" w:eastAsia="zh-CN" w:bidi="ar-SA"/>
              </w:rPr>
            </w:pPr>
          </w:p>
        </w:tc>
      </w:tr>
      <w:tr w14:paraId="07B8F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3E081A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129</w:t>
            </w:r>
          </w:p>
        </w:tc>
        <w:tc>
          <w:tcPr>
            <w:tcW w:w="720" w:type="dxa"/>
            <w:vMerge w:val="continue"/>
            <w:vAlign w:val="center"/>
          </w:tcPr>
          <w:p w14:paraId="4B51CCB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BE3933E">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43D8AA32">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典型病例管理</w:t>
            </w:r>
          </w:p>
        </w:tc>
        <w:tc>
          <w:tcPr>
            <w:tcW w:w="4417" w:type="dxa"/>
            <w:vAlign w:val="center"/>
          </w:tcPr>
          <w:p w14:paraId="4D065D85">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支持典型病例的管理，支持公有典型病例和私有典型病例的收藏，查询和刻录</w:t>
            </w:r>
          </w:p>
        </w:tc>
        <w:tc>
          <w:tcPr>
            <w:tcW w:w="733" w:type="dxa"/>
            <w:vMerge w:val="continue"/>
            <w:vAlign w:val="center"/>
          </w:tcPr>
          <w:p w14:paraId="72E79B5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C62B0D3">
            <w:pPr>
              <w:jc w:val="center"/>
              <w:rPr>
                <w:rFonts w:hint="eastAsia" w:ascii="宋体" w:hAnsi="宋体" w:eastAsia="宋体" w:cs="宋体"/>
                <w:b w:val="0"/>
                <w:bCs w:val="0"/>
                <w:color w:val="auto"/>
                <w:kern w:val="0"/>
                <w:sz w:val="20"/>
                <w:szCs w:val="20"/>
                <w:highlight w:val="none"/>
                <w:lang w:val="en-US" w:eastAsia="zh-CN" w:bidi="ar-SA"/>
              </w:rPr>
            </w:pPr>
          </w:p>
        </w:tc>
      </w:tr>
      <w:tr w14:paraId="59DAC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263ABF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130</w:t>
            </w:r>
          </w:p>
        </w:tc>
        <w:tc>
          <w:tcPr>
            <w:tcW w:w="720" w:type="dxa"/>
            <w:vMerge w:val="continue"/>
            <w:vAlign w:val="center"/>
          </w:tcPr>
          <w:p w14:paraId="4D07AC7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EC66090">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235CA0AA">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危急患者管理</w:t>
            </w:r>
          </w:p>
        </w:tc>
        <w:tc>
          <w:tcPr>
            <w:tcW w:w="4417" w:type="dxa"/>
            <w:vAlign w:val="center"/>
          </w:tcPr>
          <w:p w14:paraId="30A5521B">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支持单独列表展示危急患者信息（患者检查项目、检查结果、报告医师、危急值内容、处理医师、处理结果内容）</w:t>
            </w:r>
          </w:p>
        </w:tc>
        <w:tc>
          <w:tcPr>
            <w:tcW w:w="733" w:type="dxa"/>
            <w:vMerge w:val="continue"/>
            <w:vAlign w:val="center"/>
          </w:tcPr>
          <w:p w14:paraId="5252D61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A8BB1D8">
            <w:pPr>
              <w:jc w:val="center"/>
              <w:rPr>
                <w:rFonts w:hint="eastAsia" w:ascii="宋体" w:hAnsi="宋体" w:eastAsia="宋体" w:cs="宋体"/>
                <w:b w:val="0"/>
                <w:bCs w:val="0"/>
                <w:color w:val="auto"/>
                <w:kern w:val="0"/>
                <w:sz w:val="20"/>
                <w:szCs w:val="20"/>
                <w:highlight w:val="none"/>
                <w:lang w:val="en-US" w:eastAsia="zh-CN" w:bidi="ar-SA"/>
              </w:rPr>
            </w:pPr>
          </w:p>
        </w:tc>
      </w:tr>
      <w:tr w14:paraId="57751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963B74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131</w:t>
            </w:r>
          </w:p>
        </w:tc>
        <w:tc>
          <w:tcPr>
            <w:tcW w:w="720" w:type="dxa"/>
            <w:vMerge w:val="continue"/>
            <w:vAlign w:val="center"/>
          </w:tcPr>
          <w:p w14:paraId="5E95D99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ADCA583">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107CC95C">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未写报告报警</w:t>
            </w:r>
          </w:p>
        </w:tc>
        <w:tc>
          <w:tcPr>
            <w:tcW w:w="4417" w:type="dxa"/>
            <w:vAlign w:val="center"/>
          </w:tcPr>
          <w:p w14:paraId="110092A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支持急诊患者30分钟未写报告报警和门诊患者两小时未写报告报警</w:t>
            </w:r>
          </w:p>
        </w:tc>
        <w:tc>
          <w:tcPr>
            <w:tcW w:w="733" w:type="dxa"/>
            <w:vMerge w:val="continue"/>
            <w:vAlign w:val="center"/>
          </w:tcPr>
          <w:p w14:paraId="79832E8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21890CB">
            <w:pPr>
              <w:jc w:val="center"/>
              <w:rPr>
                <w:rFonts w:hint="eastAsia" w:ascii="宋体" w:hAnsi="宋体" w:eastAsia="宋体" w:cs="宋体"/>
                <w:b w:val="0"/>
                <w:bCs w:val="0"/>
                <w:color w:val="auto"/>
                <w:kern w:val="0"/>
                <w:sz w:val="20"/>
                <w:szCs w:val="20"/>
                <w:highlight w:val="none"/>
                <w:lang w:val="en-US" w:eastAsia="zh-CN" w:bidi="ar-SA"/>
              </w:rPr>
            </w:pPr>
          </w:p>
        </w:tc>
      </w:tr>
      <w:tr w14:paraId="3BF2E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862FC0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132</w:t>
            </w:r>
          </w:p>
        </w:tc>
        <w:tc>
          <w:tcPr>
            <w:tcW w:w="720" w:type="dxa"/>
            <w:vMerge w:val="continue"/>
            <w:vAlign w:val="center"/>
          </w:tcPr>
          <w:p w14:paraId="4181BC9B">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55A75BE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诊断管理</w:t>
            </w:r>
          </w:p>
        </w:tc>
        <w:tc>
          <w:tcPr>
            <w:tcW w:w="2308" w:type="dxa"/>
            <w:vAlign w:val="center"/>
          </w:tcPr>
          <w:p w14:paraId="1AC7BA0B">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光盘刻录功能</w:t>
            </w:r>
          </w:p>
        </w:tc>
        <w:tc>
          <w:tcPr>
            <w:tcW w:w="4417" w:type="dxa"/>
            <w:vAlign w:val="center"/>
          </w:tcPr>
          <w:p w14:paraId="4103D68B">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支持光盘刻录功能，可手动选择一个或多个患者进行复制到缓冲区，支持支持DICOMDIR光盘刻录模式，支持一键光盘刻录</w:t>
            </w:r>
          </w:p>
        </w:tc>
        <w:tc>
          <w:tcPr>
            <w:tcW w:w="733" w:type="dxa"/>
            <w:vMerge w:val="continue"/>
            <w:vAlign w:val="center"/>
          </w:tcPr>
          <w:p w14:paraId="06B9888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9B3D091">
            <w:pPr>
              <w:jc w:val="center"/>
              <w:rPr>
                <w:rFonts w:hint="eastAsia" w:ascii="宋体" w:hAnsi="宋体" w:eastAsia="宋体" w:cs="宋体"/>
                <w:b w:val="0"/>
                <w:bCs w:val="0"/>
                <w:color w:val="auto"/>
                <w:kern w:val="0"/>
                <w:sz w:val="20"/>
                <w:szCs w:val="20"/>
                <w:highlight w:val="none"/>
                <w:lang w:val="en-US" w:eastAsia="zh-CN" w:bidi="ar-SA"/>
              </w:rPr>
            </w:pPr>
          </w:p>
        </w:tc>
      </w:tr>
      <w:tr w14:paraId="55E78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583" w:type="dxa"/>
            <w:vAlign w:val="center"/>
          </w:tcPr>
          <w:p w14:paraId="1836F53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133</w:t>
            </w:r>
          </w:p>
        </w:tc>
        <w:tc>
          <w:tcPr>
            <w:tcW w:w="720" w:type="dxa"/>
            <w:vMerge w:val="continue"/>
            <w:vAlign w:val="center"/>
          </w:tcPr>
          <w:p w14:paraId="7253DEB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C0ABC3B">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04C2CE8B">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无损压缩刻录</w:t>
            </w:r>
          </w:p>
        </w:tc>
        <w:tc>
          <w:tcPr>
            <w:tcW w:w="4417" w:type="dxa"/>
            <w:vAlign w:val="center"/>
          </w:tcPr>
          <w:p w14:paraId="7217888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支持图像的无损压缩刻录模式</w:t>
            </w:r>
          </w:p>
        </w:tc>
        <w:tc>
          <w:tcPr>
            <w:tcW w:w="733" w:type="dxa"/>
            <w:vMerge w:val="continue"/>
            <w:vAlign w:val="center"/>
          </w:tcPr>
          <w:p w14:paraId="26D6874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4505DEC">
            <w:pPr>
              <w:jc w:val="center"/>
              <w:rPr>
                <w:rFonts w:hint="eastAsia" w:ascii="宋体" w:hAnsi="宋体" w:eastAsia="宋体" w:cs="宋体"/>
                <w:b w:val="0"/>
                <w:bCs w:val="0"/>
                <w:color w:val="auto"/>
                <w:kern w:val="0"/>
                <w:sz w:val="20"/>
                <w:szCs w:val="20"/>
                <w:highlight w:val="none"/>
                <w:lang w:val="en-US" w:eastAsia="zh-CN" w:bidi="ar-SA"/>
              </w:rPr>
            </w:pPr>
          </w:p>
        </w:tc>
      </w:tr>
      <w:tr w14:paraId="71361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E723B1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134</w:t>
            </w:r>
          </w:p>
        </w:tc>
        <w:tc>
          <w:tcPr>
            <w:tcW w:w="720" w:type="dxa"/>
            <w:vMerge w:val="continue"/>
            <w:vAlign w:val="center"/>
          </w:tcPr>
          <w:p w14:paraId="2CC9B93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CBB0F99">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6A2AC720">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报告自动下发</w:t>
            </w:r>
          </w:p>
        </w:tc>
        <w:tc>
          <w:tcPr>
            <w:tcW w:w="4417" w:type="dxa"/>
            <w:vAlign w:val="center"/>
          </w:tcPr>
          <w:p w14:paraId="343AAB9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支持按照配置的规则，报告自动下发报告</w:t>
            </w:r>
          </w:p>
        </w:tc>
        <w:tc>
          <w:tcPr>
            <w:tcW w:w="733" w:type="dxa"/>
            <w:vMerge w:val="continue"/>
            <w:vAlign w:val="center"/>
          </w:tcPr>
          <w:p w14:paraId="3E92AB6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9E5EF6F">
            <w:pPr>
              <w:jc w:val="center"/>
              <w:rPr>
                <w:rFonts w:hint="eastAsia" w:ascii="宋体" w:hAnsi="宋体" w:eastAsia="宋体" w:cs="宋体"/>
                <w:b w:val="0"/>
                <w:bCs w:val="0"/>
                <w:color w:val="auto"/>
                <w:kern w:val="0"/>
                <w:sz w:val="20"/>
                <w:szCs w:val="20"/>
                <w:highlight w:val="none"/>
                <w:lang w:val="en-US" w:eastAsia="zh-CN" w:bidi="ar-SA"/>
              </w:rPr>
            </w:pPr>
          </w:p>
        </w:tc>
      </w:tr>
      <w:tr w14:paraId="0029E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D7C945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135</w:t>
            </w:r>
          </w:p>
        </w:tc>
        <w:tc>
          <w:tcPr>
            <w:tcW w:w="720" w:type="dxa"/>
            <w:vMerge w:val="continue"/>
            <w:vAlign w:val="center"/>
          </w:tcPr>
          <w:p w14:paraId="432371C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6C68CB1">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3C69DB39">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诊断报告修改痕迹记录</w:t>
            </w:r>
          </w:p>
        </w:tc>
        <w:tc>
          <w:tcPr>
            <w:tcW w:w="4417" w:type="dxa"/>
            <w:vAlign w:val="center"/>
          </w:tcPr>
          <w:p w14:paraId="00FC51D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支持诊断报告修改痕迹记录，保留患者报告的所有修改痕迹和中间报告进行修改痕迹对比</w:t>
            </w:r>
          </w:p>
        </w:tc>
        <w:tc>
          <w:tcPr>
            <w:tcW w:w="733" w:type="dxa"/>
            <w:vMerge w:val="continue"/>
            <w:vAlign w:val="center"/>
          </w:tcPr>
          <w:p w14:paraId="7C91CE8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D87BB45">
            <w:pPr>
              <w:jc w:val="center"/>
              <w:rPr>
                <w:rFonts w:hint="eastAsia" w:ascii="宋体" w:hAnsi="宋体" w:eastAsia="宋体" w:cs="宋体"/>
                <w:b w:val="0"/>
                <w:bCs w:val="0"/>
                <w:color w:val="auto"/>
                <w:kern w:val="0"/>
                <w:sz w:val="20"/>
                <w:szCs w:val="20"/>
                <w:highlight w:val="none"/>
                <w:lang w:val="en-US" w:eastAsia="zh-CN" w:bidi="ar-SA"/>
              </w:rPr>
            </w:pPr>
          </w:p>
        </w:tc>
      </w:tr>
      <w:tr w14:paraId="142DF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CC4C66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136</w:t>
            </w:r>
          </w:p>
        </w:tc>
        <w:tc>
          <w:tcPr>
            <w:tcW w:w="720" w:type="dxa"/>
            <w:vMerge w:val="continue"/>
            <w:vAlign w:val="center"/>
          </w:tcPr>
          <w:p w14:paraId="16DFED0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C270067">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1ACAF7DE">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打印记录浏览</w:t>
            </w:r>
          </w:p>
        </w:tc>
        <w:tc>
          <w:tcPr>
            <w:tcW w:w="4417" w:type="dxa"/>
            <w:vAlign w:val="center"/>
          </w:tcPr>
          <w:p w14:paraId="783B41F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支持针对报告浏览打印记录，查看打印历史，进行数据追溯</w:t>
            </w:r>
          </w:p>
        </w:tc>
        <w:tc>
          <w:tcPr>
            <w:tcW w:w="733" w:type="dxa"/>
            <w:vMerge w:val="continue"/>
            <w:vAlign w:val="center"/>
          </w:tcPr>
          <w:p w14:paraId="422D6E7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DC74B04">
            <w:pPr>
              <w:jc w:val="center"/>
              <w:rPr>
                <w:rFonts w:hint="eastAsia" w:ascii="宋体" w:hAnsi="宋体" w:eastAsia="宋体" w:cs="宋体"/>
                <w:b w:val="0"/>
                <w:bCs w:val="0"/>
                <w:color w:val="auto"/>
                <w:kern w:val="0"/>
                <w:sz w:val="20"/>
                <w:szCs w:val="20"/>
                <w:highlight w:val="none"/>
                <w:lang w:val="en-US" w:eastAsia="zh-CN" w:bidi="ar-SA"/>
              </w:rPr>
            </w:pPr>
          </w:p>
        </w:tc>
      </w:tr>
      <w:tr w14:paraId="227F2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4900B3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137</w:t>
            </w:r>
          </w:p>
        </w:tc>
        <w:tc>
          <w:tcPr>
            <w:tcW w:w="720" w:type="dxa"/>
            <w:vMerge w:val="continue"/>
            <w:vAlign w:val="center"/>
          </w:tcPr>
          <w:p w14:paraId="46D3E69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47B62A5">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69A443F0">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自定义诊断模板</w:t>
            </w:r>
          </w:p>
        </w:tc>
        <w:tc>
          <w:tcPr>
            <w:tcW w:w="4417" w:type="dxa"/>
            <w:vAlign w:val="center"/>
          </w:tcPr>
          <w:p w14:paraId="1E43E615">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支持医生按自己习惯自定义诊断模板，并能够快速引用设置的模板内容</w:t>
            </w:r>
          </w:p>
        </w:tc>
        <w:tc>
          <w:tcPr>
            <w:tcW w:w="733" w:type="dxa"/>
            <w:vMerge w:val="continue"/>
            <w:vAlign w:val="center"/>
          </w:tcPr>
          <w:p w14:paraId="1C6F09A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D023E8C">
            <w:pPr>
              <w:jc w:val="center"/>
              <w:rPr>
                <w:rFonts w:hint="eastAsia" w:ascii="宋体" w:hAnsi="宋体" w:eastAsia="宋体" w:cs="宋体"/>
                <w:b w:val="0"/>
                <w:bCs w:val="0"/>
                <w:color w:val="auto"/>
                <w:kern w:val="0"/>
                <w:sz w:val="20"/>
                <w:szCs w:val="20"/>
                <w:highlight w:val="none"/>
                <w:lang w:val="en-US" w:eastAsia="zh-CN" w:bidi="ar-SA"/>
              </w:rPr>
            </w:pPr>
          </w:p>
        </w:tc>
      </w:tr>
      <w:tr w14:paraId="09A9B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38A58D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138</w:t>
            </w:r>
          </w:p>
        </w:tc>
        <w:tc>
          <w:tcPr>
            <w:tcW w:w="720" w:type="dxa"/>
            <w:vMerge w:val="continue"/>
            <w:vAlign w:val="center"/>
          </w:tcPr>
          <w:p w14:paraId="37EA7B28">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26713D0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质量控制</w:t>
            </w:r>
          </w:p>
        </w:tc>
        <w:tc>
          <w:tcPr>
            <w:tcW w:w="2308" w:type="dxa"/>
            <w:vAlign w:val="center"/>
          </w:tcPr>
          <w:p w14:paraId="33406E10">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图像质量评分</w:t>
            </w:r>
          </w:p>
        </w:tc>
        <w:tc>
          <w:tcPr>
            <w:tcW w:w="4417" w:type="dxa"/>
            <w:vAlign w:val="center"/>
          </w:tcPr>
          <w:p w14:paraId="4A746D0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支持图像评分，针对技师拍片质量进行评级、评分</w:t>
            </w:r>
          </w:p>
        </w:tc>
        <w:tc>
          <w:tcPr>
            <w:tcW w:w="733" w:type="dxa"/>
            <w:vMerge w:val="continue"/>
            <w:vAlign w:val="center"/>
          </w:tcPr>
          <w:p w14:paraId="5B7EC48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ECA2703">
            <w:pPr>
              <w:jc w:val="center"/>
              <w:rPr>
                <w:rFonts w:hint="eastAsia" w:ascii="宋体" w:hAnsi="宋体" w:eastAsia="宋体" w:cs="宋体"/>
                <w:b w:val="0"/>
                <w:bCs w:val="0"/>
                <w:color w:val="auto"/>
                <w:kern w:val="0"/>
                <w:sz w:val="20"/>
                <w:szCs w:val="20"/>
                <w:highlight w:val="none"/>
                <w:lang w:val="en-US" w:eastAsia="zh-CN" w:bidi="ar-SA"/>
              </w:rPr>
            </w:pPr>
          </w:p>
        </w:tc>
      </w:tr>
      <w:tr w14:paraId="1E754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52384E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139</w:t>
            </w:r>
          </w:p>
        </w:tc>
        <w:tc>
          <w:tcPr>
            <w:tcW w:w="720" w:type="dxa"/>
            <w:vMerge w:val="continue"/>
            <w:vAlign w:val="center"/>
          </w:tcPr>
          <w:p w14:paraId="4415091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DAF263B">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62788B29">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报告质量评分</w:t>
            </w:r>
          </w:p>
        </w:tc>
        <w:tc>
          <w:tcPr>
            <w:tcW w:w="4417" w:type="dxa"/>
            <w:vAlign w:val="center"/>
          </w:tcPr>
          <w:p w14:paraId="4E4DDC9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支持报告评分，对报告质量进行评级、评分</w:t>
            </w:r>
          </w:p>
        </w:tc>
        <w:tc>
          <w:tcPr>
            <w:tcW w:w="733" w:type="dxa"/>
            <w:vMerge w:val="continue"/>
            <w:vAlign w:val="center"/>
          </w:tcPr>
          <w:p w14:paraId="33F02BC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F7EE4B6">
            <w:pPr>
              <w:jc w:val="center"/>
              <w:rPr>
                <w:rFonts w:hint="eastAsia" w:ascii="宋体" w:hAnsi="宋体" w:eastAsia="宋体" w:cs="宋体"/>
                <w:b w:val="0"/>
                <w:bCs w:val="0"/>
                <w:color w:val="auto"/>
                <w:kern w:val="0"/>
                <w:sz w:val="20"/>
                <w:szCs w:val="20"/>
                <w:highlight w:val="none"/>
                <w:lang w:val="en-US" w:eastAsia="zh-CN" w:bidi="ar-SA"/>
              </w:rPr>
            </w:pPr>
          </w:p>
        </w:tc>
      </w:tr>
      <w:tr w14:paraId="220DD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731B9A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140</w:t>
            </w:r>
          </w:p>
        </w:tc>
        <w:tc>
          <w:tcPr>
            <w:tcW w:w="720" w:type="dxa"/>
            <w:vMerge w:val="continue"/>
            <w:vAlign w:val="center"/>
          </w:tcPr>
          <w:p w14:paraId="6884544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27536A5">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01A6715A">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报告质控管理</w:t>
            </w:r>
          </w:p>
        </w:tc>
        <w:tc>
          <w:tcPr>
            <w:tcW w:w="4417" w:type="dxa"/>
            <w:vAlign w:val="center"/>
          </w:tcPr>
          <w:p w14:paraId="7491FAB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对报告内容设置质控原则，当报告出现原则互斥的条件时自动进行质控告警</w:t>
            </w:r>
          </w:p>
        </w:tc>
        <w:tc>
          <w:tcPr>
            <w:tcW w:w="733" w:type="dxa"/>
            <w:vMerge w:val="continue"/>
            <w:vAlign w:val="center"/>
          </w:tcPr>
          <w:p w14:paraId="5A5BFB2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A22F020">
            <w:pPr>
              <w:jc w:val="center"/>
              <w:rPr>
                <w:rFonts w:hint="eastAsia" w:ascii="宋体" w:hAnsi="宋体" w:eastAsia="宋体" w:cs="宋体"/>
                <w:b w:val="0"/>
                <w:bCs w:val="0"/>
                <w:color w:val="auto"/>
                <w:kern w:val="0"/>
                <w:sz w:val="20"/>
                <w:szCs w:val="20"/>
                <w:highlight w:val="none"/>
                <w:lang w:val="en-US" w:eastAsia="zh-CN" w:bidi="ar-SA"/>
              </w:rPr>
            </w:pPr>
          </w:p>
        </w:tc>
      </w:tr>
      <w:tr w14:paraId="4693E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78B186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141</w:t>
            </w:r>
          </w:p>
        </w:tc>
        <w:tc>
          <w:tcPr>
            <w:tcW w:w="720" w:type="dxa"/>
            <w:vMerge w:val="continue"/>
            <w:vAlign w:val="center"/>
          </w:tcPr>
          <w:p w14:paraId="6AB23635">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1534743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系统管理</w:t>
            </w:r>
          </w:p>
        </w:tc>
        <w:tc>
          <w:tcPr>
            <w:tcW w:w="2308" w:type="dxa"/>
            <w:vAlign w:val="center"/>
          </w:tcPr>
          <w:p w14:paraId="19BA9F16">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历史报告自动查询功能</w:t>
            </w:r>
          </w:p>
        </w:tc>
        <w:tc>
          <w:tcPr>
            <w:tcW w:w="4417" w:type="dxa"/>
            <w:vAlign w:val="center"/>
          </w:tcPr>
          <w:p w14:paraId="2FB230E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进入报告界面时，自动获取病人历史报告，并可以查看病人报告和影像信息</w:t>
            </w:r>
          </w:p>
        </w:tc>
        <w:tc>
          <w:tcPr>
            <w:tcW w:w="733" w:type="dxa"/>
            <w:vMerge w:val="continue"/>
            <w:vAlign w:val="center"/>
          </w:tcPr>
          <w:p w14:paraId="7FB488C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E5B42AA">
            <w:pPr>
              <w:jc w:val="center"/>
              <w:rPr>
                <w:rFonts w:hint="eastAsia" w:ascii="宋体" w:hAnsi="宋体" w:eastAsia="宋体" w:cs="宋体"/>
                <w:b w:val="0"/>
                <w:bCs w:val="0"/>
                <w:color w:val="auto"/>
                <w:kern w:val="0"/>
                <w:sz w:val="20"/>
                <w:szCs w:val="20"/>
                <w:highlight w:val="none"/>
                <w:lang w:val="en-US" w:eastAsia="zh-CN" w:bidi="ar-SA"/>
              </w:rPr>
            </w:pPr>
          </w:p>
        </w:tc>
      </w:tr>
      <w:tr w14:paraId="22439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16E0E7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142</w:t>
            </w:r>
          </w:p>
        </w:tc>
        <w:tc>
          <w:tcPr>
            <w:tcW w:w="720" w:type="dxa"/>
            <w:vMerge w:val="continue"/>
            <w:vAlign w:val="center"/>
          </w:tcPr>
          <w:p w14:paraId="5CBC473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8C682D7">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3906EDB9">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特殊字符编辑工具</w:t>
            </w:r>
          </w:p>
        </w:tc>
        <w:tc>
          <w:tcPr>
            <w:tcW w:w="4417" w:type="dxa"/>
            <w:vAlign w:val="center"/>
          </w:tcPr>
          <w:p w14:paraId="4116E7E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提供编辑工具，快捷输入特殊字符和更改文字信息</w:t>
            </w:r>
          </w:p>
        </w:tc>
        <w:tc>
          <w:tcPr>
            <w:tcW w:w="733" w:type="dxa"/>
            <w:vMerge w:val="continue"/>
            <w:vAlign w:val="center"/>
          </w:tcPr>
          <w:p w14:paraId="4FD824C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EB78001">
            <w:pPr>
              <w:jc w:val="center"/>
              <w:rPr>
                <w:rFonts w:hint="eastAsia" w:ascii="宋体" w:hAnsi="宋体" w:eastAsia="宋体" w:cs="宋体"/>
                <w:b w:val="0"/>
                <w:bCs w:val="0"/>
                <w:color w:val="auto"/>
                <w:kern w:val="0"/>
                <w:sz w:val="20"/>
                <w:szCs w:val="20"/>
                <w:highlight w:val="none"/>
                <w:lang w:val="en-US" w:eastAsia="zh-CN" w:bidi="ar-SA"/>
              </w:rPr>
            </w:pPr>
          </w:p>
        </w:tc>
      </w:tr>
      <w:tr w14:paraId="59513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73F947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143</w:t>
            </w:r>
          </w:p>
        </w:tc>
        <w:tc>
          <w:tcPr>
            <w:tcW w:w="720" w:type="dxa"/>
            <w:vMerge w:val="restart"/>
            <w:vAlign w:val="center"/>
          </w:tcPr>
          <w:p w14:paraId="0887E29A">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报告分发管理系统</w:t>
            </w:r>
          </w:p>
        </w:tc>
        <w:tc>
          <w:tcPr>
            <w:tcW w:w="875" w:type="dxa"/>
            <w:vMerge w:val="restart"/>
            <w:vAlign w:val="center"/>
          </w:tcPr>
          <w:p w14:paraId="3B72ED5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排班管理</w:t>
            </w:r>
          </w:p>
        </w:tc>
        <w:tc>
          <w:tcPr>
            <w:tcW w:w="2308" w:type="dxa"/>
            <w:vAlign w:val="center"/>
          </w:tcPr>
          <w:p w14:paraId="623E9494">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班次管理</w:t>
            </w:r>
          </w:p>
        </w:tc>
        <w:tc>
          <w:tcPr>
            <w:tcW w:w="4417" w:type="dxa"/>
            <w:vAlign w:val="center"/>
          </w:tcPr>
          <w:p w14:paraId="467CEFB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支持新增班次，支持班次名称、班次时间、班次职责和班次设备设置</w:t>
            </w:r>
          </w:p>
        </w:tc>
        <w:tc>
          <w:tcPr>
            <w:tcW w:w="733" w:type="dxa"/>
            <w:vMerge w:val="restart"/>
            <w:vAlign w:val="center"/>
          </w:tcPr>
          <w:p w14:paraId="01B7A2B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32CD75DB">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6E91E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6C8E81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144</w:t>
            </w:r>
          </w:p>
        </w:tc>
        <w:tc>
          <w:tcPr>
            <w:tcW w:w="720" w:type="dxa"/>
            <w:vMerge w:val="continue"/>
            <w:vAlign w:val="center"/>
          </w:tcPr>
          <w:p w14:paraId="72C98BF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52430C7">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2F6EDC1E">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职责范围</w:t>
            </w:r>
          </w:p>
        </w:tc>
        <w:tc>
          <w:tcPr>
            <w:tcW w:w="4417" w:type="dxa"/>
            <w:vAlign w:val="center"/>
          </w:tcPr>
          <w:p w14:paraId="13059C35">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支持诊断职责和审核职责划分，明确班次职责范围</w:t>
            </w:r>
          </w:p>
        </w:tc>
        <w:tc>
          <w:tcPr>
            <w:tcW w:w="733" w:type="dxa"/>
            <w:vMerge w:val="continue"/>
            <w:vAlign w:val="center"/>
          </w:tcPr>
          <w:p w14:paraId="1C6DF70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2E25C4F">
            <w:pPr>
              <w:jc w:val="center"/>
              <w:rPr>
                <w:rFonts w:hint="eastAsia" w:ascii="宋体" w:hAnsi="宋体" w:eastAsia="宋体" w:cs="宋体"/>
                <w:b w:val="0"/>
                <w:bCs w:val="0"/>
                <w:color w:val="auto"/>
                <w:kern w:val="0"/>
                <w:sz w:val="20"/>
                <w:szCs w:val="20"/>
                <w:highlight w:val="none"/>
                <w:lang w:val="en-US" w:eastAsia="zh-CN" w:bidi="ar-SA"/>
              </w:rPr>
            </w:pPr>
          </w:p>
        </w:tc>
      </w:tr>
      <w:tr w14:paraId="22A94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25AFCA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145</w:t>
            </w:r>
          </w:p>
        </w:tc>
        <w:tc>
          <w:tcPr>
            <w:tcW w:w="720" w:type="dxa"/>
            <w:vMerge w:val="continue"/>
            <w:vAlign w:val="center"/>
          </w:tcPr>
          <w:p w14:paraId="6D03A28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901E9DF">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074A69B8">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排班日历管理</w:t>
            </w:r>
          </w:p>
        </w:tc>
        <w:tc>
          <w:tcPr>
            <w:tcW w:w="4417" w:type="dxa"/>
            <w:vAlign w:val="center"/>
          </w:tcPr>
          <w:p w14:paraId="3D4C4B8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支持可视化排班日历管理，日历管理根据日历形式显示该日报告人员，值班人员，审核人员等</w:t>
            </w:r>
          </w:p>
        </w:tc>
        <w:tc>
          <w:tcPr>
            <w:tcW w:w="733" w:type="dxa"/>
            <w:vMerge w:val="continue"/>
            <w:vAlign w:val="center"/>
          </w:tcPr>
          <w:p w14:paraId="187D1E4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93B7C5B">
            <w:pPr>
              <w:jc w:val="center"/>
              <w:rPr>
                <w:rFonts w:hint="eastAsia" w:ascii="宋体" w:hAnsi="宋体" w:eastAsia="宋体" w:cs="宋体"/>
                <w:b w:val="0"/>
                <w:bCs w:val="0"/>
                <w:color w:val="auto"/>
                <w:kern w:val="0"/>
                <w:sz w:val="20"/>
                <w:szCs w:val="20"/>
                <w:highlight w:val="none"/>
                <w:lang w:val="en-US" w:eastAsia="zh-CN" w:bidi="ar-SA"/>
              </w:rPr>
            </w:pPr>
          </w:p>
        </w:tc>
      </w:tr>
      <w:tr w14:paraId="29D68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965279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146</w:t>
            </w:r>
          </w:p>
        </w:tc>
        <w:tc>
          <w:tcPr>
            <w:tcW w:w="720" w:type="dxa"/>
            <w:vMerge w:val="continue"/>
            <w:vAlign w:val="center"/>
          </w:tcPr>
          <w:p w14:paraId="724957D2">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67BC839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系统设置</w:t>
            </w:r>
          </w:p>
        </w:tc>
        <w:tc>
          <w:tcPr>
            <w:tcW w:w="2308" w:type="dxa"/>
            <w:vAlign w:val="center"/>
          </w:tcPr>
          <w:p w14:paraId="21BF8564">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人员技能能力设置</w:t>
            </w:r>
          </w:p>
        </w:tc>
        <w:tc>
          <w:tcPr>
            <w:tcW w:w="4417" w:type="dxa"/>
            <w:vAlign w:val="center"/>
          </w:tcPr>
          <w:p w14:paraId="28222C0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根据医生技能水平设置医生人员工作范围，对医生可以写的报告进行设置</w:t>
            </w:r>
          </w:p>
        </w:tc>
        <w:tc>
          <w:tcPr>
            <w:tcW w:w="733" w:type="dxa"/>
            <w:vMerge w:val="continue"/>
            <w:vAlign w:val="center"/>
          </w:tcPr>
          <w:p w14:paraId="6B4647B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B32B706">
            <w:pPr>
              <w:jc w:val="center"/>
              <w:rPr>
                <w:rFonts w:hint="eastAsia" w:ascii="宋体" w:hAnsi="宋体" w:eastAsia="宋体" w:cs="宋体"/>
                <w:b w:val="0"/>
                <w:bCs w:val="0"/>
                <w:color w:val="auto"/>
                <w:kern w:val="0"/>
                <w:sz w:val="20"/>
                <w:szCs w:val="20"/>
                <w:highlight w:val="none"/>
                <w:lang w:val="en-US" w:eastAsia="zh-CN" w:bidi="ar-SA"/>
              </w:rPr>
            </w:pPr>
          </w:p>
        </w:tc>
      </w:tr>
      <w:tr w14:paraId="662EB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E2776A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147</w:t>
            </w:r>
          </w:p>
        </w:tc>
        <w:tc>
          <w:tcPr>
            <w:tcW w:w="720" w:type="dxa"/>
            <w:vMerge w:val="continue"/>
            <w:vAlign w:val="center"/>
          </w:tcPr>
          <w:p w14:paraId="79A8CE0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85F7C9A">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384BCDBE">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患者类型优先级排序</w:t>
            </w:r>
          </w:p>
        </w:tc>
        <w:tc>
          <w:tcPr>
            <w:tcW w:w="4417" w:type="dxa"/>
            <w:vAlign w:val="center"/>
          </w:tcPr>
          <w:p w14:paraId="4582ABD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根据患者来源设置优先级，对于优先级高的优先派发报告</w:t>
            </w:r>
          </w:p>
        </w:tc>
        <w:tc>
          <w:tcPr>
            <w:tcW w:w="733" w:type="dxa"/>
            <w:vMerge w:val="continue"/>
            <w:vAlign w:val="center"/>
          </w:tcPr>
          <w:p w14:paraId="0F77FA2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BBD3880">
            <w:pPr>
              <w:jc w:val="center"/>
              <w:rPr>
                <w:rFonts w:hint="eastAsia" w:ascii="宋体" w:hAnsi="宋体" w:eastAsia="宋体" w:cs="宋体"/>
                <w:b w:val="0"/>
                <w:bCs w:val="0"/>
                <w:color w:val="auto"/>
                <w:kern w:val="0"/>
                <w:sz w:val="20"/>
                <w:szCs w:val="20"/>
                <w:highlight w:val="none"/>
                <w:lang w:val="en-US" w:eastAsia="zh-CN" w:bidi="ar-SA"/>
              </w:rPr>
            </w:pPr>
          </w:p>
        </w:tc>
      </w:tr>
      <w:tr w14:paraId="20D41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24F652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148</w:t>
            </w:r>
          </w:p>
        </w:tc>
        <w:tc>
          <w:tcPr>
            <w:tcW w:w="720" w:type="dxa"/>
            <w:vMerge w:val="continue"/>
            <w:vAlign w:val="center"/>
          </w:tcPr>
          <w:p w14:paraId="14EEF8BE">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5BCDB16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分发管理</w:t>
            </w:r>
          </w:p>
        </w:tc>
        <w:tc>
          <w:tcPr>
            <w:tcW w:w="2308" w:type="dxa"/>
            <w:vAlign w:val="center"/>
          </w:tcPr>
          <w:p w14:paraId="10F10A45">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报告分发模式选择</w:t>
            </w:r>
          </w:p>
        </w:tc>
        <w:tc>
          <w:tcPr>
            <w:tcW w:w="4417" w:type="dxa"/>
            <w:vAlign w:val="center"/>
          </w:tcPr>
          <w:p w14:paraId="17044EE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持按照检查部位权重或检查名称权重进行报告分发</w:t>
            </w:r>
          </w:p>
        </w:tc>
        <w:tc>
          <w:tcPr>
            <w:tcW w:w="733" w:type="dxa"/>
            <w:vMerge w:val="continue"/>
            <w:vAlign w:val="center"/>
          </w:tcPr>
          <w:p w14:paraId="2418DB4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2C019D4">
            <w:pPr>
              <w:jc w:val="center"/>
              <w:rPr>
                <w:rFonts w:hint="eastAsia" w:ascii="宋体" w:hAnsi="宋体" w:eastAsia="宋体" w:cs="宋体"/>
                <w:b w:val="0"/>
                <w:bCs w:val="0"/>
                <w:color w:val="auto"/>
                <w:kern w:val="0"/>
                <w:sz w:val="20"/>
                <w:szCs w:val="20"/>
                <w:highlight w:val="none"/>
                <w:lang w:val="en-US" w:eastAsia="zh-CN" w:bidi="ar-SA"/>
              </w:rPr>
            </w:pPr>
          </w:p>
        </w:tc>
      </w:tr>
      <w:tr w14:paraId="6D6AE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0890BD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149</w:t>
            </w:r>
          </w:p>
        </w:tc>
        <w:tc>
          <w:tcPr>
            <w:tcW w:w="720" w:type="dxa"/>
            <w:vMerge w:val="continue"/>
            <w:vAlign w:val="center"/>
          </w:tcPr>
          <w:p w14:paraId="5E2D2A2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51C14AE">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39635A79">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重新分发设置</w:t>
            </w:r>
          </w:p>
        </w:tc>
        <w:tc>
          <w:tcPr>
            <w:tcW w:w="4417" w:type="dxa"/>
            <w:vAlign w:val="center"/>
          </w:tcPr>
          <w:p w14:paraId="7A3C6435">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指定报告和审核重新分发时间，在规定时间内未完成任务将重新分发到其他人员</w:t>
            </w:r>
          </w:p>
        </w:tc>
        <w:tc>
          <w:tcPr>
            <w:tcW w:w="733" w:type="dxa"/>
            <w:vMerge w:val="continue"/>
            <w:vAlign w:val="center"/>
          </w:tcPr>
          <w:p w14:paraId="50A73B6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7A7383F">
            <w:pPr>
              <w:jc w:val="center"/>
              <w:rPr>
                <w:rFonts w:hint="eastAsia" w:ascii="宋体" w:hAnsi="宋体" w:eastAsia="宋体" w:cs="宋体"/>
                <w:b w:val="0"/>
                <w:bCs w:val="0"/>
                <w:color w:val="auto"/>
                <w:kern w:val="0"/>
                <w:sz w:val="20"/>
                <w:szCs w:val="20"/>
                <w:highlight w:val="none"/>
                <w:lang w:val="en-US" w:eastAsia="zh-CN" w:bidi="ar-SA"/>
              </w:rPr>
            </w:pPr>
          </w:p>
        </w:tc>
      </w:tr>
      <w:tr w14:paraId="73AB2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7E12E1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150</w:t>
            </w:r>
          </w:p>
        </w:tc>
        <w:tc>
          <w:tcPr>
            <w:tcW w:w="720" w:type="dxa"/>
            <w:vMerge w:val="continue"/>
            <w:vAlign w:val="center"/>
          </w:tcPr>
          <w:p w14:paraId="349B698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8438DDE">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70309912">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日程班次情况查询</w:t>
            </w:r>
          </w:p>
        </w:tc>
        <w:tc>
          <w:tcPr>
            <w:tcW w:w="4417" w:type="dxa"/>
            <w:vAlign w:val="center"/>
          </w:tcPr>
          <w:p w14:paraId="63DC8F6B">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通过可视化排班日历显示每日班次和当值人员情况</w:t>
            </w:r>
          </w:p>
        </w:tc>
        <w:tc>
          <w:tcPr>
            <w:tcW w:w="733" w:type="dxa"/>
            <w:vMerge w:val="continue"/>
            <w:vAlign w:val="center"/>
          </w:tcPr>
          <w:p w14:paraId="2C5828C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F8B8E08">
            <w:pPr>
              <w:jc w:val="center"/>
              <w:rPr>
                <w:rFonts w:hint="eastAsia" w:ascii="宋体" w:hAnsi="宋体" w:eastAsia="宋体" w:cs="宋体"/>
                <w:b w:val="0"/>
                <w:bCs w:val="0"/>
                <w:color w:val="auto"/>
                <w:kern w:val="0"/>
                <w:sz w:val="20"/>
                <w:szCs w:val="20"/>
                <w:highlight w:val="none"/>
                <w:lang w:val="en-US" w:eastAsia="zh-CN" w:bidi="ar-SA"/>
              </w:rPr>
            </w:pPr>
          </w:p>
        </w:tc>
      </w:tr>
      <w:tr w14:paraId="73905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807DF4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151</w:t>
            </w:r>
          </w:p>
        </w:tc>
        <w:tc>
          <w:tcPr>
            <w:tcW w:w="720" w:type="dxa"/>
            <w:vMerge w:val="restart"/>
            <w:vAlign w:val="center"/>
          </w:tcPr>
          <w:p w14:paraId="009133E5">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质控管理系统</w:t>
            </w:r>
          </w:p>
        </w:tc>
        <w:tc>
          <w:tcPr>
            <w:tcW w:w="875" w:type="dxa"/>
            <w:vMerge w:val="restart"/>
            <w:vAlign w:val="center"/>
          </w:tcPr>
          <w:p w14:paraId="665D3F5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事中质控</w:t>
            </w:r>
          </w:p>
        </w:tc>
        <w:tc>
          <w:tcPr>
            <w:tcW w:w="2308" w:type="dxa"/>
            <w:vAlign w:val="center"/>
          </w:tcPr>
          <w:p w14:paraId="6E0DC60D">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编写报告事中质控</w:t>
            </w:r>
          </w:p>
        </w:tc>
        <w:tc>
          <w:tcPr>
            <w:tcW w:w="4417" w:type="dxa"/>
            <w:vAlign w:val="center"/>
          </w:tcPr>
          <w:p w14:paraId="7EEFD495">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医技科室写报告的同时，对抽样选中的报告和图像，可对申请单书写规范、图像质量、报告质量进行质控</w:t>
            </w:r>
          </w:p>
        </w:tc>
        <w:tc>
          <w:tcPr>
            <w:tcW w:w="733" w:type="dxa"/>
            <w:vMerge w:val="restart"/>
            <w:vAlign w:val="center"/>
          </w:tcPr>
          <w:p w14:paraId="35D280A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0700A59E">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5D7F0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93F334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152</w:t>
            </w:r>
          </w:p>
        </w:tc>
        <w:tc>
          <w:tcPr>
            <w:tcW w:w="720" w:type="dxa"/>
            <w:vMerge w:val="continue"/>
            <w:vAlign w:val="center"/>
          </w:tcPr>
          <w:p w14:paraId="15E386C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71F3DC5">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552FD3D0">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审核报告事中质控</w:t>
            </w:r>
          </w:p>
        </w:tc>
        <w:tc>
          <w:tcPr>
            <w:tcW w:w="4417" w:type="dxa"/>
            <w:vAlign w:val="center"/>
          </w:tcPr>
          <w:p w14:paraId="1EA6DC8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医生在审核报告时，可直接进行质控打分</w:t>
            </w:r>
          </w:p>
        </w:tc>
        <w:tc>
          <w:tcPr>
            <w:tcW w:w="733" w:type="dxa"/>
            <w:vMerge w:val="continue"/>
            <w:vAlign w:val="center"/>
          </w:tcPr>
          <w:p w14:paraId="49E0E03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5DF40DF">
            <w:pPr>
              <w:jc w:val="center"/>
              <w:rPr>
                <w:rFonts w:hint="eastAsia" w:ascii="宋体" w:hAnsi="宋体" w:eastAsia="宋体" w:cs="宋体"/>
                <w:b w:val="0"/>
                <w:bCs w:val="0"/>
                <w:color w:val="auto"/>
                <w:kern w:val="0"/>
                <w:sz w:val="20"/>
                <w:szCs w:val="20"/>
                <w:highlight w:val="none"/>
                <w:lang w:val="en-US" w:eastAsia="zh-CN" w:bidi="ar-SA"/>
              </w:rPr>
            </w:pPr>
          </w:p>
        </w:tc>
      </w:tr>
      <w:tr w14:paraId="73067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6A7825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153</w:t>
            </w:r>
          </w:p>
        </w:tc>
        <w:tc>
          <w:tcPr>
            <w:tcW w:w="720" w:type="dxa"/>
            <w:vMerge w:val="continue"/>
            <w:vAlign w:val="center"/>
          </w:tcPr>
          <w:p w14:paraId="3710FA4D">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31E0864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事后质控</w:t>
            </w:r>
          </w:p>
        </w:tc>
        <w:tc>
          <w:tcPr>
            <w:tcW w:w="2308" w:type="dxa"/>
            <w:vAlign w:val="center"/>
          </w:tcPr>
          <w:p w14:paraId="15861A3A">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书写规范质控</w:t>
            </w:r>
          </w:p>
        </w:tc>
        <w:tc>
          <w:tcPr>
            <w:tcW w:w="4417" w:type="dxa"/>
            <w:vAlign w:val="center"/>
          </w:tcPr>
          <w:p w14:paraId="555E699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可对申请单书写规范、图像质量、报告质量、审核报告进行质量评分</w:t>
            </w:r>
          </w:p>
        </w:tc>
        <w:tc>
          <w:tcPr>
            <w:tcW w:w="733" w:type="dxa"/>
            <w:vMerge w:val="continue"/>
            <w:vAlign w:val="center"/>
          </w:tcPr>
          <w:p w14:paraId="5D7DCF0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A86A864">
            <w:pPr>
              <w:jc w:val="center"/>
              <w:rPr>
                <w:rFonts w:hint="eastAsia" w:ascii="宋体" w:hAnsi="宋体" w:eastAsia="宋体" w:cs="宋体"/>
                <w:b w:val="0"/>
                <w:bCs w:val="0"/>
                <w:color w:val="auto"/>
                <w:kern w:val="0"/>
                <w:sz w:val="20"/>
                <w:szCs w:val="20"/>
                <w:highlight w:val="none"/>
                <w:lang w:val="en-US" w:eastAsia="zh-CN" w:bidi="ar-SA"/>
              </w:rPr>
            </w:pPr>
          </w:p>
        </w:tc>
      </w:tr>
      <w:tr w14:paraId="790A8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D87304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154</w:t>
            </w:r>
          </w:p>
        </w:tc>
        <w:tc>
          <w:tcPr>
            <w:tcW w:w="720" w:type="dxa"/>
            <w:vMerge w:val="continue"/>
            <w:vAlign w:val="center"/>
          </w:tcPr>
          <w:p w14:paraId="18F2869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F8E2C39">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63D601AD">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图像质量质控</w:t>
            </w:r>
          </w:p>
        </w:tc>
        <w:tc>
          <w:tcPr>
            <w:tcW w:w="4417" w:type="dxa"/>
            <w:vAlign w:val="center"/>
          </w:tcPr>
          <w:p w14:paraId="43191A0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调阅DICOM图像，对图像拍摄质量进行打分</w:t>
            </w:r>
          </w:p>
        </w:tc>
        <w:tc>
          <w:tcPr>
            <w:tcW w:w="733" w:type="dxa"/>
            <w:vMerge w:val="continue"/>
            <w:vAlign w:val="center"/>
          </w:tcPr>
          <w:p w14:paraId="098A134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D01A978">
            <w:pPr>
              <w:jc w:val="center"/>
              <w:rPr>
                <w:rFonts w:hint="eastAsia" w:ascii="宋体" w:hAnsi="宋体" w:eastAsia="宋体" w:cs="宋体"/>
                <w:b w:val="0"/>
                <w:bCs w:val="0"/>
                <w:color w:val="auto"/>
                <w:kern w:val="0"/>
                <w:sz w:val="20"/>
                <w:szCs w:val="20"/>
                <w:highlight w:val="none"/>
                <w:lang w:val="en-US" w:eastAsia="zh-CN" w:bidi="ar-SA"/>
              </w:rPr>
            </w:pPr>
          </w:p>
        </w:tc>
      </w:tr>
      <w:tr w14:paraId="10AE9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02C0BC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155</w:t>
            </w:r>
          </w:p>
        </w:tc>
        <w:tc>
          <w:tcPr>
            <w:tcW w:w="720" w:type="dxa"/>
            <w:vMerge w:val="continue"/>
            <w:vAlign w:val="center"/>
          </w:tcPr>
          <w:p w14:paraId="3733AD3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0B1CB46">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5E2E0A82">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报告质量质控</w:t>
            </w:r>
          </w:p>
        </w:tc>
        <w:tc>
          <w:tcPr>
            <w:tcW w:w="4417" w:type="dxa"/>
            <w:vAlign w:val="center"/>
          </w:tcPr>
          <w:p w14:paraId="1CF6E38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对检查报告抽样，评估报告质量，进行打分</w:t>
            </w:r>
          </w:p>
        </w:tc>
        <w:tc>
          <w:tcPr>
            <w:tcW w:w="733" w:type="dxa"/>
            <w:vMerge w:val="continue"/>
            <w:vAlign w:val="center"/>
          </w:tcPr>
          <w:p w14:paraId="6A86F9C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E80D025">
            <w:pPr>
              <w:jc w:val="center"/>
              <w:rPr>
                <w:rFonts w:hint="eastAsia" w:ascii="宋体" w:hAnsi="宋体" w:eastAsia="宋体" w:cs="宋体"/>
                <w:b w:val="0"/>
                <w:bCs w:val="0"/>
                <w:color w:val="auto"/>
                <w:kern w:val="0"/>
                <w:sz w:val="20"/>
                <w:szCs w:val="20"/>
                <w:highlight w:val="none"/>
                <w:lang w:val="en-US" w:eastAsia="zh-CN" w:bidi="ar-SA"/>
              </w:rPr>
            </w:pPr>
          </w:p>
        </w:tc>
      </w:tr>
      <w:tr w14:paraId="25E6B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11398B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156</w:t>
            </w:r>
          </w:p>
        </w:tc>
        <w:tc>
          <w:tcPr>
            <w:tcW w:w="720" w:type="dxa"/>
            <w:vMerge w:val="continue"/>
            <w:vAlign w:val="center"/>
          </w:tcPr>
          <w:p w14:paraId="577BD6E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9E69B58">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6AF58B19">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审核报告质控</w:t>
            </w:r>
          </w:p>
        </w:tc>
        <w:tc>
          <w:tcPr>
            <w:tcW w:w="4417" w:type="dxa"/>
            <w:vAlign w:val="center"/>
          </w:tcPr>
          <w:p w14:paraId="3598EE7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对报告审核效率、审核结果进行打分质控</w:t>
            </w:r>
          </w:p>
        </w:tc>
        <w:tc>
          <w:tcPr>
            <w:tcW w:w="733" w:type="dxa"/>
            <w:vMerge w:val="continue"/>
            <w:vAlign w:val="center"/>
          </w:tcPr>
          <w:p w14:paraId="602492C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96E37FA">
            <w:pPr>
              <w:jc w:val="center"/>
              <w:rPr>
                <w:rFonts w:hint="eastAsia" w:ascii="宋体" w:hAnsi="宋体" w:eastAsia="宋体" w:cs="宋体"/>
                <w:b w:val="0"/>
                <w:bCs w:val="0"/>
                <w:color w:val="auto"/>
                <w:kern w:val="0"/>
                <w:sz w:val="20"/>
                <w:szCs w:val="20"/>
                <w:highlight w:val="none"/>
                <w:lang w:val="en-US" w:eastAsia="zh-CN" w:bidi="ar-SA"/>
              </w:rPr>
            </w:pPr>
          </w:p>
        </w:tc>
      </w:tr>
      <w:tr w14:paraId="3BAE3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4BF42B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157</w:t>
            </w:r>
          </w:p>
        </w:tc>
        <w:tc>
          <w:tcPr>
            <w:tcW w:w="720" w:type="dxa"/>
            <w:vMerge w:val="continue"/>
            <w:vAlign w:val="center"/>
          </w:tcPr>
          <w:p w14:paraId="6AECBD4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66E68DB">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7E69734B">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评分记录</w:t>
            </w:r>
          </w:p>
        </w:tc>
        <w:tc>
          <w:tcPr>
            <w:tcW w:w="4417" w:type="dxa"/>
            <w:vAlign w:val="center"/>
          </w:tcPr>
          <w:p w14:paraId="410DAF2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对影像科图像质量进行评分记录</w:t>
            </w:r>
          </w:p>
        </w:tc>
        <w:tc>
          <w:tcPr>
            <w:tcW w:w="733" w:type="dxa"/>
            <w:vMerge w:val="continue"/>
            <w:vAlign w:val="center"/>
          </w:tcPr>
          <w:p w14:paraId="3C4744E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DA05994">
            <w:pPr>
              <w:jc w:val="center"/>
              <w:rPr>
                <w:rFonts w:hint="eastAsia" w:ascii="宋体" w:hAnsi="宋体" w:eastAsia="宋体" w:cs="宋体"/>
                <w:b w:val="0"/>
                <w:bCs w:val="0"/>
                <w:color w:val="auto"/>
                <w:kern w:val="0"/>
                <w:sz w:val="20"/>
                <w:szCs w:val="20"/>
                <w:highlight w:val="none"/>
                <w:lang w:val="en-US" w:eastAsia="zh-CN" w:bidi="ar-SA"/>
              </w:rPr>
            </w:pPr>
          </w:p>
        </w:tc>
      </w:tr>
      <w:tr w14:paraId="13F68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3" w:type="dxa"/>
            <w:vAlign w:val="center"/>
          </w:tcPr>
          <w:p w14:paraId="143229C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158</w:t>
            </w:r>
          </w:p>
        </w:tc>
        <w:tc>
          <w:tcPr>
            <w:tcW w:w="720" w:type="dxa"/>
            <w:vMerge w:val="continue"/>
            <w:vAlign w:val="center"/>
          </w:tcPr>
          <w:p w14:paraId="5F37BAC1">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76EAB55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系统管理</w:t>
            </w:r>
          </w:p>
        </w:tc>
        <w:tc>
          <w:tcPr>
            <w:tcW w:w="2308" w:type="dxa"/>
            <w:vAlign w:val="center"/>
          </w:tcPr>
          <w:p w14:paraId="5AE7C14F">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图像质控规则维护</w:t>
            </w:r>
          </w:p>
        </w:tc>
        <w:tc>
          <w:tcPr>
            <w:tcW w:w="4417" w:type="dxa"/>
            <w:vAlign w:val="center"/>
          </w:tcPr>
          <w:p w14:paraId="1504AC7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维护图像质控规则，通过规则自动进行图像质量打分</w:t>
            </w:r>
          </w:p>
        </w:tc>
        <w:tc>
          <w:tcPr>
            <w:tcW w:w="733" w:type="dxa"/>
            <w:vMerge w:val="continue"/>
            <w:vAlign w:val="center"/>
          </w:tcPr>
          <w:p w14:paraId="01B7C4E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969CDD9">
            <w:pPr>
              <w:jc w:val="center"/>
              <w:rPr>
                <w:rFonts w:hint="eastAsia" w:ascii="宋体" w:hAnsi="宋体" w:eastAsia="宋体" w:cs="宋体"/>
                <w:b w:val="0"/>
                <w:bCs w:val="0"/>
                <w:color w:val="auto"/>
                <w:kern w:val="0"/>
                <w:sz w:val="20"/>
                <w:szCs w:val="20"/>
                <w:highlight w:val="none"/>
                <w:lang w:val="en-US" w:eastAsia="zh-CN" w:bidi="ar-SA"/>
              </w:rPr>
            </w:pPr>
          </w:p>
        </w:tc>
      </w:tr>
      <w:tr w14:paraId="64E87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91E691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159</w:t>
            </w:r>
          </w:p>
        </w:tc>
        <w:tc>
          <w:tcPr>
            <w:tcW w:w="720" w:type="dxa"/>
            <w:vMerge w:val="continue"/>
            <w:vAlign w:val="center"/>
          </w:tcPr>
          <w:p w14:paraId="6622A10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ED46264">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5209B9BC">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质控评分情况统计分析</w:t>
            </w:r>
          </w:p>
        </w:tc>
        <w:tc>
          <w:tcPr>
            <w:tcW w:w="4417" w:type="dxa"/>
            <w:vAlign w:val="center"/>
          </w:tcPr>
          <w:p w14:paraId="3E60E18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对质控评分结果进行统计分析，可以按多条件进行检索统计</w:t>
            </w:r>
          </w:p>
        </w:tc>
        <w:tc>
          <w:tcPr>
            <w:tcW w:w="733" w:type="dxa"/>
            <w:vMerge w:val="continue"/>
            <w:vAlign w:val="center"/>
          </w:tcPr>
          <w:p w14:paraId="679576A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A55331A">
            <w:pPr>
              <w:jc w:val="center"/>
              <w:rPr>
                <w:rFonts w:hint="eastAsia" w:ascii="宋体" w:hAnsi="宋体" w:eastAsia="宋体" w:cs="宋体"/>
                <w:b w:val="0"/>
                <w:bCs w:val="0"/>
                <w:color w:val="auto"/>
                <w:kern w:val="0"/>
                <w:sz w:val="20"/>
                <w:szCs w:val="20"/>
                <w:highlight w:val="none"/>
                <w:lang w:val="en-US" w:eastAsia="zh-CN" w:bidi="ar-SA"/>
              </w:rPr>
            </w:pPr>
          </w:p>
        </w:tc>
      </w:tr>
      <w:tr w14:paraId="3058C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9C8A07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160</w:t>
            </w:r>
          </w:p>
        </w:tc>
        <w:tc>
          <w:tcPr>
            <w:tcW w:w="720" w:type="dxa"/>
            <w:vMerge w:val="restart"/>
            <w:vAlign w:val="center"/>
          </w:tcPr>
          <w:p w14:paraId="4A1C823A">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实施对接</w:t>
            </w:r>
          </w:p>
        </w:tc>
        <w:tc>
          <w:tcPr>
            <w:tcW w:w="875" w:type="dxa"/>
            <w:vMerge w:val="restart"/>
            <w:vAlign w:val="center"/>
          </w:tcPr>
          <w:p w14:paraId="37D7CCB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医院影像系统对接平台调试</w:t>
            </w:r>
          </w:p>
        </w:tc>
        <w:tc>
          <w:tcPr>
            <w:tcW w:w="2308" w:type="dxa"/>
            <w:vAlign w:val="center"/>
          </w:tcPr>
          <w:p w14:paraId="7BF16A10">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发送检查申请接口</w:t>
            </w:r>
          </w:p>
        </w:tc>
        <w:tc>
          <w:tcPr>
            <w:tcW w:w="4417" w:type="dxa"/>
            <w:vAlign w:val="center"/>
          </w:tcPr>
          <w:p w14:paraId="3E05F93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对接区域平台，实现发送检查申请接口开发工作</w:t>
            </w:r>
          </w:p>
        </w:tc>
        <w:tc>
          <w:tcPr>
            <w:tcW w:w="733" w:type="dxa"/>
            <w:vMerge w:val="restart"/>
            <w:vAlign w:val="center"/>
          </w:tcPr>
          <w:p w14:paraId="5F75A31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2CB0ECE7">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18551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1E0C33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161</w:t>
            </w:r>
          </w:p>
        </w:tc>
        <w:tc>
          <w:tcPr>
            <w:tcW w:w="720" w:type="dxa"/>
            <w:vMerge w:val="continue"/>
            <w:vAlign w:val="center"/>
          </w:tcPr>
          <w:p w14:paraId="7E58040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A9C78A3">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1045A875">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取消检查申请接口</w:t>
            </w:r>
          </w:p>
        </w:tc>
        <w:tc>
          <w:tcPr>
            <w:tcW w:w="4417" w:type="dxa"/>
            <w:vAlign w:val="center"/>
          </w:tcPr>
          <w:p w14:paraId="79D247D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对接区域平台，实现取消检查申请接口开发工作</w:t>
            </w:r>
          </w:p>
        </w:tc>
        <w:tc>
          <w:tcPr>
            <w:tcW w:w="733" w:type="dxa"/>
            <w:vMerge w:val="continue"/>
            <w:vAlign w:val="center"/>
          </w:tcPr>
          <w:p w14:paraId="6184445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D947006">
            <w:pPr>
              <w:jc w:val="center"/>
              <w:rPr>
                <w:rFonts w:hint="eastAsia" w:ascii="宋体" w:hAnsi="宋体" w:eastAsia="宋体" w:cs="宋体"/>
                <w:b w:val="0"/>
                <w:bCs w:val="0"/>
                <w:color w:val="auto"/>
                <w:kern w:val="0"/>
                <w:sz w:val="20"/>
                <w:szCs w:val="20"/>
                <w:highlight w:val="none"/>
                <w:lang w:val="en-US" w:eastAsia="zh-CN" w:bidi="ar-SA"/>
              </w:rPr>
            </w:pPr>
          </w:p>
        </w:tc>
      </w:tr>
      <w:tr w14:paraId="39689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E4B86D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162</w:t>
            </w:r>
          </w:p>
        </w:tc>
        <w:tc>
          <w:tcPr>
            <w:tcW w:w="720" w:type="dxa"/>
            <w:vMerge w:val="continue"/>
            <w:vAlign w:val="center"/>
          </w:tcPr>
          <w:p w14:paraId="1EC17F7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BDA1BDB">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4D9DB21B">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查询检查申请接口</w:t>
            </w:r>
          </w:p>
        </w:tc>
        <w:tc>
          <w:tcPr>
            <w:tcW w:w="4417" w:type="dxa"/>
            <w:vAlign w:val="center"/>
          </w:tcPr>
          <w:p w14:paraId="02554E7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对接区域平台，实现查询检查申请接口开发工作</w:t>
            </w:r>
          </w:p>
        </w:tc>
        <w:tc>
          <w:tcPr>
            <w:tcW w:w="733" w:type="dxa"/>
            <w:vMerge w:val="continue"/>
            <w:vAlign w:val="center"/>
          </w:tcPr>
          <w:p w14:paraId="44F4312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B631894">
            <w:pPr>
              <w:jc w:val="center"/>
              <w:rPr>
                <w:rFonts w:hint="eastAsia" w:ascii="宋体" w:hAnsi="宋体" w:eastAsia="宋体" w:cs="宋体"/>
                <w:b w:val="0"/>
                <w:bCs w:val="0"/>
                <w:color w:val="auto"/>
                <w:kern w:val="0"/>
                <w:sz w:val="20"/>
                <w:szCs w:val="20"/>
                <w:highlight w:val="none"/>
                <w:lang w:val="en-US" w:eastAsia="zh-CN" w:bidi="ar-SA"/>
              </w:rPr>
            </w:pPr>
          </w:p>
        </w:tc>
      </w:tr>
      <w:tr w14:paraId="1BD48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37F1EA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163</w:t>
            </w:r>
          </w:p>
        </w:tc>
        <w:tc>
          <w:tcPr>
            <w:tcW w:w="720" w:type="dxa"/>
            <w:vMerge w:val="continue"/>
            <w:vAlign w:val="center"/>
          </w:tcPr>
          <w:p w14:paraId="49FFA9C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C6C6A4B">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3A38CFEA">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发送检查报告接口</w:t>
            </w:r>
          </w:p>
        </w:tc>
        <w:tc>
          <w:tcPr>
            <w:tcW w:w="4417" w:type="dxa"/>
            <w:vAlign w:val="center"/>
          </w:tcPr>
          <w:p w14:paraId="6139E27E">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对接区域平台，实现发送检查报告接口开发工作</w:t>
            </w:r>
          </w:p>
        </w:tc>
        <w:tc>
          <w:tcPr>
            <w:tcW w:w="733" w:type="dxa"/>
            <w:vMerge w:val="continue"/>
            <w:vAlign w:val="center"/>
          </w:tcPr>
          <w:p w14:paraId="63E1A18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94ABFE8">
            <w:pPr>
              <w:jc w:val="center"/>
              <w:rPr>
                <w:rFonts w:hint="eastAsia" w:ascii="宋体" w:hAnsi="宋体" w:eastAsia="宋体" w:cs="宋体"/>
                <w:b w:val="0"/>
                <w:bCs w:val="0"/>
                <w:color w:val="auto"/>
                <w:kern w:val="0"/>
                <w:sz w:val="20"/>
                <w:szCs w:val="20"/>
                <w:highlight w:val="none"/>
                <w:lang w:val="en-US" w:eastAsia="zh-CN" w:bidi="ar-SA"/>
              </w:rPr>
            </w:pPr>
          </w:p>
        </w:tc>
      </w:tr>
      <w:tr w14:paraId="1117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E00759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164</w:t>
            </w:r>
          </w:p>
        </w:tc>
        <w:tc>
          <w:tcPr>
            <w:tcW w:w="720" w:type="dxa"/>
            <w:vMerge w:val="continue"/>
            <w:vAlign w:val="center"/>
          </w:tcPr>
          <w:p w14:paraId="68B80FE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9B7556F">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3E924988">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撤回检查报告接口</w:t>
            </w:r>
          </w:p>
        </w:tc>
        <w:tc>
          <w:tcPr>
            <w:tcW w:w="4417" w:type="dxa"/>
            <w:vAlign w:val="center"/>
          </w:tcPr>
          <w:p w14:paraId="54C88995">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对接区域平台，实现撤回检查报告接口开发工作</w:t>
            </w:r>
          </w:p>
        </w:tc>
        <w:tc>
          <w:tcPr>
            <w:tcW w:w="733" w:type="dxa"/>
            <w:vMerge w:val="continue"/>
            <w:vAlign w:val="center"/>
          </w:tcPr>
          <w:p w14:paraId="6765028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C23FA8D">
            <w:pPr>
              <w:jc w:val="center"/>
              <w:rPr>
                <w:rFonts w:hint="eastAsia" w:ascii="宋体" w:hAnsi="宋体" w:eastAsia="宋体" w:cs="宋体"/>
                <w:b w:val="0"/>
                <w:bCs w:val="0"/>
                <w:color w:val="auto"/>
                <w:kern w:val="0"/>
                <w:sz w:val="20"/>
                <w:szCs w:val="20"/>
                <w:highlight w:val="none"/>
                <w:lang w:val="en-US" w:eastAsia="zh-CN" w:bidi="ar-SA"/>
              </w:rPr>
            </w:pPr>
          </w:p>
        </w:tc>
      </w:tr>
      <w:tr w14:paraId="2290E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413058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165</w:t>
            </w:r>
          </w:p>
        </w:tc>
        <w:tc>
          <w:tcPr>
            <w:tcW w:w="720" w:type="dxa"/>
            <w:vMerge w:val="continue"/>
            <w:vAlign w:val="center"/>
          </w:tcPr>
          <w:p w14:paraId="3420DB2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11DF493">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450B606E">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查询检查报告接口</w:t>
            </w:r>
          </w:p>
        </w:tc>
        <w:tc>
          <w:tcPr>
            <w:tcW w:w="4417" w:type="dxa"/>
            <w:vAlign w:val="center"/>
          </w:tcPr>
          <w:p w14:paraId="5E504BA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对接区域平台，实现查询检查报告接口开发工作</w:t>
            </w:r>
          </w:p>
        </w:tc>
        <w:tc>
          <w:tcPr>
            <w:tcW w:w="733" w:type="dxa"/>
            <w:vMerge w:val="continue"/>
            <w:vAlign w:val="center"/>
          </w:tcPr>
          <w:p w14:paraId="2E9423B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4163559">
            <w:pPr>
              <w:jc w:val="center"/>
              <w:rPr>
                <w:rFonts w:hint="eastAsia" w:ascii="宋体" w:hAnsi="宋体" w:eastAsia="宋体" w:cs="宋体"/>
                <w:b w:val="0"/>
                <w:bCs w:val="0"/>
                <w:color w:val="auto"/>
                <w:kern w:val="0"/>
                <w:sz w:val="20"/>
                <w:szCs w:val="20"/>
                <w:highlight w:val="none"/>
                <w:lang w:val="en-US" w:eastAsia="zh-CN" w:bidi="ar-SA"/>
              </w:rPr>
            </w:pPr>
          </w:p>
        </w:tc>
      </w:tr>
      <w:tr w14:paraId="50F02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61B45E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166</w:t>
            </w:r>
          </w:p>
        </w:tc>
        <w:tc>
          <w:tcPr>
            <w:tcW w:w="720" w:type="dxa"/>
            <w:vMerge w:val="continue"/>
            <w:vAlign w:val="center"/>
          </w:tcPr>
          <w:p w14:paraId="5B9D86F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150E519">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0703489F">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更新检查状态接口</w:t>
            </w:r>
          </w:p>
        </w:tc>
        <w:tc>
          <w:tcPr>
            <w:tcW w:w="4417" w:type="dxa"/>
            <w:vAlign w:val="center"/>
          </w:tcPr>
          <w:p w14:paraId="0F9EADB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对接区域平台，实现更新检查状态接口开发工作</w:t>
            </w:r>
          </w:p>
        </w:tc>
        <w:tc>
          <w:tcPr>
            <w:tcW w:w="733" w:type="dxa"/>
            <w:vMerge w:val="continue"/>
            <w:vAlign w:val="center"/>
          </w:tcPr>
          <w:p w14:paraId="03BD25F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BB6496F">
            <w:pPr>
              <w:jc w:val="center"/>
              <w:rPr>
                <w:rFonts w:hint="eastAsia" w:ascii="宋体" w:hAnsi="宋体" w:eastAsia="宋体" w:cs="宋体"/>
                <w:b w:val="0"/>
                <w:bCs w:val="0"/>
                <w:color w:val="auto"/>
                <w:kern w:val="0"/>
                <w:sz w:val="20"/>
                <w:szCs w:val="20"/>
                <w:highlight w:val="none"/>
                <w:lang w:val="en-US" w:eastAsia="zh-CN" w:bidi="ar-SA"/>
              </w:rPr>
            </w:pPr>
          </w:p>
        </w:tc>
      </w:tr>
      <w:tr w14:paraId="261BA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A0708B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167</w:t>
            </w:r>
          </w:p>
        </w:tc>
        <w:tc>
          <w:tcPr>
            <w:tcW w:w="720" w:type="dxa"/>
            <w:vMerge w:val="continue"/>
            <w:vAlign w:val="center"/>
          </w:tcPr>
          <w:p w14:paraId="1C41157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25C4527">
            <w:pPr>
              <w:jc w:val="center"/>
              <w:rPr>
                <w:rFonts w:hint="eastAsia" w:ascii="宋体" w:hAnsi="宋体" w:eastAsia="宋体" w:cs="宋体"/>
                <w:b w:val="0"/>
                <w:bCs w:val="0"/>
                <w:color w:val="auto"/>
                <w:kern w:val="0"/>
                <w:sz w:val="20"/>
                <w:szCs w:val="20"/>
                <w:highlight w:val="none"/>
                <w:lang w:val="en-US" w:eastAsia="zh-CN" w:bidi="ar-SA"/>
              </w:rPr>
            </w:pPr>
          </w:p>
        </w:tc>
        <w:tc>
          <w:tcPr>
            <w:tcW w:w="2308" w:type="dxa"/>
            <w:vAlign w:val="center"/>
          </w:tcPr>
          <w:p w14:paraId="06CDAA30">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查询检查状态接口</w:t>
            </w:r>
          </w:p>
        </w:tc>
        <w:tc>
          <w:tcPr>
            <w:tcW w:w="4417" w:type="dxa"/>
            <w:vAlign w:val="center"/>
          </w:tcPr>
          <w:p w14:paraId="7006D4D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对接区域平台，实现查询检查状态接口开发工作</w:t>
            </w:r>
          </w:p>
        </w:tc>
        <w:tc>
          <w:tcPr>
            <w:tcW w:w="733" w:type="dxa"/>
            <w:vMerge w:val="continue"/>
            <w:vAlign w:val="center"/>
          </w:tcPr>
          <w:p w14:paraId="7EED75D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B26C14B">
            <w:pPr>
              <w:jc w:val="center"/>
              <w:rPr>
                <w:rFonts w:hint="eastAsia" w:ascii="宋体" w:hAnsi="宋体" w:eastAsia="宋体" w:cs="宋体"/>
                <w:b w:val="0"/>
                <w:bCs w:val="0"/>
                <w:color w:val="auto"/>
                <w:kern w:val="0"/>
                <w:sz w:val="20"/>
                <w:szCs w:val="20"/>
                <w:highlight w:val="none"/>
                <w:lang w:val="en-US" w:eastAsia="zh-CN" w:bidi="ar-SA"/>
              </w:rPr>
            </w:pPr>
          </w:p>
        </w:tc>
      </w:tr>
      <w:tr w14:paraId="27498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9DE1A9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168</w:t>
            </w:r>
          </w:p>
        </w:tc>
        <w:tc>
          <w:tcPr>
            <w:tcW w:w="720" w:type="dxa"/>
            <w:vMerge w:val="continue"/>
            <w:vAlign w:val="center"/>
          </w:tcPr>
          <w:p w14:paraId="29BBA780">
            <w:pPr>
              <w:jc w:val="center"/>
              <w:rPr>
                <w:rFonts w:hint="eastAsia" w:ascii="宋体" w:hAnsi="宋体" w:eastAsia="宋体" w:cs="宋体"/>
                <w:b/>
                <w:color w:val="auto"/>
                <w:sz w:val="24"/>
                <w:szCs w:val="24"/>
                <w:highlight w:val="none"/>
                <w:vertAlign w:val="baseline"/>
                <w:lang w:eastAsia="zh-CN"/>
              </w:rPr>
            </w:pPr>
          </w:p>
        </w:tc>
        <w:tc>
          <w:tcPr>
            <w:tcW w:w="3183" w:type="dxa"/>
            <w:gridSpan w:val="2"/>
            <w:vAlign w:val="center"/>
          </w:tcPr>
          <w:p w14:paraId="6350483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区域平台对接调试</w:t>
            </w:r>
          </w:p>
        </w:tc>
        <w:tc>
          <w:tcPr>
            <w:tcW w:w="4417" w:type="dxa"/>
            <w:vAlign w:val="center"/>
          </w:tcPr>
          <w:p w14:paraId="7938F0A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区域平台配置服务路由，实现区域影像、医院影像系统检查申请、报告等信息流转，数据对接调试</w:t>
            </w:r>
          </w:p>
        </w:tc>
        <w:tc>
          <w:tcPr>
            <w:tcW w:w="733" w:type="dxa"/>
            <w:vAlign w:val="center"/>
          </w:tcPr>
          <w:p w14:paraId="2281C00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0D5F554B">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6E5C7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C81D90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169</w:t>
            </w:r>
          </w:p>
        </w:tc>
        <w:tc>
          <w:tcPr>
            <w:tcW w:w="720" w:type="dxa"/>
            <w:vMerge w:val="restart"/>
            <w:vAlign w:val="center"/>
          </w:tcPr>
          <w:p w14:paraId="1B607EDA">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数据大屏</w:t>
            </w:r>
          </w:p>
        </w:tc>
        <w:tc>
          <w:tcPr>
            <w:tcW w:w="3183" w:type="dxa"/>
            <w:gridSpan w:val="2"/>
            <w:vMerge w:val="restart"/>
            <w:vAlign w:val="center"/>
          </w:tcPr>
          <w:p w14:paraId="0933614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影像云诊中心</w:t>
            </w:r>
          </w:p>
        </w:tc>
        <w:tc>
          <w:tcPr>
            <w:tcW w:w="4417" w:type="dxa"/>
            <w:vAlign w:val="center"/>
          </w:tcPr>
          <w:p w14:paraId="7973B865">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展示区域内远程诊断申请总量、申请通过量和通过率，可按年度进行筛选</w:t>
            </w:r>
          </w:p>
        </w:tc>
        <w:tc>
          <w:tcPr>
            <w:tcW w:w="733" w:type="dxa"/>
            <w:vMerge w:val="restart"/>
            <w:vAlign w:val="center"/>
          </w:tcPr>
          <w:p w14:paraId="507ED8C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14CFF0F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w:t>
            </w:r>
          </w:p>
        </w:tc>
      </w:tr>
      <w:tr w14:paraId="493E7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096E42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170</w:t>
            </w:r>
          </w:p>
        </w:tc>
        <w:tc>
          <w:tcPr>
            <w:tcW w:w="720" w:type="dxa"/>
            <w:vMerge w:val="continue"/>
            <w:vAlign w:val="center"/>
          </w:tcPr>
          <w:p w14:paraId="4C5DC9E2">
            <w:pPr>
              <w:jc w:val="center"/>
              <w:rPr>
                <w:rFonts w:hint="eastAsia" w:ascii="宋体" w:hAnsi="宋体" w:eastAsia="宋体" w:cs="宋体"/>
                <w:b/>
                <w:color w:val="auto"/>
                <w:sz w:val="24"/>
                <w:szCs w:val="24"/>
                <w:highlight w:val="none"/>
                <w:vertAlign w:val="baseline"/>
                <w:lang w:eastAsia="zh-CN"/>
              </w:rPr>
            </w:pPr>
          </w:p>
        </w:tc>
        <w:tc>
          <w:tcPr>
            <w:tcW w:w="3183" w:type="dxa"/>
            <w:gridSpan w:val="2"/>
            <w:vMerge w:val="continue"/>
            <w:vAlign w:val="center"/>
          </w:tcPr>
          <w:p w14:paraId="7D9B21E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417" w:type="dxa"/>
            <w:vAlign w:val="center"/>
          </w:tcPr>
          <w:p w14:paraId="2FEBA2EB">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展示区域内诊断机构、接入基层机构、诊断医师数量，分析诊断医师的职称对比和工作量排名</w:t>
            </w:r>
          </w:p>
        </w:tc>
        <w:tc>
          <w:tcPr>
            <w:tcW w:w="733" w:type="dxa"/>
            <w:vMerge w:val="continue"/>
            <w:vAlign w:val="center"/>
          </w:tcPr>
          <w:p w14:paraId="081D4DB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4C3E804">
            <w:pPr>
              <w:jc w:val="center"/>
              <w:rPr>
                <w:rFonts w:hint="eastAsia" w:ascii="宋体" w:hAnsi="宋体" w:eastAsia="宋体" w:cs="宋体"/>
                <w:b w:val="0"/>
                <w:bCs w:val="0"/>
                <w:color w:val="auto"/>
                <w:kern w:val="0"/>
                <w:sz w:val="20"/>
                <w:szCs w:val="20"/>
                <w:highlight w:val="none"/>
                <w:lang w:val="en-US" w:eastAsia="zh-CN" w:bidi="ar-SA"/>
              </w:rPr>
            </w:pPr>
          </w:p>
        </w:tc>
      </w:tr>
      <w:tr w14:paraId="52D11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2E7261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171</w:t>
            </w:r>
          </w:p>
        </w:tc>
        <w:tc>
          <w:tcPr>
            <w:tcW w:w="720" w:type="dxa"/>
            <w:vMerge w:val="continue"/>
            <w:vAlign w:val="center"/>
          </w:tcPr>
          <w:p w14:paraId="1F03F10A">
            <w:pPr>
              <w:jc w:val="center"/>
              <w:rPr>
                <w:rFonts w:hint="eastAsia" w:ascii="宋体" w:hAnsi="宋体" w:eastAsia="宋体" w:cs="宋体"/>
                <w:b/>
                <w:color w:val="auto"/>
                <w:sz w:val="24"/>
                <w:szCs w:val="24"/>
                <w:highlight w:val="none"/>
                <w:vertAlign w:val="baseline"/>
                <w:lang w:eastAsia="zh-CN"/>
              </w:rPr>
            </w:pPr>
          </w:p>
        </w:tc>
        <w:tc>
          <w:tcPr>
            <w:tcW w:w="3183" w:type="dxa"/>
            <w:gridSpan w:val="2"/>
            <w:vMerge w:val="continue"/>
            <w:vAlign w:val="center"/>
          </w:tcPr>
          <w:p w14:paraId="05EA9E8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417" w:type="dxa"/>
            <w:vAlign w:val="center"/>
          </w:tcPr>
          <w:p w14:paraId="3BB7C2B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通过地图展示各机构远程诊断的申请数量信息，点击地图上的机构名称，进行数据联动</w:t>
            </w:r>
          </w:p>
        </w:tc>
        <w:tc>
          <w:tcPr>
            <w:tcW w:w="733" w:type="dxa"/>
            <w:vMerge w:val="continue"/>
            <w:vAlign w:val="center"/>
          </w:tcPr>
          <w:p w14:paraId="78B5DD1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7D731A2">
            <w:pPr>
              <w:jc w:val="center"/>
              <w:rPr>
                <w:rFonts w:hint="eastAsia" w:ascii="宋体" w:hAnsi="宋体" w:eastAsia="宋体" w:cs="宋体"/>
                <w:b w:val="0"/>
                <w:bCs w:val="0"/>
                <w:color w:val="auto"/>
                <w:kern w:val="0"/>
                <w:sz w:val="20"/>
                <w:szCs w:val="20"/>
                <w:highlight w:val="none"/>
                <w:lang w:val="en-US" w:eastAsia="zh-CN" w:bidi="ar-SA"/>
              </w:rPr>
            </w:pPr>
          </w:p>
        </w:tc>
      </w:tr>
      <w:tr w14:paraId="5B8AB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90DDDB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172</w:t>
            </w:r>
          </w:p>
        </w:tc>
        <w:tc>
          <w:tcPr>
            <w:tcW w:w="720" w:type="dxa"/>
            <w:vMerge w:val="continue"/>
            <w:vAlign w:val="center"/>
          </w:tcPr>
          <w:p w14:paraId="629B2629">
            <w:pPr>
              <w:jc w:val="center"/>
              <w:rPr>
                <w:rFonts w:hint="eastAsia" w:ascii="宋体" w:hAnsi="宋体" w:eastAsia="宋体" w:cs="宋体"/>
                <w:b/>
                <w:color w:val="auto"/>
                <w:sz w:val="24"/>
                <w:szCs w:val="24"/>
                <w:highlight w:val="none"/>
                <w:vertAlign w:val="baseline"/>
                <w:lang w:eastAsia="zh-CN"/>
              </w:rPr>
            </w:pPr>
          </w:p>
        </w:tc>
        <w:tc>
          <w:tcPr>
            <w:tcW w:w="3183" w:type="dxa"/>
            <w:gridSpan w:val="2"/>
            <w:vMerge w:val="continue"/>
            <w:vAlign w:val="center"/>
          </w:tcPr>
          <w:p w14:paraId="773990A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417" w:type="dxa"/>
            <w:vAlign w:val="center"/>
          </w:tcPr>
          <w:p w14:paraId="31C6A8F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分析影像云诊人次的月度趋势和检查类别对比和疾病诊断排名；分析诊断时效，对诊断闭环过程的平均时长进行质控</w:t>
            </w:r>
          </w:p>
        </w:tc>
        <w:tc>
          <w:tcPr>
            <w:tcW w:w="733" w:type="dxa"/>
            <w:vMerge w:val="continue"/>
            <w:vAlign w:val="center"/>
          </w:tcPr>
          <w:p w14:paraId="08D3829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535143F">
            <w:pPr>
              <w:jc w:val="center"/>
              <w:rPr>
                <w:rFonts w:hint="eastAsia" w:ascii="宋体" w:hAnsi="宋体" w:eastAsia="宋体" w:cs="宋体"/>
                <w:b w:val="0"/>
                <w:bCs w:val="0"/>
                <w:color w:val="auto"/>
                <w:kern w:val="0"/>
                <w:sz w:val="20"/>
                <w:szCs w:val="20"/>
                <w:highlight w:val="none"/>
                <w:lang w:val="en-US" w:eastAsia="zh-CN" w:bidi="ar-SA"/>
              </w:rPr>
            </w:pPr>
          </w:p>
        </w:tc>
      </w:tr>
      <w:tr w14:paraId="0B487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2E5B83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173</w:t>
            </w:r>
          </w:p>
        </w:tc>
        <w:tc>
          <w:tcPr>
            <w:tcW w:w="720" w:type="dxa"/>
            <w:vMerge w:val="continue"/>
            <w:vAlign w:val="center"/>
          </w:tcPr>
          <w:p w14:paraId="105ACD79">
            <w:pPr>
              <w:jc w:val="center"/>
              <w:rPr>
                <w:rFonts w:hint="eastAsia" w:ascii="宋体" w:hAnsi="宋体" w:eastAsia="宋体" w:cs="宋体"/>
                <w:b/>
                <w:color w:val="auto"/>
                <w:sz w:val="24"/>
                <w:szCs w:val="24"/>
                <w:highlight w:val="none"/>
                <w:vertAlign w:val="baseline"/>
                <w:lang w:eastAsia="zh-CN"/>
              </w:rPr>
            </w:pPr>
          </w:p>
        </w:tc>
        <w:tc>
          <w:tcPr>
            <w:tcW w:w="3183" w:type="dxa"/>
            <w:gridSpan w:val="2"/>
            <w:vMerge w:val="continue"/>
            <w:vAlign w:val="center"/>
          </w:tcPr>
          <w:p w14:paraId="6C9BF9A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417" w:type="dxa"/>
            <w:vAlign w:val="center"/>
          </w:tcPr>
          <w:p w14:paraId="19B16D6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统计危急值上报数量，并按影像类别进行对比；统计诊断阳性率指标</w:t>
            </w:r>
          </w:p>
        </w:tc>
        <w:tc>
          <w:tcPr>
            <w:tcW w:w="733" w:type="dxa"/>
            <w:vMerge w:val="continue"/>
            <w:vAlign w:val="center"/>
          </w:tcPr>
          <w:p w14:paraId="7738394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0804CCF">
            <w:pPr>
              <w:jc w:val="center"/>
              <w:rPr>
                <w:rFonts w:hint="eastAsia" w:ascii="宋体" w:hAnsi="宋体" w:eastAsia="宋体" w:cs="宋体"/>
                <w:b w:val="0"/>
                <w:bCs w:val="0"/>
                <w:color w:val="auto"/>
                <w:kern w:val="0"/>
                <w:sz w:val="20"/>
                <w:szCs w:val="20"/>
                <w:highlight w:val="none"/>
                <w:lang w:val="en-US" w:eastAsia="zh-CN" w:bidi="ar-SA"/>
              </w:rPr>
            </w:pPr>
          </w:p>
        </w:tc>
      </w:tr>
    </w:tbl>
    <w:p w14:paraId="544A879C">
      <w:pPr>
        <w:keepNext w:val="0"/>
        <w:keepLines w:val="0"/>
        <w:pageBreakBefore w:val="0"/>
        <w:widowControl w:val="0"/>
        <w:numPr>
          <w:ilvl w:val="0"/>
          <w:numId w:val="0"/>
        </w:numPr>
        <w:kinsoku/>
        <w:wordWrap/>
        <w:overflowPunct/>
        <w:topLinePunct w:val="0"/>
        <w:autoSpaceDE/>
        <w:autoSpaceDN/>
        <w:bidi w:val="0"/>
        <w:adjustRightInd/>
        <w:snapToGrid/>
        <w:spacing w:line="420" w:lineRule="exact"/>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highlight w:val="yellow"/>
          <w:lang w:eastAsia="zh-CN"/>
        </w:rPr>
        <w:t>（二）</w:t>
      </w:r>
      <w:r>
        <w:rPr>
          <w:rFonts w:hint="eastAsia" w:ascii="宋体" w:hAnsi="宋体" w:eastAsia="宋体" w:cs="宋体"/>
          <w:highlight w:val="yellow"/>
          <w:lang w:val="en-US" w:eastAsia="zh-CN"/>
        </w:rPr>
        <w:t>-4：</w:t>
      </w:r>
      <w:r>
        <w:rPr>
          <w:rFonts w:hint="eastAsia" w:ascii="宋体" w:hAnsi="宋体" w:eastAsia="宋体" w:cs="宋体"/>
          <w:b w:val="0"/>
          <w:bCs w:val="0"/>
          <w:color w:val="auto"/>
          <w:kern w:val="0"/>
          <w:sz w:val="20"/>
          <w:szCs w:val="20"/>
          <w:highlight w:val="yellow"/>
          <w:lang w:val="en-US" w:eastAsia="zh-CN"/>
        </w:rPr>
        <w:t>智慧急救中心</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875"/>
        <w:gridCol w:w="2058"/>
        <w:gridCol w:w="4667"/>
        <w:gridCol w:w="733"/>
        <w:gridCol w:w="714"/>
      </w:tblGrid>
      <w:tr w14:paraId="26CC0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68A7FB6">
            <w:pPr>
              <w:widowControl/>
              <w:jc w:val="center"/>
              <w:rPr>
                <w:rFonts w:hint="eastAsia" w:ascii="仿宋" w:hAnsi="仿宋" w:eastAsia="仿宋" w:cs="宋体"/>
                <w:color w:val="auto"/>
                <w:sz w:val="22"/>
                <w:szCs w:val="22"/>
                <w:highlight w:val="none"/>
                <w:lang w:val="en-US" w:eastAsia="zh-CN"/>
              </w:rPr>
            </w:pPr>
            <w:r>
              <w:rPr>
                <w:rFonts w:hint="eastAsia" w:ascii="宋体" w:hAnsi="宋体" w:cs="宋体"/>
                <w:b/>
                <w:bCs/>
                <w:color w:val="auto"/>
                <w:kern w:val="0"/>
                <w:sz w:val="20"/>
                <w:szCs w:val="20"/>
                <w:highlight w:val="none"/>
              </w:rPr>
              <w:t>序号</w:t>
            </w:r>
          </w:p>
        </w:tc>
        <w:tc>
          <w:tcPr>
            <w:tcW w:w="3653" w:type="dxa"/>
            <w:gridSpan w:val="3"/>
            <w:vAlign w:val="center"/>
          </w:tcPr>
          <w:p w14:paraId="676A10F6">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建设内容</w:t>
            </w:r>
          </w:p>
        </w:tc>
        <w:tc>
          <w:tcPr>
            <w:tcW w:w="4667" w:type="dxa"/>
            <w:vAlign w:val="center"/>
          </w:tcPr>
          <w:p w14:paraId="260F8D7D">
            <w:pPr>
              <w:widowControl/>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2E77A58A">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单位</w:t>
            </w:r>
          </w:p>
        </w:tc>
        <w:tc>
          <w:tcPr>
            <w:tcW w:w="714" w:type="dxa"/>
            <w:vAlign w:val="center"/>
          </w:tcPr>
          <w:p w14:paraId="70327E2B">
            <w:pPr>
              <w:spacing w:line="240" w:lineRule="exact"/>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Cs w:val="21"/>
                <w:highlight w:val="none"/>
                <w:lang w:eastAsia="zh-CN"/>
              </w:rPr>
              <w:t>数量</w:t>
            </w:r>
          </w:p>
        </w:tc>
      </w:tr>
      <w:tr w14:paraId="425F1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48E0F7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174</w:t>
            </w:r>
          </w:p>
        </w:tc>
        <w:tc>
          <w:tcPr>
            <w:tcW w:w="720" w:type="dxa"/>
            <w:vMerge w:val="restart"/>
            <w:vAlign w:val="center"/>
          </w:tcPr>
          <w:p w14:paraId="3ADB1C4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调度子系统</w:t>
            </w:r>
          </w:p>
        </w:tc>
        <w:tc>
          <w:tcPr>
            <w:tcW w:w="875" w:type="dxa"/>
            <w:vMerge w:val="restart"/>
            <w:vAlign w:val="center"/>
          </w:tcPr>
          <w:p w14:paraId="269EDCE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调度台软件</w:t>
            </w:r>
          </w:p>
        </w:tc>
        <w:tc>
          <w:tcPr>
            <w:tcW w:w="2058" w:type="dxa"/>
            <w:vAlign w:val="center"/>
          </w:tcPr>
          <w:p w14:paraId="064004B6">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病情区分功能</w:t>
            </w:r>
          </w:p>
        </w:tc>
        <w:tc>
          <w:tcPr>
            <w:tcW w:w="4667" w:type="dxa"/>
            <w:vAlign w:val="center"/>
          </w:tcPr>
          <w:p w14:paraId="59C9859B">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派车后的车上病情根据不通颜色来区分，让调度更直观。</w:t>
            </w:r>
          </w:p>
        </w:tc>
        <w:tc>
          <w:tcPr>
            <w:tcW w:w="733" w:type="dxa"/>
            <w:vMerge w:val="restart"/>
            <w:vAlign w:val="center"/>
          </w:tcPr>
          <w:p w14:paraId="1BCB83D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525AD6D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6</w:t>
            </w:r>
          </w:p>
        </w:tc>
      </w:tr>
      <w:tr w14:paraId="42145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35B72B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175</w:t>
            </w:r>
          </w:p>
        </w:tc>
        <w:tc>
          <w:tcPr>
            <w:tcW w:w="720" w:type="dxa"/>
            <w:vMerge w:val="continue"/>
            <w:vAlign w:val="center"/>
          </w:tcPr>
          <w:p w14:paraId="0FA58B7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3D4982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4154ACD">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调度台状态监控</w:t>
            </w:r>
          </w:p>
        </w:tc>
        <w:tc>
          <w:tcPr>
            <w:tcW w:w="4667" w:type="dxa"/>
            <w:vAlign w:val="center"/>
          </w:tcPr>
          <w:p w14:paraId="14C2365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调度台状态具备【暂停状态】。【暂停状态】和【离席状态】都不分配电话，但是【暂停状态】为班长的工作时长，而【离席状态】则属于休息时长。</w:t>
            </w:r>
          </w:p>
        </w:tc>
        <w:tc>
          <w:tcPr>
            <w:tcW w:w="733" w:type="dxa"/>
            <w:vMerge w:val="continue"/>
            <w:vAlign w:val="center"/>
          </w:tcPr>
          <w:p w14:paraId="1402FBA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92DE4F4">
            <w:pPr>
              <w:jc w:val="center"/>
              <w:rPr>
                <w:rFonts w:hint="eastAsia" w:ascii="宋体" w:hAnsi="宋体" w:eastAsia="宋体" w:cs="宋体"/>
                <w:b w:val="0"/>
                <w:bCs w:val="0"/>
                <w:color w:val="auto"/>
                <w:kern w:val="0"/>
                <w:sz w:val="20"/>
                <w:szCs w:val="20"/>
                <w:highlight w:val="none"/>
                <w:lang w:val="en-US" w:eastAsia="zh-CN" w:bidi="ar-SA"/>
              </w:rPr>
            </w:pPr>
          </w:p>
        </w:tc>
      </w:tr>
      <w:tr w14:paraId="72AF9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BBA974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176</w:t>
            </w:r>
          </w:p>
        </w:tc>
        <w:tc>
          <w:tcPr>
            <w:tcW w:w="720" w:type="dxa"/>
            <w:vMerge w:val="continue"/>
            <w:vAlign w:val="center"/>
          </w:tcPr>
          <w:p w14:paraId="6A5BEB4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F02159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9757E15">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数字话机具备记录状态功能</w:t>
            </w:r>
          </w:p>
        </w:tc>
        <w:tc>
          <w:tcPr>
            <w:tcW w:w="4667" w:type="dxa"/>
            <w:vAlign w:val="center"/>
          </w:tcPr>
          <w:p w14:paraId="55CFE4D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【电话状态：空闲】和【电话状态：示忙】。调度台状态即使为就绪状态，但是话机为示忙状态，则也不分配电话。</w:t>
            </w:r>
          </w:p>
        </w:tc>
        <w:tc>
          <w:tcPr>
            <w:tcW w:w="733" w:type="dxa"/>
            <w:vMerge w:val="continue"/>
            <w:vAlign w:val="center"/>
          </w:tcPr>
          <w:p w14:paraId="30383E7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49D5BC3">
            <w:pPr>
              <w:jc w:val="center"/>
              <w:rPr>
                <w:rFonts w:hint="eastAsia" w:ascii="宋体" w:hAnsi="宋体" w:eastAsia="宋体" w:cs="宋体"/>
                <w:b w:val="0"/>
                <w:bCs w:val="0"/>
                <w:color w:val="auto"/>
                <w:kern w:val="0"/>
                <w:sz w:val="20"/>
                <w:szCs w:val="20"/>
                <w:highlight w:val="none"/>
                <w:lang w:val="en-US" w:eastAsia="zh-CN" w:bidi="ar-SA"/>
              </w:rPr>
            </w:pPr>
          </w:p>
        </w:tc>
      </w:tr>
      <w:tr w14:paraId="3F2B8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640F4D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177</w:t>
            </w:r>
          </w:p>
        </w:tc>
        <w:tc>
          <w:tcPr>
            <w:tcW w:w="720" w:type="dxa"/>
            <w:vMerge w:val="continue"/>
            <w:vAlign w:val="center"/>
          </w:tcPr>
          <w:p w14:paraId="6953405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F9D206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3950400">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话机状态具备自动置空闲功能</w:t>
            </w:r>
          </w:p>
        </w:tc>
        <w:tc>
          <w:tcPr>
            <w:tcW w:w="4667" w:type="dxa"/>
            <w:vAlign w:val="center"/>
          </w:tcPr>
          <w:p w14:paraId="67E5A9E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当话机手柄摘机，而未进行拨打电话，则话机在20秒后，自动置空闲，即使电话手柄未放好，电话状态也会变为空闲，保证120线路畅通。</w:t>
            </w:r>
          </w:p>
        </w:tc>
        <w:tc>
          <w:tcPr>
            <w:tcW w:w="733" w:type="dxa"/>
            <w:vMerge w:val="continue"/>
            <w:vAlign w:val="center"/>
          </w:tcPr>
          <w:p w14:paraId="38634A1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CCE9C95">
            <w:pPr>
              <w:jc w:val="center"/>
              <w:rPr>
                <w:rFonts w:hint="eastAsia" w:ascii="宋体" w:hAnsi="宋体" w:eastAsia="宋体" w:cs="宋体"/>
                <w:b w:val="0"/>
                <w:bCs w:val="0"/>
                <w:color w:val="auto"/>
                <w:kern w:val="0"/>
                <w:sz w:val="20"/>
                <w:szCs w:val="20"/>
                <w:highlight w:val="none"/>
                <w:lang w:val="en-US" w:eastAsia="zh-CN" w:bidi="ar-SA"/>
              </w:rPr>
            </w:pPr>
          </w:p>
        </w:tc>
      </w:tr>
      <w:tr w14:paraId="71EA5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CA14B2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178</w:t>
            </w:r>
          </w:p>
        </w:tc>
        <w:tc>
          <w:tcPr>
            <w:tcW w:w="720" w:type="dxa"/>
            <w:vMerge w:val="continue"/>
            <w:vAlign w:val="center"/>
          </w:tcPr>
          <w:p w14:paraId="7C4D77C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AEC815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D1529A9">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调度台具备班次记录功能</w:t>
            </w:r>
          </w:p>
        </w:tc>
        <w:tc>
          <w:tcPr>
            <w:tcW w:w="4667" w:type="dxa"/>
            <w:vAlign w:val="center"/>
          </w:tcPr>
          <w:p w14:paraId="4CB958A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调度员可以通过【系统信息】中，查看当班信息，统计工作时长、当班时长、电话接听率等数据。便于统计调度员工作量，实时显示工作量，让调度员可以积极工作！同时，为统计调度员工作量的考核提供依据，实现标准化管理提供依据。</w:t>
            </w:r>
          </w:p>
        </w:tc>
        <w:tc>
          <w:tcPr>
            <w:tcW w:w="733" w:type="dxa"/>
            <w:vMerge w:val="continue"/>
            <w:vAlign w:val="center"/>
          </w:tcPr>
          <w:p w14:paraId="1BB89CE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84DBD22">
            <w:pPr>
              <w:jc w:val="center"/>
              <w:rPr>
                <w:rFonts w:hint="eastAsia" w:ascii="宋体" w:hAnsi="宋体" w:eastAsia="宋体" w:cs="宋体"/>
                <w:b w:val="0"/>
                <w:bCs w:val="0"/>
                <w:color w:val="auto"/>
                <w:kern w:val="0"/>
                <w:sz w:val="20"/>
                <w:szCs w:val="20"/>
                <w:highlight w:val="none"/>
                <w:lang w:val="en-US" w:eastAsia="zh-CN" w:bidi="ar-SA"/>
              </w:rPr>
            </w:pPr>
          </w:p>
        </w:tc>
      </w:tr>
      <w:tr w14:paraId="00298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859A64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179</w:t>
            </w:r>
          </w:p>
        </w:tc>
        <w:tc>
          <w:tcPr>
            <w:tcW w:w="720" w:type="dxa"/>
            <w:vMerge w:val="continue"/>
            <w:vAlign w:val="center"/>
          </w:tcPr>
          <w:p w14:paraId="439053F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C0809C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543FE21">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自动计算行驶路径</w:t>
            </w:r>
          </w:p>
        </w:tc>
        <w:tc>
          <w:tcPr>
            <w:tcW w:w="4667" w:type="dxa"/>
            <w:vAlign w:val="center"/>
          </w:tcPr>
          <w:p w14:paraId="6D9785B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系统可综合路况信息及地理信息，自动计算待命车辆到达事发现场的行驶路径、时间，而非直线距离。</w:t>
            </w:r>
          </w:p>
        </w:tc>
        <w:tc>
          <w:tcPr>
            <w:tcW w:w="733" w:type="dxa"/>
            <w:vMerge w:val="continue"/>
            <w:vAlign w:val="center"/>
          </w:tcPr>
          <w:p w14:paraId="587569C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B71DC0E">
            <w:pPr>
              <w:jc w:val="center"/>
              <w:rPr>
                <w:rFonts w:hint="eastAsia" w:ascii="宋体" w:hAnsi="宋体" w:eastAsia="宋体" w:cs="宋体"/>
                <w:b w:val="0"/>
                <w:bCs w:val="0"/>
                <w:color w:val="auto"/>
                <w:kern w:val="0"/>
                <w:sz w:val="20"/>
                <w:szCs w:val="20"/>
                <w:highlight w:val="none"/>
                <w:lang w:val="en-US" w:eastAsia="zh-CN" w:bidi="ar-SA"/>
              </w:rPr>
            </w:pPr>
          </w:p>
        </w:tc>
      </w:tr>
      <w:tr w14:paraId="40E83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0A2EED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180</w:t>
            </w:r>
          </w:p>
        </w:tc>
        <w:tc>
          <w:tcPr>
            <w:tcW w:w="720" w:type="dxa"/>
            <w:vMerge w:val="continue"/>
            <w:vAlign w:val="center"/>
          </w:tcPr>
          <w:p w14:paraId="6C6D4B7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595E74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7B2C177">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报停车辆查询</w:t>
            </w:r>
          </w:p>
        </w:tc>
        <w:tc>
          <w:tcPr>
            <w:tcW w:w="4667" w:type="dxa"/>
            <w:vAlign w:val="center"/>
          </w:tcPr>
          <w:p w14:paraId="382F2DD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对于报停车辆，增加记录查询。</w:t>
            </w:r>
          </w:p>
        </w:tc>
        <w:tc>
          <w:tcPr>
            <w:tcW w:w="733" w:type="dxa"/>
            <w:vMerge w:val="continue"/>
            <w:vAlign w:val="center"/>
          </w:tcPr>
          <w:p w14:paraId="490593D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A9F4B94">
            <w:pPr>
              <w:jc w:val="center"/>
              <w:rPr>
                <w:rFonts w:hint="eastAsia" w:ascii="宋体" w:hAnsi="宋体" w:eastAsia="宋体" w:cs="宋体"/>
                <w:b w:val="0"/>
                <w:bCs w:val="0"/>
                <w:color w:val="auto"/>
                <w:kern w:val="0"/>
                <w:sz w:val="20"/>
                <w:szCs w:val="20"/>
                <w:highlight w:val="none"/>
                <w:lang w:val="en-US" w:eastAsia="zh-CN" w:bidi="ar-SA"/>
              </w:rPr>
            </w:pPr>
          </w:p>
        </w:tc>
      </w:tr>
      <w:tr w14:paraId="57CB9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0FF2C1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181</w:t>
            </w:r>
          </w:p>
        </w:tc>
        <w:tc>
          <w:tcPr>
            <w:tcW w:w="720" w:type="dxa"/>
            <w:vMerge w:val="continue"/>
            <w:vAlign w:val="center"/>
          </w:tcPr>
          <w:p w14:paraId="71027EB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68EB57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05C2F30">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分站救治能力查询</w:t>
            </w:r>
          </w:p>
        </w:tc>
        <w:tc>
          <w:tcPr>
            <w:tcW w:w="4667" w:type="dxa"/>
            <w:vAlign w:val="center"/>
          </w:tcPr>
          <w:p w14:paraId="390F8A4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分站救治能力可显示在派车列表中，方便调度员派更适合的车辆出车。</w:t>
            </w:r>
          </w:p>
        </w:tc>
        <w:tc>
          <w:tcPr>
            <w:tcW w:w="733" w:type="dxa"/>
            <w:vMerge w:val="continue"/>
            <w:vAlign w:val="center"/>
          </w:tcPr>
          <w:p w14:paraId="76D2453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473A176">
            <w:pPr>
              <w:jc w:val="center"/>
              <w:rPr>
                <w:rFonts w:hint="eastAsia" w:ascii="宋体" w:hAnsi="宋体" w:eastAsia="宋体" w:cs="宋体"/>
                <w:b w:val="0"/>
                <w:bCs w:val="0"/>
                <w:color w:val="auto"/>
                <w:kern w:val="0"/>
                <w:sz w:val="20"/>
                <w:szCs w:val="20"/>
                <w:highlight w:val="none"/>
                <w:lang w:val="en-US" w:eastAsia="zh-CN" w:bidi="ar-SA"/>
              </w:rPr>
            </w:pPr>
          </w:p>
        </w:tc>
      </w:tr>
      <w:tr w14:paraId="172DA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AEA332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182</w:t>
            </w:r>
          </w:p>
        </w:tc>
        <w:tc>
          <w:tcPr>
            <w:tcW w:w="720" w:type="dxa"/>
            <w:vMerge w:val="continue"/>
            <w:vAlign w:val="center"/>
          </w:tcPr>
          <w:p w14:paraId="288E00C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4B3D50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D04BACE">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双活功能</w:t>
            </w:r>
          </w:p>
        </w:tc>
        <w:tc>
          <w:tcPr>
            <w:tcW w:w="4667" w:type="dxa"/>
            <w:vAlign w:val="center"/>
          </w:tcPr>
          <w:p w14:paraId="5AE2216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调度台程序在主备服务器之间切换，可实现一键完成。</w:t>
            </w:r>
          </w:p>
        </w:tc>
        <w:tc>
          <w:tcPr>
            <w:tcW w:w="733" w:type="dxa"/>
            <w:vMerge w:val="continue"/>
            <w:vAlign w:val="center"/>
          </w:tcPr>
          <w:p w14:paraId="18C0244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4AFE448">
            <w:pPr>
              <w:jc w:val="center"/>
              <w:rPr>
                <w:rFonts w:hint="eastAsia" w:ascii="宋体" w:hAnsi="宋体" w:eastAsia="宋体" w:cs="宋体"/>
                <w:b w:val="0"/>
                <w:bCs w:val="0"/>
                <w:color w:val="auto"/>
                <w:kern w:val="0"/>
                <w:sz w:val="20"/>
                <w:szCs w:val="20"/>
                <w:highlight w:val="none"/>
                <w:lang w:val="en-US" w:eastAsia="zh-CN" w:bidi="ar-SA"/>
              </w:rPr>
            </w:pPr>
          </w:p>
        </w:tc>
      </w:tr>
      <w:tr w14:paraId="5DFF1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202524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183</w:t>
            </w:r>
          </w:p>
        </w:tc>
        <w:tc>
          <w:tcPr>
            <w:tcW w:w="720" w:type="dxa"/>
            <w:vMerge w:val="continue"/>
            <w:vAlign w:val="center"/>
          </w:tcPr>
          <w:p w14:paraId="346CCC1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DE5377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9BE2193">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班长台电子围栏提醒功能</w:t>
            </w:r>
          </w:p>
        </w:tc>
        <w:tc>
          <w:tcPr>
            <w:tcW w:w="4667" w:type="dxa"/>
            <w:vAlign w:val="center"/>
          </w:tcPr>
          <w:p w14:paraId="7BE5555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当非任务中的车辆，定位超出设定的城市范围。班长台会收到通知：那辆车已超出围栏。</w:t>
            </w:r>
          </w:p>
        </w:tc>
        <w:tc>
          <w:tcPr>
            <w:tcW w:w="733" w:type="dxa"/>
            <w:vMerge w:val="continue"/>
            <w:vAlign w:val="center"/>
          </w:tcPr>
          <w:p w14:paraId="255DE78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2802E65">
            <w:pPr>
              <w:jc w:val="center"/>
              <w:rPr>
                <w:rFonts w:hint="eastAsia" w:ascii="宋体" w:hAnsi="宋体" w:eastAsia="宋体" w:cs="宋体"/>
                <w:b w:val="0"/>
                <w:bCs w:val="0"/>
                <w:color w:val="auto"/>
                <w:kern w:val="0"/>
                <w:sz w:val="20"/>
                <w:szCs w:val="20"/>
                <w:highlight w:val="none"/>
                <w:lang w:val="en-US" w:eastAsia="zh-CN" w:bidi="ar-SA"/>
              </w:rPr>
            </w:pPr>
          </w:p>
        </w:tc>
      </w:tr>
      <w:tr w14:paraId="724D2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F30ACE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184</w:t>
            </w:r>
          </w:p>
        </w:tc>
        <w:tc>
          <w:tcPr>
            <w:tcW w:w="720" w:type="dxa"/>
            <w:vMerge w:val="continue"/>
            <w:vAlign w:val="center"/>
          </w:tcPr>
          <w:p w14:paraId="2F5269A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043EF7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BDEE56A">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自动升级</w:t>
            </w:r>
          </w:p>
        </w:tc>
        <w:tc>
          <w:tcPr>
            <w:tcW w:w="4667" w:type="dxa"/>
            <w:vAlign w:val="center"/>
          </w:tcPr>
          <w:p w14:paraId="1FEE95AB">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在完成服务器的升级后，调度台在登录时，自动检测程序版本，如果有新版本程序，可进入升级，自动完成调度台程序更新。</w:t>
            </w:r>
          </w:p>
        </w:tc>
        <w:tc>
          <w:tcPr>
            <w:tcW w:w="733" w:type="dxa"/>
            <w:vMerge w:val="continue"/>
            <w:vAlign w:val="center"/>
          </w:tcPr>
          <w:p w14:paraId="4CB2BCC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F9F2299">
            <w:pPr>
              <w:jc w:val="center"/>
              <w:rPr>
                <w:rFonts w:hint="eastAsia" w:ascii="宋体" w:hAnsi="宋体" w:eastAsia="宋体" w:cs="宋体"/>
                <w:b w:val="0"/>
                <w:bCs w:val="0"/>
                <w:color w:val="auto"/>
                <w:kern w:val="0"/>
                <w:sz w:val="20"/>
                <w:szCs w:val="20"/>
                <w:highlight w:val="none"/>
                <w:lang w:val="en-US" w:eastAsia="zh-CN" w:bidi="ar-SA"/>
              </w:rPr>
            </w:pPr>
          </w:p>
        </w:tc>
      </w:tr>
      <w:tr w14:paraId="1E523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9D035B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185</w:t>
            </w:r>
          </w:p>
        </w:tc>
        <w:tc>
          <w:tcPr>
            <w:tcW w:w="720" w:type="dxa"/>
            <w:vMerge w:val="continue"/>
            <w:vAlign w:val="center"/>
          </w:tcPr>
          <w:p w14:paraId="2EB8334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32515D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D18A45C">
            <w:pPr>
              <w:keepNext w:val="0"/>
              <w:keepLines w:val="0"/>
              <w:widowControl/>
              <w:suppressLineNumbers w:val="0"/>
              <w:ind w:firstLine="200" w:firstLineChars="10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事件的历史回看</w:t>
            </w:r>
          </w:p>
        </w:tc>
        <w:tc>
          <w:tcPr>
            <w:tcW w:w="4667" w:type="dxa"/>
            <w:vAlign w:val="center"/>
          </w:tcPr>
          <w:p w14:paraId="1CD126F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可以查看到当时派车时，事发地点定位及附近待命车辆和分站位置和医院信息的历史回看。</w:t>
            </w:r>
          </w:p>
        </w:tc>
        <w:tc>
          <w:tcPr>
            <w:tcW w:w="733" w:type="dxa"/>
            <w:vMerge w:val="continue"/>
            <w:vAlign w:val="center"/>
          </w:tcPr>
          <w:p w14:paraId="3C694B8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68FD126">
            <w:pPr>
              <w:jc w:val="center"/>
              <w:rPr>
                <w:rFonts w:hint="eastAsia" w:ascii="宋体" w:hAnsi="宋体" w:eastAsia="宋体" w:cs="宋体"/>
                <w:b w:val="0"/>
                <w:bCs w:val="0"/>
                <w:color w:val="auto"/>
                <w:kern w:val="0"/>
                <w:sz w:val="20"/>
                <w:szCs w:val="20"/>
                <w:highlight w:val="none"/>
                <w:lang w:val="en-US" w:eastAsia="zh-CN" w:bidi="ar-SA"/>
              </w:rPr>
            </w:pPr>
          </w:p>
        </w:tc>
      </w:tr>
      <w:tr w14:paraId="691FF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48A05F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186</w:t>
            </w:r>
          </w:p>
        </w:tc>
        <w:tc>
          <w:tcPr>
            <w:tcW w:w="720" w:type="dxa"/>
            <w:vMerge w:val="continue"/>
            <w:vAlign w:val="center"/>
          </w:tcPr>
          <w:p w14:paraId="08DB785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B93E09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EDC8EF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调度台软件</w:t>
            </w:r>
          </w:p>
        </w:tc>
        <w:tc>
          <w:tcPr>
            <w:tcW w:w="4667" w:type="dxa"/>
            <w:vAlign w:val="center"/>
          </w:tcPr>
          <w:p w14:paraId="6A55228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调度子系统调度台软件</w:t>
            </w:r>
          </w:p>
        </w:tc>
        <w:tc>
          <w:tcPr>
            <w:tcW w:w="733" w:type="dxa"/>
            <w:vMerge w:val="continue"/>
            <w:vAlign w:val="center"/>
          </w:tcPr>
          <w:p w14:paraId="28636AD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ECCC419">
            <w:pPr>
              <w:jc w:val="center"/>
              <w:rPr>
                <w:rFonts w:hint="eastAsia" w:ascii="宋体" w:hAnsi="宋体" w:eastAsia="宋体" w:cs="宋体"/>
                <w:b w:val="0"/>
                <w:bCs w:val="0"/>
                <w:color w:val="auto"/>
                <w:kern w:val="0"/>
                <w:sz w:val="20"/>
                <w:szCs w:val="20"/>
                <w:highlight w:val="none"/>
                <w:lang w:val="en-US" w:eastAsia="zh-CN" w:bidi="ar-SA"/>
              </w:rPr>
            </w:pPr>
          </w:p>
        </w:tc>
      </w:tr>
      <w:tr w14:paraId="15365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8C89F75">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187</w:t>
            </w:r>
          </w:p>
        </w:tc>
        <w:tc>
          <w:tcPr>
            <w:tcW w:w="720" w:type="dxa"/>
            <w:vMerge w:val="continue"/>
            <w:vAlign w:val="center"/>
          </w:tcPr>
          <w:p w14:paraId="4C9ABE19">
            <w:pPr>
              <w:jc w:val="center"/>
              <w:rPr>
                <w:rFonts w:hint="eastAsia" w:ascii="宋体" w:hAnsi="宋体" w:eastAsia="宋体" w:cs="宋体"/>
                <w:b/>
                <w:color w:val="auto"/>
                <w:sz w:val="24"/>
                <w:szCs w:val="24"/>
                <w:highlight w:val="none"/>
                <w:vertAlign w:val="baseline"/>
                <w:lang w:eastAsia="zh-CN"/>
              </w:rPr>
            </w:pPr>
          </w:p>
        </w:tc>
        <w:tc>
          <w:tcPr>
            <w:tcW w:w="2933" w:type="dxa"/>
            <w:gridSpan w:val="2"/>
            <w:vAlign w:val="center"/>
          </w:tcPr>
          <w:p w14:paraId="1D9EDB9F">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短信双向定位平台</w:t>
            </w:r>
          </w:p>
        </w:tc>
        <w:tc>
          <w:tcPr>
            <w:tcW w:w="4667" w:type="dxa"/>
            <w:vAlign w:val="center"/>
          </w:tcPr>
          <w:p w14:paraId="0EBA889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当呼救者拨打120电话却无法准确描述求助的位置时，调度系统可发送一条短信至其手机，短信内含有定位链接，呼救者在手机GPS打开的情况下，点击该链接，调度系统即可收到准确的位置信息，然后安排最优路径前往救治。此外，派完车后，系统还可以给车组和呼救人发送短信，实现车组和呼救人的双向定位。</w:t>
            </w:r>
          </w:p>
        </w:tc>
        <w:tc>
          <w:tcPr>
            <w:tcW w:w="733" w:type="dxa"/>
            <w:vAlign w:val="center"/>
          </w:tcPr>
          <w:p w14:paraId="58EAC0B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02DD4BF8">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79818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583" w:type="dxa"/>
            <w:vAlign w:val="center"/>
          </w:tcPr>
          <w:p w14:paraId="7C64297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188</w:t>
            </w:r>
          </w:p>
        </w:tc>
        <w:tc>
          <w:tcPr>
            <w:tcW w:w="720" w:type="dxa"/>
            <w:vMerge w:val="restart"/>
            <w:vAlign w:val="center"/>
          </w:tcPr>
          <w:p w14:paraId="4A80484A">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急救分站信息服务端</w:t>
            </w:r>
          </w:p>
        </w:tc>
        <w:tc>
          <w:tcPr>
            <w:tcW w:w="875" w:type="dxa"/>
            <w:vMerge w:val="restart"/>
            <w:vAlign w:val="center"/>
          </w:tcPr>
          <w:p w14:paraId="3E1F9D4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急救分站软件</w:t>
            </w:r>
          </w:p>
        </w:tc>
        <w:tc>
          <w:tcPr>
            <w:tcW w:w="2058" w:type="dxa"/>
            <w:vAlign w:val="center"/>
          </w:tcPr>
          <w:p w14:paraId="1C95204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人员车辆</w:t>
            </w:r>
          </w:p>
        </w:tc>
        <w:tc>
          <w:tcPr>
            <w:tcW w:w="4667" w:type="dxa"/>
            <w:vAlign w:val="center"/>
          </w:tcPr>
          <w:p w14:paraId="083DEE7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软件具有管理本分站及所属急救站的人员车辆功能。</w:t>
            </w:r>
          </w:p>
        </w:tc>
        <w:tc>
          <w:tcPr>
            <w:tcW w:w="733" w:type="dxa"/>
            <w:vMerge w:val="restart"/>
            <w:vAlign w:val="center"/>
          </w:tcPr>
          <w:p w14:paraId="4588CBA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3E5208B0">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8</w:t>
            </w:r>
          </w:p>
        </w:tc>
      </w:tr>
      <w:tr w14:paraId="79429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583" w:type="dxa"/>
            <w:vAlign w:val="center"/>
          </w:tcPr>
          <w:p w14:paraId="3D1278D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189</w:t>
            </w:r>
          </w:p>
        </w:tc>
        <w:tc>
          <w:tcPr>
            <w:tcW w:w="720" w:type="dxa"/>
            <w:vMerge w:val="continue"/>
            <w:vAlign w:val="center"/>
          </w:tcPr>
          <w:p w14:paraId="2F024B1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5724B9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C16FDE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药品仪器卫材</w:t>
            </w:r>
          </w:p>
        </w:tc>
        <w:tc>
          <w:tcPr>
            <w:tcW w:w="4667" w:type="dxa"/>
            <w:vAlign w:val="center"/>
          </w:tcPr>
          <w:p w14:paraId="1BC807D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软件具有管理本分站及所属急救站的药品仪器卫材功能。</w:t>
            </w:r>
          </w:p>
        </w:tc>
        <w:tc>
          <w:tcPr>
            <w:tcW w:w="733" w:type="dxa"/>
            <w:vMerge w:val="continue"/>
            <w:vAlign w:val="center"/>
          </w:tcPr>
          <w:p w14:paraId="7D94F9A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5FB42E3">
            <w:pPr>
              <w:jc w:val="center"/>
              <w:rPr>
                <w:rFonts w:hint="eastAsia" w:ascii="宋体" w:hAnsi="宋体" w:eastAsia="宋体" w:cs="宋体"/>
                <w:b w:val="0"/>
                <w:bCs w:val="0"/>
                <w:color w:val="auto"/>
                <w:kern w:val="0"/>
                <w:sz w:val="20"/>
                <w:szCs w:val="20"/>
                <w:highlight w:val="none"/>
                <w:lang w:val="en-US" w:eastAsia="zh-CN" w:bidi="ar-SA"/>
              </w:rPr>
            </w:pPr>
          </w:p>
        </w:tc>
      </w:tr>
      <w:tr w14:paraId="6B272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83" w:type="dxa"/>
            <w:vAlign w:val="center"/>
          </w:tcPr>
          <w:p w14:paraId="5DDCC4B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190</w:t>
            </w:r>
          </w:p>
        </w:tc>
        <w:tc>
          <w:tcPr>
            <w:tcW w:w="720" w:type="dxa"/>
            <w:vMerge w:val="continue"/>
            <w:vAlign w:val="center"/>
          </w:tcPr>
          <w:p w14:paraId="058F2DC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365776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FC5F30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急救病历</w:t>
            </w:r>
          </w:p>
        </w:tc>
        <w:tc>
          <w:tcPr>
            <w:tcW w:w="4667" w:type="dxa"/>
            <w:vAlign w:val="center"/>
          </w:tcPr>
          <w:p w14:paraId="4DCCDF1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软件具有管理本分站及所属急救站的急救病历功能。</w:t>
            </w:r>
          </w:p>
        </w:tc>
        <w:tc>
          <w:tcPr>
            <w:tcW w:w="733" w:type="dxa"/>
            <w:vMerge w:val="continue"/>
            <w:vAlign w:val="center"/>
          </w:tcPr>
          <w:p w14:paraId="373BB57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4B6AB8B">
            <w:pPr>
              <w:jc w:val="center"/>
              <w:rPr>
                <w:rFonts w:hint="eastAsia" w:ascii="宋体" w:hAnsi="宋体" w:eastAsia="宋体" w:cs="宋体"/>
                <w:b w:val="0"/>
                <w:bCs w:val="0"/>
                <w:color w:val="auto"/>
                <w:kern w:val="0"/>
                <w:sz w:val="20"/>
                <w:szCs w:val="20"/>
                <w:highlight w:val="none"/>
                <w:lang w:val="en-US" w:eastAsia="zh-CN" w:bidi="ar-SA"/>
              </w:rPr>
            </w:pPr>
          </w:p>
        </w:tc>
      </w:tr>
      <w:tr w14:paraId="0A00C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trPr>
        <w:tc>
          <w:tcPr>
            <w:tcW w:w="583" w:type="dxa"/>
            <w:vAlign w:val="center"/>
          </w:tcPr>
          <w:p w14:paraId="569A03D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191</w:t>
            </w:r>
          </w:p>
        </w:tc>
        <w:tc>
          <w:tcPr>
            <w:tcW w:w="720" w:type="dxa"/>
            <w:vMerge w:val="continue"/>
            <w:vAlign w:val="center"/>
          </w:tcPr>
          <w:p w14:paraId="616DABE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566BAC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51BA34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急救分站出车监控</w:t>
            </w:r>
          </w:p>
        </w:tc>
        <w:tc>
          <w:tcPr>
            <w:tcW w:w="4667" w:type="dxa"/>
            <w:vAlign w:val="center"/>
          </w:tcPr>
          <w:p w14:paraId="1BA1BAA5">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系统需要对急救分站出车等工作情况进行监视，图像实时传回中心，图像传输通道依赖于急救专网，以便大型事故时领导实施应急指挥调度。</w:t>
            </w:r>
          </w:p>
        </w:tc>
        <w:tc>
          <w:tcPr>
            <w:tcW w:w="733" w:type="dxa"/>
            <w:vMerge w:val="continue"/>
            <w:vAlign w:val="center"/>
          </w:tcPr>
          <w:p w14:paraId="11495BD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E9F6339">
            <w:pPr>
              <w:jc w:val="center"/>
              <w:rPr>
                <w:rFonts w:hint="eastAsia" w:ascii="宋体" w:hAnsi="宋体" w:eastAsia="宋体" w:cs="宋体"/>
                <w:b w:val="0"/>
                <w:bCs w:val="0"/>
                <w:color w:val="auto"/>
                <w:kern w:val="0"/>
                <w:sz w:val="20"/>
                <w:szCs w:val="20"/>
                <w:highlight w:val="none"/>
                <w:lang w:val="en-US" w:eastAsia="zh-CN" w:bidi="ar-SA"/>
              </w:rPr>
            </w:pPr>
          </w:p>
        </w:tc>
      </w:tr>
      <w:tr w14:paraId="0CCCD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A0DFBDB">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192</w:t>
            </w:r>
          </w:p>
        </w:tc>
        <w:tc>
          <w:tcPr>
            <w:tcW w:w="720" w:type="dxa"/>
            <w:vMerge w:val="continue"/>
            <w:vAlign w:val="center"/>
          </w:tcPr>
          <w:p w14:paraId="4433B314">
            <w:pPr>
              <w:jc w:val="center"/>
              <w:rPr>
                <w:rFonts w:hint="eastAsia" w:ascii="宋体" w:hAnsi="宋体" w:eastAsia="宋体" w:cs="宋体"/>
                <w:b/>
                <w:color w:val="auto"/>
                <w:sz w:val="24"/>
                <w:szCs w:val="24"/>
                <w:highlight w:val="none"/>
                <w:vertAlign w:val="baseline"/>
                <w:lang w:eastAsia="zh-CN"/>
              </w:rPr>
            </w:pPr>
          </w:p>
        </w:tc>
        <w:tc>
          <w:tcPr>
            <w:tcW w:w="2933" w:type="dxa"/>
            <w:gridSpan w:val="2"/>
            <w:vAlign w:val="center"/>
          </w:tcPr>
          <w:p w14:paraId="3A6A34C9">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院内系统标准化接口</w:t>
            </w:r>
          </w:p>
        </w:tc>
        <w:tc>
          <w:tcPr>
            <w:tcW w:w="4667" w:type="dxa"/>
            <w:vAlign w:val="center"/>
          </w:tcPr>
          <w:p w14:paraId="4CC3CB9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含院内系统对接、市急救平台对接、市AED平台对接</w:t>
            </w:r>
          </w:p>
        </w:tc>
        <w:tc>
          <w:tcPr>
            <w:tcW w:w="733" w:type="dxa"/>
            <w:vAlign w:val="center"/>
          </w:tcPr>
          <w:p w14:paraId="6C492B6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09F8E2C5">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19DFE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AF5304A">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193</w:t>
            </w:r>
          </w:p>
        </w:tc>
        <w:tc>
          <w:tcPr>
            <w:tcW w:w="720" w:type="dxa"/>
            <w:vMerge w:val="continue"/>
            <w:vAlign w:val="center"/>
          </w:tcPr>
          <w:p w14:paraId="705AA8FF">
            <w:pPr>
              <w:jc w:val="center"/>
              <w:rPr>
                <w:rFonts w:hint="eastAsia" w:ascii="宋体" w:hAnsi="宋体" w:eastAsia="宋体" w:cs="宋体"/>
                <w:b/>
                <w:color w:val="auto"/>
                <w:sz w:val="24"/>
                <w:szCs w:val="24"/>
                <w:highlight w:val="none"/>
                <w:vertAlign w:val="baseline"/>
                <w:lang w:eastAsia="zh-CN"/>
              </w:rPr>
            </w:pPr>
          </w:p>
        </w:tc>
        <w:tc>
          <w:tcPr>
            <w:tcW w:w="2933" w:type="dxa"/>
            <w:gridSpan w:val="2"/>
            <w:vAlign w:val="center"/>
          </w:tcPr>
          <w:p w14:paraId="38F91EB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心电监护仪接入平台</w:t>
            </w:r>
          </w:p>
        </w:tc>
        <w:tc>
          <w:tcPr>
            <w:tcW w:w="4667" w:type="dxa"/>
            <w:vAlign w:val="center"/>
          </w:tcPr>
          <w:p w14:paraId="667515B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在对救护车进行智能化升级改造前提下，救护车载监护仪体征数据及报告通过 4G/5G 无线网络实时传输到平台，平台端体征监测设备数据采集服务可实现监护仪数据的接收和转发功能，同时为各会诊终端提供救护车上的体征数据及报告，与救护车和定点医疗机构会诊端体征数据的实时共享。</w:t>
            </w:r>
          </w:p>
        </w:tc>
        <w:tc>
          <w:tcPr>
            <w:tcW w:w="733" w:type="dxa"/>
            <w:vAlign w:val="center"/>
          </w:tcPr>
          <w:p w14:paraId="55DDC85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17991A7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E27B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FDECAB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194</w:t>
            </w:r>
          </w:p>
        </w:tc>
        <w:tc>
          <w:tcPr>
            <w:tcW w:w="720" w:type="dxa"/>
            <w:vMerge w:val="restart"/>
            <w:vAlign w:val="center"/>
          </w:tcPr>
          <w:p w14:paraId="286D8997">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急救信息综合管理子系统-电子收费板块</w:t>
            </w:r>
          </w:p>
        </w:tc>
        <w:tc>
          <w:tcPr>
            <w:tcW w:w="875" w:type="dxa"/>
            <w:vMerge w:val="restart"/>
            <w:vAlign w:val="center"/>
          </w:tcPr>
          <w:p w14:paraId="6CBBCA7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120库存管理系统</w:t>
            </w:r>
          </w:p>
        </w:tc>
        <w:tc>
          <w:tcPr>
            <w:tcW w:w="2058" w:type="dxa"/>
            <w:vAlign w:val="center"/>
          </w:tcPr>
          <w:p w14:paraId="756A309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药品和耗材供应商管理</w:t>
            </w:r>
          </w:p>
        </w:tc>
        <w:tc>
          <w:tcPr>
            <w:tcW w:w="4667" w:type="dxa"/>
            <w:vAlign w:val="center"/>
          </w:tcPr>
          <w:p w14:paraId="16DC101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提供药品和耗材供应商管理功能。</w:t>
            </w:r>
          </w:p>
        </w:tc>
        <w:tc>
          <w:tcPr>
            <w:tcW w:w="733" w:type="dxa"/>
            <w:vMerge w:val="restart"/>
            <w:vAlign w:val="center"/>
          </w:tcPr>
          <w:p w14:paraId="385AF03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36E9FEB1">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451D7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1FF0A3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195</w:t>
            </w:r>
          </w:p>
        </w:tc>
        <w:tc>
          <w:tcPr>
            <w:tcW w:w="720" w:type="dxa"/>
            <w:vMerge w:val="continue"/>
            <w:vAlign w:val="center"/>
          </w:tcPr>
          <w:p w14:paraId="70DB9B2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89A727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D8DC5C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药品和耗材类别管理</w:t>
            </w:r>
          </w:p>
        </w:tc>
        <w:tc>
          <w:tcPr>
            <w:tcW w:w="4667" w:type="dxa"/>
            <w:vAlign w:val="center"/>
          </w:tcPr>
          <w:p w14:paraId="13E74F5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提供药品和耗材类别管理功能。</w:t>
            </w:r>
          </w:p>
        </w:tc>
        <w:tc>
          <w:tcPr>
            <w:tcW w:w="733" w:type="dxa"/>
            <w:vMerge w:val="continue"/>
            <w:vAlign w:val="center"/>
          </w:tcPr>
          <w:p w14:paraId="7EC2315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56DF364">
            <w:pPr>
              <w:jc w:val="center"/>
              <w:rPr>
                <w:rFonts w:hint="eastAsia" w:ascii="宋体" w:hAnsi="宋体" w:eastAsia="宋体" w:cs="宋体"/>
                <w:b w:val="0"/>
                <w:bCs w:val="0"/>
                <w:color w:val="auto"/>
                <w:kern w:val="0"/>
                <w:sz w:val="20"/>
                <w:szCs w:val="20"/>
                <w:highlight w:val="none"/>
                <w:lang w:val="en-US" w:eastAsia="zh-CN" w:bidi="ar-SA"/>
              </w:rPr>
            </w:pPr>
          </w:p>
        </w:tc>
      </w:tr>
      <w:tr w14:paraId="14985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AB0EC0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196</w:t>
            </w:r>
          </w:p>
        </w:tc>
        <w:tc>
          <w:tcPr>
            <w:tcW w:w="720" w:type="dxa"/>
            <w:vMerge w:val="continue"/>
            <w:vAlign w:val="center"/>
          </w:tcPr>
          <w:p w14:paraId="4E4BB5E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FAB00F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33FEA0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药品和耗材资料</w:t>
            </w:r>
          </w:p>
        </w:tc>
        <w:tc>
          <w:tcPr>
            <w:tcW w:w="4667" w:type="dxa"/>
            <w:vAlign w:val="center"/>
          </w:tcPr>
          <w:p w14:paraId="6CE8504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提供药品和耗材资料功能。</w:t>
            </w:r>
          </w:p>
        </w:tc>
        <w:tc>
          <w:tcPr>
            <w:tcW w:w="733" w:type="dxa"/>
            <w:vMerge w:val="continue"/>
            <w:vAlign w:val="center"/>
          </w:tcPr>
          <w:p w14:paraId="4BEEBA1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7939CD7">
            <w:pPr>
              <w:jc w:val="center"/>
              <w:rPr>
                <w:rFonts w:hint="eastAsia" w:ascii="宋体" w:hAnsi="宋体" w:eastAsia="宋体" w:cs="宋体"/>
                <w:b w:val="0"/>
                <w:bCs w:val="0"/>
                <w:color w:val="auto"/>
                <w:kern w:val="0"/>
                <w:sz w:val="20"/>
                <w:szCs w:val="20"/>
                <w:highlight w:val="none"/>
                <w:lang w:val="en-US" w:eastAsia="zh-CN" w:bidi="ar-SA"/>
              </w:rPr>
            </w:pPr>
          </w:p>
        </w:tc>
      </w:tr>
      <w:tr w14:paraId="3645E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BC6571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197</w:t>
            </w:r>
          </w:p>
        </w:tc>
        <w:tc>
          <w:tcPr>
            <w:tcW w:w="720" w:type="dxa"/>
            <w:vMerge w:val="continue"/>
            <w:vAlign w:val="center"/>
          </w:tcPr>
          <w:p w14:paraId="2453001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879982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21B902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药品和耗材入库管理</w:t>
            </w:r>
          </w:p>
        </w:tc>
        <w:tc>
          <w:tcPr>
            <w:tcW w:w="4667" w:type="dxa"/>
            <w:vAlign w:val="center"/>
          </w:tcPr>
          <w:p w14:paraId="219EA1D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提供药品和耗材入库管理功能。</w:t>
            </w:r>
          </w:p>
        </w:tc>
        <w:tc>
          <w:tcPr>
            <w:tcW w:w="733" w:type="dxa"/>
            <w:vMerge w:val="continue"/>
            <w:vAlign w:val="center"/>
          </w:tcPr>
          <w:p w14:paraId="7207FC8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3B9730A">
            <w:pPr>
              <w:jc w:val="center"/>
              <w:rPr>
                <w:rFonts w:hint="eastAsia" w:ascii="宋体" w:hAnsi="宋体" w:eastAsia="宋体" w:cs="宋体"/>
                <w:b w:val="0"/>
                <w:bCs w:val="0"/>
                <w:color w:val="auto"/>
                <w:kern w:val="0"/>
                <w:sz w:val="20"/>
                <w:szCs w:val="20"/>
                <w:highlight w:val="none"/>
                <w:lang w:val="en-US" w:eastAsia="zh-CN" w:bidi="ar-SA"/>
              </w:rPr>
            </w:pPr>
          </w:p>
        </w:tc>
      </w:tr>
      <w:tr w14:paraId="6E3D6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17D643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198</w:t>
            </w:r>
          </w:p>
        </w:tc>
        <w:tc>
          <w:tcPr>
            <w:tcW w:w="720" w:type="dxa"/>
            <w:vMerge w:val="continue"/>
            <w:vAlign w:val="center"/>
          </w:tcPr>
          <w:p w14:paraId="7A594B3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145EB3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9FD899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药品和耗材出库管理</w:t>
            </w:r>
          </w:p>
        </w:tc>
        <w:tc>
          <w:tcPr>
            <w:tcW w:w="4667" w:type="dxa"/>
            <w:vAlign w:val="center"/>
          </w:tcPr>
          <w:p w14:paraId="6AE3D32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提供药品和耗材出库管理功能。</w:t>
            </w:r>
          </w:p>
        </w:tc>
        <w:tc>
          <w:tcPr>
            <w:tcW w:w="733" w:type="dxa"/>
            <w:vMerge w:val="continue"/>
            <w:vAlign w:val="center"/>
          </w:tcPr>
          <w:p w14:paraId="2368C20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0CB6B24">
            <w:pPr>
              <w:jc w:val="center"/>
              <w:rPr>
                <w:rFonts w:hint="eastAsia" w:ascii="宋体" w:hAnsi="宋体" w:eastAsia="宋体" w:cs="宋体"/>
                <w:b w:val="0"/>
                <w:bCs w:val="0"/>
                <w:color w:val="auto"/>
                <w:kern w:val="0"/>
                <w:sz w:val="20"/>
                <w:szCs w:val="20"/>
                <w:highlight w:val="none"/>
                <w:lang w:val="en-US" w:eastAsia="zh-CN" w:bidi="ar-SA"/>
              </w:rPr>
            </w:pPr>
          </w:p>
        </w:tc>
      </w:tr>
      <w:tr w14:paraId="292E8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48D352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199</w:t>
            </w:r>
          </w:p>
        </w:tc>
        <w:tc>
          <w:tcPr>
            <w:tcW w:w="720" w:type="dxa"/>
            <w:vMerge w:val="continue"/>
            <w:vAlign w:val="center"/>
          </w:tcPr>
          <w:p w14:paraId="772A5AD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6A1631F">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5671D5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药品和耗材转库管理</w:t>
            </w:r>
          </w:p>
        </w:tc>
        <w:tc>
          <w:tcPr>
            <w:tcW w:w="4667" w:type="dxa"/>
            <w:vAlign w:val="center"/>
          </w:tcPr>
          <w:p w14:paraId="34569DE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提供药品和耗材转库管理功能。</w:t>
            </w:r>
          </w:p>
        </w:tc>
        <w:tc>
          <w:tcPr>
            <w:tcW w:w="733" w:type="dxa"/>
            <w:vMerge w:val="continue"/>
            <w:vAlign w:val="center"/>
          </w:tcPr>
          <w:p w14:paraId="0DC5964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EEE5071">
            <w:pPr>
              <w:jc w:val="center"/>
              <w:rPr>
                <w:rFonts w:hint="eastAsia" w:ascii="宋体" w:hAnsi="宋体" w:eastAsia="宋体" w:cs="宋体"/>
                <w:b w:val="0"/>
                <w:bCs w:val="0"/>
                <w:color w:val="auto"/>
                <w:kern w:val="0"/>
                <w:sz w:val="20"/>
                <w:szCs w:val="20"/>
                <w:highlight w:val="none"/>
                <w:lang w:val="en-US" w:eastAsia="zh-CN" w:bidi="ar-SA"/>
              </w:rPr>
            </w:pPr>
          </w:p>
        </w:tc>
      </w:tr>
      <w:tr w14:paraId="5D47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DD4B86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200</w:t>
            </w:r>
          </w:p>
        </w:tc>
        <w:tc>
          <w:tcPr>
            <w:tcW w:w="720" w:type="dxa"/>
            <w:vMerge w:val="continue"/>
            <w:vAlign w:val="center"/>
          </w:tcPr>
          <w:p w14:paraId="57DAAE7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FDBACC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D66EE1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药品和耗材盘点管理</w:t>
            </w:r>
          </w:p>
        </w:tc>
        <w:tc>
          <w:tcPr>
            <w:tcW w:w="4667" w:type="dxa"/>
            <w:vAlign w:val="center"/>
          </w:tcPr>
          <w:p w14:paraId="36250EE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提供药品和耗材盘点管理功能。</w:t>
            </w:r>
          </w:p>
        </w:tc>
        <w:tc>
          <w:tcPr>
            <w:tcW w:w="733" w:type="dxa"/>
            <w:vMerge w:val="continue"/>
            <w:vAlign w:val="center"/>
          </w:tcPr>
          <w:p w14:paraId="341F28A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6181EDA">
            <w:pPr>
              <w:jc w:val="center"/>
              <w:rPr>
                <w:rFonts w:hint="eastAsia" w:ascii="宋体" w:hAnsi="宋体" w:eastAsia="宋体" w:cs="宋体"/>
                <w:b w:val="0"/>
                <w:bCs w:val="0"/>
                <w:color w:val="auto"/>
                <w:kern w:val="0"/>
                <w:sz w:val="20"/>
                <w:szCs w:val="20"/>
                <w:highlight w:val="none"/>
                <w:lang w:val="en-US" w:eastAsia="zh-CN" w:bidi="ar-SA"/>
              </w:rPr>
            </w:pPr>
          </w:p>
        </w:tc>
      </w:tr>
      <w:tr w14:paraId="562E9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58E376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201</w:t>
            </w:r>
          </w:p>
        </w:tc>
        <w:tc>
          <w:tcPr>
            <w:tcW w:w="720" w:type="dxa"/>
            <w:vMerge w:val="continue"/>
            <w:vAlign w:val="center"/>
          </w:tcPr>
          <w:p w14:paraId="1D0C304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7AB136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9B2EDC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药品和耗材物品报警</w:t>
            </w:r>
          </w:p>
        </w:tc>
        <w:tc>
          <w:tcPr>
            <w:tcW w:w="4667" w:type="dxa"/>
            <w:vAlign w:val="center"/>
          </w:tcPr>
          <w:p w14:paraId="329E606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物品的低量报警、物品失效报警、物品临近过期报警（失效期-设置的提前量单位天）、物品经领报警。</w:t>
            </w:r>
          </w:p>
        </w:tc>
        <w:tc>
          <w:tcPr>
            <w:tcW w:w="733" w:type="dxa"/>
            <w:vMerge w:val="continue"/>
            <w:vAlign w:val="center"/>
          </w:tcPr>
          <w:p w14:paraId="67F37E8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F6C71EA">
            <w:pPr>
              <w:jc w:val="center"/>
              <w:rPr>
                <w:rFonts w:hint="eastAsia" w:ascii="宋体" w:hAnsi="宋体" w:eastAsia="宋体" w:cs="宋体"/>
                <w:b w:val="0"/>
                <w:bCs w:val="0"/>
                <w:color w:val="auto"/>
                <w:kern w:val="0"/>
                <w:sz w:val="20"/>
                <w:szCs w:val="20"/>
                <w:highlight w:val="none"/>
                <w:lang w:val="en-US" w:eastAsia="zh-CN" w:bidi="ar-SA"/>
              </w:rPr>
            </w:pPr>
          </w:p>
        </w:tc>
      </w:tr>
      <w:tr w14:paraId="30DFD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118991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202</w:t>
            </w:r>
          </w:p>
        </w:tc>
        <w:tc>
          <w:tcPr>
            <w:tcW w:w="720" w:type="dxa"/>
            <w:vMerge w:val="continue"/>
            <w:vAlign w:val="center"/>
          </w:tcPr>
          <w:p w14:paraId="2A0BAE5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AE708D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39F06A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药品和耗材申请单管理</w:t>
            </w:r>
          </w:p>
        </w:tc>
        <w:tc>
          <w:tcPr>
            <w:tcW w:w="4667" w:type="dxa"/>
            <w:vAlign w:val="center"/>
          </w:tcPr>
          <w:p w14:paraId="35AC9C5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提供药品和耗材申请单管理功能。</w:t>
            </w:r>
          </w:p>
        </w:tc>
        <w:tc>
          <w:tcPr>
            <w:tcW w:w="733" w:type="dxa"/>
            <w:vMerge w:val="continue"/>
            <w:vAlign w:val="center"/>
          </w:tcPr>
          <w:p w14:paraId="15A0BC4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EFE48F0">
            <w:pPr>
              <w:jc w:val="center"/>
              <w:rPr>
                <w:rFonts w:hint="eastAsia" w:ascii="宋体" w:hAnsi="宋体" w:eastAsia="宋体" w:cs="宋体"/>
                <w:b w:val="0"/>
                <w:bCs w:val="0"/>
                <w:color w:val="auto"/>
                <w:kern w:val="0"/>
                <w:sz w:val="20"/>
                <w:szCs w:val="20"/>
                <w:highlight w:val="none"/>
                <w:lang w:val="en-US" w:eastAsia="zh-CN" w:bidi="ar-SA"/>
              </w:rPr>
            </w:pPr>
          </w:p>
        </w:tc>
      </w:tr>
      <w:tr w14:paraId="32DA8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1B4CC6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203</w:t>
            </w:r>
          </w:p>
        </w:tc>
        <w:tc>
          <w:tcPr>
            <w:tcW w:w="720" w:type="dxa"/>
            <w:vMerge w:val="continue"/>
            <w:vAlign w:val="center"/>
          </w:tcPr>
          <w:p w14:paraId="2E062D8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5F67D8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91A347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药品和耗材库存物资变动统计</w:t>
            </w:r>
          </w:p>
        </w:tc>
        <w:tc>
          <w:tcPr>
            <w:tcW w:w="4667" w:type="dxa"/>
            <w:vAlign w:val="center"/>
          </w:tcPr>
          <w:p w14:paraId="6D43584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提供药品和耗材库存物资变动统计功能。</w:t>
            </w:r>
          </w:p>
        </w:tc>
        <w:tc>
          <w:tcPr>
            <w:tcW w:w="733" w:type="dxa"/>
            <w:vMerge w:val="continue"/>
            <w:vAlign w:val="center"/>
          </w:tcPr>
          <w:p w14:paraId="5B28163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483C8B5">
            <w:pPr>
              <w:jc w:val="center"/>
              <w:rPr>
                <w:rFonts w:hint="eastAsia" w:ascii="宋体" w:hAnsi="宋体" w:eastAsia="宋体" w:cs="宋体"/>
                <w:b w:val="0"/>
                <w:bCs w:val="0"/>
                <w:color w:val="auto"/>
                <w:kern w:val="0"/>
                <w:sz w:val="20"/>
                <w:szCs w:val="20"/>
                <w:highlight w:val="none"/>
                <w:lang w:val="en-US" w:eastAsia="zh-CN" w:bidi="ar-SA"/>
              </w:rPr>
            </w:pPr>
          </w:p>
        </w:tc>
      </w:tr>
      <w:tr w14:paraId="308CB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EDB37D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204</w:t>
            </w:r>
          </w:p>
        </w:tc>
        <w:tc>
          <w:tcPr>
            <w:tcW w:w="720" w:type="dxa"/>
            <w:vMerge w:val="continue"/>
            <w:vAlign w:val="center"/>
          </w:tcPr>
          <w:p w14:paraId="2F54231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407B4A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9CDB69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分站申领功能</w:t>
            </w:r>
          </w:p>
        </w:tc>
        <w:tc>
          <w:tcPr>
            <w:tcW w:w="4667" w:type="dxa"/>
            <w:vAlign w:val="center"/>
          </w:tcPr>
          <w:p w14:paraId="5E8649C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建立建设药品和耗材库存，设立中心人员工号、分站账号及管理人员账号权限。药品和耗材申领需有个人在个人账号中发起，由分站汇总，发起申领由中心管理人员审核批准。批准通过后通过系统反馈至分站及个人，再由分站确立人员集中申领。</w:t>
            </w:r>
          </w:p>
        </w:tc>
        <w:tc>
          <w:tcPr>
            <w:tcW w:w="733" w:type="dxa"/>
            <w:vMerge w:val="continue"/>
            <w:vAlign w:val="center"/>
          </w:tcPr>
          <w:p w14:paraId="6D656CD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9BC943F">
            <w:pPr>
              <w:jc w:val="center"/>
              <w:rPr>
                <w:rFonts w:hint="eastAsia" w:ascii="宋体" w:hAnsi="宋体" w:eastAsia="宋体" w:cs="宋体"/>
                <w:b w:val="0"/>
                <w:bCs w:val="0"/>
                <w:color w:val="auto"/>
                <w:kern w:val="0"/>
                <w:sz w:val="20"/>
                <w:szCs w:val="20"/>
                <w:highlight w:val="none"/>
                <w:lang w:val="en-US" w:eastAsia="zh-CN" w:bidi="ar-SA"/>
              </w:rPr>
            </w:pPr>
          </w:p>
        </w:tc>
      </w:tr>
      <w:tr w14:paraId="68A8F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CBF2AF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205</w:t>
            </w:r>
          </w:p>
        </w:tc>
        <w:tc>
          <w:tcPr>
            <w:tcW w:w="720" w:type="dxa"/>
            <w:vMerge w:val="continue"/>
            <w:vAlign w:val="center"/>
          </w:tcPr>
          <w:p w14:paraId="2628085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D25F78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81D1C1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与电子病历关联</w:t>
            </w:r>
          </w:p>
        </w:tc>
        <w:tc>
          <w:tcPr>
            <w:tcW w:w="4667" w:type="dxa"/>
            <w:vAlign w:val="center"/>
          </w:tcPr>
          <w:p w14:paraId="3854A3D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所有药品及耗材均与电子病历系统关联，在中心人员出警任务中填写电子病历，所用耗材与药品均在药品耗材库中关联体现，以此确保每件药品及耗材的流向，做到精细化管理目标</w:t>
            </w:r>
          </w:p>
        </w:tc>
        <w:tc>
          <w:tcPr>
            <w:tcW w:w="733" w:type="dxa"/>
            <w:vMerge w:val="continue"/>
            <w:vAlign w:val="center"/>
          </w:tcPr>
          <w:p w14:paraId="59400FD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58C53F3">
            <w:pPr>
              <w:jc w:val="center"/>
              <w:rPr>
                <w:rFonts w:hint="eastAsia" w:ascii="宋体" w:hAnsi="宋体" w:eastAsia="宋体" w:cs="宋体"/>
                <w:b w:val="0"/>
                <w:bCs w:val="0"/>
                <w:color w:val="auto"/>
                <w:kern w:val="0"/>
                <w:sz w:val="20"/>
                <w:szCs w:val="20"/>
                <w:highlight w:val="none"/>
                <w:lang w:val="en-US" w:eastAsia="zh-CN" w:bidi="ar-SA"/>
              </w:rPr>
            </w:pPr>
          </w:p>
        </w:tc>
      </w:tr>
      <w:tr w14:paraId="7612D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11F85E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206</w:t>
            </w:r>
          </w:p>
        </w:tc>
        <w:tc>
          <w:tcPr>
            <w:tcW w:w="720" w:type="dxa"/>
            <w:vMerge w:val="continue"/>
            <w:vAlign w:val="center"/>
          </w:tcPr>
          <w:p w14:paraId="58FD9CE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67D694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24CF22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库存管理系统</w:t>
            </w:r>
          </w:p>
        </w:tc>
        <w:tc>
          <w:tcPr>
            <w:tcW w:w="4667" w:type="dxa"/>
            <w:vAlign w:val="center"/>
          </w:tcPr>
          <w:p w14:paraId="07188FF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急救信息综合管理子系统-电子收费板块</w:t>
            </w:r>
            <w:r>
              <w:rPr>
                <w:rFonts w:hint="eastAsia" w:ascii="宋体" w:hAnsi="宋体" w:eastAsia="宋体" w:cs="宋体"/>
                <w:b w:val="0"/>
                <w:bCs w:val="0"/>
                <w:color w:val="auto"/>
                <w:kern w:val="0"/>
                <w:sz w:val="20"/>
                <w:szCs w:val="20"/>
                <w:highlight w:val="none"/>
                <w:lang w:val="en-US" w:eastAsia="zh-CN"/>
              </w:rPr>
              <w:t>120库存管理系统软件</w:t>
            </w:r>
          </w:p>
        </w:tc>
        <w:tc>
          <w:tcPr>
            <w:tcW w:w="733" w:type="dxa"/>
            <w:vMerge w:val="continue"/>
            <w:vAlign w:val="center"/>
          </w:tcPr>
          <w:p w14:paraId="773797B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B5AB4DC">
            <w:pPr>
              <w:jc w:val="center"/>
              <w:rPr>
                <w:rFonts w:hint="eastAsia" w:ascii="宋体" w:hAnsi="宋体" w:eastAsia="宋体" w:cs="宋体"/>
                <w:b w:val="0"/>
                <w:bCs w:val="0"/>
                <w:color w:val="auto"/>
                <w:kern w:val="0"/>
                <w:sz w:val="20"/>
                <w:szCs w:val="20"/>
                <w:highlight w:val="none"/>
                <w:lang w:val="en-US" w:eastAsia="zh-CN" w:bidi="ar-SA"/>
              </w:rPr>
            </w:pPr>
          </w:p>
        </w:tc>
      </w:tr>
      <w:tr w14:paraId="6268A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E930FD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207</w:t>
            </w:r>
          </w:p>
        </w:tc>
        <w:tc>
          <w:tcPr>
            <w:tcW w:w="720" w:type="dxa"/>
            <w:vMerge w:val="continue"/>
            <w:vAlign w:val="center"/>
          </w:tcPr>
          <w:p w14:paraId="49EA8C47">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2FCF0A8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急救处方、药品和收费一体化处理软件</w:t>
            </w:r>
          </w:p>
        </w:tc>
        <w:tc>
          <w:tcPr>
            <w:tcW w:w="2058" w:type="dxa"/>
            <w:vAlign w:val="center"/>
          </w:tcPr>
          <w:p w14:paraId="68D43A9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与电子病历关联</w:t>
            </w:r>
          </w:p>
        </w:tc>
        <w:tc>
          <w:tcPr>
            <w:tcW w:w="4667" w:type="dxa"/>
            <w:vAlign w:val="center"/>
          </w:tcPr>
          <w:p w14:paraId="04010BE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系统可依据此事件医生所填写病历（用药、救治措施）、里程数自动计算应收费用。收费环节设置两种收费方式（现金收费、移动支付），增加未收、实收填输通道。</w:t>
            </w:r>
          </w:p>
        </w:tc>
        <w:tc>
          <w:tcPr>
            <w:tcW w:w="733" w:type="dxa"/>
            <w:vMerge w:val="restart"/>
            <w:vAlign w:val="center"/>
          </w:tcPr>
          <w:p w14:paraId="5CB0D7C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394CAC57">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60311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29CDC8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208</w:t>
            </w:r>
          </w:p>
        </w:tc>
        <w:tc>
          <w:tcPr>
            <w:tcW w:w="720" w:type="dxa"/>
            <w:vMerge w:val="continue"/>
            <w:vAlign w:val="center"/>
          </w:tcPr>
          <w:p w14:paraId="421349A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CD41F3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BFF3FE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收费清单生成及打印模块</w:t>
            </w:r>
          </w:p>
        </w:tc>
        <w:tc>
          <w:tcPr>
            <w:tcW w:w="4667" w:type="dxa"/>
            <w:vAlign w:val="center"/>
          </w:tcPr>
          <w:p w14:paraId="4ED0CF1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在医护人员将病家送至目的地后，随车医护人员通过随车便携式打印机打印出收费清单，清单中含移动支付通道（二维码）。</w:t>
            </w:r>
          </w:p>
        </w:tc>
        <w:tc>
          <w:tcPr>
            <w:tcW w:w="733" w:type="dxa"/>
            <w:vMerge w:val="continue"/>
            <w:vAlign w:val="center"/>
          </w:tcPr>
          <w:p w14:paraId="5A35891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5FB103B">
            <w:pPr>
              <w:jc w:val="center"/>
              <w:rPr>
                <w:rFonts w:hint="eastAsia" w:ascii="宋体" w:hAnsi="宋体" w:eastAsia="宋体" w:cs="宋体"/>
                <w:b w:val="0"/>
                <w:bCs w:val="0"/>
                <w:color w:val="auto"/>
                <w:kern w:val="0"/>
                <w:sz w:val="20"/>
                <w:szCs w:val="20"/>
                <w:highlight w:val="none"/>
                <w:lang w:val="en-US" w:eastAsia="zh-CN" w:bidi="ar-SA"/>
              </w:rPr>
            </w:pPr>
          </w:p>
        </w:tc>
      </w:tr>
      <w:tr w14:paraId="05C69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62C348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209</w:t>
            </w:r>
          </w:p>
        </w:tc>
        <w:tc>
          <w:tcPr>
            <w:tcW w:w="720" w:type="dxa"/>
            <w:vMerge w:val="continue"/>
            <w:vAlign w:val="center"/>
          </w:tcPr>
          <w:p w14:paraId="423CCCA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B4EBBA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A4961C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与支付平台对接</w:t>
            </w:r>
          </w:p>
        </w:tc>
        <w:tc>
          <w:tcPr>
            <w:tcW w:w="4667" w:type="dxa"/>
            <w:vAlign w:val="center"/>
          </w:tcPr>
          <w:p w14:paraId="19855E5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院前急救移动支付平台与第三方支付系统进行定制化对接，以实现双系统中的数据传输。包含收费金额推送、收费状态反馈、退费等。</w:t>
            </w:r>
          </w:p>
        </w:tc>
        <w:tc>
          <w:tcPr>
            <w:tcW w:w="733" w:type="dxa"/>
            <w:vMerge w:val="continue"/>
            <w:vAlign w:val="center"/>
          </w:tcPr>
          <w:p w14:paraId="53E1370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78D6D40">
            <w:pPr>
              <w:jc w:val="center"/>
              <w:rPr>
                <w:rFonts w:hint="eastAsia" w:ascii="宋体" w:hAnsi="宋体" w:eastAsia="宋体" w:cs="宋体"/>
                <w:b w:val="0"/>
                <w:bCs w:val="0"/>
                <w:color w:val="auto"/>
                <w:kern w:val="0"/>
                <w:sz w:val="20"/>
                <w:szCs w:val="20"/>
                <w:highlight w:val="none"/>
                <w:lang w:val="en-US" w:eastAsia="zh-CN" w:bidi="ar-SA"/>
              </w:rPr>
            </w:pPr>
          </w:p>
        </w:tc>
      </w:tr>
      <w:tr w14:paraId="4E073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2280EC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210</w:t>
            </w:r>
          </w:p>
        </w:tc>
        <w:tc>
          <w:tcPr>
            <w:tcW w:w="720" w:type="dxa"/>
            <w:vMerge w:val="continue"/>
            <w:vAlign w:val="center"/>
          </w:tcPr>
          <w:p w14:paraId="1714A3C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940838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A2676A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退费模块</w:t>
            </w:r>
          </w:p>
        </w:tc>
        <w:tc>
          <w:tcPr>
            <w:tcW w:w="4667" w:type="dxa"/>
            <w:vAlign w:val="center"/>
          </w:tcPr>
          <w:p w14:paraId="7F179B6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建设退费通道，针对错收、多收等情况平台需具备退费能力。</w:t>
            </w:r>
          </w:p>
        </w:tc>
        <w:tc>
          <w:tcPr>
            <w:tcW w:w="733" w:type="dxa"/>
            <w:vMerge w:val="continue"/>
            <w:vAlign w:val="center"/>
          </w:tcPr>
          <w:p w14:paraId="13F9106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51E3FC8">
            <w:pPr>
              <w:jc w:val="center"/>
              <w:rPr>
                <w:rFonts w:hint="eastAsia" w:ascii="宋体" w:hAnsi="宋体" w:eastAsia="宋体" w:cs="宋体"/>
                <w:b w:val="0"/>
                <w:bCs w:val="0"/>
                <w:color w:val="auto"/>
                <w:kern w:val="0"/>
                <w:sz w:val="20"/>
                <w:szCs w:val="20"/>
                <w:highlight w:val="none"/>
                <w:lang w:val="en-US" w:eastAsia="zh-CN" w:bidi="ar-SA"/>
              </w:rPr>
            </w:pPr>
          </w:p>
        </w:tc>
      </w:tr>
      <w:tr w14:paraId="56C36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F2877C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211</w:t>
            </w:r>
          </w:p>
        </w:tc>
        <w:tc>
          <w:tcPr>
            <w:tcW w:w="720" w:type="dxa"/>
            <w:vMerge w:val="continue"/>
            <w:vAlign w:val="center"/>
          </w:tcPr>
          <w:p w14:paraId="13DB71C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2543F8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8F6BB3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急救处方、药品和收费一体化处理软件</w:t>
            </w:r>
          </w:p>
        </w:tc>
        <w:tc>
          <w:tcPr>
            <w:tcW w:w="4667" w:type="dxa"/>
            <w:vAlign w:val="center"/>
          </w:tcPr>
          <w:p w14:paraId="7AB1084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急救信息综合管理子系统-电子收费板块</w:t>
            </w:r>
            <w:r>
              <w:rPr>
                <w:rFonts w:hint="eastAsia" w:ascii="宋体" w:hAnsi="宋体" w:eastAsia="宋体" w:cs="宋体"/>
                <w:b w:val="0"/>
                <w:bCs w:val="0"/>
                <w:color w:val="auto"/>
                <w:kern w:val="0"/>
                <w:sz w:val="20"/>
                <w:szCs w:val="20"/>
                <w:highlight w:val="none"/>
                <w:lang w:val="en-US" w:eastAsia="zh-CN"/>
              </w:rPr>
              <w:t>急救处方、药品和收费一体化处理软件</w:t>
            </w:r>
          </w:p>
        </w:tc>
        <w:tc>
          <w:tcPr>
            <w:tcW w:w="733" w:type="dxa"/>
            <w:vMerge w:val="continue"/>
            <w:vAlign w:val="center"/>
          </w:tcPr>
          <w:p w14:paraId="2A11760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0408D36">
            <w:pPr>
              <w:jc w:val="center"/>
              <w:rPr>
                <w:rFonts w:hint="eastAsia" w:ascii="宋体" w:hAnsi="宋体" w:eastAsia="宋体" w:cs="宋体"/>
                <w:b w:val="0"/>
                <w:bCs w:val="0"/>
                <w:color w:val="auto"/>
                <w:kern w:val="0"/>
                <w:sz w:val="20"/>
                <w:szCs w:val="20"/>
                <w:highlight w:val="none"/>
                <w:lang w:val="en-US" w:eastAsia="zh-CN" w:bidi="ar-SA"/>
              </w:rPr>
            </w:pPr>
          </w:p>
        </w:tc>
      </w:tr>
      <w:tr w14:paraId="4A276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901023C">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212</w:t>
            </w:r>
          </w:p>
        </w:tc>
        <w:tc>
          <w:tcPr>
            <w:tcW w:w="720" w:type="dxa"/>
            <w:vMerge w:val="continue"/>
            <w:vAlign w:val="center"/>
          </w:tcPr>
          <w:p w14:paraId="2ADDF7F8">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3E39802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急救票据管理</w:t>
            </w:r>
          </w:p>
        </w:tc>
        <w:tc>
          <w:tcPr>
            <w:tcW w:w="2058" w:type="dxa"/>
            <w:vAlign w:val="center"/>
          </w:tcPr>
          <w:p w14:paraId="01D0D50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电子票据号管理模块</w:t>
            </w:r>
          </w:p>
        </w:tc>
        <w:tc>
          <w:tcPr>
            <w:tcW w:w="4667" w:type="dxa"/>
            <w:vAlign w:val="center"/>
          </w:tcPr>
          <w:p w14:paraId="049A3A3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电子票据号申请状态、余量查询、使用、作废、余量告警等功能。</w:t>
            </w:r>
          </w:p>
        </w:tc>
        <w:tc>
          <w:tcPr>
            <w:tcW w:w="733" w:type="dxa"/>
            <w:vMerge w:val="restart"/>
            <w:vAlign w:val="center"/>
          </w:tcPr>
          <w:p w14:paraId="7DCDBEE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7C70B411">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4C81C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AA6496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213</w:t>
            </w:r>
          </w:p>
        </w:tc>
        <w:tc>
          <w:tcPr>
            <w:tcW w:w="720" w:type="dxa"/>
            <w:vMerge w:val="continue"/>
            <w:vAlign w:val="center"/>
          </w:tcPr>
          <w:p w14:paraId="22AD0EF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17D512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0C4F44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电子票据开票模块</w:t>
            </w:r>
          </w:p>
        </w:tc>
        <w:tc>
          <w:tcPr>
            <w:tcW w:w="4667" w:type="dxa"/>
            <w:vAlign w:val="center"/>
          </w:tcPr>
          <w:p w14:paraId="42405F4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电子票据开票、作废、重开等功能。</w:t>
            </w:r>
          </w:p>
        </w:tc>
        <w:tc>
          <w:tcPr>
            <w:tcW w:w="733" w:type="dxa"/>
            <w:vMerge w:val="continue"/>
            <w:vAlign w:val="center"/>
          </w:tcPr>
          <w:p w14:paraId="7129C81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7457B8F">
            <w:pPr>
              <w:jc w:val="center"/>
              <w:rPr>
                <w:rFonts w:hint="eastAsia" w:ascii="宋体" w:hAnsi="宋体" w:eastAsia="宋体" w:cs="宋体"/>
                <w:b w:val="0"/>
                <w:bCs w:val="0"/>
                <w:color w:val="auto"/>
                <w:kern w:val="0"/>
                <w:sz w:val="20"/>
                <w:szCs w:val="20"/>
                <w:highlight w:val="none"/>
                <w:lang w:val="en-US" w:eastAsia="zh-CN" w:bidi="ar-SA"/>
              </w:rPr>
            </w:pPr>
          </w:p>
        </w:tc>
      </w:tr>
      <w:tr w14:paraId="24459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D6EEAB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214</w:t>
            </w:r>
          </w:p>
        </w:tc>
        <w:tc>
          <w:tcPr>
            <w:tcW w:w="720" w:type="dxa"/>
            <w:vMerge w:val="continue"/>
            <w:vAlign w:val="center"/>
          </w:tcPr>
          <w:p w14:paraId="309EF88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F8BF20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6435EF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开票情况查询模块</w:t>
            </w:r>
          </w:p>
        </w:tc>
        <w:tc>
          <w:tcPr>
            <w:tcW w:w="4667" w:type="dxa"/>
            <w:vAlign w:val="center"/>
          </w:tcPr>
          <w:p w14:paraId="23D908D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查询当前收费电子票据开票情况，包含开票日期、票据种类名称、票据代码、票据号码、开票时间、当前状态等。</w:t>
            </w:r>
          </w:p>
        </w:tc>
        <w:tc>
          <w:tcPr>
            <w:tcW w:w="733" w:type="dxa"/>
            <w:vMerge w:val="continue"/>
            <w:vAlign w:val="center"/>
          </w:tcPr>
          <w:p w14:paraId="3041D22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6DBC3A7">
            <w:pPr>
              <w:jc w:val="center"/>
              <w:rPr>
                <w:rFonts w:hint="eastAsia" w:ascii="宋体" w:hAnsi="宋体" w:eastAsia="宋体" w:cs="宋体"/>
                <w:b w:val="0"/>
                <w:bCs w:val="0"/>
                <w:color w:val="auto"/>
                <w:kern w:val="0"/>
                <w:sz w:val="20"/>
                <w:szCs w:val="20"/>
                <w:highlight w:val="none"/>
                <w:lang w:val="en-US" w:eastAsia="zh-CN" w:bidi="ar-SA"/>
              </w:rPr>
            </w:pPr>
          </w:p>
        </w:tc>
      </w:tr>
      <w:tr w14:paraId="424D3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95C305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215</w:t>
            </w:r>
          </w:p>
        </w:tc>
        <w:tc>
          <w:tcPr>
            <w:tcW w:w="720" w:type="dxa"/>
            <w:vMerge w:val="continue"/>
            <w:vAlign w:val="center"/>
          </w:tcPr>
          <w:p w14:paraId="10E3F00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3909A3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898DB7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票据入账受理查询模块</w:t>
            </w:r>
          </w:p>
        </w:tc>
        <w:tc>
          <w:tcPr>
            <w:tcW w:w="4667" w:type="dxa"/>
            <w:vAlign w:val="center"/>
          </w:tcPr>
          <w:p w14:paraId="091E169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查询当前电子票据是否已经入账报销，包含开票日期、创建时间、票据种类名称、票据代码、票据号码、状态、受理状态、受理历史记录、入账状态、入账历史记录等。</w:t>
            </w:r>
          </w:p>
        </w:tc>
        <w:tc>
          <w:tcPr>
            <w:tcW w:w="733" w:type="dxa"/>
            <w:vMerge w:val="continue"/>
            <w:vAlign w:val="center"/>
          </w:tcPr>
          <w:p w14:paraId="457A504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0E9B02D">
            <w:pPr>
              <w:jc w:val="center"/>
              <w:rPr>
                <w:rFonts w:hint="eastAsia" w:ascii="宋体" w:hAnsi="宋体" w:eastAsia="宋体" w:cs="宋体"/>
                <w:b w:val="0"/>
                <w:bCs w:val="0"/>
                <w:color w:val="auto"/>
                <w:kern w:val="0"/>
                <w:sz w:val="20"/>
                <w:szCs w:val="20"/>
                <w:highlight w:val="none"/>
                <w:lang w:val="en-US" w:eastAsia="zh-CN" w:bidi="ar-SA"/>
              </w:rPr>
            </w:pPr>
          </w:p>
        </w:tc>
      </w:tr>
      <w:tr w14:paraId="5E23B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A0DED1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216</w:t>
            </w:r>
          </w:p>
        </w:tc>
        <w:tc>
          <w:tcPr>
            <w:tcW w:w="720" w:type="dxa"/>
            <w:vMerge w:val="continue"/>
            <w:vAlign w:val="center"/>
          </w:tcPr>
          <w:p w14:paraId="78EFC0D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8D476D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E4DFB2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票号查询票据明细模块</w:t>
            </w:r>
          </w:p>
        </w:tc>
        <w:tc>
          <w:tcPr>
            <w:tcW w:w="4667" w:type="dxa"/>
            <w:vAlign w:val="center"/>
          </w:tcPr>
          <w:p w14:paraId="2337E81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票号查询票据明细，主要包含收款人、开票日期、开票人、缴款人类型、缴款单位组织机构代码、票据种类编码、票据种类名称、票据代码、票据号码、票据收费项明细等。</w:t>
            </w:r>
          </w:p>
        </w:tc>
        <w:tc>
          <w:tcPr>
            <w:tcW w:w="733" w:type="dxa"/>
            <w:vMerge w:val="continue"/>
            <w:vAlign w:val="center"/>
          </w:tcPr>
          <w:p w14:paraId="10BEB3B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EB92F52">
            <w:pPr>
              <w:jc w:val="center"/>
              <w:rPr>
                <w:rFonts w:hint="eastAsia" w:ascii="宋体" w:hAnsi="宋体" w:eastAsia="宋体" w:cs="宋体"/>
                <w:b w:val="0"/>
                <w:bCs w:val="0"/>
                <w:color w:val="auto"/>
                <w:kern w:val="0"/>
                <w:sz w:val="20"/>
                <w:szCs w:val="20"/>
                <w:highlight w:val="none"/>
                <w:lang w:val="en-US" w:eastAsia="zh-CN" w:bidi="ar-SA"/>
              </w:rPr>
            </w:pPr>
          </w:p>
        </w:tc>
      </w:tr>
      <w:tr w14:paraId="68F80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722FAB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217</w:t>
            </w:r>
          </w:p>
        </w:tc>
        <w:tc>
          <w:tcPr>
            <w:tcW w:w="720" w:type="dxa"/>
            <w:vMerge w:val="continue"/>
            <w:vAlign w:val="center"/>
          </w:tcPr>
          <w:p w14:paraId="471626B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BBA5DA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581FE9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电子票据H5页面模块</w:t>
            </w:r>
          </w:p>
        </w:tc>
        <w:tc>
          <w:tcPr>
            <w:tcW w:w="4667" w:type="dxa"/>
            <w:vAlign w:val="center"/>
          </w:tcPr>
          <w:p w14:paraId="65FB2F8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查询当前电子票据H5页面信息。</w:t>
            </w:r>
          </w:p>
        </w:tc>
        <w:tc>
          <w:tcPr>
            <w:tcW w:w="733" w:type="dxa"/>
            <w:vMerge w:val="continue"/>
            <w:vAlign w:val="center"/>
          </w:tcPr>
          <w:p w14:paraId="46E2733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038CC88">
            <w:pPr>
              <w:jc w:val="center"/>
              <w:rPr>
                <w:rFonts w:hint="eastAsia" w:ascii="宋体" w:hAnsi="宋体" w:eastAsia="宋体" w:cs="宋体"/>
                <w:b w:val="0"/>
                <w:bCs w:val="0"/>
                <w:color w:val="auto"/>
                <w:kern w:val="0"/>
                <w:sz w:val="20"/>
                <w:szCs w:val="20"/>
                <w:highlight w:val="none"/>
                <w:lang w:val="en-US" w:eastAsia="zh-CN" w:bidi="ar-SA"/>
              </w:rPr>
            </w:pPr>
          </w:p>
        </w:tc>
      </w:tr>
      <w:tr w14:paraId="5FD7B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4D680D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218</w:t>
            </w:r>
          </w:p>
        </w:tc>
        <w:tc>
          <w:tcPr>
            <w:tcW w:w="720" w:type="dxa"/>
            <w:vMerge w:val="continue"/>
            <w:vAlign w:val="center"/>
          </w:tcPr>
          <w:p w14:paraId="5B52C56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1CA4A5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C99DBC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电子票据PDF文件生成及下载模块</w:t>
            </w:r>
          </w:p>
        </w:tc>
        <w:tc>
          <w:tcPr>
            <w:tcW w:w="4667" w:type="dxa"/>
            <w:vAlign w:val="center"/>
          </w:tcPr>
          <w:p w14:paraId="369869A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预览、打印和下载当前票据PDF文件。</w:t>
            </w:r>
          </w:p>
        </w:tc>
        <w:tc>
          <w:tcPr>
            <w:tcW w:w="733" w:type="dxa"/>
            <w:vMerge w:val="continue"/>
            <w:vAlign w:val="center"/>
          </w:tcPr>
          <w:p w14:paraId="0D3FE9A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45F5FFE">
            <w:pPr>
              <w:jc w:val="center"/>
              <w:rPr>
                <w:rFonts w:hint="eastAsia" w:ascii="宋体" w:hAnsi="宋体" w:eastAsia="宋体" w:cs="宋体"/>
                <w:b w:val="0"/>
                <w:bCs w:val="0"/>
                <w:color w:val="auto"/>
                <w:kern w:val="0"/>
                <w:sz w:val="20"/>
                <w:szCs w:val="20"/>
                <w:highlight w:val="none"/>
                <w:lang w:val="en-US" w:eastAsia="zh-CN" w:bidi="ar-SA"/>
              </w:rPr>
            </w:pPr>
          </w:p>
        </w:tc>
      </w:tr>
      <w:tr w14:paraId="4312A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74ADCB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219</w:t>
            </w:r>
          </w:p>
        </w:tc>
        <w:tc>
          <w:tcPr>
            <w:tcW w:w="720" w:type="dxa"/>
            <w:vMerge w:val="continue"/>
            <w:vAlign w:val="center"/>
          </w:tcPr>
          <w:p w14:paraId="1EB04DD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746B62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B25B08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开具票据记录模块</w:t>
            </w:r>
          </w:p>
        </w:tc>
        <w:tc>
          <w:tcPr>
            <w:tcW w:w="4667" w:type="dxa"/>
            <w:vAlign w:val="center"/>
          </w:tcPr>
          <w:p w14:paraId="38AA116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查询当前收费的电子票据开具记录，包含业务流水号、状态、缴款人、开票日期、开票人、缴款人类型、交款单位组织机构代码、票据种类编码、票据代码、票据号码、校验码、合计金额、收款方式、备注、创建时间、已开红票等信息。</w:t>
            </w:r>
          </w:p>
        </w:tc>
        <w:tc>
          <w:tcPr>
            <w:tcW w:w="733" w:type="dxa"/>
            <w:vMerge w:val="continue"/>
            <w:vAlign w:val="center"/>
          </w:tcPr>
          <w:p w14:paraId="3CD1CFC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B270B29">
            <w:pPr>
              <w:jc w:val="center"/>
              <w:rPr>
                <w:rFonts w:hint="eastAsia" w:ascii="宋体" w:hAnsi="宋体" w:eastAsia="宋体" w:cs="宋体"/>
                <w:b w:val="0"/>
                <w:bCs w:val="0"/>
                <w:color w:val="auto"/>
                <w:kern w:val="0"/>
                <w:sz w:val="20"/>
                <w:szCs w:val="20"/>
                <w:highlight w:val="none"/>
                <w:lang w:val="en-US" w:eastAsia="zh-CN" w:bidi="ar-SA"/>
              </w:rPr>
            </w:pPr>
          </w:p>
        </w:tc>
      </w:tr>
      <w:tr w14:paraId="2EE1B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20BBD7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220</w:t>
            </w:r>
          </w:p>
        </w:tc>
        <w:tc>
          <w:tcPr>
            <w:tcW w:w="720" w:type="dxa"/>
            <w:vMerge w:val="continue"/>
            <w:vAlign w:val="center"/>
          </w:tcPr>
          <w:p w14:paraId="2A3960D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3889A8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0F6A51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退付开具票据模块</w:t>
            </w:r>
          </w:p>
        </w:tc>
        <w:tc>
          <w:tcPr>
            <w:tcW w:w="4667" w:type="dxa"/>
            <w:vAlign w:val="center"/>
          </w:tcPr>
          <w:p w14:paraId="36BCD3F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对开具的电子票据进行退付，包含任务编码、病历序号、原票票据代码、原票票据号码、原票票据种类编码、退付原因、退付流水记录等。</w:t>
            </w:r>
          </w:p>
        </w:tc>
        <w:tc>
          <w:tcPr>
            <w:tcW w:w="733" w:type="dxa"/>
            <w:vMerge w:val="continue"/>
            <w:vAlign w:val="center"/>
          </w:tcPr>
          <w:p w14:paraId="0138D06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5C6D5FD">
            <w:pPr>
              <w:jc w:val="center"/>
              <w:rPr>
                <w:rFonts w:hint="eastAsia" w:ascii="宋体" w:hAnsi="宋体" w:eastAsia="宋体" w:cs="宋体"/>
                <w:b w:val="0"/>
                <w:bCs w:val="0"/>
                <w:color w:val="auto"/>
                <w:kern w:val="0"/>
                <w:sz w:val="20"/>
                <w:szCs w:val="20"/>
                <w:highlight w:val="none"/>
                <w:lang w:val="en-US" w:eastAsia="zh-CN" w:bidi="ar-SA"/>
              </w:rPr>
            </w:pPr>
          </w:p>
        </w:tc>
      </w:tr>
      <w:tr w14:paraId="39722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B4C4CA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221</w:t>
            </w:r>
          </w:p>
        </w:tc>
        <w:tc>
          <w:tcPr>
            <w:tcW w:w="720" w:type="dxa"/>
            <w:vMerge w:val="continue"/>
            <w:vAlign w:val="center"/>
          </w:tcPr>
          <w:p w14:paraId="3CAABE9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E2A852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A54A2A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补发短信模块</w:t>
            </w:r>
          </w:p>
        </w:tc>
        <w:tc>
          <w:tcPr>
            <w:tcW w:w="4667" w:type="dxa"/>
            <w:vAlign w:val="center"/>
          </w:tcPr>
          <w:p w14:paraId="3C23138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对已开具的电子票据补发票据获取短信，包含手机号码、开票编码、序号、短信内容、创建时间等。</w:t>
            </w:r>
          </w:p>
        </w:tc>
        <w:tc>
          <w:tcPr>
            <w:tcW w:w="733" w:type="dxa"/>
            <w:vMerge w:val="continue"/>
            <w:vAlign w:val="center"/>
          </w:tcPr>
          <w:p w14:paraId="7DE9261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6177A41">
            <w:pPr>
              <w:jc w:val="center"/>
              <w:rPr>
                <w:rFonts w:hint="eastAsia" w:ascii="宋体" w:hAnsi="宋体" w:eastAsia="宋体" w:cs="宋体"/>
                <w:b w:val="0"/>
                <w:bCs w:val="0"/>
                <w:color w:val="auto"/>
                <w:kern w:val="0"/>
                <w:sz w:val="20"/>
                <w:szCs w:val="20"/>
                <w:highlight w:val="none"/>
                <w:lang w:val="en-US" w:eastAsia="zh-CN" w:bidi="ar-SA"/>
              </w:rPr>
            </w:pPr>
          </w:p>
        </w:tc>
      </w:tr>
      <w:tr w14:paraId="7C559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08F6FD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222</w:t>
            </w:r>
          </w:p>
        </w:tc>
        <w:tc>
          <w:tcPr>
            <w:tcW w:w="720" w:type="dxa"/>
            <w:vMerge w:val="continue"/>
            <w:vAlign w:val="center"/>
          </w:tcPr>
          <w:p w14:paraId="007D846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AEC8CC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73AC2D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电子票据统计分析模块</w:t>
            </w:r>
          </w:p>
        </w:tc>
        <w:tc>
          <w:tcPr>
            <w:tcW w:w="4667" w:type="dxa"/>
            <w:vAlign w:val="center"/>
          </w:tcPr>
          <w:p w14:paraId="6FA6581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包含电子票据开票流水表、票据开票统计表等</w:t>
            </w:r>
          </w:p>
        </w:tc>
        <w:tc>
          <w:tcPr>
            <w:tcW w:w="733" w:type="dxa"/>
            <w:vMerge w:val="continue"/>
            <w:vAlign w:val="center"/>
          </w:tcPr>
          <w:p w14:paraId="16C7573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219CB64">
            <w:pPr>
              <w:jc w:val="center"/>
              <w:rPr>
                <w:rFonts w:hint="eastAsia" w:ascii="宋体" w:hAnsi="宋体" w:eastAsia="宋体" w:cs="宋体"/>
                <w:b w:val="0"/>
                <w:bCs w:val="0"/>
                <w:color w:val="auto"/>
                <w:kern w:val="0"/>
                <w:sz w:val="20"/>
                <w:szCs w:val="20"/>
                <w:highlight w:val="none"/>
                <w:lang w:val="en-US" w:eastAsia="zh-CN" w:bidi="ar-SA"/>
              </w:rPr>
            </w:pPr>
          </w:p>
        </w:tc>
      </w:tr>
      <w:tr w14:paraId="6F750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DE9EA1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223</w:t>
            </w:r>
          </w:p>
        </w:tc>
        <w:tc>
          <w:tcPr>
            <w:tcW w:w="720" w:type="dxa"/>
            <w:vMerge w:val="continue"/>
            <w:vAlign w:val="center"/>
          </w:tcPr>
          <w:p w14:paraId="4EA3BD5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FC6976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650049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电子票据接口模块</w:t>
            </w:r>
          </w:p>
        </w:tc>
        <w:tc>
          <w:tcPr>
            <w:tcW w:w="4667" w:type="dxa"/>
            <w:vAlign w:val="center"/>
          </w:tcPr>
          <w:p w14:paraId="416C2E4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提供与财政电子票据接口对接，实现电子票据申领、开具、查询等功能。</w:t>
            </w:r>
          </w:p>
        </w:tc>
        <w:tc>
          <w:tcPr>
            <w:tcW w:w="733" w:type="dxa"/>
            <w:vMerge w:val="continue"/>
            <w:vAlign w:val="center"/>
          </w:tcPr>
          <w:p w14:paraId="67BAF70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FF6B336">
            <w:pPr>
              <w:jc w:val="center"/>
              <w:rPr>
                <w:rFonts w:hint="eastAsia" w:ascii="宋体" w:hAnsi="宋体" w:eastAsia="宋体" w:cs="宋体"/>
                <w:b w:val="0"/>
                <w:bCs w:val="0"/>
                <w:color w:val="auto"/>
                <w:kern w:val="0"/>
                <w:sz w:val="20"/>
                <w:szCs w:val="20"/>
                <w:highlight w:val="none"/>
                <w:lang w:val="en-US" w:eastAsia="zh-CN" w:bidi="ar-SA"/>
              </w:rPr>
            </w:pPr>
          </w:p>
        </w:tc>
      </w:tr>
      <w:tr w14:paraId="40D43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2BDD31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224</w:t>
            </w:r>
          </w:p>
        </w:tc>
        <w:tc>
          <w:tcPr>
            <w:tcW w:w="720" w:type="dxa"/>
            <w:vMerge w:val="continue"/>
            <w:vAlign w:val="center"/>
          </w:tcPr>
          <w:p w14:paraId="0FA9F8A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200B82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8E4CE4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业务系统接口模块</w:t>
            </w:r>
          </w:p>
        </w:tc>
        <w:tc>
          <w:tcPr>
            <w:tcW w:w="4667" w:type="dxa"/>
            <w:vAlign w:val="center"/>
          </w:tcPr>
          <w:p w14:paraId="10668AB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提供与业务系统接口对接，实现财务对账、电子票据生成等功能。</w:t>
            </w:r>
          </w:p>
        </w:tc>
        <w:tc>
          <w:tcPr>
            <w:tcW w:w="733" w:type="dxa"/>
            <w:vMerge w:val="continue"/>
            <w:vAlign w:val="center"/>
          </w:tcPr>
          <w:p w14:paraId="770F93F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1A13B3D">
            <w:pPr>
              <w:jc w:val="center"/>
              <w:rPr>
                <w:rFonts w:hint="eastAsia" w:ascii="宋体" w:hAnsi="宋体" w:eastAsia="宋体" w:cs="宋体"/>
                <w:b w:val="0"/>
                <w:bCs w:val="0"/>
                <w:color w:val="auto"/>
                <w:kern w:val="0"/>
                <w:sz w:val="20"/>
                <w:szCs w:val="20"/>
                <w:highlight w:val="none"/>
                <w:lang w:val="en-US" w:eastAsia="zh-CN" w:bidi="ar-SA"/>
              </w:rPr>
            </w:pPr>
          </w:p>
        </w:tc>
      </w:tr>
      <w:tr w14:paraId="6A43C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FE09A3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225</w:t>
            </w:r>
          </w:p>
        </w:tc>
        <w:tc>
          <w:tcPr>
            <w:tcW w:w="720" w:type="dxa"/>
            <w:vMerge w:val="continue"/>
            <w:vAlign w:val="center"/>
          </w:tcPr>
          <w:p w14:paraId="2E48521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1D0466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257540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短信接口模块</w:t>
            </w:r>
          </w:p>
        </w:tc>
        <w:tc>
          <w:tcPr>
            <w:tcW w:w="4667" w:type="dxa"/>
            <w:vAlign w:val="center"/>
          </w:tcPr>
          <w:p w14:paraId="4F7762B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提供与短信平台对接，实现电子收费短信发送功能。</w:t>
            </w:r>
          </w:p>
        </w:tc>
        <w:tc>
          <w:tcPr>
            <w:tcW w:w="733" w:type="dxa"/>
            <w:vMerge w:val="continue"/>
            <w:vAlign w:val="center"/>
          </w:tcPr>
          <w:p w14:paraId="5851910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D42716B">
            <w:pPr>
              <w:jc w:val="center"/>
              <w:rPr>
                <w:rFonts w:hint="eastAsia" w:ascii="宋体" w:hAnsi="宋体" w:eastAsia="宋体" w:cs="宋体"/>
                <w:b w:val="0"/>
                <w:bCs w:val="0"/>
                <w:color w:val="auto"/>
                <w:kern w:val="0"/>
                <w:sz w:val="20"/>
                <w:szCs w:val="20"/>
                <w:highlight w:val="none"/>
                <w:lang w:val="en-US" w:eastAsia="zh-CN" w:bidi="ar-SA"/>
              </w:rPr>
            </w:pPr>
          </w:p>
        </w:tc>
      </w:tr>
      <w:tr w14:paraId="29E87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583" w:type="dxa"/>
            <w:vAlign w:val="center"/>
          </w:tcPr>
          <w:p w14:paraId="63E762E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226</w:t>
            </w:r>
          </w:p>
        </w:tc>
        <w:tc>
          <w:tcPr>
            <w:tcW w:w="720" w:type="dxa"/>
            <w:vMerge w:val="continue"/>
            <w:vAlign w:val="center"/>
          </w:tcPr>
          <w:p w14:paraId="7011351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4530BB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CCC999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急救处方、药品和收费一体化处理软件</w:t>
            </w:r>
          </w:p>
        </w:tc>
        <w:tc>
          <w:tcPr>
            <w:tcW w:w="4667" w:type="dxa"/>
            <w:vAlign w:val="center"/>
          </w:tcPr>
          <w:p w14:paraId="71A3144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急救信息综合管理子系统-电子收费板块急救票据管理软件</w:t>
            </w:r>
          </w:p>
        </w:tc>
        <w:tc>
          <w:tcPr>
            <w:tcW w:w="733" w:type="dxa"/>
            <w:vMerge w:val="continue"/>
            <w:vAlign w:val="center"/>
          </w:tcPr>
          <w:p w14:paraId="3D40362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72F7D1C">
            <w:pPr>
              <w:jc w:val="center"/>
              <w:rPr>
                <w:rFonts w:hint="eastAsia" w:ascii="宋体" w:hAnsi="宋体" w:eastAsia="宋体" w:cs="宋体"/>
                <w:b w:val="0"/>
                <w:bCs w:val="0"/>
                <w:color w:val="auto"/>
                <w:kern w:val="0"/>
                <w:sz w:val="20"/>
                <w:szCs w:val="20"/>
                <w:highlight w:val="none"/>
                <w:lang w:val="en-US" w:eastAsia="zh-CN" w:bidi="ar-SA"/>
              </w:rPr>
            </w:pPr>
          </w:p>
        </w:tc>
      </w:tr>
      <w:tr w14:paraId="0CC82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41D92F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227</w:t>
            </w:r>
          </w:p>
        </w:tc>
        <w:tc>
          <w:tcPr>
            <w:tcW w:w="720" w:type="dxa"/>
            <w:vMerge w:val="restart"/>
            <w:vAlign w:val="center"/>
          </w:tcPr>
          <w:p w14:paraId="3ECB9B91">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急救医学录像通用设备</w:t>
            </w:r>
          </w:p>
        </w:tc>
        <w:tc>
          <w:tcPr>
            <w:tcW w:w="875" w:type="dxa"/>
            <w:vMerge w:val="restart"/>
            <w:vAlign w:val="center"/>
          </w:tcPr>
          <w:p w14:paraId="6F69652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多媒体智能集成管理平台</w:t>
            </w:r>
          </w:p>
        </w:tc>
        <w:tc>
          <w:tcPr>
            <w:tcW w:w="2058" w:type="dxa"/>
            <w:vAlign w:val="center"/>
          </w:tcPr>
          <w:p w14:paraId="183DA0F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基础功能</w:t>
            </w:r>
          </w:p>
        </w:tc>
        <w:tc>
          <w:tcPr>
            <w:tcW w:w="4667" w:type="dxa"/>
            <w:vAlign w:val="center"/>
          </w:tcPr>
          <w:p w14:paraId="0F1685E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软件要求采用B/S架构；管理软件平台系统服务组成部分要求包含负载均衡服务、WEB应用服务、数据库管理系统、视音频流媒体服务、文件存储服务、地里位置信息服务、图像识别服务、云镜控制服务、移动智能设备APP服务等。</w:t>
            </w:r>
          </w:p>
        </w:tc>
        <w:tc>
          <w:tcPr>
            <w:tcW w:w="733" w:type="dxa"/>
            <w:vMerge w:val="restart"/>
            <w:vAlign w:val="center"/>
          </w:tcPr>
          <w:p w14:paraId="043A0C6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797EDD66">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55A5E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F6127B3">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228</w:t>
            </w:r>
          </w:p>
        </w:tc>
        <w:tc>
          <w:tcPr>
            <w:tcW w:w="720" w:type="dxa"/>
            <w:vMerge w:val="continue"/>
            <w:vAlign w:val="center"/>
          </w:tcPr>
          <w:p w14:paraId="1080782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462C5A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69F83F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兼容性功能</w:t>
            </w:r>
          </w:p>
        </w:tc>
        <w:tc>
          <w:tcPr>
            <w:tcW w:w="4667" w:type="dxa"/>
            <w:vAlign w:val="center"/>
          </w:tcPr>
          <w:p w14:paraId="4E3014B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管理软件要求可兼容多浏览器，至少包括谷歌、百度、火狐、360等。</w:t>
            </w:r>
          </w:p>
        </w:tc>
        <w:tc>
          <w:tcPr>
            <w:tcW w:w="733" w:type="dxa"/>
            <w:vMerge w:val="continue"/>
            <w:vAlign w:val="center"/>
          </w:tcPr>
          <w:p w14:paraId="277CB35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5790979">
            <w:pPr>
              <w:jc w:val="center"/>
              <w:rPr>
                <w:rFonts w:hint="eastAsia" w:ascii="宋体" w:hAnsi="宋体" w:eastAsia="宋体" w:cs="宋体"/>
                <w:b w:val="0"/>
                <w:bCs w:val="0"/>
                <w:color w:val="auto"/>
                <w:kern w:val="0"/>
                <w:sz w:val="20"/>
                <w:szCs w:val="20"/>
                <w:highlight w:val="none"/>
                <w:lang w:val="en-US" w:eastAsia="zh-CN" w:bidi="ar-SA"/>
              </w:rPr>
            </w:pPr>
          </w:p>
        </w:tc>
      </w:tr>
      <w:tr w14:paraId="2AB55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996E5B0">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229</w:t>
            </w:r>
          </w:p>
        </w:tc>
        <w:tc>
          <w:tcPr>
            <w:tcW w:w="720" w:type="dxa"/>
            <w:vMerge w:val="continue"/>
            <w:vAlign w:val="center"/>
          </w:tcPr>
          <w:p w14:paraId="2E7EB29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072EC1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9050C7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在线升级功能</w:t>
            </w:r>
          </w:p>
        </w:tc>
        <w:tc>
          <w:tcPr>
            <w:tcW w:w="4667" w:type="dxa"/>
            <w:vAlign w:val="center"/>
          </w:tcPr>
          <w:p w14:paraId="102A3AC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支持通过网络对在线的设备进行远程升级。</w:t>
            </w:r>
          </w:p>
        </w:tc>
        <w:tc>
          <w:tcPr>
            <w:tcW w:w="733" w:type="dxa"/>
            <w:vMerge w:val="continue"/>
            <w:vAlign w:val="center"/>
          </w:tcPr>
          <w:p w14:paraId="5174D0E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1C70819">
            <w:pPr>
              <w:jc w:val="center"/>
              <w:rPr>
                <w:rFonts w:hint="eastAsia" w:ascii="宋体" w:hAnsi="宋体" w:eastAsia="宋体" w:cs="宋体"/>
                <w:b w:val="0"/>
                <w:bCs w:val="0"/>
                <w:color w:val="auto"/>
                <w:kern w:val="0"/>
                <w:sz w:val="20"/>
                <w:szCs w:val="20"/>
                <w:highlight w:val="none"/>
                <w:lang w:val="en-US" w:eastAsia="zh-CN" w:bidi="ar-SA"/>
              </w:rPr>
            </w:pPr>
          </w:p>
        </w:tc>
      </w:tr>
      <w:tr w14:paraId="1E99F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3" w:type="dxa"/>
            <w:vAlign w:val="center"/>
          </w:tcPr>
          <w:p w14:paraId="13A8092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230</w:t>
            </w:r>
          </w:p>
        </w:tc>
        <w:tc>
          <w:tcPr>
            <w:tcW w:w="720" w:type="dxa"/>
            <w:vMerge w:val="continue"/>
            <w:vAlign w:val="center"/>
          </w:tcPr>
          <w:p w14:paraId="076D6A1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BE2488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9E9110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地图设置</w:t>
            </w:r>
          </w:p>
        </w:tc>
        <w:tc>
          <w:tcPr>
            <w:tcW w:w="4667" w:type="dxa"/>
            <w:vAlign w:val="center"/>
          </w:tcPr>
          <w:p w14:paraId="1788BAA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管理软件要求支持多种地图主题可选。</w:t>
            </w:r>
          </w:p>
        </w:tc>
        <w:tc>
          <w:tcPr>
            <w:tcW w:w="733" w:type="dxa"/>
            <w:vMerge w:val="continue"/>
            <w:vAlign w:val="center"/>
          </w:tcPr>
          <w:p w14:paraId="20B7EB0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B915769">
            <w:pPr>
              <w:jc w:val="center"/>
              <w:rPr>
                <w:rFonts w:hint="eastAsia" w:ascii="宋体" w:hAnsi="宋体" w:eastAsia="宋体" w:cs="宋体"/>
                <w:b w:val="0"/>
                <w:bCs w:val="0"/>
                <w:color w:val="auto"/>
                <w:kern w:val="0"/>
                <w:sz w:val="20"/>
                <w:szCs w:val="20"/>
                <w:highlight w:val="none"/>
                <w:lang w:val="en-US" w:eastAsia="zh-CN" w:bidi="ar-SA"/>
              </w:rPr>
            </w:pPr>
          </w:p>
        </w:tc>
      </w:tr>
      <w:tr w14:paraId="5D653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1537D0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231</w:t>
            </w:r>
          </w:p>
        </w:tc>
        <w:tc>
          <w:tcPr>
            <w:tcW w:w="720" w:type="dxa"/>
            <w:vMerge w:val="continue"/>
            <w:vAlign w:val="center"/>
          </w:tcPr>
          <w:p w14:paraId="4D2F4A8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1C1FD2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AAA095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信息编辑功能</w:t>
            </w:r>
          </w:p>
        </w:tc>
        <w:tc>
          <w:tcPr>
            <w:tcW w:w="4667" w:type="dxa"/>
            <w:vAlign w:val="center"/>
          </w:tcPr>
          <w:p w14:paraId="12C1A7E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通过管理软件要求能对接入执法数据采集设备的终端的使用者信息（包括但不限于使用者姓名、工号、单位名称、单位编号）进行编辑。</w:t>
            </w:r>
          </w:p>
        </w:tc>
        <w:tc>
          <w:tcPr>
            <w:tcW w:w="733" w:type="dxa"/>
            <w:vMerge w:val="continue"/>
            <w:vAlign w:val="center"/>
          </w:tcPr>
          <w:p w14:paraId="2DCDF35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FF94F61">
            <w:pPr>
              <w:jc w:val="center"/>
              <w:rPr>
                <w:rFonts w:hint="eastAsia" w:ascii="宋体" w:hAnsi="宋体" w:eastAsia="宋体" w:cs="宋体"/>
                <w:b w:val="0"/>
                <w:bCs w:val="0"/>
                <w:color w:val="auto"/>
                <w:kern w:val="0"/>
                <w:sz w:val="20"/>
                <w:szCs w:val="20"/>
                <w:highlight w:val="none"/>
                <w:lang w:val="en-US" w:eastAsia="zh-CN" w:bidi="ar-SA"/>
              </w:rPr>
            </w:pPr>
          </w:p>
        </w:tc>
      </w:tr>
      <w:tr w14:paraId="369B4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3381BA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232</w:t>
            </w:r>
          </w:p>
        </w:tc>
        <w:tc>
          <w:tcPr>
            <w:tcW w:w="720" w:type="dxa"/>
            <w:vMerge w:val="continue"/>
            <w:vAlign w:val="center"/>
          </w:tcPr>
          <w:p w14:paraId="29771DD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1BED06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93E535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媒体截取功能</w:t>
            </w:r>
          </w:p>
        </w:tc>
        <w:tc>
          <w:tcPr>
            <w:tcW w:w="4667" w:type="dxa"/>
            <w:vAlign w:val="center"/>
          </w:tcPr>
          <w:p w14:paraId="37F2205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通过管理软件在播放媒体文件过程中要求能截取与视频分辨率相同的图片、视频、音频，但不影响媒体文件的正常播放。</w:t>
            </w:r>
          </w:p>
        </w:tc>
        <w:tc>
          <w:tcPr>
            <w:tcW w:w="733" w:type="dxa"/>
            <w:vMerge w:val="continue"/>
            <w:vAlign w:val="center"/>
          </w:tcPr>
          <w:p w14:paraId="5AD6CCB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F1A7F88">
            <w:pPr>
              <w:jc w:val="center"/>
              <w:rPr>
                <w:rFonts w:hint="eastAsia" w:ascii="宋体" w:hAnsi="宋体" w:eastAsia="宋体" w:cs="宋体"/>
                <w:b w:val="0"/>
                <w:bCs w:val="0"/>
                <w:color w:val="auto"/>
                <w:kern w:val="0"/>
                <w:sz w:val="20"/>
                <w:szCs w:val="20"/>
                <w:highlight w:val="none"/>
                <w:lang w:val="en-US" w:eastAsia="zh-CN" w:bidi="ar-SA"/>
              </w:rPr>
            </w:pPr>
          </w:p>
        </w:tc>
      </w:tr>
      <w:tr w14:paraId="3A8C5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1092B0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233</w:t>
            </w:r>
          </w:p>
        </w:tc>
        <w:tc>
          <w:tcPr>
            <w:tcW w:w="720" w:type="dxa"/>
            <w:vMerge w:val="continue"/>
            <w:vAlign w:val="center"/>
          </w:tcPr>
          <w:p w14:paraId="191D03F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16A041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5E2AEB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图传抓录功能</w:t>
            </w:r>
          </w:p>
        </w:tc>
        <w:tc>
          <w:tcPr>
            <w:tcW w:w="4667" w:type="dxa"/>
            <w:vAlign w:val="center"/>
          </w:tcPr>
          <w:p w14:paraId="6F67107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支持图传过程中，可任意实时抓取视音频流数据，并自动保存在服务器。</w:t>
            </w:r>
          </w:p>
        </w:tc>
        <w:tc>
          <w:tcPr>
            <w:tcW w:w="733" w:type="dxa"/>
            <w:vMerge w:val="continue"/>
            <w:vAlign w:val="center"/>
          </w:tcPr>
          <w:p w14:paraId="7957207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18A6690">
            <w:pPr>
              <w:jc w:val="center"/>
              <w:rPr>
                <w:rFonts w:hint="eastAsia" w:ascii="宋体" w:hAnsi="宋体" w:eastAsia="宋体" w:cs="宋体"/>
                <w:b w:val="0"/>
                <w:bCs w:val="0"/>
                <w:color w:val="auto"/>
                <w:kern w:val="0"/>
                <w:sz w:val="20"/>
                <w:szCs w:val="20"/>
                <w:highlight w:val="none"/>
                <w:lang w:val="en-US" w:eastAsia="zh-CN" w:bidi="ar-SA"/>
              </w:rPr>
            </w:pPr>
          </w:p>
        </w:tc>
      </w:tr>
      <w:tr w14:paraId="13674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F37F62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234</w:t>
            </w:r>
          </w:p>
        </w:tc>
        <w:tc>
          <w:tcPr>
            <w:tcW w:w="720" w:type="dxa"/>
            <w:vMerge w:val="continue"/>
            <w:vAlign w:val="center"/>
          </w:tcPr>
          <w:p w14:paraId="4AF7CC8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DCB264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C9B001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分类功能</w:t>
            </w:r>
          </w:p>
        </w:tc>
        <w:tc>
          <w:tcPr>
            <w:tcW w:w="4667" w:type="dxa"/>
            <w:vAlign w:val="center"/>
          </w:tcPr>
          <w:p w14:paraId="6C3BD6C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通过管理软件要求能支持用户上传的文件对视音频、音频、照片、文档、其他等类型进行自动分类。</w:t>
            </w:r>
          </w:p>
        </w:tc>
        <w:tc>
          <w:tcPr>
            <w:tcW w:w="733" w:type="dxa"/>
            <w:vMerge w:val="continue"/>
            <w:vAlign w:val="center"/>
          </w:tcPr>
          <w:p w14:paraId="001FEBC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519C788">
            <w:pPr>
              <w:jc w:val="center"/>
              <w:rPr>
                <w:rFonts w:hint="eastAsia" w:ascii="宋体" w:hAnsi="宋体" w:eastAsia="宋体" w:cs="宋体"/>
                <w:b w:val="0"/>
                <w:bCs w:val="0"/>
                <w:color w:val="auto"/>
                <w:kern w:val="0"/>
                <w:sz w:val="20"/>
                <w:szCs w:val="20"/>
                <w:highlight w:val="none"/>
                <w:lang w:val="en-US" w:eastAsia="zh-CN" w:bidi="ar-SA"/>
              </w:rPr>
            </w:pPr>
          </w:p>
        </w:tc>
      </w:tr>
      <w:tr w14:paraId="24E0D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4A0A1C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235</w:t>
            </w:r>
          </w:p>
        </w:tc>
        <w:tc>
          <w:tcPr>
            <w:tcW w:w="720" w:type="dxa"/>
            <w:vMerge w:val="continue"/>
            <w:vAlign w:val="center"/>
          </w:tcPr>
          <w:p w14:paraId="42761D0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FB886C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6BF26F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实时图传</w:t>
            </w:r>
          </w:p>
        </w:tc>
        <w:tc>
          <w:tcPr>
            <w:tcW w:w="4667" w:type="dxa"/>
            <w:vAlign w:val="center"/>
          </w:tcPr>
          <w:p w14:paraId="37AF869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通过管理软件应能对设备进行实时视频图传，图传过程中支持显示画面和水印显示的坐标信息如和叠加坐标汉字信息。</w:t>
            </w:r>
          </w:p>
        </w:tc>
        <w:tc>
          <w:tcPr>
            <w:tcW w:w="733" w:type="dxa"/>
            <w:vMerge w:val="continue"/>
            <w:vAlign w:val="center"/>
          </w:tcPr>
          <w:p w14:paraId="6877E08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AFDF8DC">
            <w:pPr>
              <w:jc w:val="center"/>
              <w:rPr>
                <w:rFonts w:hint="eastAsia" w:ascii="宋体" w:hAnsi="宋体" w:eastAsia="宋体" w:cs="宋体"/>
                <w:b w:val="0"/>
                <w:bCs w:val="0"/>
                <w:color w:val="auto"/>
                <w:kern w:val="0"/>
                <w:sz w:val="20"/>
                <w:szCs w:val="20"/>
                <w:highlight w:val="none"/>
                <w:lang w:val="en-US" w:eastAsia="zh-CN" w:bidi="ar-SA"/>
              </w:rPr>
            </w:pPr>
          </w:p>
        </w:tc>
      </w:tr>
      <w:tr w14:paraId="03040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C076DF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236</w:t>
            </w:r>
          </w:p>
        </w:tc>
        <w:tc>
          <w:tcPr>
            <w:tcW w:w="720" w:type="dxa"/>
            <w:vMerge w:val="continue"/>
            <w:vAlign w:val="center"/>
          </w:tcPr>
          <w:p w14:paraId="20B0468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5783DB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1F7266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分屏功能</w:t>
            </w:r>
          </w:p>
        </w:tc>
        <w:tc>
          <w:tcPr>
            <w:tcW w:w="4667" w:type="dxa"/>
            <w:vAlign w:val="center"/>
          </w:tcPr>
          <w:p w14:paraId="499A280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图传过程中支持图像抓拍、开启监听或语音对讲，支持多个用户同时查看一个设备的实时图传画面；支持一个用户同时查看不少于16个多屏实时图传画面。</w:t>
            </w:r>
          </w:p>
        </w:tc>
        <w:tc>
          <w:tcPr>
            <w:tcW w:w="733" w:type="dxa"/>
            <w:vMerge w:val="continue"/>
            <w:vAlign w:val="center"/>
          </w:tcPr>
          <w:p w14:paraId="5DA8E7A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30697F5">
            <w:pPr>
              <w:jc w:val="center"/>
              <w:rPr>
                <w:rFonts w:hint="eastAsia" w:ascii="宋体" w:hAnsi="宋体" w:eastAsia="宋体" w:cs="宋体"/>
                <w:b w:val="0"/>
                <w:bCs w:val="0"/>
                <w:color w:val="auto"/>
                <w:kern w:val="0"/>
                <w:sz w:val="20"/>
                <w:szCs w:val="20"/>
                <w:highlight w:val="none"/>
                <w:lang w:val="en-US" w:eastAsia="zh-CN" w:bidi="ar-SA"/>
              </w:rPr>
            </w:pPr>
          </w:p>
        </w:tc>
      </w:tr>
      <w:tr w14:paraId="43552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BD24EE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237</w:t>
            </w:r>
          </w:p>
        </w:tc>
        <w:tc>
          <w:tcPr>
            <w:tcW w:w="720" w:type="dxa"/>
            <w:vMerge w:val="continue"/>
            <w:vAlign w:val="center"/>
          </w:tcPr>
          <w:p w14:paraId="1906012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1D79B4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A241FE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实时定位</w:t>
            </w:r>
          </w:p>
        </w:tc>
        <w:tc>
          <w:tcPr>
            <w:tcW w:w="4667" w:type="dxa"/>
            <w:vAlign w:val="center"/>
          </w:tcPr>
          <w:p w14:paraId="669C7B2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通过管理软件应能实时定位设备，应能显示定位图标，点击定位图标应能视频呼叫设备，进行实时图传。</w:t>
            </w:r>
          </w:p>
        </w:tc>
        <w:tc>
          <w:tcPr>
            <w:tcW w:w="733" w:type="dxa"/>
            <w:vMerge w:val="continue"/>
            <w:vAlign w:val="center"/>
          </w:tcPr>
          <w:p w14:paraId="281A79E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D6A4E0C">
            <w:pPr>
              <w:jc w:val="center"/>
              <w:rPr>
                <w:rFonts w:hint="eastAsia" w:ascii="宋体" w:hAnsi="宋体" w:eastAsia="宋体" w:cs="宋体"/>
                <w:b w:val="0"/>
                <w:bCs w:val="0"/>
                <w:color w:val="auto"/>
                <w:kern w:val="0"/>
                <w:sz w:val="20"/>
                <w:szCs w:val="20"/>
                <w:highlight w:val="none"/>
                <w:lang w:val="en-US" w:eastAsia="zh-CN" w:bidi="ar-SA"/>
              </w:rPr>
            </w:pPr>
          </w:p>
        </w:tc>
      </w:tr>
      <w:tr w14:paraId="1126C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9FB14B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238</w:t>
            </w:r>
          </w:p>
        </w:tc>
        <w:tc>
          <w:tcPr>
            <w:tcW w:w="720" w:type="dxa"/>
            <w:vMerge w:val="continue"/>
            <w:vAlign w:val="center"/>
          </w:tcPr>
          <w:p w14:paraId="3538752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D9F4F1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35511C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轨迹回放</w:t>
            </w:r>
          </w:p>
        </w:tc>
        <w:tc>
          <w:tcPr>
            <w:tcW w:w="4667" w:type="dxa"/>
            <w:vAlign w:val="center"/>
          </w:tcPr>
          <w:p w14:paraId="191991B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通过管理软件应能根据时间检索设备的历史轨迹，进行轨迹的运动回放，支持开始、停止、暂停等回放操作。</w:t>
            </w:r>
          </w:p>
        </w:tc>
        <w:tc>
          <w:tcPr>
            <w:tcW w:w="733" w:type="dxa"/>
            <w:vMerge w:val="continue"/>
            <w:vAlign w:val="center"/>
          </w:tcPr>
          <w:p w14:paraId="3462A96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A8B6088">
            <w:pPr>
              <w:jc w:val="center"/>
              <w:rPr>
                <w:rFonts w:hint="eastAsia" w:ascii="宋体" w:hAnsi="宋体" w:eastAsia="宋体" w:cs="宋体"/>
                <w:b w:val="0"/>
                <w:bCs w:val="0"/>
                <w:color w:val="auto"/>
                <w:kern w:val="0"/>
                <w:sz w:val="20"/>
                <w:szCs w:val="20"/>
                <w:highlight w:val="none"/>
                <w:lang w:val="en-US" w:eastAsia="zh-CN" w:bidi="ar-SA"/>
              </w:rPr>
            </w:pPr>
          </w:p>
        </w:tc>
      </w:tr>
      <w:tr w14:paraId="3AAE5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000F77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239</w:t>
            </w:r>
          </w:p>
        </w:tc>
        <w:tc>
          <w:tcPr>
            <w:tcW w:w="720" w:type="dxa"/>
            <w:vMerge w:val="continue"/>
            <w:vAlign w:val="center"/>
          </w:tcPr>
          <w:p w14:paraId="1EAEF4B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E6332F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FC475D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远程操作功能</w:t>
            </w:r>
          </w:p>
        </w:tc>
        <w:tc>
          <w:tcPr>
            <w:tcW w:w="4667" w:type="dxa"/>
            <w:vAlign w:val="center"/>
          </w:tcPr>
          <w:p w14:paraId="4BB91A9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设备应可接收管理平台下发的远程控制指，实现远程远程视音频、远程开启/关闭录像、远程开启/关闭录音、远程重启/关 闭设备、远程抓拍、远程查看设备工作日志、远程下发指令、远程下发人脸信息、远程下发电子围栏等功能。</w:t>
            </w:r>
          </w:p>
        </w:tc>
        <w:tc>
          <w:tcPr>
            <w:tcW w:w="733" w:type="dxa"/>
            <w:vMerge w:val="continue"/>
            <w:vAlign w:val="center"/>
          </w:tcPr>
          <w:p w14:paraId="70008FD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B431FB2">
            <w:pPr>
              <w:jc w:val="center"/>
              <w:rPr>
                <w:rFonts w:hint="eastAsia" w:ascii="宋体" w:hAnsi="宋体" w:eastAsia="宋体" w:cs="宋体"/>
                <w:b w:val="0"/>
                <w:bCs w:val="0"/>
                <w:color w:val="auto"/>
                <w:kern w:val="0"/>
                <w:sz w:val="20"/>
                <w:szCs w:val="20"/>
                <w:highlight w:val="none"/>
                <w:lang w:val="en-US" w:eastAsia="zh-CN" w:bidi="ar-SA"/>
              </w:rPr>
            </w:pPr>
          </w:p>
        </w:tc>
      </w:tr>
      <w:tr w14:paraId="2BEA1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83" w:type="dxa"/>
            <w:vAlign w:val="center"/>
          </w:tcPr>
          <w:p w14:paraId="121069A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240</w:t>
            </w:r>
          </w:p>
        </w:tc>
        <w:tc>
          <w:tcPr>
            <w:tcW w:w="720" w:type="dxa"/>
            <w:vMerge w:val="continue"/>
            <w:vAlign w:val="center"/>
          </w:tcPr>
          <w:p w14:paraId="66E839C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78FB81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899633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设备状态</w:t>
            </w:r>
          </w:p>
        </w:tc>
        <w:tc>
          <w:tcPr>
            <w:tcW w:w="4667" w:type="dxa"/>
            <w:vAlign w:val="center"/>
          </w:tcPr>
          <w:p w14:paraId="1968D33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通过管理软件应能显示设备的在线和离线状态，可按在线状态进行分类检索。</w:t>
            </w:r>
          </w:p>
        </w:tc>
        <w:tc>
          <w:tcPr>
            <w:tcW w:w="733" w:type="dxa"/>
            <w:vMerge w:val="continue"/>
            <w:vAlign w:val="center"/>
          </w:tcPr>
          <w:p w14:paraId="38A6CBB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4D5874D">
            <w:pPr>
              <w:jc w:val="center"/>
              <w:rPr>
                <w:rFonts w:hint="eastAsia" w:ascii="宋体" w:hAnsi="宋体" w:eastAsia="宋体" w:cs="宋体"/>
                <w:b w:val="0"/>
                <w:bCs w:val="0"/>
                <w:color w:val="auto"/>
                <w:kern w:val="0"/>
                <w:sz w:val="20"/>
                <w:szCs w:val="20"/>
                <w:highlight w:val="none"/>
                <w:lang w:val="en-US" w:eastAsia="zh-CN" w:bidi="ar-SA"/>
              </w:rPr>
            </w:pPr>
          </w:p>
        </w:tc>
      </w:tr>
      <w:tr w14:paraId="77BD5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430B67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241</w:t>
            </w:r>
          </w:p>
        </w:tc>
        <w:tc>
          <w:tcPr>
            <w:tcW w:w="720" w:type="dxa"/>
            <w:vMerge w:val="continue"/>
            <w:vAlign w:val="center"/>
          </w:tcPr>
          <w:p w14:paraId="39EA9D7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27FF23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7EEACB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实时存储</w:t>
            </w:r>
          </w:p>
        </w:tc>
        <w:tc>
          <w:tcPr>
            <w:tcW w:w="4667" w:type="dxa"/>
            <w:vAlign w:val="center"/>
          </w:tcPr>
          <w:p w14:paraId="432C315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通过管理软件应能对实时图传的视音频数据进行实时存储，并进行回放和下载。</w:t>
            </w:r>
          </w:p>
        </w:tc>
        <w:tc>
          <w:tcPr>
            <w:tcW w:w="733" w:type="dxa"/>
            <w:vMerge w:val="continue"/>
            <w:vAlign w:val="center"/>
          </w:tcPr>
          <w:p w14:paraId="539ECAB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226D91A">
            <w:pPr>
              <w:jc w:val="center"/>
              <w:rPr>
                <w:rFonts w:hint="eastAsia" w:ascii="宋体" w:hAnsi="宋体" w:eastAsia="宋体" w:cs="宋体"/>
                <w:b w:val="0"/>
                <w:bCs w:val="0"/>
                <w:color w:val="auto"/>
                <w:kern w:val="0"/>
                <w:sz w:val="20"/>
                <w:szCs w:val="20"/>
                <w:highlight w:val="none"/>
                <w:lang w:val="en-US" w:eastAsia="zh-CN" w:bidi="ar-SA"/>
              </w:rPr>
            </w:pPr>
          </w:p>
        </w:tc>
      </w:tr>
      <w:tr w14:paraId="0C221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E99ACA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242</w:t>
            </w:r>
          </w:p>
        </w:tc>
        <w:tc>
          <w:tcPr>
            <w:tcW w:w="720" w:type="dxa"/>
            <w:vMerge w:val="continue"/>
            <w:vAlign w:val="center"/>
          </w:tcPr>
          <w:p w14:paraId="4CE6AFF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C021FF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EC5671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断网补录功能</w:t>
            </w:r>
          </w:p>
        </w:tc>
        <w:tc>
          <w:tcPr>
            <w:tcW w:w="4667" w:type="dxa"/>
            <w:vAlign w:val="center"/>
          </w:tcPr>
          <w:p w14:paraId="4835337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平台支持保存设备断网补录上传的文件，并确保文件的连续性。</w:t>
            </w:r>
          </w:p>
        </w:tc>
        <w:tc>
          <w:tcPr>
            <w:tcW w:w="733" w:type="dxa"/>
            <w:vMerge w:val="continue"/>
            <w:vAlign w:val="center"/>
          </w:tcPr>
          <w:p w14:paraId="3A71B08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E50C009">
            <w:pPr>
              <w:jc w:val="center"/>
              <w:rPr>
                <w:rFonts w:hint="eastAsia" w:ascii="宋体" w:hAnsi="宋体" w:eastAsia="宋体" w:cs="宋体"/>
                <w:b w:val="0"/>
                <w:bCs w:val="0"/>
                <w:color w:val="auto"/>
                <w:kern w:val="0"/>
                <w:sz w:val="20"/>
                <w:szCs w:val="20"/>
                <w:highlight w:val="none"/>
                <w:lang w:val="en-US" w:eastAsia="zh-CN" w:bidi="ar-SA"/>
              </w:rPr>
            </w:pPr>
          </w:p>
        </w:tc>
      </w:tr>
      <w:tr w14:paraId="39BC8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E31A36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243</w:t>
            </w:r>
          </w:p>
        </w:tc>
        <w:tc>
          <w:tcPr>
            <w:tcW w:w="720" w:type="dxa"/>
            <w:vMerge w:val="continue"/>
            <w:vAlign w:val="center"/>
          </w:tcPr>
          <w:p w14:paraId="21D0425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F8EBFD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99A33E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平台呼叫</w:t>
            </w:r>
          </w:p>
        </w:tc>
        <w:tc>
          <w:tcPr>
            <w:tcW w:w="4667" w:type="dxa"/>
            <w:vAlign w:val="center"/>
          </w:tcPr>
          <w:p w14:paraId="145FF54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平台支持通过勾选单位目录中的单位后开始对讲，实现后台人员与单位多成员（不限制数量）进行集群对讲，并在平台中显示所讲话的各个人员的消息状态。</w:t>
            </w:r>
          </w:p>
        </w:tc>
        <w:tc>
          <w:tcPr>
            <w:tcW w:w="733" w:type="dxa"/>
            <w:vMerge w:val="continue"/>
            <w:vAlign w:val="center"/>
          </w:tcPr>
          <w:p w14:paraId="3F25B51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CDC1803">
            <w:pPr>
              <w:jc w:val="center"/>
              <w:rPr>
                <w:rFonts w:hint="eastAsia" w:ascii="宋体" w:hAnsi="宋体" w:eastAsia="宋体" w:cs="宋体"/>
                <w:b w:val="0"/>
                <w:bCs w:val="0"/>
                <w:color w:val="auto"/>
                <w:kern w:val="0"/>
                <w:sz w:val="20"/>
                <w:szCs w:val="20"/>
                <w:highlight w:val="none"/>
                <w:lang w:val="en-US" w:eastAsia="zh-CN" w:bidi="ar-SA"/>
              </w:rPr>
            </w:pPr>
          </w:p>
        </w:tc>
      </w:tr>
      <w:tr w14:paraId="572F1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583" w:type="dxa"/>
            <w:vAlign w:val="center"/>
          </w:tcPr>
          <w:p w14:paraId="1A144B3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244</w:t>
            </w:r>
          </w:p>
        </w:tc>
        <w:tc>
          <w:tcPr>
            <w:tcW w:w="720" w:type="dxa"/>
            <w:vMerge w:val="continue"/>
            <w:vAlign w:val="center"/>
          </w:tcPr>
          <w:p w14:paraId="173DAE8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776708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BC672E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日志功能</w:t>
            </w:r>
          </w:p>
        </w:tc>
        <w:tc>
          <w:tcPr>
            <w:tcW w:w="4667" w:type="dxa"/>
            <w:vAlign w:val="center"/>
          </w:tcPr>
          <w:p w14:paraId="3AACF11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平台软件支持保存和查询设备在线、离线、关机，采集站操作日志，系统操作日志等。</w:t>
            </w:r>
          </w:p>
        </w:tc>
        <w:tc>
          <w:tcPr>
            <w:tcW w:w="733" w:type="dxa"/>
            <w:vMerge w:val="continue"/>
            <w:vAlign w:val="center"/>
          </w:tcPr>
          <w:p w14:paraId="2D03F8A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49FA532">
            <w:pPr>
              <w:jc w:val="center"/>
              <w:rPr>
                <w:rFonts w:hint="eastAsia" w:ascii="宋体" w:hAnsi="宋体" w:eastAsia="宋体" w:cs="宋体"/>
                <w:b w:val="0"/>
                <w:bCs w:val="0"/>
                <w:color w:val="auto"/>
                <w:kern w:val="0"/>
                <w:sz w:val="20"/>
                <w:szCs w:val="20"/>
                <w:highlight w:val="none"/>
                <w:lang w:val="en-US" w:eastAsia="zh-CN" w:bidi="ar-SA"/>
              </w:rPr>
            </w:pPr>
          </w:p>
        </w:tc>
      </w:tr>
      <w:tr w14:paraId="3C5FE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0349F2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245</w:t>
            </w:r>
          </w:p>
        </w:tc>
        <w:tc>
          <w:tcPr>
            <w:tcW w:w="720" w:type="dxa"/>
            <w:vMerge w:val="continue"/>
            <w:vAlign w:val="center"/>
          </w:tcPr>
          <w:p w14:paraId="10B7AB7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CCC00A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F62E1C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多媒体智能集成管理平台</w:t>
            </w:r>
          </w:p>
        </w:tc>
        <w:tc>
          <w:tcPr>
            <w:tcW w:w="4667" w:type="dxa"/>
            <w:vAlign w:val="center"/>
          </w:tcPr>
          <w:p w14:paraId="22E107C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急救医学录像通用设备</w:t>
            </w:r>
            <w:r>
              <w:rPr>
                <w:rFonts w:hint="eastAsia" w:ascii="宋体" w:hAnsi="宋体" w:eastAsia="宋体" w:cs="宋体"/>
                <w:b w:val="0"/>
                <w:bCs w:val="0"/>
                <w:color w:val="auto"/>
                <w:kern w:val="0"/>
                <w:sz w:val="20"/>
                <w:szCs w:val="20"/>
                <w:highlight w:val="none"/>
                <w:lang w:val="en-US" w:eastAsia="zh-CN"/>
              </w:rPr>
              <w:t>多媒体智能集成管理平台</w:t>
            </w:r>
          </w:p>
        </w:tc>
        <w:tc>
          <w:tcPr>
            <w:tcW w:w="733" w:type="dxa"/>
            <w:vMerge w:val="continue"/>
            <w:vAlign w:val="center"/>
          </w:tcPr>
          <w:p w14:paraId="69F73AA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E737DC0">
            <w:pPr>
              <w:jc w:val="center"/>
              <w:rPr>
                <w:rFonts w:hint="eastAsia" w:ascii="宋体" w:hAnsi="宋体" w:eastAsia="宋体" w:cs="宋体"/>
                <w:b w:val="0"/>
                <w:bCs w:val="0"/>
                <w:color w:val="auto"/>
                <w:kern w:val="0"/>
                <w:sz w:val="20"/>
                <w:szCs w:val="20"/>
                <w:highlight w:val="none"/>
                <w:lang w:val="en-US" w:eastAsia="zh-CN" w:bidi="ar-SA"/>
              </w:rPr>
            </w:pPr>
          </w:p>
        </w:tc>
      </w:tr>
      <w:tr w14:paraId="02664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9FD512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246</w:t>
            </w:r>
          </w:p>
        </w:tc>
        <w:tc>
          <w:tcPr>
            <w:tcW w:w="720" w:type="dxa"/>
            <w:vMerge w:val="continue"/>
            <w:vAlign w:val="center"/>
          </w:tcPr>
          <w:p w14:paraId="3B20BC4F">
            <w:pPr>
              <w:jc w:val="center"/>
              <w:rPr>
                <w:rFonts w:hint="eastAsia" w:ascii="宋体" w:hAnsi="宋体" w:eastAsia="宋体" w:cs="宋体"/>
                <w:b/>
                <w:color w:val="auto"/>
                <w:sz w:val="24"/>
                <w:szCs w:val="24"/>
                <w:highlight w:val="none"/>
                <w:vertAlign w:val="baseline"/>
                <w:lang w:eastAsia="zh-CN"/>
              </w:rPr>
            </w:pPr>
          </w:p>
        </w:tc>
        <w:tc>
          <w:tcPr>
            <w:tcW w:w="2933" w:type="dxa"/>
            <w:gridSpan w:val="2"/>
            <w:vAlign w:val="center"/>
          </w:tcPr>
          <w:p w14:paraId="3508B5A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远程视频会诊模块</w:t>
            </w:r>
          </w:p>
        </w:tc>
        <w:tc>
          <w:tcPr>
            <w:tcW w:w="4667" w:type="dxa"/>
            <w:vAlign w:val="center"/>
          </w:tcPr>
          <w:p w14:paraId="195CAAA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远程会诊视频通讯平台主要用于搭建急救医生、120督导专家、院内专科医生等建立多方视频通话，实现患者病情的远程诊断和救治前移。支持5组远程会诊同时录制。</w:t>
            </w:r>
          </w:p>
        </w:tc>
        <w:tc>
          <w:tcPr>
            <w:tcW w:w="733" w:type="dxa"/>
            <w:vAlign w:val="center"/>
          </w:tcPr>
          <w:p w14:paraId="5E64054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08B59A3D">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06F14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17F231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247</w:t>
            </w:r>
          </w:p>
        </w:tc>
        <w:tc>
          <w:tcPr>
            <w:tcW w:w="720" w:type="dxa"/>
            <w:vMerge w:val="restart"/>
            <w:vAlign w:val="center"/>
          </w:tcPr>
          <w:p w14:paraId="1133F33E">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急救服务端</w:t>
            </w:r>
          </w:p>
        </w:tc>
        <w:tc>
          <w:tcPr>
            <w:tcW w:w="875" w:type="dxa"/>
            <w:vMerge w:val="restart"/>
            <w:vAlign w:val="center"/>
          </w:tcPr>
          <w:p w14:paraId="0C00D03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调度系统</w:t>
            </w:r>
          </w:p>
        </w:tc>
        <w:tc>
          <w:tcPr>
            <w:tcW w:w="2058" w:type="dxa"/>
            <w:vAlign w:val="center"/>
          </w:tcPr>
          <w:p w14:paraId="2EB3DF4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应用服务双活要求</w:t>
            </w:r>
          </w:p>
        </w:tc>
        <w:tc>
          <w:tcPr>
            <w:tcW w:w="4667" w:type="dxa"/>
            <w:vAlign w:val="center"/>
          </w:tcPr>
          <w:p w14:paraId="6212302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系统所有应用服务系统双活改造，关键技术是改造应用服务缓存设计，改为通过消息计数机制来从应用服务获取数据，通过计数来判断缓存是否是最新，不是最新则需要去数据库更新最新数据，从而在保留了缓存的基础上实现了双活。</w:t>
            </w:r>
          </w:p>
        </w:tc>
        <w:tc>
          <w:tcPr>
            <w:tcW w:w="733" w:type="dxa"/>
            <w:vMerge w:val="restart"/>
            <w:vAlign w:val="center"/>
          </w:tcPr>
          <w:p w14:paraId="2D84316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5B39CAEB">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49A8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F1A356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248</w:t>
            </w:r>
          </w:p>
        </w:tc>
        <w:tc>
          <w:tcPr>
            <w:tcW w:w="720" w:type="dxa"/>
            <w:vMerge w:val="continue"/>
            <w:vAlign w:val="center"/>
          </w:tcPr>
          <w:p w14:paraId="5AA4110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029A00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77BBD6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通信服务双活要求</w:t>
            </w:r>
          </w:p>
        </w:tc>
        <w:tc>
          <w:tcPr>
            <w:tcW w:w="4667" w:type="dxa"/>
            <w:vAlign w:val="center"/>
          </w:tcPr>
          <w:p w14:paraId="4F802BB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服主要负责和车载相关系统模块的消息中转，其一，调度系统发往车载的数据，都需要同时发给两个通服，实际车载在哪个通服连接则从哪个通服实际下发。其二，车载改造配置两个通服地址，连接不上一个会尝试连接另一个服务器，服务器收到车载上行消息进行业务处理，推送GPS\北斗数据等，双服务同时工作，互不干扰。主要包括如急救车载软件、电子病历软件、急救分站软件、院前院内协同系统软件等的双活改造。</w:t>
            </w:r>
          </w:p>
        </w:tc>
        <w:tc>
          <w:tcPr>
            <w:tcW w:w="733" w:type="dxa"/>
            <w:vMerge w:val="continue"/>
            <w:vAlign w:val="center"/>
          </w:tcPr>
          <w:p w14:paraId="6E2735B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C1A8138">
            <w:pPr>
              <w:jc w:val="center"/>
              <w:rPr>
                <w:rFonts w:hint="eastAsia" w:ascii="宋体" w:hAnsi="宋体" w:eastAsia="宋体" w:cs="宋体"/>
                <w:b w:val="0"/>
                <w:bCs w:val="0"/>
                <w:color w:val="auto"/>
                <w:kern w:val="0"/>
                <w:sz w:val="20"/>
                <w:szCs w:val="20"/>
                <w:highlight w:val="none"/>
                <w:lang w:val="en-US" w:eastAsia="zh-CN" w:bidi="ar-SA"/>
              </w:rPr>
            </w:pPr>
          </w:p>
        </w:tc>
      </w:tr>
      <w:tr w14:paraId="1DDC7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7B529A5">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249</w:t>
            </w:r>
          </w:p>
        </w:tc>
        <w:tc>
          <w:tcPr>
            <w:tcW w:w="720" w:type="dxa"/>
            <w:vMerge w:val="continue"/>
            <w:vAlign w:val="center"/>
          </w:tcPr>
          <w:p w14:paraId="4A5E30C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A615B3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83BBB6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消息服务双活要求</w:t>
            </w:r>
          </w:p>
        </w:tc>
        <w:tc>
          <w:tcPr>
            <w:tcW w:w="4667" w:type="dxa"/>
            <w:vAlign w:val="center"/>
          </w:tcPr>
          <w:p w14:paraId="3733A32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在基于TCP的云架构下，部署此服务，所有内部通信消息都通过消息服务中转，此服务设计同时可以运行两个，每个服务启动后都会尝试连接另一个服务。当内部通信消息发送到一个服务时，它首先把消息同步到另一个消息服务，再进行正常的客户端转发。所有连接消息服务的客户端都会配置双消息服务地址，当连接不上一个服务时会尝试连接另一个服务。</w:t>
            </w:r>
          </w:p>
        </w:tc>
        <w:tc>
          <w:tcPr>
            <w:tcW w:w="733" w:type="dxa"/>
            <w:vMerge w:val="continue"/>
            <w:vAlign w:val="center"/>
          </w:tcPr>
          <w:p w14:paraId="0C57552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9B4E79F">
            <w:pPr>
              <w:jc w:val="center"/>
              <w:rPr>
                <w:rFonts w:hint="eastAsia" w:ascii="宋体" w:hAnsi="宋体" w:eastAsia="宋体" w:cs="宋体"/>
                <w:b w:val="0"/>
                <w:bCs w:val="0"/>
                <w:color w:val="auto"/>
                <w:kern w:val="0"/>
                <w:sz w:val="20"/>
                <w:szCs w:val="20"/>
                <w:highlight w:val="none"/>
                <w:lang w:val="en-US" w:eastAsia="zh-CN" w:bidi="ar-SA"/>
              </w:rPr>
            </w:pPr>
          </w:p>
        </w:tc>
      </w:tr>
      <w:tr w14:paraId="504E3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887004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250</w:t>
            </w:r>
          </w:p>
        </w:tc>
        <w:tc>
          <w:tcPr>
            <w:tcW w:w="720" w:type="dxa"/>
            <w:vMerge w:val="continue"/>
            <w:vAlign w:val="center"/>
          </w:tcPr>
          <w:p w14:paraId="435D11F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5EC4DA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FAC445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客户端双活要求</w:t>
            </w:r>
          </w:p>
        </w:tc>
        <w:tc>
          <w:tcPr>
            <w:tcW w:w="4667" w:type="dxa"/>
            <w:vAlign w:val="center"/>
          </w:tcPr>
          <w:p w14:paraId="22B1E1B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客户端改造就要包括受理调度台程序、分站接警程序、车载程序进行双活设计改造。其中，受理调度台程序和分站程序需要配置双应用地址和双消息服务地址，连接不到一个时需要尝试连接另一个；车载终端需要配置双通服地址，连接不到一个时需要尝试连接另一个。</w:t>
            </w:r>
          </w:p>
        </w:tc>
        <w:tc>
          <w:tcPr>
            <w:tcW w:w="733" w:type="dxa"/>
            <w:vMerge w:val="continue"/>
            <w:vAlign w:val="center"/>
          </w:tcPr>
          <w:p w14:paraId="5B42CA9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023E765">
            <w:pPr>
              <w:jc w:val="center"/>
              <w:rPr>
                <w:rFonts w:hint="eastAsia" w:ascii="宋体" w:hAnsi="宋体" w:eastAsia="宋体" w:cs="宋体"/>
                <w:b w:val="0"/>
                <w:bCs w:val="0"/>
                <w:color w:val="auto"/>
                <w:kern w:val="0"/>
                <w:sz w:val="20"/>
                <w:szCs w:val="20"/>
                <w:highlight w:val="none"/>
                <w:lang w:val="en-US" w:eastAsia="zh-CN" w:bidi="ar-SA"/>
              </w:rPr>
            </w:pPr>
          </w:p>
        </w:tc>
      </w:tr>
      <w:tr w14:paraId="0CEAA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EE32CB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251</w:t>
            </w:r>
          </w:p>
        </w:tc>
        <w:tc>
          <w:tcPr>
            <w:tcW w:w="720" w:type="dxa"/>
            <w:vMerge w:val="continue"/>
            <w:vAlign w:val="center"/>
          </w:tcPr>
          <w:p w14:paraId="2FD678D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27BFE6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4A0FD4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双活系统后台管理要求</w:t>
            </w:r>
          </w:p>
        </w:tc>
        <w:tc>
          <w:tcPr>
            <w:tcW w:w="4667" w:type="dxa"/>
            <w:vAlign w:val="center"/>
          </w:tcPr>
          <w:p w14:paraId="154BF2A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定制化双活系统后台管理平台，集成全业务流的双活监管，支持配置、告警等功能。</w:t>
            </w:r>
          </w:p>
        </w:tc>
        <w:tc>
          <w:tcPr>
            <w:tcW w:w="733" w:type="dxa"/>
            <w:vMerge w:val="continue"/>
            <w:vAlign w:val="center"/>
          </w:tcPr>
          <w:p w14:paraId="597CB97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67005AD">
            <w:pPr>
              <w:jc w:val="center"/>
              <w:rPr>
                <w:rFonts w:hint="eastAsia" w:ascii="宋体" w:hAnsi="宋体" w:eastAsia="宋体" w:cs="宋体"/>
                <w:b w:val="0"/>
                <w:bCs w:val="0"/>
                <w:color w:val="auto"/>
                <w:kern w:val="0"/>
                <w:sz w:val="20"/>
                <w:szCs w:val="20"/>
                <w:highlight w:val="none"/>
                <w:lang w:val="en-US" w:eastAsia="zh-CN" w:bidi="ar-SA"/>
              </w:rPr>
            </w:pPr>
          </w:p>
        </w:tc>
      </w:tr>
      <w:tr w14:paraId="727A3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78FA0A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252</w:t>
            </w:r>
          </w:p>
        </w:tc>
        <w:tc>
          <w:tcPr>
            <w:tcW w:w="720" w:type="dxa"/>
            <w:vMerge w:val="continue"/>
            <w:vAlign w:val="center"/>
          </w:tcPr>
          <w:p w14:paraId="49543052">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6080B9F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120医疗救援办公管理系统软件</w:t>
            </w:r>
          </w:p>
        </w:tc>
        <w:tc>
          <w:tcPr>
            <w:tcW w:w="2058" w:type="dxa"/>
            <w:vAlign w:val="center"/>
          </w:tcPr>
          <w:p w14:paraId="01F1F9E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系统信息管理</w:t>
            </w:r>
          </w:p>
        </w:tc>
        <w:tc>
          <w:tcPr>
            <w:tcW w:w="4667" w:type="dxa"/>
            <w:vAlign w:val="center"/>
          </w:tcPr>
          <w:p w14:paraId="50A4067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主要针对院前调度、急救、病历、知识、信息统计等进行管理。</w:t>
            </w:r>
          </w:p>
        </w:tc>
        <w:tc>
          <w:tcPr>
            <w:tcW w:w="733" w:type="dxa"/>
            <w:vMerge w:val="restart"/>
            <w:vAlign w:val="center"/>
          </w:tcPr>
          <w:p w14:paraId="551ADC6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5EC98CCB">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4ED63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4FBAC3B">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253</w:t>
            </w:r>
          </w:p>
        </w:tc>
        <w:tc>
          <w:tcPr>
            <w:tcW w:w="720" w:type="dxa"/>
            <w:vMerge w:val="continue"/>
            <w:vAlign w:val="center"/>
          </w:tcPr>
          <w:p w14:paraId="6552B95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B4A8FA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145535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急救信息统计</w:t>
            </w:r>
          </w:p>
        </w:tc>
        <w:tc>
          <w:tcPr>
            <w:tcW w:w="4667" w:type="dxa"/>
            <w:vAlign w:val="center"/>
          </w:tcPr>
          <w:p w14:paraId="3680D92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对急救处置过程的监控、统计、分析，帮助领导实现对急救过程的全程管理，主要从调度和急救两个方面进行统计；对呼救受理的前期进行有关呼救来源、坐席设置、人员排班、电话接听等进行分析，以帮助中心领导对系统技术的改进、调度员管理工作的改进提供决策依据；对救治信息统计，依据工作量、处置统计结果，对救护车有效运行率，医生、司机、护士的排班，急救处理能力培训等实行动态管理。</w:t>
            </w:r>
          </w:p>
        </w:tc>
        <w:tc>
          <w:tcPr>
            <w:tcW w:w="733" w:type="dxa"/>
            <w:vMerge w:val="continue"/>
            <w:vAlign w:val="center"/>
          </w:tcPr>
          <w:p w14:paraId="7698C18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918E7A4">
            <w:pPr>
              <w:jc w:val="center"/>
              <w:rPr>
                <w:rFonts w:hint="eastAsia" w:ascii="宋体" w:hAnsi="宋体" w:eastAsia="宋体" w:cs="宋体"/>
                <w:b w:val="0"/>
                <w:bCs w:val="0"/>
                <w:color w:val="auto"/>
                <w:kern w:val="0"/>
                <w:sz w:val="20"/>
                <w:szCs w:val="20"/>
                <w:highlight w:val="none"/>
                <w:lang w:val="en-US" w:eastAsia="zh-CN" w:bidi="ar-SA"/>
              </w:rPr>
            </w:pPr>
          </w:p>
        </w:tc>
      </w:tr>
      <w:tr w14:paraId="29BDE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F151B44">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254</w:t>
            </w:r>
          </w:p>
        </w:tc>
        <w:tc>
          <w:tcPr>
            <w:tcW w:w="720" w:type="dxa"/>
            <w:vMerge w:val="continue"/>
            <w:vAlign w:val="center"/>
          </w:tcPr>
          <w:p w14:paraId="5113C52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05B6ED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37C751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调度历史信息</w:t>
            </w:r>
          </w:p>
        </w:tc>
        <w:tc>
          <w:tcPr>
            <w:tcW w:w="4667" w:type="dxa"/>
            <w:vAlign w:val="center"/>
          </w:tcPr>
          <w:p w14:paraId="489C648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系统提供对急救事件信息、任务信息、车辆信息等查询，并且电话流水查询可以直接调出录音文件进行播放等。</w:t>
            </w:r>
          </w:p>
        </w:tc>
        <w:tc>
          <w:tcPr>
            <w:tcW w:w="733" w:type="dxa"/>
            <w:vMerge w:val="continue"/>
            <w:vAlign w:val="center"/>
          </w:tcPr>
          <w:p w14:paraId="7AD65F3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444516B">
            <w:pPr>
              <w:jc w:val="center"/>
              <w:rPr>
                <w:rFonts w:hint="eastAsia" w:ascii="宋体" w:hAnsi="宋体" w:eastAsia="宋体" w:cs="宋体"/>
                <w:b w:val="0"/>
                <w:bCs w:val="0"/>
                <w:color w:val="auto"/>
                <w:kern w:val="0"/>
                <w:sz w:val="20"/>
                <w:szCs w:val="20"/>
                <w:highlight w:val="none"/>
                <w:lang w:val="en-US" w:eastAsia="zh-CN" w:bidi="ar-SA"/>
              </w:rPr>
            </w:pPr>
          </w:p>
        </w:tc>
      </w:tr>
      <w:tr w14:paraId="6148C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FECCE6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255</w:t>
            </w:r>
          </w:p>
        </w:tc>
        <w:tc>
          <w:tcPr>
            <w:tcW w:w="720" w:type="dxa"/>
            <w:vMerge w:val="continue"/>
            <w:vAlign w:val="center"/>
          </w:tcPr>
          <w:p w14:paraId="773610F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D4E714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1164A5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病历信息</w:t>
            </w:r>
          </w:p>
        </w:tc>
        <w:tc>
          <w:tcPr>
            <w:tcW w:w="4667" w:type="dxa"/>
            <w:vAlign w:val="center"/>
          </w:tcPr>
          <w:p w14:paraId="19E640D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结合急救分站获得院前急救病历，利于系统CRM（客户关系管理）的实现，同时有助于突发公共卫生事件的预警，以及进行医学统计以提高急救处置能力。其中院前急救病历填输具备病种模板功能，病种模版要求可以自行在管理系统中维护各类丰富的结构化模版。急救医生也可根据自己习惯，个性化设计自有电子病历结构化模板。维护好的病历模版，可以直接在电子病历中直接调用。</w:t>
            </w:r>
          </w:p>
        </w:tc>
        <w:tc>
          <w:tcPr>
            <w:tcW w:w="733" w:type="dxa"/>
            <w:vMerge w:val="continue"/>
            <w:vAlign w:val="center"/>
          </w:tcPr>
          <w:p w14:paraId="6128181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C497F12">
            <w:pPr>
              <w:jc w:val="center"/>
              <w:rPr>
                <w:rFonts w:hint="eastAsia" w:ascii="宋体" w:hAnsi="宋体" w:eastAsia="宋体" w:cs="宋体"/>
                <w:b w:val="0"/>
                <w:bCs w:val="0"/>
                <w:color w:val="auto"/>
                <w:kern w:val="0"/>
                <w:sz w:val="20"/>
                <w:szCs w:val="20"/>
                <w:highlight w:val="none"/>
                <w:lang w:val="en-US" w:eastAsia="zh-CN" w:bidi="ar-SA"/>
              </w:rPr>
            </w:pPr>
          </w:p>
        </w:tc>
      </w:tr>
      <w:tr w14:paraId="1F44D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63C352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256</w:t>
            </w:r>
          </w:p>
        </w:tc>
        <w:tc>
          <w:tcPr>
            <w:tcW w:w="720" w:type="dxa"/>
            <w:vMerge w:val="continue"/>
            <w:vAlign w:val="center"/>
          </w:tcPr>
          <w:p w14:paraId="20949FC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DC979A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810909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办公管理</w:t>
            </w:r>
          </w:p>
        </w:tc>
        <w:tc>
          <w:tcPr>
            <w:tcW w:w="4667" w:type="dxa"/>
            <w:vAlign w:val="center"/>
          </w:tcPr>
          <w:p w14:paraId="4DB7344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是传统办公管理与IT管理的结合，系统通过提供办公信息管理，将急救中心管理与知识共享融为一体。</w:t>
            </w:r>
          </w:p>
        </w:tc>
        <w:tc>
          <w:tcPr>
            <w:tcW w:w="733" w:type="dxa"/>
            <w:vMerge w:val="continue"/>
            <w:vAlign w:val="center"/>
          </w:tcPr>
          <w:p w14:paraId="7057B5C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20CE7E7">
            <w:pPr>
              <w:jc w:val="center"/>
              <w:rPr>
                <w:rFonts w:hint="eastAsia" w:ascii="宋体" w:hAnsi="宋体" w:eastAsia="宋体" w:cs="宋体"/>
                <w:b w:val="0"/>
                <w:bCs w:val="0"/>
                <w:color w:val="auto"/>
                <w:kern w:val="0"/>
                <w:sz w:val="20"/>
                <w:szCs w:val="20"/>
                <w:highlight w:val="none"/>
                <w:lang w:val="en-US" w:eastAsia="zh-CN" w:bidi="ar-SA"/>
              </w:rPr>
            </w:pPr>
          </w:p>
        </w:tc>
      </w:tr>
      <w:tr w14:paraId="116F0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85F0BA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257</w:t>
            </w:r>
          </w:p>
        </w:tc>
        <w:tc>
          <w:tcPr>
            <w:tcW w:w="720" w:type="dxa"/>
            <w:vMerge w:val="continue"/>
            <w:vAlign w:val="center"/>
          </w:tcPr>
          <w:p w14:paraId="0C49FB7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F631CF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92843F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知识管理</w:t>
            </w:r>
          </w:p>
        </w:tc>
        <w:tc>
          <w:tcPr>
            <w:tcW w:w="4667" w:type="dxa"/>
            <w:vAlign w:val="center"/>
          </w:tcPr>
          <w:p w14:paraId="524AE97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提供急救知识信息，协助急救中心运用高效的办公系统整合资源,有效改善急救中心知识管理模式,实现资源有效共享。</w:t>
            </w:r>
          </w:p>
        </w:tc>
        <w:tc>
          <w:tcPr>
            <w:tcW w:w="733" w:type="dxa"/>
            <w:vMerge w:val="continue"/>
            <w:vAlign w:val="center"/>
          </w:tcPr>
          <w:p w14:paraId="32E0137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05A8ABF">
            <w:pPr>
              <w:jc w:val="center"/>
              <w:rPr>
                <w:rFonts w:hint="eastAsia" w:ascii="宋体" w:hAnsi="宋体" w:eastAsia="宋体" w:cs="宋体"/>
                <w:b w:val="0"/>
                <w:bCs w:val="0"/>
                <w:color w:val="auto"/>
                <w:kern w:val="0"/>
                <w:sz w:val="20"/>
                <w:szCs w:val="20"/>
                <w:highlight w:val="none"/>
                <w:lang w:val="en-US" w:eastAsia="zh-CN" w:bidi="ar-SA"/>
              </w:rPr>
            </w:pPr>
          </w:p>
        </w:tc>
      </w:tr>
      <w:tr w14:paraId="34F9D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A6C020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258</w:t>
            </w:r>
          </w:p>
        </w:tc>
        <w:tc>
          <w:tcPr>
            <w:tcW w:w="720" w:type="dxa"/>
            <w:vMerge w:val="continue"/>
            <w:vAlign w:val="center"/>
          </w:tcPr>
          <w:p w14:paraId="6FFC890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19BDB0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B14FF5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系统数据维护</w:t>
            </w:r>
          </w:p>
        </w:tc>
        <w:tc>
          <w:tcPr>
            <w:tcW w:w="4667" w:type="dxa"/>
            <w:vAlign w:val="center"/>
          </w:tcPr>
          <w:p w14:paraId="0EA2A90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主要对120医疗救援指挥系统的基础数据、字典表、车载管理、患者救治记录、系统设置等方便的数据进行分析维护。</w:t>
            </w:r>
          </w:p>
        </w:tc>
        <w:tc>
          <w:tcPr>
            <w:tcW w:w="733" w:type="dxa"/>
            <w:vMerge w:val="continue"/>
            <w:vAlign w:val="center"/>
          </w:tcPr>
          <w:p w14:paraId="2E8BD44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050215B">
            <w:pPr>
              <w:jc w:val="center"/>
              <w:rPr>
                <w:rFonts w:hint="eastAsia" w:ascii="宋体" w:hAnsi="宋体" w:eastAsia="宋体" w:cs="宋体"/>
                <w:b w:val="0"/>
                <w:bCs w:val="0"/>
                <w:color w:val="auto"/>
                <w:kern w:val="0"/>
                <w:sz w:val="20"/>
                <w:szCs w:val="20"/>
                <w:highlight w:val="none"/>
                <w:lang w:val="en-US" w:eastAsia="zh-CN" w:bidi="ar-SA"/>
              </w:rPr>
            </w:pPr>
          </w:p>
        </w:tc>
      </w:tr>
      <w:tr w14:paraId="742FA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F932C4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259</w:t>
            </w:r>
          </w:p>
        </w:tc>
        <w:tc>
          <w:tcPr>
            <w:tcW w:w="720" w:type="dxa"/>
            <w:vMerge w:val="continue"/>
            <w:vAlign w:val="center"/>
          </w:tcPr>
          <w:p w14:paraId="623124C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3FE52F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DCA9CF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120医疗救援办公管理系统软件</w:t>
            </w:r>
          </w:p>
        </w:tc>
        <w:tc>
          <w:tcPr>
            <w:tcW w:w="4667" w:type="dxa"/>
            <w:vAlign w:val="center"/>
          </w:tcPr>
          <w:p w14:paraId="545B4D4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急救服务端</w:t>
            </w:r>
            <w:r>
              <w:rPr>
                <w:rFonts w:hint="eastAsia" w:ascii="宋体" w:hAnsi="宋体" w:eastAsia="宋体" w:cs="宋体"/>
                <w:b w:val="0"/>
                <w:bCs w:val="0"/>
                <w:color w:val="auto"/>
                <w:kern w:val="0"/>
                <w:sz w:val="20"/>
                <w:szCs w:val="20"/>
                <w:highlight w:val="none"/>
                <w:lang w:val="en-US" w:eastAsia="zh-CN"/>
              </w:rPr>
              <w:t>120医疗救援办公管理系统软件</w:t>
            </w:r>
          </w:p>
        </w:tc>
        <w:tc>
          <w:tcPr>
            <w:tcW w:w="733" w:type="dxa"/>
            <w:vMerge w:val="continue"/>
            <w:vAlign w:val="center"/>
          </w:tcPr>
          <w:p w14:paraId="6FB5C82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AA8D5A9">
            <w:pPr>
              <w:jc w:val="center"/>
              <w:rPr>
                <w:rFonts w:hint="eastAsia" w:ascii="宋体" w:hAnsi="宋体" w:eastAsia="宋体" w:cs="宋体"/>
                <w:b w:val="0"/>
                <w:bCs w:val="0"/>
                <w:color w:val="auto"/>
                <w:kern w:val="0"/>
                <w:sz w:val="20"/>
                <w:szCs w:val="20"/>
                <w:highlight w:val="none"/>
                <w:lang w:val="en-US" w:eastAsia="zh-CN" w:bidi="ar-SA"/>
              </w:rPr>
            </w:pPr>
          </w:p>
        </w:tc>
      </w:tr>
      <w:tr w14:paraId="34042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DA9FB2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260</w:t>
            </w:r>
          </w:p>
        </w:tc>
        <w:tc>
          <w:tcPr>
            <w:tcW w:w="720" w:type="dxa"/>
            <w:vMerge w:val="continue"/>
            <w:vAlign w:val="center"/>
          </w:tcPr>
          <w:p w14:paraId="672A914C">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03347B8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云地图子系统</w:t>
            </w:r>
          </w:p>
        </w:tc>
        <w:tc>
          <w:tcPr>
            <w:tcW w:w="2058" w:type="dxa"/>
            <w:vAlign w:val="center"/>
          </w:tcPr>
          <w:p w14:paraId="3F68298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地图视图模块</w:t>
            </w:r>
          </w:p>
        </w:tc>
        <w:tc>
          <w:tcPr>
            <w:tcW w:w="4667" w:type="dxa"/>
            <w:vAlign w:val="center"/>
          </w:tcPr>
          <w:p w14:paraId="1CABD18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要求提供三种视图：一是矢量地图（传统地图），可提供行政区和交通以及商业信息</w:t>
            </w:r>
            <w:r>
              <w:rPr>
                <w:rFonts w:hint="eastAsia" w:ascii="宋体" w:hAnsi="宋体" w:eastAsia="宋体" w:cs="宋体"/>
                <w:b w:val="0"/>
                <w:bCs w:val="0"/>
                <w:color w:val="auto"/>
                <w:kern w:val="0"/>
                <w:sz w:val="20"/>
                <w:szCs w:val="20"/>
                <w:highlight w:val="none"/>
                <w:lang w:val="en-US" w:eastAsia="zh-CN"/>
              </w:rPr>
              <w:br w:type="textWrapping"/>
            </w:r>
            <w:r>
              <w:rPr>
                <w:rFonts w:hint="eastAsia" w:ascii="宋体" w:hAnsi="宋体" w:eastAsia="宋体" w:cs="宋体"/>
                <w:b w:val="0"/>
                <w:bCs w:val="0"/>
                <w:color w:val="auto"/>
                <w:kern w:val="0"/>
                <w:sz w:val="20"/>
                <w:szCs w:val="20"/>
                <w:highlight w:val="none"/>
                <w:lang w:val="en-US" w:eastAsia="zh-CN"/>
              </w:rPr>
              <w:t>；二是不同分辨率的卫星照片（俯视图）；三是地形视图，可以用以显示地形</w:t>
            </w:r>
          </w:p>
        </w:tc>
        <w:tc>
          <w:tcPr>
            <w:tcW w:w="733" w:type="dxa"/>
            <w:vMerge w:val="restart"/>
            <w:vAlign w:val="center"/>
          </w:tcPr>
          <w:p w14:paraId="4042E13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01192CA1">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65D7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7AFA60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261</w:t>
            </w:r>
          </w:p>
        </w:tc>
        <w:tc>
          <w:tcPr>
            <w:tcW w:w="720" w:type="dxa"/>
            <w:vMerge w:val="continue"/>
            <w:vAlign w:val="center"/>
          </w:tcPr>
          <w:p w14:paraId="5BBBAA7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347049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D3574C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地图数据模块</w:t>
            </w:r>
          </w:p>
        </w:tc>
        <w:tc>
          <w:tcPr>
            <w:tcW w:w="4667" w:type="dxa"/>
            <w:vAlign w:val="center"/>
          </w:tcPr>
          <w:p w14:paraId="68B193A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提供面积大、内容全、更新迅速的地图数据，要求网络在线地图基于百度、腾讯、高德等互联网地图应用</w:t>
            </w:r>
          </w:p>
        </w:tc>
        <w:tc>
          <w:tcPr>
            <w:tcW w:w="733" w:type="dxa"/>
            <w:vMerge w:val="continue"/>
            <w:vAlign w:val="center"/>
          </w:tcPr>
          <w:p w14:paraId="13750BD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C5E9472">
            <w:pPr>
              <w:jc w:val="center"/>
              <w:rPr>
                <w:rFonts w:hint="eastAsia" w:ascii="宋体" w:hAnsi="宋体" w:eastAsia="宋体" w:cs="宋体"/>
                <w:b w:val="0"/>
                <w:bCs w:val="0"/>
                <w:color w:val="auto"/>
                <w:kern w:val="0"/>
                <w:sz w:val="20"/>
                <w:szCs w:val="20"/>
                <w:highlight w:val="none"/>
                <w:lang w:val="en-US" w:eastAsia="zh-CN" w:bidi="ar-SA"/>
              </w:rPr>
            </w:pPr>
          </w:p>
        </w:tc>
      </w:tr>
      <w:tr w14:paraId="498B1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A985B7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262</w:t>
            </w:r>
          </w:p>
        </w:tc>
        <w:tc>
          <w:tcPr>
            <w:tcW w:w="720" w:type="dxa"/>
            <w:vMerge w:val="continue"/>
            <w:vAlign w:val="center"/>
          </w:tcPr>
          <w:p w14:paraId="17CE10A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E1FA0F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987739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地图查询模块</w:t>
            </w:r>
          </w:p>
        </w:tc>
        <w:tc>
          <w:tcPr>
            <w:tcW w:w="4667" w:type="dxa"/>
            <w:vAlign w:val="center"/>
          </w:tcPr>
          <w:p w14:paraId="5E934EC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要求提供模糊名称查询、最优路径等大量辅助手段</w:t>
            </w:r>
          </w:p>
        </w:tc>
        <w:tc>
          <w:tcPr>
            <w:tcW w:w="733" w:type="dxa"/>
            <w:vMerge w:val="continue"/>
            <w:vAlign w:val="center"/>
          </w:tcPr>
          <w:p w14:paraId="52E33CA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B17BD81">
            <w:pPr>
              <w:jc w:val="center"/>
              <w:rPr>
                <w:rFonts w:hint="eastAsia" w:ascii="宋体" w:hAnsi="宋体" w:eastAsia="宋体" w:cs="宋体"/>
                <w:b w:val="0"/>
                <w:bCs w:val="0"/>
                <w:color w:val="auto"/>
                <w:kern w:val="0"/>
                <w:sz w:val="20"/>
                <w:szCs w:val="20"/>
                <w:highlight w:val="none"/>
                <w:lang w:val="en-US" w:eastAsia="zh-CN" w:bidi="ar-SA"/>
              </w:rPr>
            </w:pPr>
          </w:p>
        </w:tc>
      </w:tr>
      <w:tr w14:paraId="45207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63FF4D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263</w:t>
            </w:r>
          </w:p>
        </w:tc>
        <w:tc>
          <w:tcPr>
            <w:tcW w:w="720" w:type="dxa"/>
            <w:vMerge w:val="continue"/>
            <w:vAlign w:val="center"/>
          </w:tcPr>
          <w:p w14:paraId="599DB57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76ED24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F44186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语义搜索模块</w:t>
            </w:r>
          </w:p>
        </w:tc>
        <w:tc>
          <w:tcPr>
            <w:tcW w:w="4667" w:type="dxa"/>
            <w:vAlign w:val="center"/>
          </w:tcPr>
          <w:p w14:paraId="594B0F7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要求提供强大语义搜索功能，针对急救行业应用的语义搜索，准确地捕捉到受理员所输入语句后面的真正意图，并以此来进行搜索，从而更准确地返回最符合其需求的搜索结果</w:t>
            </w:r>
          </w:p>
        </w:tc>
        <w:tc>
          <w:tcPr>
            <w:tcW w:w="733" w:type="dxa"/>
            <w:vMerge w:val="continue"/>
            <w:vAlign w:val="center"/>
          </w:tcPr>
          <w:p w14:paraId="325BB35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909D174">
            <w:pPr>
              <w:jc w:val="center"/>
              <w:rPr>
                <w:rFonts w:hint="eastAsia" w:ascii="宋体" w:hAnsi="宋体" w:eastAsia="宋体" w:cs="宋体"/>
                <w:b w:val="0"/>
                <w:bCs w:val="0"/>
                <w:color w:val="auto"/>
                <w:kern w:val="0"/>
                <w:sz w:val="20"/>
                <w:szCs w:val="20"/>
                <w:highlight w:val="none"/>
                <w:lang w:val="en-US" w:eastAsia="zh-CN" w:bidi="ar-SA"/>
              </w:rPr>
            </w:pPr>
          </w:p>
        </w:tc>
      </w:tr>
      <w:tr w14:paraId="4BD23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BAEC38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264</w:t>
            </w:r>
          </w:p>
        </w:tc>
        <w:tc>
          <w:tcPr>
            <w:tcW w:w="720" w:type="dxa"/>
            <w:vMerge w:val="continue"/>
            <w:vAlign w:val="center"/>
          </w:tcPr>
          <w:p w14:paraId="2F226F3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41E2CA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454C4B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实时交通模块</w:t>
            </w:r>
          </w:p>
        </w:tc>
        <w:tc>
          <w:tcPr>
            <w:tcW w:w="4667" w:type="dxa"/>
            <w:vAlign w:val="center"/>
          </w:tcPr>
          <w:p w14:paraId="77F8E6C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要求提供城市道路交通流量实施信息，通过红、黄、绿等颜色来展示交通状况。通过查看实时交通信息，调整救护车行驶路线</w:t>
            </w:r>
          </w:p>
        </w:tc>
        <w:tc>
          <w:tcPr>
            <w:tcW w:w="733" w:type="dxa"/>
            <w:vMerge w:val="continue"/>
            <w:vAlign w:val="center"/>
          </w:tcPr>
          <w:p w14:paraId="1F51300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87859D0">
            <w:pPr>
              <w:jc w:val="center"/>
              <w:rPr>
                <w:rFonts w:hint="eastAsia" w:ascii="宋体" w:hAnsi="宋体" w:eastAsia="宋体" w:cs="宋体"/>
                <w:b w:val="0"/>
                <w:bCs w:val="0"/>
                <w:color w:val="auto"/>
                <w:kern w:val="0"/>
                <w:sz w:val="20"/>
                <w:szCs w:val="20"/>
                <w:highlight w:val="none"/>
                <w:lang w:val="en-US" w:eastAsia="zh-CN" w:bidi="ar-SA"/>
              </w:rPr>
            </w:pPr>
          </w:p>
        </w:tc>
      </w:tr>
      <w:tr w14:paraId="2F22D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DCE9BE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265</w:t>
            </w:r>
          </w:p>
        </w:tc>
        <w:tc>
          <w:tcPr>
            <w:tcW w:w="720" w:type="dxa"/>
            <w:vMerge w:val="continue"/>
            <w:vAlign w:val="center"/>
          </w:tcPr>
          <w:p w14:paraId="51C9CD2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1E1E3B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261D43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GIS调度管理模块</w:t>
            </w:r>
          </w:p>
        </w:tc>
        <w:tc>
          <w:tcPr>
            <w:tcW w:w="4667" w:type="dxa"/>
            <w:vAlign w:val="center"/>
          </w:tcPr>
          <w:p w14:paraId="796C997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要求互联网GIS与120调度结合，在线地图与受理台调度软件结合，满足受理台调度软件应用需求</w:t>
            </w:r>
          </w:p>
        </w:tc>
        <w:tc>
          <w:tcPr>
            <w:tcW w:w="733" w:type="dxa"/>
            <w:vMerge w:val="continue"/>
            <w:vAlign w:val="center"/>
          </w:tcPr>
          <w:p w14:paraId="3A522A4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C857F7D">
            <w:pPr>
              <w:jc w:val="center"/>
              <w:rPr>
                <w:rFonts w:hint="eastAsia" w:ascii="宋体" w:hAnsi="宋体" w:eastAsia="宋体" w:cs="宋体"/>
                <w:b w:val="0"/>
                <w:bCs w:val="0"/>
                <w:color w:val="auto"/>
                <w:kern w:val="0"/>
                <w:sz w:val="20"/>
                <w:szCs w:val="20"/>
                <w:highlight w:val="none"/>
                <w:lang w:val="en-US" w:eastAsia="zh-CN" w:bidi="ar-SA"/>
              </w:rPr>
            </w:pPr>
          </w:p>
        </w:tc>
      </w:tr>
      <w:tr w14:paraId="46624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8738C9B">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266</w:t>
            </w:r>
          </w:p>
        </w:tc>
        <w:tc>
          <w:tcPr>
            <w:tcW w:w="720" w:type="dxa"/>
            <w:vMerge w:val="continue"/>
            <w:vAlign w:val="center"/>
          </w:tcPr>
          <w:p w14:paraId="18A310E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320880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E28128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地图引擎切换模块</w:t>
            </w:r>
          </w:p>
        </w:tc>
        <w:tc>
          <w:tcPr>
            <w:tcW w:w="4667" w:type="dxa"/>
            <w:vAlign w:val="center"/>
          </w:tcPr>
          <w:p w14:paraId="4A16B24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要求至少百度地图、高德地图、本地地图可同时使用，并可以随意切换。</w:t>
            </w:r>
          </w:p>
        </w:tc>
        <w:tc>
          <w:tcPr>
            <w:tcW w:w="733" w:type="dxa"/>
            <w:vMerge w:val="continue"/>
            <w:vAlign w:val="center"/>
          </w:tcPr>
          <w:p w14:paraId="26320E9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8AFE0A4">
            <w:pPr>
              <w:jc w:val="center"/>
              <w:rPr>
                <w:rFonts w:hint="eastAsia" w:ascii="宋体" w:hAnsi="宋体" w:eastAsia="宋体" w:cs="宋体"/>
                <w:b w:val="0"/>
                <w:bCs w:val="0"/>
                <w:color w:val="auto"/>
                <w:kern w:val="0"/>
                <w:sz w:val="20"/>
                <w:szCs w:val="20"/>
                <w:highlight w:val="none"/>
                <w:lang w:val="en-US" w:eastAsia="zh-CN" w:bidi="ar-SA"/>
              </w:rPr>
            </w:pPr>
          </w:p>
        </w:tc>
      </w:tr>
      <w:tr w14:paraId="6F8BA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31047D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267</w:t>
            </w:r>
          </w:p>
        </w:tc>
        <w:tc>
          <w:tcPr>
            <w:tcW w:w="720" w:type="dxa"/>
            <w:vMerge w:val="continue"/>
            <w:vAlign w:val="center"/>
          </w:tcPr>
          <w:p w14:paraId="2A3128F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59C771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46641E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地图视图模块</w:t>
            </w:r>
          </w:p>
        </w:tc>
        <w:tc>
          <w:tcPr>
            <w:tcW w:w="4667" w:type="dxa"/>
            <w:vAlign w:val="center"/>
          </w:tcPr>
          <w:p w14:paraId="461DD77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要求提供三种视图：一是矢量地图（传统地图），可提供行政区和交通以及商业信息</w:t>
            </w:r>
            <w:r>
              <w:rPr>
                <w:rFonts w:hint="eastAsia" w:ascii="宋体" w:hAnsi="宋体" w:eastAsia="宋体" w:cs="宋体"/>
                <w:b w:val="0"/>
                <w:bCs w:val="0"/>
                <w:color w:val="auto"/>
                <w:kern w:val="0"/>
                <w:sz w:val="20"/>
                <w:szCs w:val="20"/>
                <w:highlight w:val="none"/>
                <w:lang w:val="en-US" w:eastAsia="zh-CN"/>
              </w:rPr>
              <w:br w:type="textWrapping"/>
            </w:r>
            <w:r>
              <w:rPr>
                <w:rFonts w:hint="eastAsia" w:ascii="宋体" w:hAnsi="宋体" w:eastAsia="宋体" w:cs="宋体"/>
                <w:b w:val="0"/>
                <w:bCs w:val="0"/>
                <w:color w:val="auto"/>
                <w:kern w:val="0"/>
                <w:sz w:val="20"/>
                <w:szCs w:val="20"/>
                <w:highlight w:val="none"/>
                <w:lang w:val="en-US" w:eastAsia="zh-CN"/>
              </w:rPr>
              <w:t>；二是不同分辨率的卫星照片（俯视图）；三是地形视图，可以用以显示地形</w:t>
            </w:r>
          </w:p>
        </w:tc>
        <w:tc>
          <w:tcPr>
            <w:tcW w:w="733" w:type="dxa"/>
            <w:vMerge w:val="continue"/>
            <w:vAlign w:val="center"/>
          </w:tcPr>
          <w:p w14:paraId="0076D17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E77191B">
            <w:pPr>
              <w:jc w:val="center"/>
              <w:rPr>
                <w:rFonts w:hint="eastAsia" w:ascii="宋体" w:hAnsi="宋体" w:eastAsia="宋体" w:cs="宋体"/>
                <w:b w:val="0"/>
                <w:bCs w:val="0"/>
                <w:color w:val="auto"/>
                <w:kern w:val="0"/>
                <w:sz w:val="20"/>
                <w:szCs w:val="20"/>
                <w:highlight w:val="none"/>
                <w:lang w:val="en-US" w:eastAsia="zh-CN" w:bidi="ar-SA"/>
              </w:rPr>
            </w:pPr>
          </w:p>
        </w:tc>
      </w:tr>
      <w:tr w14:paraId="79BBB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594DC6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268</w:t>
            </w:r>
          </w:p>
        </w:tc>
        <w:tc>
          <w:tcPr>
            <w:tcW w:w="720" w:type="dxa"/>
            <w:vMerge w:val="continue"/>
            <w:vAlign w:val="center"/>
          </w:tcPr>
          <w:p w14:paraId="33F27CD3">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231E78B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网络视频传输服务端</w:t>
            </w:r>
          </w:p>
        </w:tc>
        <w:tc>
          <w:tcPr>
            <w:tcW w:w="2058" w:type="dxa"/>
            <w:vAlign w:val="center"/>
          </w:tcPr>
          <w:p w14:paraId="598D268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急救视频总览</w:t>
            </w:r>
          </w:p>
        </w:tc>
        <w:tc>
          <w:tcPr>
            <w:tcW w:w="4667" w:type="dxa"/>
            <w:vAlign w:val="center"/>
          </w:tcPr>
          <w:p w14:paraId="4BBA566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支持急救站点和急救车两种视频方式</w:t>
            </w:r>
          </w:p>
        </w:tc>
        <w:tc>
          <w:tcPr>
            <w:tcW w:w="733" w:type="dxa"/>
            <w:vMerge w:val="restart"/>
            <w:vAlign w:val="center"/>
          </w:tcPr>
          <w:p w14:paraId="5463330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559A4653">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140D4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F6033B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269</w:t>
            </w:r>
          </w:p>
        </w:tc>
        <w:tc>
          <w:tcPr>
            <w:tcW w:w="720" w:type="dxa"/>
            <w:vMerge w:val="continue"/>
            <w:vAlign w:val="center"/>
          </w:tcPr>
          <w:p w14:paraId="5D3676F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400301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8EAD08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分站急救监控</w:t>
            </w:r>
          </w:p>
        </w:tc>
        <w:tc>
          <w:tcPr>
            <w:tcW w:w="4667" w:type="dxa"/>
            <w:vAlign w:val="center"/>
          </w:tcPr>
          <w:p w14:paraId="26A4047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急救分站安装监控摄像探头，通过急救专网将各点监控视频上传到中心大屏幕，调度员对各分站的实际工作情况一目了然，便于中心对急救保障工作的急救指挥和监督管理</w:t>
            </w:r>
          </w:p>
        </w:tc>
        <w:tc>
          <w:tcPr>
            <w:tcW w:w="733" w:type="dxa"/>
            <w:vMerge w:val="continue"/>
            <w:vAlign w:val="center"/>
          </w:tcPr>
          <w:p w14:paraId="2D75422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1907697">
            <w:pPr>
              <w:jc w:val="center"/>
              <w:rPr>
                <w:rFonts w:hint="eastAsia" w:ascii="宋体" w:hAnsi="宋体" w:eastAsia="宋体" w:cs="宋体"/>
                <w:b w:val="0"/>
                <w:bCs w:val="0"/>
                <w:color w:val="auto"/>
                <w:kern w:val="0"/>
                <w:sz w:val="20"/>
                <w:szCs w:val="20"/>
                <w:highlight w:val="none"/>
                <w:lang w:val="en-US" w:eastAsia="zh-CN" w:bidi="ar-SA"/>
              </w:rPr>
            </w:pPr>
          </w:p>
        </w:tc>
      </w:tr>
      <w:tr w14:paraId="45609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53627B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270</w:t>
            </w:r>
          </w:p>
        </w:tc>
        <w:tc>
          <w:tcPr>
            <w:tcW w:w="720" w:type="dxa"/>
            <w:vMerge w:val="continue"/>
            <w:vAlign w:val="center"/>
          </w:tcPr>
          <w:p w14:paraId="2694ACE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859B42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33D7F5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视频车载终端</w:t>
            </w:r>
          </w:p>
        </w:tc>
        <w:tc>
          <w:tcPr>
            <w:tcW w:w="4667" w:type="dxa"/>
            <w:vAlign w:val="center"/>
          </w:tcPr>
          <w:p w14:paraId="794E096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急救车辆安装视频车载终端，可以将救护车医疗舱图像（车内摄像头）和现场图像（驾驶舱摄像头）实时传输至 120 急救中心，并通过视频软件完成与车辆的动态切换，便于急救中心对急救质量的监督管理，同时，通过实时了解各急救现场情况，便于急救指挥，支持车载视频终端图像数据在本地\上传中心服务器上进行保存，并能够在多用户界面进行同时显示</w:t>
            </w:r>
          </w:p>
        </w:tc>
        <w:tc>
          <w:tcPr>
            <w:tcW w:w="733" w:type="dxa"/>
            <w:vMerge w:val="continue"/>
            <w:vAlign w:val="center"/>
          </w:tcPr>
          <w:p w14:paraId="705A6E2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23A1670">
            <w:pPr>
              <w:jc w:val="center"/>
              <w:rPr>
                <w:rFonts w:hint="eastAsia" w:ascii="宋体" w:hAnsi="宋体" w:eastAsia="宋体" w:cs="宋体"/>
                <w:b w:val="0"/>
                <w:bCs w:val="0"/>
                <w:color w:val="auto"/>
                <w:kern w:val="0"/>
                <w:sz w:val="20"/>
                <w:szCs w:val="20"/>
                <w:highlight w:val="none"/>
                <w:lang w:val="en-US" w:eastAsia="zh-CN" w:bidi="ar-SA"/>
              </w:rPr>
            </w:pPr>
          </w:p>
        </w:tc>
      </w:tr>
      <w:tr w14:paraId="78458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CB5E1D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271</w:t>
            </w:r>
          </w:p>
        </w:tc>
        <w:tc>
          <w:tcPr>
            <w:tcW w:w="720" w:type="dxa"/>
            <w:vMerge w:val="continue"/>
            <w:vAlign w:val="center"/>
          </w:tcPr>
          <w:p w14:paraId="63C9645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645E1D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B61B28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实时图像浏览功能</w:t>
            </w:r>
          </w:p>
        </w:tc>
        <w:tc>
          <w:tcPr>
            <w:tcW w:w="4667" w:type="dxa"/>
            <w:vAlign w:val="center"/>
          </w:tcPr>
          <w:p w14:paraId="4464450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授权用户能对指定分配的设备、通道进行实时图像浏览</w:t>
            </w:r>
          </w:p>
        </w:tc>
        <w:tc>
          <w:tcPr>
            <w:tcW w:w="733" w:type="dxa"/>
            <w:vMerge w:val="continue"/>
            <w:vAlign w:val="center"/>
          </w:tcPr>
          <w:p w14:paraId="5BB4715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6A92FA1">
            <w:pPr>
              <w:jc w:val="center"/>
              <w:rPr>
                <w:rFonts w:hint="eastAsia" w:ascii="宋体" w:hAnsi="宋体" w:eastAsia="宋体" w:cs="宋体"/>
                <w:b w:val="0"/>
                <w:bCs w:val="0"/>
                <w:color w:val="auto"/>
                <w:kern w:val="0"/>
                <w:sz w:val="20"/>
                <w:szCs w:val="20"/>
                <w:highlight w:val="none"/>
                <w:lang w:val="en-US" w:eastAsia="zh-CN" w:bidi="ar-SA"/>
              </w:rPr>
            </w:pPr>
          </w:p>
        </w:tc>
      </w:tr>
      <w:tr w14:paraId="03AF4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0B38532">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272</w:t>
            </w:r>
          </w:p>
        </w:tc>
        <w:tc>
          <w:tcPr>
            <w:tcW w:w="720" w:type="dxa"/>
            <w:vMerge w:val="continue"/>
            <w:vAlign w:val="center"/>
          </w:tcPr>
          <w:p w14:paraId="2D6C2D7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8F76E7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06BF06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录像存储功能</w:t>
            </w:r>
          </w:p>
        </w:tc>
        <w:tc>
          <w:tcPr>
            <w:tcW w:w="4667" w:type="dxa"/>
            <w:vAlign w:val="center"/>
          </w:tcPr>
          <w:p w14:paraId="687F9FD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系统支持全程、手动、定时、联动等录像模式，并自动循环覆盖</w:t>
            </w:r>
          </w:p>
        </w:tc>
        <w:tc>
          <w:tcPr>
            <w:tcW w:w="733" w:type="dxa"/>
            <w:vMerge w:val="continue"/>
            <w:vAlign w:val="center"/>
          </w:tcPr>
          <w:p w14:paraId="2C67B6A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E4141CF">
            <w:pPr>
              <w:jc w:val="center"/>
              <w:rPr>
                <w:rFonts w:hint="eastAsia" w:ascii="宋体" w:hAnsi="宋体" w:eastAsia="宋体" w:cs="宋体"/>
                <w:b w:val="0"/>
                <w:bCs w:val="0"/>
                <w:color w:val="auto"/>
                <w:kern w:val="0"/>
                <w:sz w:val="20"/>
                <w:szCs w:val="20"/>
                <w:highlight w:val="none"/>
                <w:lang w:val="en-US" w:eastAsia="zh-CN" w:bidi="ar-SA"/>
              </w:rPr>
            </w:pPr>
          </w:p>
        </w:tc>
      </w:tr>
      <w:tr w14:paraId="5A516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BF1FAF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273</w:t>
            </w:r>
          </w:p>
        </w:tc>
        <w:tc>
          <w:tcPr>
            <w:tcW w:w="720" w:type="dxa"/>
            <w:vMerge w:val="continue"/>
            <w:vAlign w:val="center"/>
          </w:tcPr>
          <w:p w14:paraId="5F6111D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7CCA62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AC40F0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录像查询回放功能</w:t>
            </w:r>
          </w:p>
        </w:tc>
        <w:tc>
          <w:tcPr>
            <w:tcW w:w="4667" w:type="dxa"/>
            <w:vAlign w:val="center"/>
          </w:tcPr>
          <w:p w14:paraId="0B784EC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录像查询回放功能要求：系统支持本地、远程查询回放，可分别按照指定的设备、通道、时间等要素检索历史图像资料</w:t>
            </w:r>
          </w:p>
        </w:tc>
        <w:tc>
          <w:tcPr>
            <w:tcW w:w="733" w:type="dxa"/>
            <w:vMerge w:val="continue"/>
            <w:vAlign w:val="center"/>
          </w:tcPr>
          <w:p w14:paraId="1FA3AFA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9C76AD6">
            <w:pPr>
              <w:jc w:val="center"/>
              <w:rPr>
                <w:rFonts w:hint="eastAsia" w:ascii="宋体" w:hAnsi="宋体" w:eastAsia="宋体" w:cs="宋体"/>
                <w:b w:val="0"/>
                <w:bCs w:val="0"/>
                <w:color w:val="auto"/>
                <w:kern w:val="0"/>
                <w:sz w:val="20"/>
                <w:szCs w:val="20"/>
                <w:highlight w:val="none"/>
                <w:lang w:val="en-US" w:eastAsia="zh-CN" w:bidi="ar-SA"/>
              </w:rPr>
            </w:pPr>
          </w:p>
        </w:tc>
      </w:tr>
      <w:tr w14:paraId="3B393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33FE54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274</w:t>
            </w:r>
          </w:p>
        </w:tc>
        <w:tc>
          <w:tcPr>
            <w:tcW w:w="720" w:type="dxa"/>
            <w:vMerge w:val="continue"/>
            <w:vAlign w:val="center"/>
          </w:tcPr>
          <w:p w14:paraId="01677E4F">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36C93E6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急救分站信息服务端</w:t>
            </w:r>
          </w:p>
        </w:tc>
        <w:tc>
          <w:tcPr>
            <w:tcW w:w="2058" w:type="dxa"/>
            <w:vMerge w:val="restart"/>
            <w:vAlign w:val="center"/>
          </w:tcPr>
          <w:p w14:paraId="11ACE92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出勤管理</w:t>
            </w:r>
          </w:p>
        </w:tc>
        <w:tc>
          <w:tcPr>
            <w:tcW w:w="4667" w:type="dxa"/>
            <w:vAlign w:val="center"/>
          </w:tcPr>
          <w:p w14:paraId="5F3573A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分站值班人员上、下班管理，并与中心、车载终端上、下班管理一体化使用</w:t>
            </w:r>
          </w:p>
        </w:tc>
        <w:tc>
          <w:tcPr>
            <w:tcW w:w="733" w:type="dxa"/>
            <w:vMerge w:val="restart"/>
            <w:vAlign w:val="center"/>
          </w:tcPr>
          <w:p w14:paraId="7F03D74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747A9371">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7631F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91FD94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275</w:t>
            </w:r>
          </w:p>
        </w:tc>
        <w:tc>
          <w:tcPr>
            <w:tcW w:w="720" w:type="dxa"/>
            <w:vMerge w:val="continue"/>
            <w:vAlign w:val="center"/>
          </w:tcPr>
          <w:p w14:paraId="3082143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804186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2391A3A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3DD988E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通过上下班随机确定医生与司机组合</w:t>
            </w:r>
          </w:p>
        </w:tc>
        <w:tc>
          <w:tcPr>
            <w:tcW w:w="733" w:type="dxa"/>
            <w:vMerge w:val="continue"/>
            <w:vAlign w:val="center"/>
          </w:tcPr>
          <w:p w14:paraId="4F11CD6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AE51E90">
            <w:pPr>
              <w:jc w:val="center"/>
              <w:rPr>
                <w:rFonts w:hint="eastAsia" w:ascii="宋体" w:hAnsi="宋体" w:eastAsia="宋体" w:cs="宋体"/>
                <w:b w:val="0"/>
                <w:bCs w:val="0"/>
                <w:color w:val="auto"/>
                <w:kern w:val="0"/>
                <w:sz w:val="20"/>
                <w:szCs w:val="20"/>
                <w:highlight w:val="none"/>
                <w:lang w:val="en-US" w:eastAsia="zh-CN" w:bidi="ar-SA"/>
              </w:rPr>
            </w:pPr>
          </w:p>
        </w:tc>
      </w:tr>
      <w:tr w14:paraId="0889F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45C7C8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276</w:t>
            </w:r>
          </w:p>
        </w:tc>
        <w:tc>
          <w:tcPr>
            <w:tcW w:w="720" w:type="dxa"/>
            <w:vMerge w:val="continue"/>
            <w:vAlign w:val="center"/>
          </w:tcPr>
          <w:p w14:paraId="06AB2A4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D44DBA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2AD72F1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78D8868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值班人员可管理车辆特殊状态，如 “暂停调用”、“恢复调用”等，与分站系统同步。请求“暂停调用”要说明原因。（药品原因、氧气原因、设备原因、油料原因、车辆原因、科室原因、个人原因等）</w:t>
            </w:r>
          </w:p>
        </w:tc>
        <w:tc>
          <w:tcPr>
            <w:tcW w:w="733" w:type="dxa"/>
            <w:vMerge w:val="continue"/>
            <w:vAlign w:val="center"/>
          </w:tcPr>
          <w:p w14:paraId="7854C3B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3E5AAE9">
            <w:pPr>
              <w:jc w:val="center"/>
              <w:rPr>
                <w:rFonts w:hint="eastAsia" w:ascii="宋体" w:hAnsi="宋体" w:eastAsia="宋体" w:cs="宋体"/>
                <w:b w:val="0"/>
                <w:bCs w:val="0"/>
                <w:color w:val="auto"/>
                <w:kern w:val="0"/>
                <w:sz w:val="20"/>
                <w:szCs w:val="20"/>
                <w:highlight w:val="none"/>
                <w:lang w:val="en-US" w:eastAsia="zh-CN" w:bidi="ar-SA"/>
              </w:rPr>
            </w:pPr>
          </w:p>
        </w:tc>
      </w:tr>
      <w:tr w14:paraId="1EE22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7CB982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277</w:t>
            </w:r>
          </w:p>
        </w:tc>
        <w:tc>
          <w:tcPr>
            <w:tcW w:w="720" w:type="dxa"/>
            <w:vMerge w:val="continue"/>
            <w:vAlign w:val="center"/>
          </w:tcPr>
          <w:p w14:paraId="477E5C5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062304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restart"/>
            <w:vAlign w:val="center"/>
          </w:tcPr>
          <w:p w14:paraId="69BDCAF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任务管理</w:t>
            </w:r>
          </w:p>
        </w:tc>
        <w:tc>
          <w:tcPr>
            <w:tcW w:w="4667" w:type="dxa"/>
            <w:vAlign w:val="center"/>
          </w:tcPr>
          <w:p w14:paraId="687A8E6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实时接收指挥中心的调派指令（与救护车接收同步）</w:t>
            </w:r>
          </w:p>
        </w:tc>
        <w:tc>
          <w:tcPr>
            <w:tcW w:w="733" w:type="dxa"/>
            <w:vMerge w:val="continue"/>
            <w:vAlign w:val="center"/>
          </w:tcPr>
          <w:p w14:paraId="7E76338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F952066">
            <w:pPr>
              <w:jc w:val="center"/>
              <w:rPr>
                <w:rFonts w:hint="eastAsia" w:ascii="宋体" w:hAnsi="宋体" w:eastAsia="宋体" w:cs="宋体"/>
                <w:b w:val="0"/>
                <w:bCs w:val="0"/>
                <w:color w:val="auto"/>
                <w:kern w:val="0"/>
                <w:sz w:val="20"/>
                <w:szCs w:val="20"/>
                <w:highlight w:val="none"/>
                <w:lang w:val="en-US" w:eastAsia="zh-CN" w:bidi="ar-SA"/>
              </w:rPr>
            </w:pPr>
          </w:p>
        </w:tc>
      </w:tr>
      <w:tr w14:paraId="51301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EFEB6E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278</w:t>
            </w:r>
          </w:p>
        </w:tc>
        <w:tc>
          <w:tcPr>
            <w:tcW w:w="720" w:type="dxa"/>
            <w:vMerge w:val="continue"/>
            <w:vAlign w:val="center"/>
          </w:tcPr>
          <w:p w14:paraId="4E59F3E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D7E0C7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6578ED5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5D1C124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可以选择打印当日或当班分站各站的命令单的流水</w:t>
            </w:r>
          </w:p>
        </w:tc>
        <w:tc>
          <w:tcPr>
            <w:tcW w:w="733" w:type="dxa"/>
            <w:vMerge w:val="continue"/>
            <w:vAlign w:val="center"/>
          </w:tcPr>
          <w:p w14:paraId="2F5BAA0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BED3CF8">
            <w:pPr>
              <w:jc w:val="center"/>
              <w:rPr>
                <w:rFonts w:hint="eastAsia" w:ascii="宋体" w:hAnsi="宋体" w:eastAsia="宋体" w:cs="宋体"/>
                <w:b w:val="0"/>
                <w:bCs w:val="0"/>
                <w:color w:val="auto"/>
                <w:kern w:val="0"/>
                <w:sz w:val="20"/>
                <w:szCs w:val="20"/>
                <w:highlight w:val="none"/>
                <w:lang w:val="en-US" w:eastAsia="zh-CN" w:bidi="ar-SA"/>
              </w:rPr>
            </w:pPr>
          </w:p>
        </w:tc>
      </w:tr>
      <w:tr w14:paraId="0F1A4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37A2D4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279</w:t>
            </w:r>
          </w:p>
        </w:tc>
        <w:tc>
          <w:tcPr>
            <w:tcW w:w="720" w:type="dxa"/>
            <w:vMerge w:val="continue"/>
            <w:vAlign w:val="center"/>
          </w:tcPr>
          <w:p w14:paraId="01BB8CE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12CEE4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0054628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3ED1479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可显示本分站各站当日执行的任务清单</w:t>
            </w:r>
          </w:p>
        </w:tc>
        <w:tc>
          <w:tcPr>
            <w:tcW w:w="733" w:type="dxa"/>
            <w:vMerge w:val="continue"/>
            <w:vAlign w:val="center"/>
          </w:tcPr>
          <w:p w14:paraId="6305ED6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AE7096E">
            <w:pPr>
              <w:jc w:val="center"/>
              <w:rPr>
                <w:rFonts w:hint="eastAsia" w:ascii="宋体" w:hAnsi="宋体" w:eastAsia="宋体" w:cs="宋体"/>
                <w:b w:val="0"/>
                <w:bCs w:val="0"/>
                <w:color w:val="auto"/>
                <w:kern w:val="0"/>
                <w:sz w:val="20"/>
                <w:szCs w:val="20"/>
                <w:highlight w:val="none"/>
                <w:lang w:val="en-US" w:eastAsia="zh-CN" w:bidi="ar-SA"/>
              </w:rPr>
            </w:pPr>
          </w:p>
        </w:tc>
      </w:tr>
      <w:tr w14:paraId="7FCCA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1369B3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280</w:t>
            </w:r>
          </w:p>
        </w:tc>
        <w:tc>
          <w:tcPr>
            <w:tcW w:w="720" w:type="dxa"/>
            <w:vMerge w:val="continue"/>
            <w:vAlign w:val="center"/>
          </w:tcPr>
          <w:p w14:paraId="667946C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B4762B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4215BD3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2D7FB73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可查看本分站车辆执行的历史的任务清单</w:t>
            </w:r>
          </w:p>
        </w:tc>
        <w:tc>
          <w:tcPr>
            <w:tcW w:w="733" w:type="dxa"/>
            <w:vMerge w:val="continue"/>
            <w:vAlign w:val="center"/>
          </w:tcPr>
          <w:p w14:paraId="3BE762C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58FA5F6">
            <w:pPr>
              <w:jc w:val="center"/>
              <w:rPr>
                <w:rFonts w:hint="eastAsia" w:ascii="宋体" w:hAnsi="宋体" w:eastAsia="宋体" w:cs="宋体"/>
                <w:b w:val="0"/>
                <w:bCs w:val="0"/>
                <w:color w:val="auto"/>
                <w:kern w:val="0"/>
                <w:sz w:val="20"/>
                <w:szCs w:val="20"/>
                <w:highlight w:val="none"/>
                <w:lang w:val="en-US" w:eastAsia="zh-CN" w:bidi="ar-SA"/>
              </w:rPr>
            </w:pPr>
          </w:p>
        </w:tc>
      </w:tr>
      <w:tr w14:paraId="0AF06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22B528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281</w:t>
            </w:r>
          </w:p>
        </w:tc>
        <w:tc>
          <w:tcPr>
            <w:tcW w:w="720" w:type="dxa"/>
            <w:vMerge w:val="continue"/>
            <w:vAlign w:val="center"/>
          </w:tcPr>
          <w:p w14:paraId="31921C1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FB61F5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53CC8B1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53CA782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可以选择时间打印任务流水清单。</w:t>
            </w:r>
          </w:p>
        </w:tc>
        <w:tc>
          <w:tcPr>
            <w:tcW w:w="733" w:type="dxa"/>
            <w:vMerge w:val="continue"/>
            <w:vAlign w:val="center"/>
          </w:tcPr>
          <w:p w14:paraId="152609F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687F550">
            <w:pPr>
              <w:jc w:val="center"/>
              <w:rPr>
                <w:rFonts w:hint="eastAsia" w:ascii="宋体" w:hAnsi="宋体" w:eastAsia="宋体" w:cs="宋体"/>
                <w:b w:val="0"/>
                <w:bCs w:val="0"/>
                <w:color w:val="auto"/>
                <w:kern w:val="0"/>
                <w:sz w:val="20"/>
                <w:szCs w:val="20"/>
                <w:highlight w:val="none"/>
                <w:lang w:val="en-US" w:eastAsia="zh-CN" w:bidi="ar-SA"/>
              </w:rPr>
            </w:pPr>
          </w:p>
        </w:tc>
      </w:tr>
      <w:tr w14:paraId="3E97C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FFB56C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282</w:t>
            </w:r>
          </w:p>
        </w:tc>
        <w:tc>
          <w:tcPr>
            <w:tcW w:w="720" w:type="dxa"/>
            <w:vMerge w:val="continue"/>
            <w:vAlign w:val="center"/>
          </w:tcPr>
          <w:p w14:paraId="56BCE50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ACF565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restart"/>
            <w:vAlign w:val="center"/>
          </w:tcPr>
          <w:p w14:paraId="4652772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病历管理</w:t>
            </w:r>
          </w:p>
        </w:tc>
        <w:tc>
          <w:tcPr>
            <w:tcW w:w="4667" w:type="dxa"/>
            <w:vAlign w:val="center"/>
          </w:tcPr>
          <w:p w14:paraId="7C5FA33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医生完成任务后应该撰写急救病历。包括普通病历和抢救病历两种</w:t>
            </w:r>
          </w:p>
        </w:tc>
        <w:tc>
          <w:tcPr>
            <w:tcW w:w="733" w:type="dxa"/>
            <w:vMerge w:val="continue"/>
            <w:vAlign w:val="center"/>
          </w:tcPr>
          <w:p w14:paraId="7D2DE69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B2CCF6F">
            <w:pPr>
              <w:jc w:val="center"/>
              <w:rPr>
                <w:rFonts w:hint="eastAsia" w:ascii="宋体" w:hAnsi="宋体" w:eastAsia="宋体" w:cs="宋体"/>
                <w:b w:val="0"/>
                <w:bCs w:val="0"/>
                <w:color w:val="auto"/>
                <w:kern w:val="0"/>
                <w:sz w:val="20"/>
                <w:szCs w:val="20"/>
                <w:highlight w:val="none"/>
                <w:lang w:val="en-US" w:eastAsia="zh-CN" w:bidi="ar-SA"/>
              </w:rPr>
            </w:pPr>
          </w:p>
        </w:tc>
      </w:tr>
      <w:tr w14:paraId="6CC01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437487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283</w:t>
            </w:r>
          </w:p>
        </w:tc>
        <w:tc>
          <w:tcPr>
            <w:tcW w:w="720" w:type="dxa"/>
            <w:vMerge w:val="continue"/>
            <w:vAlign w:val="center"/>
          </w:tcPr>
          <w:p w14:paraId="1392343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74844E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26E613B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01C274E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分站的管理人员将各种病历输入计算机。包括心电图记录的扫描与保存。未完成状态的任务不可输入病历。输入完毕，核实无误，点击保存时，当前保存的病历（数据与图象）信息立即回传给中心系统。发送后的病历记录不可修改</w:t>
            </w:r>
          </w:p>
        </w:tc>
        <w:tc>
          <w:tcPr>
            <w:tcW w:w="733" w:type="dxa"/>
            <w:vMerge w:val="continue"/>
            <w:vAlign w:val="center"/>
          </w:tcPr>
          <w:p w14:paraId="19198B6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D446398">
            <w:pPr>
              <w:jc w:val="center"/>
              <w:rPr>
                <w:rFonts w:hint="eastAsia" w:ascii="宋体" w:hAnsi="宋体" w:eastAsia="宋体" w:cs="宋体"/>
                <w:b w:val="0"/>
                <w:bCs w:val="0"/>
                <w:color w:val="auto"/>
                <w:kern w:val="0"/>
                <w:sz w:val="20"/>
                <w:szCs w:val="20"/>
                <w:highlight w:val="none"/>
                <w:lang w:val="en-US" w:eastAsia="zh-CN" w:bidi="ar-SA"/>
              </w:rPr>
            </w:pPr>
          </w:p>
        </w:tc>
      </w:tr>
      <w:tr w14:paraId="13FFF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B2F0A77">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284</w:t>
            </w:r>
          </w:p>
        </w:tc>
        <w:tc>
          <w:tcPr>
            <w:tcW w:w="720" w:type="dxa"/>
            <w:vMerge w:val="continue"/>
            <w:vAlign w:val="center"/>
          </w:tcPr>
          <w:p w14:paraId="12989C0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736725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3A6CD4D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56CF41E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可以在终端按日期检索病历（不含图象），需要看心电图时再调用心电图，心电图可以放大、平移</w:t>
            </w:r>
          </w:p>
        </w:tc>
        <w:tc>
          <w:tcPr>
            <w:tcW w:w="733" w:type="dxa"/>
            <w:vMerge w:val="continue"/>
            <w:vAlign w:val="center"/>
          </w:tcPr>
          <w:p w14:paraId="5ABACF7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FB71328">
            <w:pPr>
              <w:jc w:val="center"/>
              <w:rPr>
                <w:rFonts w:hint="eastAsia" w:ascii="宋体" w:hAnsi="宋体" w:eastAsia="宋体" w:cs="宋体"/>
                <w:b w:val="0"/>
                <w:bCs w:val="0"/>
                <w:color w:val="auto"/>
                <w:kern w:val="0"/>
                <w:sz w:val="20"/>
                <w:szCs w:val="20"/>
                <w:highlight w:val="none"/>
                <w:lang w:val="en-US" w:eastAsia="zh-CN" w:bidi="ar-SA"/>
              </w:rPr>
            </w:pPr>
          </w:p>
        </w:tc>
      </w:tr>
      <w:tr w14:paraId="54013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1DEAC2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285</w:t>
            </w:r>
          </w:p>
        </w:tc>
        <w:tc>
          <w:tcPr>
            <w:tcW w:w="720" w:type="dxa"/>
            <w:vMerge w:val="continue"/>
            <w:vAlign w:val="center"/>
          </w:tcPr>
          <w:p w14:paraId="4F018C5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2790A1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restart"/>
            <w:vAlign w:val="center"/>
          </w:tcPr>
          <w:p w14:paraId="230E71E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车辆管理</w:t>
            </w:r>
          </w:p>
        </w:tc>
        <w:tc>
          <w:tcPr>
            <w:tcW w:w="4667" w:type="dxa"/>
            <w:vAlign w:val="center"/>
          </w:tcPr>
          <w:p w14:paraId="13D9B1D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可以实时显示本分站各站救护车的实时位置及历史轨迹回放</w:t>
            </w:r>
          </w:p>
        </w:tc>
        <w:tc>
          <w:tcPr>
            <w:tcW w:w="733" w:type="dxa"/>
            <w:vMerge w:val="continue"/>
            <w:vAlign w:val="center"/>
          </w:tcPr>
          <w:p w14:paraId="2A45117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8E5ED5E">
            <w:pPr>
              <w:jc w:val="center"/>
              <w:rPr>
                <w:rFonts w:hint="eastAsia" w:ascii="宋体" w:hAnsi="宋体" w:eastAsia="宋体" w:cs="宋体"/>
                <w:b w:val="0"/>
                <w:bCs w:val="0"/>
                <w:color w:val="auto"/>
                <w:kern w:val="0"/>
                <w:sz w:val="20"/>
                <w:szCs w:val="20"/>
                <w:highlight w:val="none"/>
                <w:lang w:val="en-US" w:eastAsia="zh-CN" w:bidi="ar-SA"/>
              </w:rPr>
            </w:pPr>
          </w:p>
        </w:tc>
      </w:tr>
      <w:tr w14:paraId="27A14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972F91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286</w:t>
            </w:r>
          </w:p>
        </w:tc>
        <w:tc>
          <w:tcPr>
            <w:tcW w:w="720" w:type="dxa"/>
            <w:vMerge w:val="continue"/>
            <w:vAlign w:val="center"/>
          </w:tcPr>
          <w:p w14:paraId="19C118D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DE9B64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3102569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768A177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可以按医生、司机姓名、车号、急救站站名检索</w:t>
            </w:r>
          </w:p>
        </w:tc>
        <w:tc>
          <w:tcPr>
            <w:tcW w:w="733" w:type="dxa"/>
            <w:vMerge w:val="continue"/>
            <w:vAlign w:val="center"/>
          </w:tcPr>
          <w:p w14:paraId="530462D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D52E799">
            <w:pPr>
              <w:jc w:val="center"/>
              <w:rPr>
                <w:rFonts w:hint="eastAsia" w:ascii="宋体" w:hAnsi="宋体" w:eastAsia="宋体" w:cs="宋体"/>
                <w:b w:val="0"/>
                <w:bCs w:val="0"/>
                <w:color w:val="auto"/>
                <w:kern w:val="0"/>
                <w:sz w:val="20"/>
                <w:szCs w:val="20"/>
                <w:highlight w:val="none"/>
                <w:lang w:val="en-US" w:eastAsia="zh-CN" w:bidi="ar-SA"/>
              </w:rPr>
            </w:pPr>
          </w:p>
        </w:tc>
      </w:tr>
      <w:tr w14:paraId="37343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DAD8C0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287</w:t>
            </w:r>
          </w:p>
        </w:tc>
        <w:tc>
          <w:tcPr>
            <w:tcW w:w="720" w:type="dxa"/>
            <w:vMerge w:val="continue"/>
            <w:vAlign w:val="center"/>
          </w:tcPr>
          <w:p w14:paraId="1218D78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DFA272F">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restart"/>
            <w:vAlign w:val="center"/>
          </w:tcPr>
          <w:p w14:paraId="139C4D1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通信管理</w:t>
            </w:r>
          </w:p>
        </w:tc>
        <w:tc>
          <w:tcPr>
            <w:tcW w:w="4667" w:type="dxa"/>
            <w:vAlign w:val="center"/>
          </w:tcPr>
          <w:p w14:paraId="531779E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急救中心与分站支持专网连接</w:t>
            </w:r>
          </w:p>
        </w:tc>
        <w:tc>
          <w:tcPr>
            <w:tcW w:w="733" w:type="dxa"/>
            <w:vMerge w:val="continue"/>
            <w:vAlign w:val="center"/>
          </w:tcPr>
          <w:p w14:paraId="228E827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210B8C8">
            <w:pPr>
              <w:jc w:val="center"/>
              <w:rPr>
                <w:rFonts w:hint="eastAsia" w:ascii="宋体" w:hAnsi="宋体" w:eastAsia="宋体" w:cs="宋体"/>
                <w:b w:val="0"/>
                <w:bCs w:val="0"/>
                <w:color w:val="auto"/>
                <w:kern w:val="0"/>
                <w:sz w:val="20"/>
                <w:szCs w:val="20"/>
                <w:highlight w:val="none"/>
                <w:lang w:val="en-US" w:eastAsia="zh-CN" w:bidi="ar-SA"/>
              </w:rPr>
            </w:pPr>
          </w:p>
        </w:tc>
      </w:tr>
      <w:tr w14:paraId="1706C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7B383F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288</w:t>
            </w:r>
          </w:p>
        </w:tc>
        <w:tc>
          <w:tcPr>
            <w:tcW w:w="720" w:type="dxa"/>
            <w:vMerge w:val="continue"/>
            <w:vAlign w:val="center"/>
          </w:tcPr>
          <w:p w14:paraId="472D385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2849F7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2642EDE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6A6F9A5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分站终端界面可以显示分站组网线路的畅通状态</w:t>
            </w:r>
          </w:p>
        </w:tc>
        <w:tc>
          <w:tcPr>
            <w:tcW w:w="733" w:type="dxa"/>
            <w:vMerge w:val="continue"/>
            <w:vAlign w:val="center"/>
          </w:tcPr>
          <w:p w14:paraId="0810C7B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7F0F3DA">
            <w:pPr>
              <w:jc w:val="center"/>
              <w:rPr>
                <w:rFonts w:hint="eastAsia" w:ascii="宋体" w:hAnsi="宋体" w:eastAsia="宋体" w:cs="宋体"/>
                <w:b w:val="0"/>
                <w:bCs w:val="0"/>
                <w:color w:val="auto"/>
                <w:kern w:val="0"/>
                <w:sz w:val="20"/>
                <w:szCs w:val="20"/>
                <w:highlight w:val="none"/>
                <w:lang w:val="en-US" w:eastAsia="zh-CN" w:bidi="ar-SA"/>
              </w:rPr>
            </w:pPr>
          </w:p>
        </w:tc>
      </w:tr>
      <w:tr w14:paraId="3715E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9E55E7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289</w:t>
            </w:r>
          </w:p>
        </w:tc>
        <w:tc>
          <w:tcPr>
            <w:tcW w:w="720" w:type="dxa"/>
            <w:vMerge w:val="continue"/>
            <w:vAlign w:val="center"/>
          </w:tcPr>
          <w:p w14:paraId="3CE7569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C3F744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restart"/>
            <w:vAlign w:val="center"/>
          </w:tcPr>
          <w:p w14:paraId="3F49046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统计管理</w:t>
            </w:r>
          </w:p>
        </w:tc>
        <w:tc>
          <w:tcPr>
            <w:tcW w:w="4667" w:type="dxa"/>
            <w:vAlign w:val="center"/>
          </w:tcPr>
          <w:p w14:paraId="5774B8D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医生、司机的出勤统计（班次种类、次数，按各人、各站及分站分别求和，按日报、月报、年报和时间段统计。）</w:t>
            </w:r>
          </w:p>
        </w:tc>
        <w:tc>
          <w:tcPr>
            <w:tcW w:w="733" w:type="dxa"/>
            <w:vMerge w:val="continue"/>
            <w:vAlign w:val="center"/>
          </w:tcPr>
          <w:p w14:paraId="774B58E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632E7A7">
            <w:pPr>
              <w:jc w:val="center"/>
              <w:rPr>
                <w:rFonts w:hint="eastAsia" w:ascii="宋体" w:hAnsi="宋体" w:eastAsia="宋体" w:cs="宋体"/>
                <w:b w:val="0"/>
                <w:bCs w:val="0"/>
                <w:color w:val="auto"/>
                <w:kern w:val="0"/>
                <w:sz w:val="20"/>
                <w:szCs w:val="20"/>
                <w:highlight w:val="none"/>
                <w:lang w:val="en-US" w:eastAsia="zh-CN" w:bidi="ar-SA"/>
              </w:rPr>
            </w:pPr>
          </w:p>
        </w:tc>
      </w:tr>
      <w:tr w14:paraId="7EAA7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00894B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290</w:t>
            </w:r>
          </w:p>
        </w:tc>
        <w:tc>
          <w:tcPr>
            <w:tcW w:w="720" w:type="dxa"/>
            <w:vMerge w:val="continue"/>
            <w:vAlign w:val="center"/>
          </w:tcPr>
          <w:p w14:paraId="6F0608C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AAD596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58B4547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070C25A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医生、司机的工作量统计（出车次数、各种收费、接诊的病种、主要检查与治疗，按各人、各站及分站分别求和，按日报、月报、年报和时间段统计。）</w:t>
            </w:r>
          </w:p>
        </w:tc>
        <w:tc>
          <w:tcPr>
            <w:tcW w:w="733" w:type="dxa"/>
            <w:vMerge w:val="continue"/>
            <w:vAlign w:val="center"/>
          </w:tcPr>
          <w:p w14:paraId="424A589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0AAF2A3">
            <w:pPr>
              <w:jc w:val="center"/>
              <w:rPr>
                <w:rFonts w:hint="eastAsia" w:ascii="宋体" w:hAnsi="宋体" w:eastAsia="宋体" w:cs="宋体"/>
                <w:b w:val="0"/>
                <w:bCs w:val="0"/>
                <w:color w:val="auto"/>
                <w:kern w:val="0"/>
                <w:sz w:val="20"/>
                <w:szCs w:val="20"/>
                <w:highlight w:val="none"/>
                <w:lang w:val="en-US" w:eastAsia="zh-CN" w:bidi="ar-SA"/>
              </w:rPr>
            </w:pPr>
          </w:p>
        </w:tc>
      </w:tr>
      <w:tr w14:paraId="5FE38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8679EF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291</w:t>
            </w:r>
          </w:p>
        </w:tc>
        <w:tc>
          <w:tcPr>
            <w:tcW w:w="720" w:type="dxa"/>
            <w:vMerge w:val="continue"/>
            <w:vAlign w:val="center"/>
          </w:tcPr>
          <w:p w14:paraId="5FDD4DB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1F419F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restart"/>
            <w:vAlign w:val="center"/>
          </w:tcPr>
          <w:p w14:paraId="45B04C1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病历回填功能</w:t>
            </w:r>
          </w:p>
        </w:tc>
        <w:tc>
          <w:tcPr>
            <w:tcW w:w="4667" w:type="dxa"/>
            <w:vAlign w:val="center"/>
          </w:tcPr>
          <w:p w14:paraId="2405D4D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“病历输入”可分为“基本信息”、“体格检查”、“救治记录”三个界面</w:t>
            </w:r>
          </w:p>
        </w:tc>
        <w:tc>
          <w:tcPr>
            <w:tcW w:w="733" w:type="dxa"/>
            <w:vMerge w:val="continue"/>
            <w:vAlign w:val="center"/>
          </w:tcPr>
          <w:p w14:paraId="65FAAB6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C4353E7">
            <w:pPr>
              <w:jc w:val="center"/>
              <w:rPr>
                <w:rFonts w:hint="eastAsia" w:ascii="宋体" w:hAnsi="宋体" w:eastAsia="宋体" w:cs="宋体"/>
                <w:b w:val="0"/>
                <w:bCs w:val="0"/>
                <w:color w:val="auto"/>
                <w:kern w:val="0"/>
                <w:sz w:val="20"/>
                <w:szCs w:val="20"/>
                <w:highlight w:val="none"/>
                <w:lang w:val="en-US" w:eastAsia="zh-CN" w:bidi="ar-SA"/>
              </w:rPr>
            </w:pPr>
          </w:p>
        </w:tc>
      </w:tr>
      <w:tr w14:paraId="20532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F35AC2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292</w:t>
            </w:r>
          </w:p>
        </w:tc>
        <w:tc>
          <w:tcPr>
            <w:tcW w:w="720" w:type="dxa"/>
            <w:vMerge w:val="continue"/>
            <w:vAlign w:val="center"/>
          </w:tcPr>
          <w:p w14:paraId="75FEA2A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72F15F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1225107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1F59D10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在“救治记录”界面有“保存记录”按键。在保存记录前允许随意翻页进行修改。保存后，不允许再修改</w:t>
            </w:r>
          </w:p>
        </w:tc>
        <w:tc>
          <w:tcPr>
            <w:tcW w:w="733" w:type="dxa"/>
            <w:vMerge w:val="continue"/>
            <w:vAlign w:val="center"/>
          </w:tcPr>
          <w:p w14:paraId="2C30F70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7F3BCC7">
            <w:pPr>
              <w:jc w:val="center"/>
              <w:rPr>
                <w:rFonts w:hint="eastAsia" w:ascii="宋体" w:hAnsi="宋体" w:eastAsia="宋体" w:cs="宋体"/>
                <w:b w:val="0"/>
                <w:bCs w:val="0"/>
                <w:color w:val="auto"/>
                <w:kern w:val="0"/>
                <w:sz w:val="20"/>
                <w:szCs w:val="20"/>
                <w:highlight w:val="none"/>
                <w:lang w:val="en-US" w:eastAsia="zh-CN" w:bidi="ar-SA"/>
              </w:rPr>
            </w:pPr>
          </w:p>
        </w:tc>
      </w:tr>
      <w:tr w14:paraId="0721E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4F04D78">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293</w:t>
            </w:r>
          </w:p>
        </w:tc>
        <w:tc>
          <w:tcPr>
            <w:tcW w:w="720" w:type="dxa"/>
            <w:vMerge w:val="continue"/>
            <w:vAlign w:val="center"/>
          </w:tcPr>
          <w:p w14:paraId="6D94CB1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0C1431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3C4F9B5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4799169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在界面下边缘设置“基本信息”、“体格检查”、“救治记录”三个按键。在选择点击了界面左侧的事件后，首先显示的是“基本信息”页，并且自动填入调度事件记录中已有的内容。此时就按“增加”，表示确认此事件，可以继续输入内容。如果选择有误，允许“删除”。</w:t>
            </w:r>
          </w:p>
        </w:tc>
        <w:tc>
          <w:tcPr>
            <w:tcW w:w="733" w:type="dxa"/>
            <w:vMerge w:val="continue"/>
            <w:vAlign w:val="center"/>
          </w:tcPr>
          <w:p w14:paraId="2E49E61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29577F5">
            <w:pPr>
              <w:jc w:val="center"/>
              <w:rPr>
                <w:rFonts w:hint="eastAsia" w:ascii="宋体" w:hAnsi="宋体" w:eastAsia="宋体" w:cs="宋体"/>
                <w:b w:val="0"/>
                <w:bCs w:val="0"/>
                <w:color w:val="auto"/>
                <w:kern w:val="0"/>
                <w:sz w:val="20"/>
                <w:szCs w:val="20"/>
                <w:highlight w:val="none"/>
                <w:lang w:val="en-US" w:eastAsia="zh-CN" w:bidi="ar-SA"/>
              </w:rPr>
            </w:pPr>
          </w:p>
        </w:tc>
      </w:tr>
      <w:tr w14:paraId="34511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46518B5">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294</w:t>
            </w:r>
          </w:p>
        </w:tc>
        <w:tc>
          <w:tcPr>
            <w:tcW w:w="720" w:type="dxa"/>
            <w:vMerge w:val="continue"/>
            <w:vAlign w:val="center"/>
          </w:tcPr>
          <w:p w14:paraId="42D2513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A325C8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EB5696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急救分站管理软件</w:t>
            </w:r>
          </w:p>
        </w:tc>
        <w:tc>
          <w:tcPr>
            <w:tcW w:w="4667" w:type="dxa"/>
            <w:vAlign w:val="center"/>
          </w:tcPr>
          <w:p w14:paraId="19D5246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急救服务端</w:t>
            </w:r>
            <w:r>
              <w:rPr>
                <w:rFonts w:hint="eastAsia" w:ascii="宋体" w:hAnsi="宋体" w:eastAsia="宋体" w:cs="宋体"/>
                <w:b w:val="0"/>
                <w:bCs w:val="0"/>
                <w:color w:val="auto"/>
                <w:kern w:val="0"/>
                <w:sz w:val="20"/>
                <w:szCs w:val="20"/>
                <w:highlight w:val="none"/>
                <w:lang w:val="en-US" w:eastAsia="zh-CN"/>
              </w:rPr>
              <w:t>急救分站管理软件</w:t>
            </w:r>
          </w:p>
        </w:tc>
        <w:tc>
          <w:tcPr>
            <w:tcW w:w="733" w:type="dxa"/>
            <w:vMerge w:val="continue"/>
            <w:vAlign w:val="center"/>
          </w:tcPr>
          <w:p w14:paraId="28035B1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B1D423B">
            <w:pPr>
              <w:jc w:val="center"/>
              <w:rPr>
                <w:rFonts w:hint="eastAsia" w:ascii="宋体" w:hAnsi="宋体" w:eastAsia="宋体" w:cs="宋体"/>
                <w:b w:val="0"/>
                <w:bCs w:val="0"/>
                <w:color w:val="auto"/>
                <w:kern w:val="0"/>
                <w:sz w:val="20"/>
                <w:szCs w:val="20"/>
                <w:highlight w:val="none"/>
                <w:lang w:val="en-US" w:eastAsia="zh-CN" w:bidi="ar-SA"/>
              </w:rPr>
            </w:pPr>
          </w:p>
        </w:tc>
      </w:tr>
      <w:tr w14:paraId="7B583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5A4805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295</w:t>
            </w:r>
          </w:p>
        </w:tc>
        <w:tc>
          <w:tcPr>
            <w:tcW w:w="720" w:type="dxa"/>
            <w:vMerge w:val="continue"/>
            <w:vAlign w:val="center"/>
          </w:tcPr>
          <w:p w14:paraId="59618E94">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6A05F94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电子病历系统服务端</w:t>
            </w:r>
          </w:p>
        </w:tc>
        <w:tc>
          <w:tcPr>
            <w:tcW w:w="2058" w:type="dxa"/>
            <w:vAlign w:val="center"/>
          </w:tcPr>
          <w:p w14:paraId="678049C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病历编号</w:t>
            </w:r>
          </w:p>
        </w:tc>
        <w:tc>
          <w:tcPr>
            <w:tcW w:w="4667" w:type="dxa"/>
            <w:vAlign w:val="center"/>
          </w:tcPr>
          <w:p w14:paraId="60E1514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要求每份急救病历都有一个唯一的编号，且该编号遵循统一的编号规则</w:t>
            </w:r>
          </w:p>
        </w:tc>
        <w:tc>
          <w:tcPr>
            <w:tcW w:w="733" w:type="dxa"/>
            <w:vMerge w:val="restart"/>
            <w:vAlign w:val="center"/>
          </w:tcPr>
          <w:p w14:paraId="53C0F1F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78BFE0F7">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5D3EE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0FB54F7">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296</w:t>
            </w:r>
          </w:p>
        </w:tc>
        <w:tc>
          <w:tcPr>
            <w:tcW w:w="720" w:type="dxa"/>
            <w:vMerge w:val="continue"/>
            <w:vAlign w:val="center"/>
          </w:tcPr>
          <w:p w14:paraId="5D9AB2F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81A779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552C81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急救病史</w:t>
            </w:r>
          </w:p>
        </w:tc>
        <w:tc>
          <w:tcPr>
            <w:tcW w:w="4667" w:type="dxa"/>
            <w:vAlign w:val="center"/>
          </w:tcPr>
          <w:p w14:paraId="390666B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包括发病时间、病史提供者、主诉、现病史和重要过去史等内容</w:t>
            </w:r>
          </w:p>
        </w:tc>
        <w:tc>
          <w:tcPr>
            <w:tcW w:w="733" w:type="dxa"/>
            <w:vMerge w:val="continue"/>
            <w:vAlign w:val="center"/>
          </w:tcPr>
          <w:p w14:paraId="6F85738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75BBE1F">
            <w:pPr>
              <w:jc w:val="center"/>
              <w:rPr>
                <w:rFonts w:hint="eastAsia" w:ascii="宋体" w:hAnsi="宋体" w:eastAsia="宋体" w:cs="宋体"/>
                <w:b w:val="0"/>
                <w:bCs w:val="0"/>
                <w:color w:val="auto"/>
                <w:kern w:val="0"/>
                <w:sz w:val="20"/>
                <w:szCs w:val="20"/>
                <w:highlight w:val="none"/>
                <w:lang w:val="en-US" w:eastAsia="zh-CN" w:bidi="ar-SA"/>
              </w:rPr>
            </w:pPr>
          </w:p>
        </w:tc>
      </w:tr>
      <w:tr w14:paraId="1316F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50C8340">
            <w:pPr>
              <w:keepNext w:val="0"/>
              <w:keepLines w:val="0"/>
              <w:widowControl/>
              <w:suppressLineNumbers w:val="0"/>
              <w:jc w:val="right"/>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297</w:t>
            </w:r>
          </w:p>
        </w:tc>
        <w:tc>
          <w:tcPr>
            <w:tcW w:w="720" w:type="dxa"/>
            <w:vMerge w:val="continue"/>
            <w:vAlign w:val="center"/>
          </w:tcPr>
          <w:p w14:paraId="7A67570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9E9167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F3279B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转院/出院</w:t>
            </w:r>
          </w:p>
        </w:tc>
        <w:tc>
          <w:tcPr>
            <w:tcW w:w="4667" w:type="dxa"/>
            <w:vAlign w:val="center"/>
          </w:tcPr>
          <w:p w14:paraId="35914B4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包括转/出院诊断、医院主要治疗措施和目前患者症状等内容</w:t>
            </w:r>
          </w:p>
        </w:tc>
        <w:tc>
          <w:tcPr>
            <w:tcW w:w="733" w:type="dxa"/>
            <w:vMerge w:val="continue"/>
            <w:vAlign w:val="center"/>
          </w:tcPr>
          <w:p w14:paraId="46002B8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1C7E99D">
            <w:pPr>
              <w:jc w:val="center"/>
              <w:rPr>
                <w:rFonts w:hint="eastAsia" w:ascii="宋体" w:hAnsi="宋体" w:eastAsia="宋体" w:cs="宋体"/>
                <w:b w:val="0"/>
                <w:bCs w:val="0"/>
                <w:color w:val="auto"/>
                <w:kern w:val="0"/>
                <w:sz w:val="20"/>
                <w:szCs w:val="20"/>
                <w:highlight w:val="none"/>
                <w:lang w:val="en-US" w:eastAsia="zh-CN" w:bidi="ar-SA"/>
              </w:rPr>
            </w:pPr>
          </w:p>
        </w:tc>
      </w:tr>
      <w:tr w14:paraId="1049B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CFD5226">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298</w:t>
            </w:r>
          </w:p>
        </w:tc>
        <w:tc>
          <w:tcPr>
            <w:tcW w:w="720" w:type="dxa"/>
            <w:vMerge w:val="continue"/>
            <w:vAlign w:val="center"/>
          </w:tcPr>
          <w:p w14:paraId="6576424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74299B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887FA6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体检功能</w:t>
            </w:r>
          </w:p>
        </w:tc>
        <w:tc>
          <w:tcPr>
            <w:tcW w:w="4667" w:type="dxa"/>
            <w:vAlign w:val="center"/>
          </w:tcPr>
          <w:p w14:paraId="1055376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体检包括2种录入形式，常规结构化录入和人体智能录入。体检中的GCS、IT、Apgar评分，都对应有模版，方便和规范急救医生录入</w:t>
            </w:r>
          </w:p>
        </w:tc>
        <w:tc>
          <w:tcPr>
            <w:tcW w:w="733" w:type="dxa"/>
            <w:vMerge w:val="continue"/>
            <w:vAlign w:val="center"/>
          </w:tcPr>
          <w:p w14:paraId="4112636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767C4B3">
            <w:pPr>
              <w:jc w:val="center"/>
              <w:rPr>
                <w:rFonts w:hint="eastAsia" w:ascii="宋体" w:hAnsi="宋体" w:eastAsia="宋体" w:cs="宋体"/>
                <w:b w:val="0"/>
                <w:bCs w:val="0"/>
                <w:color w:val="auto"/>
                <w:kern w:val="0"/>
                <w:sz w:val="20"/>
                <w:szCs w:val="20"/>
                <w:highlight w:val="none"/>
                <w:lang w:val="en-US" w:eastAsia="zh-CN" w:bidi="ar-SA"/>
              </w:rPr>
            </w:pPr>
          </w:p>
        </w:tc>
      </w:tr>
      <w:tr w14:paraId="7B424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8ABA4A1">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299</w:t>
            </w:r>
          </w:p>
        </w:tc>
        <w:tc>
          <w:tcPr>
            <w:tcW w:w="720" w:type="dxa"/>
            <w:vMerge w:val="continue"/>
            <w:vAlign w:val="center"/>
          </w:tcPr>
          <w:p w14:paraId="66958BF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4920B9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9641FA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诊断功能</w:t>
            </w:r>
          </w:p>
        </w:tc>
        <w:tc>
          <w:tcPr>
            <w:tcW w:w="4667" w:type="dxa"/>
            <w:vAlign w:val="center"/>
          </w:tcPr>
          <w:p w14:paraId="64CAE4F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诊断包括初步印象、心电图印象、血糖和血氧饱和度等内容</w:t>
            </w:r>
          </w:p>
        </w:tc>
        <w:tc>
          <w:tcPr>
            <w:tcW w:w="733" w:type="dxa"/>
            <w:vMerge w:val="continue"/>
            <w:vAlign w:val="center"/>
          </w:tcPr>
          <w:p w14:paraId="40D0D4F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0895C6E">
            <w:pPr>
              <w:jc w:val="center"/>
              <w:rPr>
                <w:rFonts w:hint="eastAsia" w:ascii="宋体" w:hAnsi="宋体" w:eastAsia="宋体" w:cs="宋体"/>
                <w:b w:val="0"/>
                <w:bCs w:val="0"/>
                <w:color w:val="auto"/>
                <w:kern w:val="0"/>
                <w:sz w:val="20"/>
                <w:szCs w:val="20"/>
                <w:highlight w:val="none"/>
                <w:lang w:val="en-US" w:eastAsia="zh-CN" w:bidi="ar-SA"/>
              </w:rPr>
            </w:pPr>
          </w:p>
        </w:tc>
      </w:tr>
      <w:tr w14:paraId="54B6B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19ADED8">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300</w:t>
            </w:r>
          </w:p>
        </w:tc>
        <w:tc>
          <w:tcPr>
            <w:tcW w:w="720" w:type="dxa"/>
            <w:vMerge w:val="continue"/>
            <w:vAlign w:val="center"/>
          </w:tcPr>
          <w:p w14:paraId="06CB906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2DF2FE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DA059B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症状变化功能</w:t>
            </w:r>
          </w:p>
        </w:tc>
        <w:tc>
          <w:tcPr>
            <w:tcW w:w="4667" w:type="dxa"/>
            <w:vAlign w:val="center"/>
          </w:tcPr>
          <w:p w14:paraId="0841172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记录患者在急救过程中的病情变化情况，记录病情变化的时间和并且变化的内容</w:t>
            </w:r>
          </w:p>
        </w:tc>
        <w:tc>
          <w:tcPr>
            <w:tcW w:w="733" w:type="dxa"/>
            <w:vMerge w:val="continue"/>
            <w:vAlign w:val="center"/>
          </w:tcPr>
          <w:p w14:paraId="0FB7B49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8FCF862">
            <w:pPr>
              <w:jc w:val="center"/>
              <w:rPr>
                <w:rFonts w:hint="eastAsia" w:ascii="宋体" w:hAnsi="宋体" w:eastAsia="宋体" w:cs="宋体"/>
                <w:b w:val="0"/>
                <w:bCs w:val="0"/>
                <w:color w:val="auto"/>
                <w:kern w:val="0"/>
                <w:sz w:val="20"/>
                <w:szCs w:val="20"/>
                <w:highlight w:val="none"/>
                <w:lang w:val="en-US" w:eastAsia="zh-CN" w:bidi="ar-SA"/>
              </w:rPr>
            </w:pPr>
          </w:p>
        </w:tc>
      </w:tr>
      <w:tr w14:paraId="02641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1427AEC">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301</w:t>
            </w:r>
          </w:p>
        </w:tc>
        <w:tc>
          <w:tcPr>
            <w:tcW w:w="720" w:type="dxa"/>
            <w:vMerge w:val="continue"/>
            <w:vAlign w:val="center"/>
          </w:tcPr>
          <w:p w14:paraId="4273E61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CA176B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EC6617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诊疗功能</w:t>
            </w:r>
          </w:p>
        </w:tc>
        <w:tc>
          <w:tcPr>
            <w:tcW w:w="4667" w:type="dxa"/>
            <w:vAlign w:val="center"/>
          </w:tcPr>
          <w:p w14:paraId="410AB75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选择诊疗措施后，系统会提示出该诊疗过程中可能用到的药品和耗材，选择药品和耗材的种类和数量，相应的费用情况会直接记录在电子急救收费中，同时也会自动统计出药品和耗材的使用量和库存情况</w:t>
            </w:r>
          </w:p>
        </w:tc>
        <w:tc>
          <w:tcPr>
            <w:tcW w:w="733" w:type="dxa"/>
            <w:vMerge w:val="continue"/>
            <w:vAlign w:val="center"/>
          </w:tcPr>
          <w:p w14:paraId="73BC1A6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6EC4008">
            <w:pPr>
              <w:jc w:val="center"/>
              <w:rPr>
                <w:rFonts w:hint="eastAsia" w:ascii="宋体" w:hAnsi="宋体" w:eastAsia="宋体" w:cs="宋体"/>
                <w:b w:val="0"/>
                <w:bCs w:val="0"/>
                <w:color w:val="auto"/>
                <w:kern w:val="0"/>
                <w:sz w:val="20"/>
                <w:szCs w:val="20"/>
                <w:highlight w:val="none"/>
                <w:lang w:val="en-US" w:eastAsia="zh-CN" w:bidi="ar-SA"/>
              </w:rPr>
            </w:pPr>
          </w:p>
        </w:tc>
      </w:tr>
      <w:tr w14:paraId="6896D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527BC52">
            <w:pPr>
              <w:keepNext w:val="0"/>
              <w:keepLines w:val="0"/>
              <w:widowControl/>
              <w:suppressLineNumbers w:val="0"/>
              <w:jc w:val="right"/>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302</w:t>
            </w:r>
          </w:p>
        </w:tc>
        <w:tc>
          <w:tcPr>
            <w:tcW w:w="720" w:type="dxa"/>
            <w:vMerge w:val="continue"/>
            <w:vAlign w:val="center"/>
          </w:tcPr>
          <w:p w14:paraId="1B6D687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A3ED39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640591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病种模版</w:t>
            </w:r>
          </w:p>
        </w:tc>
        <w:tc>
          <w:tcPr>
            <w:tcW w:w="4667" w:type="dxa"/>
            <w:vAlign w:val="center"/>
          </w:tcPr>
          <w:p w14:paraId="18BCECE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可以自行在管理系统中，维护各类丰富的结构化模版。急救医生也可根据自己习惯，个性化设计自有电子病历结构化模板。维护好的病历模版，可以直接在电子病历中直接调用</w:t>
            </w:r>
          </w:p>
        </w:tc>
        <w:tc>
          <w:tcPr>
            <w:tcW w:w="733" w:type="dxa"/>
            <w:vMerge w:val="continue"/>
            <w:vAlign w:val="center"/>
          </w:tcPr>
          <w:p w14:paraId="18086B5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6F3C126">
            <w:pPr>
              <w:jc w:val="center"/>
              <w:rPr>
                <w:rFonts w:hint="eastAsia" w:ascii="宋体" w:hAnsi="宋体" w:eastAsia="宋体" w:cs="宋体"/>
                <w:b w:val="0"/>
                <w:bCs w:val="0"/>
                <w:color w:val="auto"/>
                <w:kern w:val="0"/>
                <w:sz w:val="20"/>
                <w:szCs w:val="20"/>
                <w:highlight w:val="none"/>
                <w:lang w:val="en-US" w:eastAsia="zh-CN" w:bidi="ar-SA"/>
              </w:rPr>
            </w:pPr>
          </w:p>
        </w:tc>
      </w:tr>
      <w:tr w14:paraId="11FA6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7A1782A">
            <w:pPr>
              <w:keepNext w:val="0"/>
              <w:keepLines w:val="0"/>
              <w:widowControl/>
              <w:suppressLineNumbers w:val="0"/>
              <w:jc w:val="right"/>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303</w:t>
            </w:r>
          </w:p>
        </w:tc>
        <w:tc>
          <w:tcPr>
            <w:tcW w:w="720" w:type="dxa"/>
            <w:vMerge w:val="continue"/>
            <w:vAlign w:val="center"/>
          </w:tcPr>
          <w:p w14:paraId="0EB0209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413AB5F">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C63764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综合查询功能</w:t>
            </w:r>
          </w:p>
        </w:tc>
        <w:tc>
          <w:tcPr>
            <w:tcW w:w="4667" w:type="dxa"/>
            <w:vAlign w:val="center"/>
          </w:tcPr>
          <w:p w14:paraId="671A549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通过各种查询条件，对电子病历进行智能查询和检索。查询电子病历有相应的权限区分：个人允许查询自己创建的电子病历，分站长允许查询本分站的电子病历，相关领导允许查询所有的电子病历</w:t>
            </w:r>
          </w:p>
        </w:tc>
        <w:tc>
          <w:tcPr>
            <w:tcW w:w="733" w:type="dxa"/>
            <w:vMerge w:val="continue"/>
            <w:vAlign w:val="center"/>
          </w:tcPr>
          <w:p w14:paraId="41A18B1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D214F45">
            <w:pPr>
              <w:jc w:val="center"/>
              <w:rPr>
                <w:rFonts w:hint="eastAsia" w:ascii="宋体" w:hAnsi="宋体" w:eastAsia="宋体" w:cs="宋体"/>
                <w:b w:val="0"/>
                <w:bCs w:val="0"/>
                <w:color w:val="auto"/>
                <w:kern w:val="0"/>
                <w:sz w:val="20"/>
                <w:szCs w:val="20"/>
                <w:highlight w:val="none"/>
                <w:lang w:val="en-US" w:eastAsia="zh-CN" w:bidi="ar-SA"/>
              </w:rPr>
            </w:pPr>
          </w:p>
        </w:tc>
      </w:tr>
      <w:tr w14:paraId="63987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3CF6082">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304</w:t>
            </w:r>
          </w:p>
        </w:tc>
        <w:tc>
          <w:tcPr>
            <w:tcW w:w="720" w:type="dxa"/>
            <w:vMerge w:val="continue"/>
            <w:vAlign w:val="center"/>
          </w:tcPr>
          <w:p w14:paraId="6DB8C1C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0C6D65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61CA3A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病历评分功能</w:t>
            </w:r>
          </w:p>
        </w:tc>
        <w:tc>
          <w:tcPr>
            <w:tcW w:w="4667" w:type="dxa"/>
            <w:vAlign w:val="center"/>
          </w:tcPr>
          <w:p w14:paraId="2275321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可针对每份病历进行评分，评分标准采用手动加自动相结合的方式</w:t>
            </w:r>
          </w:p>
        </w:tc>
        <w:tc>
          <w:tcPr>
            <w:tcW w:w="733" w:type="dxa"/>
            <w:vMerge w:val="continue"/>
            <w:vAlign w:val="center"/>
          </w:tcPr>
          <w:p w14:paraId="2874507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593B415">
            <w:pPr>
              <w:jc w:val="center"/>
              <w:rPr>
                <w:rFonts w:hint="eastAsia" w:ascii="宋体" w:hAnsi="宋体" w:eastAsia="宋体" w:cs="宋体"/>
                <w:b w:val="0"/>
                <w:bCs w:val="0"/>
                <w:color w:val="auto"/>
                <w:kern w:val="0"/>
                <w:sz w:val="20"/>
                <w:szCs w:val="20"/>
                <w:highlight w:val="none"/>
                <w:lang w:val="en-US" w:eastAsia="zh-CN" w:bidi="ar-SA"/>
              </w:rPr>
            </w:pPr>
          </w:p>
        </w:tc>
      </w:tr>
      <w:tr w14:paraId="0F251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4B79E2F">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305</w:t>
            </w:r>
          </w:p>
        </w:tc>
        <w:tc>
          <w:tcPr>
            <w:tcW w:w="720" w:type="dxa"/>
            <w:vMerge w:val="continue"/>
            <w:vAlign w:val="center"/>
          </w:tcPr>
          <w:p w14:paraId="4332655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487AA4F">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6ED81F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病历检查汇总表</w:t>
            </w:r>
          </w:p>
        </w:tc>
        <w:tc>
          <w:tcPr>
            <w:tcW w:w="4667" w:type="dxa"/>
            <w:vAlign w:val="center"/>
          </w:tcPr>
          <w:p w14:paraId="0BF08A8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通过病历检查汇总表，可查看所有分站、所有个人的病历评分总体情况</w:t>
            </w:r>
          </w:p>
        </w:tc>
        <w:tc>
          <w:tcPr>
            <w:tcW w:w="733" w:type="dxa"/>
            <w:vMerge w:val="continue"/>
            <w:vAlign w:val="center"/>
          </w:tcPr>
          <w:p w14:paraId="0274A67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DA92024">
            <w:pPr>
              <w:jc w:val="center"/>
              <w:rPr>
                <w:rFonts w:hint="eastAsia" w:ascii="宋体" w:hAnsi="宋体" w:eastAsia="宋体" w:cs="宋体"/>
                <w:b w:val="0"/>
                <w:bCs w:val="0"/>
                <w:color w:val="auto"/>
                <w:kern w:val="0"/>
                <w:sz w:val="20"/>
                <w:szCs w:val="20"/>
                <w:highlight w:val="none"/>
                <w:lang w:val="en-US" w:eastAsia="zh-CN" w:bidi="ar-SA"/>
              </w:rPr>
            </w:pPr>
          </w:p>
        </w:tc>
      </w:tr>
      <w:tr w14:paraId="71CCE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E5AC059">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306</w:t>
            </w:r>
          </w:p>
        </w:tc>
        <w:tc>
          <w:tcPr>
            <w:tcW w:w="720" w:type="dxa"/>
            <w:vMerge w:val="continue"/>
            <w:vAlign w:val="center"/>
          </w:tcPr>
          <w:p w14:paraId="7003822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988FF1F">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A6A1EA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病历检查评表</w:t>
            </w:r>
          </w:p>
        </w:tc>
        <w:tc>
          <w:tcPr>
            <w:tcW w:w="4667" w:type="dxa"/>
            <w:vAlign w:val="center"/>
          </w:tcPr>
          <w:p w14:paraId="5CAFB66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所有的得分情况都会记录在案，通过病历检查评表，可查询出每位医生病历检查的明细信息。医生可以查看自己的病历检查评分，分站长可以看到分站医生的病历检查评分，相关领导可以查询所有医生的病历检查评分</w:t>
            </w:r>
          </w:p>
        </w:tc>
        <w:tc>
          <w:tcPr>
            <w:tcW w:w="733" w:type="dxa"/>
            <w:vMerge w:val="continue"/>
            <w:vAlign w:val="center"/>
          </w:tcPr>
          <w:p w14:paraId="398BC01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457150F">
            <w:pPr>
              <w:jc w:val="center"/>
              <w:rPr>
                <w:rFonts w:hint="eastAsia" w:ascii="宋体" w:hAnsi="宋体" w:eastAsia="宋体" w:cs="宋体"/>
                <w:b w:val="0"/>
                <w:bCs w:val="0"/>
                <w:color w:val="auto"/>
                <w:kern w:val="0"/>
                <w:sz w:val="20"/>
                <w:szCs w:val="20"/>
                <w:highlight w:val="none"/>
                <w:lang w:val="en-US" w:eastAsia="zh-CN" w:bidi="ar-SA"/>
              </w:rPr>
            </w:pPr>
          </w:p>
        </w:tc>
      </w:tr>
      <w:tr w14:paraId="4AB0B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F558BA1">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307</w:t>
            </w:r>
          </w:p>
        </w:tc>
        <w:tc>
          <w:tcPr>
            <w:tcW w:w="720" w:type="dxa"/>
            <w:vMerge w:val="continue"/>
            <w:vAlign w:val="center"/>
          </w:tcPr>
          <w:p w14:paraId="214FF74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DC0B85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323038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电子病历统一制式</w:t>
            </w:r>
          </w:p>
        </w:tc>
        <w:tc>
          <w:tcPr>
            <w:tcW w:w="4667" w:type="dxa"/>
            <w:vAlign w:val="center"/>
          </w:tcPr>
          <w:p w14:paraId="753B835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电子病历要求与盐城市统一制式、统一管理，具备并网能力，所投电子病历具备结构化电子病历及病历自动评价系统</w:t>
            </w:r>
          </w:p>
        </w:tc>
        <w:tc>
          <w:tcPr>
            <w:tcW w:w="733" w:type="dxa"/>
            <w:vMerge w:val="continue"/>
            <w:vAlign w:val="center"/>
          </w:tcPr>
          <w:p w14:paraId="09C711E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5EB41E4">
            <w:pPr>
              <w:jc w:val="center"/>
              <w:rPr>
                <w:rFonts w:hint="eastAsia" w:ascii="宋体" w:hAnsi="宋体" w:eastAsia="宋体" w:cs="宋体"/>
                <w:b w:val="0"/>
                <w:bCs w:val="0"/>
                <w:color w:val="auto"/>
                <w:kern w:val="0"/>
                <w:sz w:val="20"/>
                <w:szCs w:val="20"/>
                <w:highlight w:val="none"/>
                <w:lang w:val="en-US" w:eastAsia="zh-CN" w:bidi="ar-SA"/>
              </w:rPr>
            </w:pPr>
          </w:p>
        </w:tc>
      </w:tr>
      <w:tr w14:paraId="37158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D96C8F9">
            <w:pPr>
              <w:keepNext w:val="0"/>
              <w:keepLines w:val="0"/>
              <w:widowControl/>
              <w:suppressLineNumbers w:val="0"/>
              <w:jc w:val="right"/>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308</w:t>
            </w:r>
          </w:p>
        </w:tc>
        <w:tc>
          <w:tcPr>
            <w:tcW w:w="720" w:type="dxa"/>
            <w:vMerge w:val="continue"/>
            <w:vAlign w:val="center"/>
          </w:tcPr>
          <w:p w14:paraId="179C3F0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BD4E3E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6108FF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电子病历</w:t>
            </w:r>
          </w:p>
        </w:tc>
        <w:tc>
          <w:tcPr>
            <w:tcW w:w="4667" w:type="dxa"/>
            <w:vAlign w:val="center"/>
          </w:tcPr>
          <w:p w14:paraId="304F17A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急救服务端电子病历系统服务端</w:t>
            </w:r>
          </w:p>
        </w:tc>
        <w:tc>
          <w:tcPr>
            <w:tcW w:w="733" w:type="dxa"/>
            <w:vMerge w:val="continue"/>
            <w:vAlign w:val="center"/>
          </w:tcPr>
          <w:p w14:paraId="4DCE92D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228285E">
            <w:pPr>
              <w:jc w:val="center"/>
              <w:rPr>
                <w:rFonts w:hint="eastAsia" w:ascii="宋体" w:hAnsi="宋体" w:eastAsia="宋体" w:cs="宋体"/>
                <w:b w:val="0"/>
                <w:bCs w:val="0"/>
                <w:color w:val="auto"/>
                <w:kern w:val="0"/>
                <w:sz w:val="20"/>
                <w:szCs w:val="20"/>
                <w:highlight w:val="none"/>
                <w:lang w:val="en-US" w:eastAsia="zh-CN" w:bidi="ar-SA"/>
              </w:rPr>
            </w:pPr>
          </w:p>
        </w:tc>
      </w:tr>
      <w:tr w14:paraId="2131D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1735734">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309</w:t>
            </w:r>
          </w:p>
        </w:tc>
        <w:tc>
          <w:tcPr>
            <w:tcW w:w="720" w:type="dxa"/>
            <w:vMerge w:val="continue"/>
            <w:vAlign w:val="center"/>
          </w:tcPr>
          <w:p w14:paraId="01A8C0E9">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0FC777DD">
            <w:pPr>
              <w:jc w:val="center"/>
              <w:rPr>
                <w:rFonts w:hint="eastAsia" w:ascii="宋体" w:hAnsi="宋体" w:eastAsia="宋体" w:cs="宋体"/>
                <w:b w:val="0"/>
                <w:bCs w:val="0"/>
                <w:color w:val="auto"/>
                <w:kern w:val="0"/>
                <w:sz w:val="20"/>
                <w:szCs w:val="20"/>
                <w:highlight w:val="none"/>
                <w:lang w:val="en-US" w:eastAsia="zh-CN" w:bidi="ar-SA"/>
              </w:rPr>
            </w:pPr>
          </w:p>
          <w:p w14:paraId="5DB5D9C8">
            <w:pPr>
              <w:bidi w:val="0"/>
              <w:jc w:val="center"/>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院前院内一体化服务端</w:t>
            </w:r>
          </w:p>
        </w:tc>
        <w:tc>
          <w:tcPr>
            <w:tcW w:w="2058" w:type="dxa"/>
            <w:vAlign w:val="center"/>
          </w:tcPr>
          <w:p w14:paraId="6BEFECB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急救信息</w:t>
            </w:r>
          </w:p>
        </w:tc>
        <w:tc>
          <w:tcPr>
            <w:tcW w:w="4667" w:type="dxa"/>
            <w:vAlign w:val="center"/>
          </w:tcPr>
          <w:p w14:paraId="4CE77B2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平台集成急救信息显示“行驶路径、调度信息、救治信息、既往病史、医院资源、视频信息”即时消息提醒、历史记录查询、数据统计分析等功能</w:t>
            </w:r>
          </w:p>
        </w:tc>
        <w:tc>
          <w:tcPr>
            <w:tcW w:w="733" w:type="dxa"/>
            <w:vMerge w:val="restart"/>
            <w:vAlign w:val="center"/>
          </w:tcPr>
          <w:p w14:paraId="2B9E01C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7DB30EEE">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42E54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38BEE0C">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310</w:t>
            </w:r>
          </w:p>
        </w:tc>
        <w:tc>
          <w:tcPr>
            <w:tcW w:w="720" w:type="dxa"/>
            <w:vMerge w:val="continue"/>
            <w:vAlign w:val="center"/>
          </w:tcPr>
          <w:p w14:paraId="619B965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F50210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40A316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时间轴</w:t>
            </w:r>
          </w:p>
        </w:tc>
        <w:tc>
          <w:tcPr>
            <w:tcW w:w="4667" w:type="dxa"/>
            <w:vAlign w:val="center"/>
          </w:tcPr>
          <w:p w14:paraId="122BC09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任务状态实时跟踪振铃时刻、下发指令、收到指令、驶向现场、到达现场、病人上车、到达医院等</w:t>
            </w:r>
          </w:p>
        </w:tc>
        <w:tc>
          <w:tcPr>
            <w:tcW w:w="733" w:type="dxa"/>
            <w:vMerge w:val="continue"/>
            <w:vAlign w:val="center"/>
          </w:tcPr>
          <w:p w14:paraId="4FCC2FA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ACAB022">
            <w:pPr>
              <w:jc w:val="center"/>
              <w:rPr>
                <w:rFonts w:hint="eastAsia" w:ascii="宋体" w:hAnsi="宋体" w:eastAsia="宋体" w:cs="宋体"/>
                <w:b w:val="0"/>
                <w:bCs w:val="0"/>
                <w:color w:val="auto"/>
                <w:kern w:val="0"/>
                <w:sz w:val="20"/>
                <w:szCs w:val="20"/>
                <w:highlight w:val="none"/>
                <w:lang w:val="en-US" w:eastAsia="zh-CN" w:bidi="ar-SA"/>
              </w:rPr>
            </w:pPr>
          </w:p>
        </w:tc>
      </w:tr>
      <w:tr w14:paraId="3A329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D1EDC26">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311</w:t>
            </w:r>
          </w:p>
        </w:tc>
        <w:tc>
          <w:tcPr>
            <w:tcW w:w="720" w:type="dxa"/>
            <w:vMerge w:val="continue"/>
            <w:vAlign w:val="center"/>
          </w:tcPr>
          <w:p w14:paraId="0039BDA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133FC6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623C19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电子地图</w:t>
            </w:r>
          </w:p>
        </w:tc>
        <w:tc>
          <w:tcPr>
            <w:tcW w:w="4667" w:type="dxa"/>
            <w:vAlign w:val="center"/>
          </w:tcPr>
          <w:p w14:paraId="2958DBD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救护车实时路径，预计到达医院时间等</w:t>
            </w:r>
          </w:p>
        </w:tc>
        <w:tc>
          <w:tcPr>
            <w:tcW w:w="733" w:type="dxa"/>
            <w:vMerge w:val="continue"/>
            <w:vAlign w:val="center"/>
          </w:tcPr>
          <w:p w14:paraId="59DDE2F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BB4C09B">
            <w:pPr>
              <w:jc w:val="center"/>
              <w:rPr>
                <w:rFonts w:hint="eastAsia" w:ascii="宋体" w:hAnsi="宋体" w:eastAsia="宋体" w:cs="宋体"/>
                <w:b w:val="0"/>
                <w:bCs w:val="0"/>
                <w:color w:val="auto"/>
                <w:kern w:val="0"/>
                <w:sz w:val="20"/>
                <w:szCs w:val="20"/>
                <w:highlight w:val="none"/>
                <w:lang w:val="en-US" w:eastAsia="zh-CN" w:bidi="ar-SA"/>
              </w:rPr>
            </w:pPr>
          </w:p>
        </w:tc>
      </w:tr>
      <w:tr w14:paraId="0C916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A402CA0">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312</w:t>
            </w:r>
          </w:p>
        </w:tc>
        <w:tc>
          <w:tcPr>
            <w:tcW w:w="720" w:type="dxa"/>
            <w:vMerge w:val="continue"/>
            <w:vAlign w:val="center"/>
          </w:tcPr>
          <w:p w14:paraId="3DF9C45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6E49B8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B0AB05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心电数据</w:t>
            </w:r>
          </w:p>
        </w:tc>
        <w:tc>
          <w:tcPr>
            <w:tcW w:w="4667" w:type="dxa"/>
            <w:vAlign w:val="center"/>
          </w:tcPr>
          <w:p w14:paraId="51CC5D8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支持拍照上传心电数据，支持心电平台对接上传心电数据</w:t>
            </w:r>
          </w:p>
        </w:tc>
        <w:tc>
          <w:tcPr>
            <w:tcW w:w="733" w:type="dxa"/>
            <w:vMerge w:val="continue"/>
            <w:vAlign w:val="center"/>
          </w:tcPr>
          <w:p w14:paraId="1ECB6D5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C59D46D">
            <w:pPr>
              <w:jc w:val="center"/>
              <w:rPr>
                <w:rFonts w:hint="eastAsia" w:ascii="宋体" w:hAnsi="宋体" w:eastAsia="宋体" w:cs="宋体"/>
                <w:b w:val="0"/>
                <w:bCs w:val="0"/>
                <w:color w:val="auto"/>
                <w:kern w:val="0"/>
                <w:sz w:val="20"/>
                <w:szCs w:val="20"/>
                <w:highlight w:val="none"/>
                <w:lang w:val="en-US" w:eastAsia="zh-CN" w:bidi="ar-SA"/>
              </w:rPr>
            </w:pPr>
          </w:p>
        </w:tc>
      </w:tr>
      <w:tr w14:paraId="7626A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299C20B">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313</w:t>
            </w:r>
          </w:p>
        </w:tc>
        <w:tc>
          <w:tcPr>
            <w:tcW w:w="720" w:type="dxa"/>
            <w:vMerge w:val="continue"/>
            <w:vAlign w:val="center"/>
          </w:tcPr>
          <w:p w14:paraId="07935AF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CAFAE3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C1E275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区域院前院内系统救治平台服务端</w:t>
            </w:r>
          </w:p>
        </w:tc>
        <w:tc>
          <w:tcPr>
            <w:tcW w:w="4667" w:type="dxa"/>
            <w:vAlign w:val="center"/>
          </w:tcPr>
          <w:p w14:paraId="0608E2B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急救服务端电子病历系统服务端</w:t>
            </w:r>
            <w:r>
              <w:rPr>
                <w:rFonts w:hint="eastAsia" w:ascii="宋体" w:hAnsi="宋体" w:eastAsia="宋体" w:cs="宋体"/>
                <w:b w:val="0"/>
                <w:bCs w:val="0"/>
                <w:color w:val="auto"/>
                <w:kern w:val="0"/>
                <w:sz w:val="20"/>
                <w:szCs w:val="20"/>
                <w:highlight w:val="none"/>
                <w:lang w:val="en-US" w:eastAsia="zh-CN"/>
              </w:rPr>
              <w:t>区域院前院内系统救治平台服务端</w:t>
            </w:r>
          </w:p>
        </w:tc>
        <w:tc>
          <w:tcPr>
            <w:tcW w:w="733" w:type="dxa"/>
            <w:vMerge w:val="continue"/>
            <w:vAlign w:val="center"/>
          </w:tcPr>
          <w:p w14:paraId="3ADF0F4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3A4D5A7">
            <w:pPr>
              <w:jc w:val="center"/>
              <w:rPr>
                <w:rFonts w:hint="eastAsia" w:ascii="宋体" w:hAnsi="宋体" w:eastAsia="宋体" w:cs="宋体"/>
                <w:b w:val="0"/>
                <w:bCs w:val="0"/>
                <w:color w:val="auto"/>
                <w:kern w:val="0"/>
                <w:sz w:val="20"/>
                <w:szCs w:val="20"/>
                <w:highlight w:val="none"/>
                <w:lang w:val="en-US" w:eastAsia="zh-CN" w:bidi="ar-SA"/>
              </w:rPr>
            </w:pPr>
          </w:p>
        </w:tc>
      </w:tr>
      <w:tr w14:paraId="24D07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BFC377D">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314</w:t>
            </w:r>
          </w:p>
        </w:tc>
        <w:tc>
          <w:tcPr>
            <w:tcW w:w="720" w:type="dxa"/>
            <w:vMerge w:val="continue"/>
            <w:vAlign w:val="center"/>
          </w:tcPr>
          <w:p w14:paraId="4D59BACF">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53834AF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院前回访子系统</w:t>
            </w:r>
          </w:p>
        </w:tc>
        <w:tc>
          <w:tcPr>
            <w:tcW w:w="2058" w:type="dxa"/>
            <w:vAlign w:val="center"/>
          </w:tcPr>
          <w:p w14:paraId="273FA77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短信回访</w:t>
            </w:r>
          </w:p>
        </w:tc>
        <w:tc>
          <w:tcPr>
            <w:tcW w:w="4667" w:type="dxa"/>
            <w:vAlign w:val="center"/>
          </w:tcPr>
          <w:p w14:paraId="44F74A8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提供回访系统与短信应用接口，可发送回访短信，并可接收短信回复</w:t>
            </w:r>
          </w:p>
        </w:tc>
        <w:tc>
          <w:tcPr>
            <w:tcW w:w="733" w:type="dxa"/>
            <w:vMerge w:val="restart"/>
            <w:vAlign w:val="center"/>
          </w:tcPr>
          <w:p w14:paraId="4B50B51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Merge w:val="restart"/>
            <w:vAlign w:val="center"/>
          </w:tcPr>
          <w:p w14:paraId="4A539C0B">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00055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1721B73">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315</w:t>
            </w:r>
          </w:p>
        </w:tc>
        <w:tc>
          <w:tcPr>
            <w:tcW w:w="720" w:type="dxa"/>
            <w:vMerge w:val="continue"/>
            <w:vAlign w:val="center"/>
          </w:tcPr>
          <w:p w14:paraId="379190C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14AD91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839EA0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任务审核</w:t>
            </w:r>
          </w:p>
        </w:tc>
        <w:tc>
          <w:tcPr>
            <w:tcW w:w="4667" w:type="dxa"/>
            <w:vAlign w:val="center"/>
          </w:tcPr>
          <w:p w14:paraId="193C14D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根据出车任务列表的内容筛选出不进行回访的出车任务(避免回访死亡,事故,出车未见人等回访任务)</w:t>
            </w:r>
          </w:p>
        </w:tc>
        <w:tc>
          <w:tcPr>
            <w:tcW w:w="733" w:type="dxa"/>
            <w:vMerge w:val="continue"/>
            <w:vAlign w:val="center"/>
          </w:tcPr>
          <w:p w14:paraId="39F0940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637F292">
            <w:pPr>
              <w:jc w:val="center"/>
              <w:rPr>
                <w:rFonts w:hint="eastAsia" w:ascii="宋体" w:hAnsi="宋体" w:eastAsia="宋体" w:cs="宋体"/>
                <w:b w:val="0"/>
                <w:bCs w:val="0"/>
                <w:color w:val="auto"/>
                <w:kern w:val="0"/>
                <w:sz w:val="20"/>
                <w:szCs w:val="20"/>
                <w:highlight w:val="none"/>
                <w:lang w:val="en-US" w:eastAsia="zh-CN" w:bidi="ar-SA"/>
              </w:rPr>
            </w:pPr>
          </w:p>
        </w:tc>
      </w:tr>
      <w:tr w14:paraId="55D56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5F924BC">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316</w:t>
            </w:r>
          </w:p>
        </w:tc>
        <w:tc>
          <w:tcPr>
            <w:tcW w:w="720" w:type="dxa"/>
            <w:vMerge w:val="continue"/>
            <w:vAlign w:val="center"/>
          </w:tcPr>
          <w:p w14:paraId="4B9EDBD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3E3AC9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F19FCE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短信回访</w:t>
            </w:r>
          </w:p>
        </w:tc>
        <w:tc>
          <w:tcPr>
            <w:tcW w:w="4667" w:type="dxa"/>
            <w:vAlign w:val="center"/>
          </w:tcPr>
          <w:p w14:paraId="56070CA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按照规定的时间向手机用户发送回访短信,用户需要回复满意(1)、基本满意（2）或不满意(3)。回访短信模板可按甲方要求定制</w:t>
            </w:r>
          </w:p>
        </w:tc>
        <w:tc>
          <w:tcPr>
            <w:tcW w:w="733" w:type="dxa"/>
            <w:vMerge w:val="continue"/>
            <w:vAlign w:val="center"/>
          </w:tcPr>
          <w:p w14:paraId="01FF4D5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38F6A6F">
            <w:pPr>
              <w:jc w:val="center"/>
              <w:rPr>
                <w:rFonts w:hint="eastAsia" w:ascii="宋体" w:hAnsi="宋体" w:eastAsia="宋体" w:cs="宋体"/>
                <w:b w:val="0"/>
                <w:bCs w:val="0"/>
                <w:color w:val="auto"/>
                <w:kern w:val="0"/>
                <w:sz w:val="20"/>
                <w:szCs w:val="20"/>
                <w:highlight w:val="none"/>
                <w:lang w:val="en-US" w:eastAsia="zh-CN" w:bidi="ar-SA"/>
              </w:rPr>
            </w:pPr>
          </w:p>
        </w:tc>
      </w:tr>
      <w:tr w14:paraId="2F67F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97F3EAC">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317</w:t>
            </w:r>
          </w:p>
        </w:tc>
        <w:tc>
          <w:tcPr>
            <w:tcW w:w="720" w:type="dxa"/>
            <w:vMerge w:val="continue"/>
            <w:vAlign w:val="center"/>
          </w:tcPr>
          <w:p w14:paraId="3BB7406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77D0A3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8CEFBE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电话回访</w:t>
            </w:r>
          </w:p>
        </w:tc>
        <w:tc>
          <w:tcPr>
            <w:tcW w:w="4667" w:type="dxa"/>
            <w:vAlign w:val="center"/>
          </w:tcPr>
          <w:p w14:paraId="77A3538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根据任务列表利用电话对当事人进行电话回访,记录回访信息和回访录音</w:t>
            </w:r>
          </w:p>
        </w:tc>
        <w:tc>
          <w:tcPr>
            <w:tcW w:w="733" w:type="dxa"/>
            <w:vMerge w:val="continue"/>
            <w:vAlign w:val="center"/>
          </w:tcPr>
          <w:p w14:paraId="300C632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E68DAD2">
            <w:pPr>
              <w:jc w:val="center"/>
              <w:rPr>
                <w:rFonts w:hint="eastAsia" w:ascii="宋体" w:hAnsi="宋体" w:eastAsia="宋体" w:cs="宋体"/>
                <w:b w:val="0"/>
                <w:bCs w:val="0"/>
                <w:color w:val="auto"/>
                <w:kern w:val="0"/>
                <w:sz w:val="20"/>
                <w:szCs w:val="20"/>
                <w:highlight w:val="none"/>
                <w:lang w:val="en-US" w:eastAsia="zh-CN" w:bidi="ar-SA"/>
              </w:rPr>
            </w:pPr>
          </w:p>
        </w:tc>
      </w:tr>
      <w:tr w14:paraId="54DCD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EA67BE8">
            <w:pPr>
              <w:keepNext w:val="0"/>
              <w:keepLines w:val="0"/>
              <w:widowControl/>
              <w:suppressLineNumbers w:val="0"/>
              <w:jc w:val="right"/>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318</w:t>
            </w:r>
          </w:p>
        </w:tc>
        <w:tc>
          <w:tcPr>
            <w:tcW w:w="720" w:type="dxa"/>
            <w:vMerge w:val="continue"/>
            <w:vAlign w:val="center"/>
          </w:tcPr>
          <w:p w14:paraId="0EF671E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5EC48C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1BCCA5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标准化回访单配置界面</w:t>
            </w:r>
          </w:p>
        </w:tc>
        <w:tc>
          <w:tcPr>
            <w:tcW w:w="4667" w:type="dxa"/>
            <w:vAlign w:val="center"/>
          </w:tcPr>
          <w:p w14:paraId="7563AC3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根据当地120的需求可以随意配置星级评分项及回访项内容</w:t>
            </w:r>
          </w:p>
        </w:tc>
        <w:tc>
          <w:tcPr>
            <w:tcW w:w="733" w:type="dxa"/>
            <w:vMerge w:val="continue"/>
            <w:vAlign w:val="center"/>
          </w:tcPr>
          <w:p w14:paraId="4A833E7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DC73C3C">
            <w:pPr>
              <w:jc w:val="center"/>
              <w:rPr>
                <w:rFonts w:hint="eastAsia" w:ascii="宋体" w:hAnsi="宋体" w:eastAsia="宋体" w:cs="宋体"/>
                <w:b w:val="0"/>
                <w:bCs w:val="0"/>
                <w:color w:val="auto"/>
                <w:kern w:val="0"/>
                <w:sz w:val="20"/>
                <w:szCs w:val="20"/>
                <w:highlight w:val="none"/>
                <w:lang w:val="en-US" w:eastAsia="zh-CN" w:bidi="ar-SA"/>
              </w:rPr>
            </w:pPr>
          </w:p>
        </w:tc>
      </w:tr>
      <w:tr w14:paraId="3A18B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0BD9592">
            <w:pPr>
              <w:keepNext w:val="0"/>
              <w:keepLines w:val="0"/>
              <w:widowControl/>
              <w:suppressLineNumbers w:val="0"/>
              <w:jc w:val="right"/>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319</w:t>
            </w:r>
          </w:p>
        </w:tc>
        <w:tc>
          <w:tcPr>
            <w:tcW w:w="720" w:type="dxa"/>
            <w:vMerge w:val="continue"/>
            <w:vAlign w:val="center"/>
          </w:tcPr>
          <w:p w14:paraId="2C26FE2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68C105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2F1EE5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回访统计</w:t>
            </w:r>
          </w:p>
        </w:tc>
        <w:tc>
          <w:tcPr>
            <w:tcW w:w="4667" w:type="dxa"/>
            <w:vAlign w:val="center"/>
          </w:tcPr>
          <w:p w14:paraId="193E10D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对回访后的数据进行统计,以表格或图表的方式向展现出来</w:t>
            </w:r>
          </w:p>
        </w:tc>
        <w:tc>
          <w:tcPr>
            <w:tcW w:w="733" w:type="dxa"/>
            <w:vMerge w:val="continue"/>
            <w:vAlign w:val="center"/>
          </w:tcPr>
          <w:p w14:paraId="41C3439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6DC7741">
            <w:pPr>
              <w:jc w:val="center"/>
              <w:rPr>
                <w:rFonts w:hint="eastAsia" w:ascii="宋体" w:hAnsi="宋体" w:eastAsia="宋体" w:cs="宋体"/>
                <w:b w:val="0"/>
                <w:bCs w:val="0"/>
                <w:color w:val="auto"/>
                <w:kern w:val="0"/>
                <w:sz w:val="20"/>
                <w:szCs w:val="20"/>
                <w:highlight w:val="none"/>
                <w:lang w:val="en-US" w:eastAsia="zh-CN" w:bidi="ar-SA"/>
              </w:rPr>
            </w:pPr>
          </w:p>
        </w:tc>
      </w:tr>
      <w:tr w14:paraId="54A61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83" w:type="dxa"/>
            <w:vAlign w:val="center"/>
          </w:tcPr>
          <w:p w14:paraId="2FDF33FC">
            <w:pPr>
              <w:keepNext w:val="0"/>
              <w:keepLines w:val="0"/>
              <w:widowControl/>
              <w:suppressLineNumbers w:val="0"/>
              <w:jc w:val="right"/>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320</w:t>
            </w:r>
          </w:p>
        </w:tc>
        <w:tc>
          <w:tcPr>
            <w:tcW w:w="720" w:type="dxa"/>
            <w:vMerge w:val="continue"/>
            <w:vAlign w:val="center"/>
          </w:tcPr>
          <w:p w14:paraId="609EFF0E">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29E87EF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短信服务</w:t>
            </w:r>
          </w:p>
        </w:tc>
        <w:tc>
          <w:tcPr>
            <w:tcW w:w="2058" w:type="dxa"/>
            <w:vAlign w:val="center"/>
          </w:tcPr>
          <w:p w14:paraId="3BBF746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短信使用权</w:t>
            </w:r>
          </w:p>
        </w:tc>
        <w:tc>
          <w:tcPr>
            <w:tcW w:w="4667" w:type="dxa"/>
            <w:vAlign w:val="center"/>
          </w:tcPr>
          <w:p w14:paraId="43773D4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提供一年短信平台使用权</w:t>
            </w:r>
          </w:p>
        </w:tc>
        <w:tc>
          <w:tcPr>
            <w:tcW w:w="733" w:type="dxa"/>
            <w:vAlign w:val="center"/>
          </w:tcPr>
          <w:p w14:paraId="777B46C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年</w:t>
            </w:r>
          </w:p>
        </w:tc>
        <w:tc>
          <w:tcPr>
            <w:tcW w:w="714" w:type="dxa"/>
            <w:vAlign w:val="center"/>
          </w:tcPr>
          <w:p w14:paraId="7E0778A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0871E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352E359">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321</w:t>
            </w:r>
          </w:p>
        </w:tc>
        <w:tc>
          <w:tcPr>
            <w:tcW w:w="720" w:type="dxa"/>
            <w:vMerge w:val="restart"/>
            <w:vAlign w:val="center"/>
          </w:tcPr>
          <w:p w14:paraId="7078C8FA">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数据大屏</w:t>
            </w:r>
          </w:p>
        </w:tc>
        <w:tc>
          <w:tcPr>
            <w:tcW w:w="2933" w:type="dxa"/>
            <w:gridSpan w:val="2"/>
            <w:vMerge w:val="restart"/>
            <w:vAlign w:val="center"/>
          </w:tcPr>
          <w:p w14:paraId="38F48AD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智慧急救中心</w:t>
            </w:r>
          </w:p>
        </w:tc>
        <w:tc>
          <w:tcPr>
            <w:tcW w:w="4667" w:type="dxa"/>
            <w:vAlign w:val="center"/>
          </w:tcPr>
          <w:p w14:paraId="45EEEA3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以“驾驶舱”形式，直观展示急救系统的大数据力和管控力，实时图形化展示医疗资源、医疗数据、急救运行等情况</w:t>
            </w:r>
          </w:p>
        </w:tc>
        <w:tc>
          <w:tcPr>
            <w:tcW w:w="733" w:type="dxa"/>
            <w:vMerge w:val="restart"/>
            <w:vAlign w:val="center"/>
          </w:tcPr>
          <w:p w14:paraId="7C6E5C6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726FB59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78511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D917679">
            <w:pPr>
              <w:keepNext w:val="0"/>
              <w:keepLines w:val="0"/>
              <w:widowControl/>
              <w:suppressLineNumbers w:val="0"/>
              <w:jc w:val="right"/>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322</w:t>
            </w:r>
          </w:p>
        </w:tc>
        <w:tc>
          <w:tcPr>
            <w:tcW w:w="720" w:type="dxa"/>
            <w:vMerge w:val="continue"/>
            <w:vAlign w:val="center"/>
          </w:tcPr>
          <w:p w14:paraId="398B25BD">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4F5C4E37">
            <w:pPr>
              <w:jc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284D05E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构建预测预警数据模型，建立评价指标体系，监测急诊数据变动趋势，提供辅助科学决策</w:t>
            </w:r>
          </w:p>
        </w:tc>
        <w:tc>
          <w:tcPr>
            <w:tcW w:w="733" w:type="dxa"/>
            <w:vMerge w:val="continue"/>
            <w:vAlign w:val="center"/>
          </w:tcPr>
          <w:p w14:paraId="7D69107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69895E2">
            <w:pPr>
              <w:jc w:val="center"/>
              <w:rPr>
                <w:rFonts w:hint="eastAsia" w:ascii="宋体" w:hAnsi="宋体" w:eastAsia="宋体" w:cs="宋体"/>
                <w:b w:val="0"/>
                <w:bCs w:val="0"/>
                <w:color w:val="auto"/>
                <w:kern w:val="0"/>
                <w:sz w:val="20"/>
                <w:szCs w:val="20"/>
                <w:highlight w:val="none"/>
                <w:lang w:val="en-US" w:eastAsia="zh-CN" w:bidi="ar-SA"/>
              </w:rPr>
            </w:pPr>
          </w:p>
        </w:tc>
      </w:tr>
    </w:tbl>
    <w:p w14:paraId="269370B5">
      <w:pPr>
        <w:keepNext w:val="0"/>
        <w:keepLines w:val="0"/>
        <w:pageBreakBefore w:val="0"/>
        <w:widowControl w:val="0"/>
        <w:numPr>
          <w:ilvl w:val="0"/>
          <w:numId w:val="0"/>
        </w:numPr>
        <w:kinsoku/>
        <w:wordWrap/>
        <w:overflowPunct/>
        <w:topLinePunct w:val="0"/>
        <w:autoSpaceDE/>
        <w:autoSpaceDN/>
        <w:bidi w:val="0"/>
        <w:adjustRightInd/>
        <w:snapToGrid/>
        <w:spacing w:line="420" w:lineRule="exact"/>
        <w:textAlignment w:val="auto"/>
        <w:rPr>
          <w:rFonts w:hint="eastAsia" w:ascii="宋体" w:hAnsi="宋体" w:eastAsia="宋体" w:cs="宋体"/>
          <w:b w:val="0"/>
          <w:bCs w:val="0"/>
          <w:color w:val="auto"/>
          <w:kern w:val="0"/>
          <w:sz w:val="20"/>
          <w:szCs w:val="20"/>
          <w:highlight w:val="yellow"/>
          <w:lang w:val="en-US" w:eastAsia="zh-CN"/>
        </w:rPr>
      </w:pPr>
      <w:r>
        <w:rPr>
          <w:rFonts w:hint="eastAsia" w:ascii="宋体" w:hAnsi="宋体" w:eastAsia="宋体" w:cs="宋体"/>
          <w:highlight w:val="yellow"/>
          <w:lang w:val="en-US" w:eastAsia="zh-CN"/>
        </w:rPr>
        <w:t>（二）-5：</w:t>
      </w:r>
      <w:r>
        <w:rPr>
          <w:rFonts w:hint="eastAsia" w:ascii="宋体" w:hAnsi="宋体" w:eastAsia="宋体" w:cs="宋体"/>
          <w:b w:val="0"/>
          <w:bCs w:val="0"/>
          <w:color w:val="auto"/>
          <w:kern w:val="0"/>
          <w:sz w:val="20"/>
          <w:szCs w:val="20"/>
          <w:highlight w:val="yellow"/>
          <w:lang w:val="en-US" w:eastAsia="zh-CN"/>
        </w:rPr>
        <w:t>远程会诊中心</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875"/>
        <w:gridCol w:w="2058"/>
        <w:gridCol w:w="4667"/>
        <w:gridCol w:w="733"/>
        <w:gridCol w:w="714"/>
      </w:tblGrid>
      <w:tr w14:paraId="6A06D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6AB60FD">
            <w:pPr>
              <w:widowControl/>
              <w:jc w:val="center"/>
              <w:rPr>
                <w:rFonts w:hint="eastAsia" w:ascii="仿宋" w:hAnsi="仿宋" w:eastAsia="仿宋" w:cs="宋体"/>
                <w:color w:val="auto"/>
                <w:sz w:val="22"/>
                <w:szCs w:val="22"/>
                <w:highlight w:val="none"/>
                <w:lang w:val="en-US" w:eastAsia="zh-CN"/>
              </w:rPr>
            </w:pPr>
            <w:r>
              <w:rPr>
                <w:rFonts w:hint="eastAsia" w:ascii="宋体" w:hAnsi="宋体" w:cs="宋体"/>
                <w:b/>
                <w:bCs/>
                <w:color w:val="auto"/>
                <w:kern w:val="0"/>
                <w:sz w:val="20"/>
                <w:szCs w:val="20"/>
                <w:highlight w:val="none"/>
              </w:rPr>
              <w:t>序号</w:t>
            </w:r>
          </w:p>
        </w:tc>
        <w:tc>
          <w:tcPr>
            <w:tcW w:w="3653" w:type="dxa"/>
            <w:gridSpan w:val="3"/>
            <w:vAlign w:val="center"/>
          </w:tcPr>
          <w:p w14:paraId="58C4FFD4">
            <w:pPr>
              <w:widowControl/>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建设内容</w:t>
            </w:r>
          </w:p>
        </w:tc>
        <w:tc>
          <w:tcPr>
            <w:tcW w:w="4667" w:type="dxa"/>
            <w:vAlign w:val="center"/>
          </w:tcPr>
          <w:p w14:paraId="423B2C34">
            <w:pPr>
              <w:widowControl/>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405E4CF9">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单位</w:t>
            </w:r>
          </w:p>
        </w:tc>
        <w:tc>
          <w:tcPr>
            <w:tcW w:w="714" w:type="dxa"/>
            <w:vAlign w:val="center"/>
          </w:tcPr>
          <w:p w14:paraId="368DD4CD">
            <w:pPr>
              <w:spacing w:line="240" w:lineRule="exact"/>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Cs w:val="21"/>
                <w:highlight w:val="none"/>
                <w:lang w:eastAsia="zh-CN"/>
              </w:rPr>
              <w:t>数量</w:t>
            </w:r>
          </w:p>
        </w:tc>
      </w:tr>
      <w:tr w14:paraId="6751E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034F748">
            <w:pPr>
              <w:keepNext w:val="0"/>
              <w:keepLines w:val="0"/>
              <w:widowControl/>
              <w:suppressLineNumbers w:val="0"/>
              <w:jc w:val="right"/>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323</w:t>
            </w:r>
          </w:p>
        </w:tc>
        <w:tc>
          <w:tcPr>
            <w:tcW w:w="720" w:type="dxa"/>
            <w:vMerge w:val="restart"/>
            <w:vAlign w:val="center"/>
          </w:tcPr>
          <w:p w14:paraId="1877520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区域远程会诊系统</w:t>
            </w:r>
          </w:p>
        </w:tc>
        <w:tc>
          <w:tcPr>
            <w:tcW w:w="875" w:type="dxa"/>
            <w:vMerge w:val="restart"/>
            <w:vAlign w:val="center"/>
          </w:tcPr>
          <w:p w14:paraId="46EF233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会诊申请管理</w:t>
            </w:r>
          </w:p>
        </w:tc>
        <w:tc>
          <w:tcPr>
            <w:tcW w:w="2058" w:type="dxa"/>
            <w:vAlign w:val="center"/>
          </w:tcPr>
          <w:p w14:paraId="1842CCE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会诊申请信息展示</w:t>
            </w:r>
          </w:p>
        </w:tc>
        <w:tc>
          <w:tcPr>
            <w:tcW w:w="4667" w:type="dxa"/>
            <w:vAlign w:val="center"/>
          </w:tcPr>
          <w:p w14:paraId="354690B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展示会诊申请的基本信息，包括：会诊编号、会诊患者姓名、申请日期、会诊医院、会诊科室、会诊日期及会诊类型等信息</w:t>
            </w:r>
          </w:p>
        </w:tc>
        <w:tc>
          <w:tcPr>
            <w:tcW w:w="733" w:type="dxa"/>
            <w:vMerge w:val="restart"/>
            <w:vAlign w:val="center"/>
          </w:tcPr>
          <w:p w14:paraId="012B5AF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3859F2A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43C18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E6AA90F">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324</w:t>
            </w:r>
          </w:p>
        </w:tc>
        <w:tc>
          <w:tcPr>
            <w:tcW w:w="720" w:type="dxa"/>
            <w:vMerge w:val="continue"/>
            <w:vAlign w:val="center"/>
          </w:tcPr>
          <w:p w14:paraId="756F037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23B8B6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AE3B3C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会诊申请管理</w:t>
            </w:r>
          </w:p>
        </w:tc>
        <w:tc>
          <w:tcPr>
            <w:tcW w:w="4667" w:type="dxa"/>
            <w:vAlign w:val="center"/>
          </w:tcPr>
          <w:p w14:paraId="0141571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支持会诊申请的新增申请、撤销和参加会诊等操作</w:t>
            </w:r>
          </w:p>
        </w:tc>
        <w:tc>
          <w:tcPr>
            <w:tcW w:w="733" w:type="dxa"/>
            <w:vMerge w:val="continue"/>
            <w:vAlign w:val="center"/>
          </w:tcPr>
          <w:p w14:paraId="4EB963E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ECDC689">
            <w:pPr>
              <w:jc w:val="center"/>
              <w:rPr>
                <w:rFonts w:hint="eastAsia" w:ascii="宋体" w:hAnsi="宋体" w:eastAsia="宋体" w:cs="宋体"/>
                <w:b w:val="0"/>
                <w:bCs w:val="0"/>
                <w:color w:val="auto"/>
                <w:kern w:val="0"/>
                <w:sz w:val="20"/>
                <w:szCs w:val="20"/>
                <w:highlight w:val="none"/>
                <w:lang w:val="en-US" w:eastAsia="zh-CN" w:bidi="ar-SA"/>
              </w:rPr>
            </w:pPr>
          </w:p>
        </w:tc>
      </w:tr>
      <w:tr w14:paraId="75BC8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D58BFB1">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325</w:t>
            </w:r>
          </w:p>
        </w:tc>
        <w:tc>
          <w:tcPr>
            <w:tcW w:w="720" w:type="dxa"/>
            <w:vMerge w:val="continue"/>
            <w:vAlign w:val="center"/>
          </w:tcPr>
          <w:p w14:paraId="6731663F">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61D92C2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患者电子病历调阅</w:t>
            </w:r>
          </w:p>
        </w:tc>
        <w:tc>
          <w:tcPr>
            <w:tcW w:w="2058" w:type="dxa"/>
            <w:vAlign w:val="center"/>
          </w:tcPr>
          <w:p w14:paraId="510E659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患者电子病历调阅</w:t>
            </w:r>
          </w:p>
        </w:tc>
        <w:tc>
          <w:tcPr>
            <w:tcW w:w="4667" w:type="dxa"/>
            <w:vAlign w:val="center"/>
          </w:tcPr>
          <w:p w14:paraId="1F5D9E2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支持会诊专家在处理会诊申请详情时可以调阅患者的电子病历信息，以便详细了解患者进本信息及病情情况</w:t>
            </w:r>
          </w:p>
        </w:tc>
        <w:tc>
          <w:tcPr>
            <w:tcW w:w="733" w:type="dxa"/>
            <w:vAlign w:val="center"/>
          </w:tcPr>
          <w:p w14:paraId="7294408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44E6B79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2</w:t>
            </w:r>
          </w:p>
        </w:tc>
      </w:tr>
      <w:tr w14:paraId="51FBD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717321A">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326</w:t>
            </w:r>
          </w:p>
        </w:tc>
        <w:tc>
          <w:tcPr>
            <w:tcW w:w="720" w:type="dxa"/>
            <w:vMerge w:val="continue"/>
            <w:vAlign w:val="center"/>
          </w:tcPr>
          <w:p w14:paraId="477E0B61">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0A04D7D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电子病历文件上传</w:t>
            </w:r>
          </w:p>
        </w:tc>
        <w:tc>
          <w:tcPr>
            <w:tcW w:w="2058" w:type="dxa"/>
            <w:vAlign w:val="center"/>
          </w:tcPr>
          <w:p w14:paraId="45342F6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电子病历文件上传</w:t>
            </w:r>
          </w:p>
        </w:tc>
        <w:tc>
          <w:tcPr>
            <w:tcW w:w="4667" w:type="dxa"/>
            <w:vAlign w:val="center"/>
          </w:tcPr>
          <w:p w14:paraId="547D40E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支持在申请远程会诊时可以上传该病人的电子病历信息，以便会诊专家查阅了解患者进本信息及病情情况</w:t>
            </w:r>
          </w:p>
        </w:tc>
        <w:tc>
          <w:tcPr>
            <w:tcW w:w="733" w:type="dxa"/>
            <w:vAlign w:val="center"/>
          </w:tcPr>
          <w:p w14:paraId="4066CA6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4398A6E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2</w:t>
            </w:r>
          </w:p>
        </w:tc>
      </w:tr>
      <w:tr w14:paraId="22654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25CB7DE">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327</w:t>
            </w:r>
          </w:p>
        </w:tc>
        <w:tc>
          <w:tcPr>
            <w:tcW w:w="720" w:type="dxa"/>
            <w:vMerge w:val="continue"/>
            <w:vAlign w:val="center"/>
          </w:tcPr>
          <w:p w14:paraId="09235E1D">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2548BAE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影像地址嵌入</w:t>
            </w:r>
          </w:p>
        </w:tc>
        <w:tc>
          <w:tcPr>
            <w:tcW w:w="2058" w:type="dxa"/>
            <w:vAlign w:val="center"/>
          </w:tcPr>
          <w:p w14:paraId="5423CA2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影像信息展示</w:t>
            </w:r>
          </w:p>
        </w:tc>
        <w:tc>
          <w:tcPr>
            <w:tcW w:w="4667" w:type="dxa"/>
            <w:vAlign w:val="center"/>
          </w:tcPr>
          <w:p w14:paraId="76808DF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支持会诊专家调阅患者的检查影像信息，以便详细了解患者进本信息及病情情况</w:t>
            </w:r>
          </w:p>
        </w:tc>
        <w:tc>
          <w:tcPr>
            <w:tcW w:w="733" w:type="dxa"/>
            <w:vAlign w:val="center"/>
          </w:tcPr>
          <w:p w14:paraId="2539655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1E8A8B1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2</w:t>
            </w:r>
          </w:p>
        </w:tc>
      </w:tr>
      <w:tr w14:paraId="3553E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B12FD1C">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328</w:t>
            </w:r>
          </w:p>
        </w:tc>
        <w:tc>
          <w:tcPr>
            <w:tcW w:w="720" w:type="dxa"/>
            <w:vMerge w:val="continue"/>
            <w:vAlign w:val="center"/>
          </w:tcPr>
          <w:p w14:paraId="3546C18B">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6D6F1B6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多方远程会诊</w:t>
            </w:r>
          </w:p>
        </w:tc>
        <w:tc>
          <w:tcPr>
            <w:tcW w:w="2058" w:type="dxa"/>
            <w:vAlign w:val="center"/>
          </w:tcPr>
          <w:p w14:paraId="7D251F6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多方远程会诊</w:t>
            </w:r>
          </w:p>
        </w:tc>
        <w:tc>
          <w:tcPr>
            <w:tcW w:w="4667" w:type="dxa"/>
            <w:vAlign w:val="center"/>
          </w:tcPr>
          <w:p w14:paraId="2040272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支持会诊多方以视频会议形式实时交互</w:t>
            </w:r>
          </w:p>
        </w:tc>
        <w:tc>
          <w:tcPr>
            <w:tcW w:w="733" w:type="dxa"/>
            <w:vAlign w:val="center"/>
          </w:tcPr>
          <w:p w14:paraId="34911FC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1F2BF34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2</w:t>
            </w:r>
          </w:p>
        </w:tc>
      </w:tr>
      <w:tr w14:paraId="5FF92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C53F854">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329</w:t>
            </w:r>
          </w:p>
        </w:tc>
        <w:tc>
          <w:tcPr>
            <w:tcW w:w="720" w:type="dxa"/>
            <w:vMerge w:val="continue"/>
            <w:vAlign w:val="center"/>
          </w:tcPr>
          <w:p w14:paraId="6247C416">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1F059B5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会诊审核</w:t>
            </w:r>
          </w:p>
        </w:tc>
        <w:tc>
          <w:tcPr>
            <w:tcW w:w="2058" w:type="dxa"/>
            <w:vAlign w:val="center"/>
          </w:tcPr>
          <w:p w14:paraId="5F53D5E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审核安排</w:t>
            </w:r>
          </w:p>
        </w:tc>
        <w:tc>
          <w:tcPr>
            <w:tcW w:w="4667" w:type="dxa"/>
            <w:vAlign w:val="center"/>
          </w:tcPr>
          <w:p w14:paraId="0456954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上级医院查看会诊申请信息，预览病历附件，并对会诊进行审核、排期，对不满足要求的申请进行驳回，支持填写驳回原因</w:t>
            </w:r>
          </w:p>
        </w:tc>
        <w:tc>
          <w:tcPr>
            <w:tcW w:w="733" w:type="dxa"/>
            <w:vAlign w:val="center"/>
          </w:tcPr>
          <w:p w14:paraId="45E7783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55AF5C8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1</w:t>
            </w:r>
          </w:p>
        </w:tc>
      </w:tr>
      <w:tr w14:paraId="5A16E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775366B">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330</w:t>
            </w:r>
          </w:p>
        </w:tc>
        <w:tc>
          <w:tcPr>
            <w:tcW w:w="720" w:type="dxa"/>
            <w:vMerge w:val="continue"/>
            <w:vAlign w:val="center"/>
          </w:tcPr>
          <w:p w14:paraId="4E752895">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4DE31AF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会诊报告</w:t>
            </w:r>
          </w:p>
        </w:tc>
        <w:tc>
          <w:tcPr>
            <w:tcW w:w="2058" w:type="dxa"/>
            <w:vAlign w:val="center"/>
          </w:tcPr>
          <w:p w14:paraId="3970003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会诊报告编写</w:t>
            </w:r>
          </w:p>
        </w:tc>
        <w:tc>
          <w:tcPr>
            <w:tcW w:w="4667" w:type="dxa"/>
            <w:vAlign w:val="center"/>
          </w:tcPr>
          <w:p w14:paraId="5C29617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通过电子病历方式，会诊专家填写本次会诊结论，并支持上传附件</w:t>
            </w:r>
          </w:p>
        </w:tc>
        <w:tc>
          <w:tcPr>
            <w:tcW w:w="733" w:type="dxa"/>
            <w:vMerge w:val="restart"/>
            <w:vAlign w:val="center"/>
          </w:tcPr>
          <w:p w14:paraId="6BF144A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5FB0095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3</w:t>
            </w:r>
          </w:p>
        </w:tc>
      </w:tr>
      <w:tr w14:paraId="57F52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4CD231E">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331</w:t>
            </w:r>
          </w:p>
        </w:tc>
        <w:tc>
          <w:tcPr>
            <w:tcW w:w="720" w:type="dxa"/>
            <w:vMerge w:val="continue"/>
            <w:vAlign w:val="center"/>
          </w:tcPr>
          <w:p w14:paraId="5D35CFD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B90267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EA7F2F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会诊报告信息查看</w:t>
            </w:r>
          </w:p>
        </w:tc>
        <w:tc>
          <w:tcPr>
            <w:tcW w:w="4667" w:type="dxa"/>
            <w:vAlign w:val="center"/>
          </w:tcPr>
          <w:p w14:paraId="6216D94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支持展示会诊报告基本信息及会诊相关附件信息预览</w:t>
            </w:r>
          </w:p>
        </w:tc>
        <w:tc>
          <w:tcPr>
            <w:tcW w:w="733" w:type="dxa"/>
            <w:vMerge w:val="continue"/>
            <w:vAlign w:val="center"/>
          </w:tcPr>
          <w:p w14:paraId="1AF3F11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46BD743">
            <w:pPr>
              <w:jc w:val="center"/>
              <w:rPr>
                <w:rFonts w:hint="eastAsia" w:ascii="宋体" w:hAnsi="宋体" w:eastAsia="宋体" w:cs="宋体"/>
                <w:b w:val="0"/>
                <w:bCs w:val="0"/>
                <w:color w:val="auto"/>
                <w:kern w:val="0"/>
                <w:sz w:val="20"/>
                <w:szCs w:val="20"/>
                <w:highlight w:val="none"/>
                <w:lang w:val="en-US" w:eastAsia="zh-CN" w:bidi="ar-SA"/>
              </w:rPr>
            </w:pPr>
          </w:p>
        </w:tc>
      </w:tr>
      <w:tr w14:paraId="14654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94EA29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332</w:t>
            </w:r>
          </w:p>
        </w:tc>
        <w:tc>
          <w:tcPr>
            <w:tcW w:w="720" w:type="dxa"/>
            <w:vMerge w:val="continue"/>
            <w:vAlign w:val="center"/>
          </w:tcPr>
          <w:p w14:paraId="35D374A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15072D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56D640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会诊报告打印</w:t>
            </w:r>
          </w:p>
        </w:tc>
        <w:tc>
          <w:tcPr>
            <w:tcW w:w="4667" w:type="dxa"/>
            <w:vAlign w:val="center"/>
          </w:tcPr>
          <w:p w14:paraId="6AC262C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支持会诊报告打印处理</w:t>
            </w:r>
          </w:p>
        </w:tc>
        <w:tc>
          <w:tcPr>
            <w:tcW w:w="733" w:type="dxa"/>
            <w:vMerge w:val="continue"/>
            <w:vAlign w:val="center"/>
          </w:tcPr>
          <w:p w14:paraId="0F4D179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9DD0FD1">
            <w:pPr>
              <w:jc w:val="center"/>
              <w:rPr>
                <w:rFonts w:hint="eastAsia" w:ascii="宋体" w:hAnsi="宋体" w:eastAsia="宋体" w:cs="宋体"/>
                <w:b w:val="0"/>
                <w:bCs w:val="0"/>
                <w:color w:val="auto"/>
                <w:kern w:val="0"/>
                <w:sz w:val="20"/>
                <w:szCs w:val="20"/>
                <w:highlight w:val="none"/>
                <w:lang w:val="en-US" w:eastAsia="zh-CN" w:bidi="ar-SA"/>
              </w:rPr>
            </w:pPr>
          </w:p>
        </w:tc>
      </w:tr>
      <w:tr w14:paraId="6811F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54CC98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333</w:t>
            </w:r>
          </w:p>
        </w:tc>
        <w:tc>
          <w:tcPr>
            <w:tcW w:w="720" w:type="dxa"/>
            <w:vMerge w:val="continue"/>
            <w:vAlign w:val="center"/>
          </w:tcPr>
          <w:p w14:paraId="7265F052">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062349B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工作台</w:t>
            </w:r>
          </w:p>
        </w:tc>
        <w:tc>
          <w:tcPr>
            <w:tcW w:w="2058" w:type="dxa"/>
            <w:vAlign w:val="center"/>
          </w:tcPr>
          <w:p w14:paraId="35AB727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申请医师工作台</w:t>
            </w:r>
          </w:p>
        </w:tc>
        <w:tc>
          <w:tcPr>
            <w:tcW w:w="4667" w:type="dxa"/>
            <w:vAlign w:val="center"/>
          </w:tcPr>
          <w:p w14:paraId="0AD542B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统计申请医师工作量，以及会诊完成对比分析，实时展示申请医师待办消息，并能快速进入申请工作站</w:t>
            </w:r>
          </w:p>
        </w:tc>
        <w:tc>
          <w:tcPr>
            <w:tcW w:w="733" w:type="dxa"/>
            <w:vMerge w:val="restart"/>
            <w:vAlign w:val="center"/>
          </w:tcPr>
          <w:p w14:paraId="253853A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209534D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3</w:t>
            </w:r>
          </w:p>
        </w:tc>
      </w:tr>
      <w:tr w14:paraId="0C0C6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330A74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334</w:t>
            </w:r>
          </w:p>
        </w:tc>
        <w:tc>
          <w:tcPr>
            <w:tcW w:w="720" w:type="dxa"/>
            <w:vMerge w:val="continue"/>
            <w:vAlign w:val="center"/>
          </w:tcPr>
          <w:p w14:paraId="7634BD1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A78F01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2B4334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审核医师工作台</w:t>
            </w:r>
          </w:p>
        </w:tc>
        <w:tc>
          <w:tcPr>
            <w:tcW w:w="4667" w:type="dxa"/>
            <w:vAlign w:val="center"/>
          </w:tcPr>
          <w:p w14:paraId="43C8AAA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统计审核医师工作量，以及会诊审核、完成对比分析，实时展示审核医师待办消息，并能快速进入申请工作站</w:t>
            </w:r>
          </w:p>
        </w:tc>
        <w:tc>
          <w:tcPr>
            <w:tcW w:w="733" w:type="dxa"/>
            <w:vMerge w:val="continue"/>
            <w:vAlign w:val="center"/>
          </w:tcPr>
          <w:p w14:paraId="31D839B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A9E00A2">
            <w:pPr>
              <w:jc w:val="center"/>
              <w:rPr>
                <w:rFonts w:hint="eastAsia" w:ascii="宋体" w:hAnsi="宋体" w:eastAsia="宋体" w:cs="宋体"/>
                <w:b w:val="0"/>
                <w:bCs w:val="0"/>
                <w:color w:val="auto"/>
                <w:kern w:val="0"/>
                <w:sz w:val="20"/>
                <w:szCs w:val="20"/>
                <w:highlight w:val="none"/>
                <w:lang w:val="en-US" w:eastAsia="zh-CN" w:bidi="ar-SA"/>
              </w:rPr>
            </w:pPr>
          </w:p>
        </w:tc>
      </w:tr>
      <w:tr w14:paraId="42F8D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F0816E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335</w:t>
            </w:r>
          </w:p>
        </w:tc>
        <w:tc>
          <w:tcPr>
            <w:tcW w:w="720" w:type="dxa"/>
            <w:vMerge w:val="continue"/>
            <w:vAlign w:val="center"/>
          </w:tcPr>
          <w:p w14:paraId="736B4B1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218132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E8A81F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专家工作台</w:t>
            </w:r>
          </w:p>
        </w:tc>
        <w:tc>
          <w:tcPr>
            <w:tcW w:w="4667" w:type="dxa"/>
            <w:vAlign w:val="center"/>
          </w:tcPr>
          <w:p w14:paraId="2FE6830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统计专家工作量，以及会诊完成情况分析，实时展示专家医师待办消息，并能快速进入申请工作站</w:t>
            </w:r>
          </w:p>
        </w:tc>
        <w:tc>
          <w:tcPr>
            <w:tcW w:w="733" w:type="dxa"/>
            <w:vMerge w:val="continue"/>
            <w:vAlign w:val="center"/>
          </w:tcPr>
          <w:p w14:paraId="3F88879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A19CEA0">
            <w:pPr>
              <w:jc w:val="center"/>
              <w:rPr>
                <w:rFonts w:hint="eastAsia" w:ascii="宋体" w:hAnsi="宋体" w:eastAsia="宋体" w:cs="宋体"/>
                <w:b w:val="0"/>
                <w:bCs w:val="0"/>
                <w:color w:val="auto"/>
                <w:kern w:val="0"/>
                <w:sz w:val="20"/>
                <w:szCs w:val="20"/>
                <w:highlight w:val="none"/>
                <w:lang w:val="en-US" w:eastAsia="zh-CN" w:bidi="ar-SA"/>
              </w:rPr>
            </w:pPr>
          </w:p>
        </w:tc>
      </w:tr>
      <w:tr w14:paraId="2978B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51901C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336</w:t>
            </w:r>
          </w:p>
        </w:tc>
        <w:tc>
          <w:tcPr>
            <w:tcW w:w="720" w:type="dxa"/>
            <w:vMerge w:val="continue"/>
            <w:vAlign w:val="center"/>
          </w:tcPr>
          <w:p w14:paraId="32E78F89">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7985DCE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工作量统计分析</w:t>
            </w:r>
          </w:p>
        </w:tc>
        <w:tc>
          <w:tcPr>
            <w:tcW w:w="2058" w:type="dxa"/>
            <w:vAlign w:val="center"/>
          </w:tcPr>
          <w:p w14:paraId="4F4230C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机构会诊统计分析</w:t>
            </w:r>
          </w:p>
        </w:tc>
        <w:tc>
          <w:tcPr>
            <w:tcW w:w="4667" w:type="dxa"/>
            <w:vAlign w:val="center"/>
          </w:tcPr>
          <w:p w14:paraId="70A27B5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以机构维度统计并展示各机构会诊总例数、机构会诊例数排名、近30天会诊人次趋势等统计分析数据</w:t>
            </w:r>
          </w:p>
        </w:tc>
        <w:tc>
          <w:tcPr>
            <w:tcW w:w="733" w:type="dxa"/>
            <w:vMerge w:val="restart"/>
            <w:vAlign w:val="center"/>
          </w:tcPr>
          <w:p w14:paraId="1059BD4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4DC265A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2</w:t>
            </w:r>
          </w:p>
        </w:tc>
      </w:tr>
      <w:tr w14:paraId="3998B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907010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337</w:t>
            </w:r>
          </w:p>
        </w:tc>
        <w:tc>
          <w:tcPr>
            <w:tcW w:w="720" w:type="dxa"/>
            <w:vMerge w:val="continue"/>
            <w:vAlign w:val="center"/>
          </w:tcPr>
          <w:p w14:paraId="70DF63A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92DBA7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2EB1E9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科室会诊统计分析</w:t>
            </w:r>
          </w:p>
        </w:tc>
        <w:tc>
          <w:tcPr>
            <w:tcW w:w="4667" w:type="dxa"/>
            <w:vAlign w:val="center"/>
          </w:tcPr>
          <w:p w14:paraId="57AC19C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以科室维度统计并展示各科室会诊总例数、科室会诊例数排名、近30天会诊人次趋势等统计分析数据</w:t>
            </w:r>
          </w:p>
        </w:tc>
        <w:tc>
          <w:tcPr>
            <w:tcW w:w="733" w:type="dxa"/>
            <w:vMerge w:val="continue"/>
            <w:vAlign w:val="center"/>
          </w:tcPr>
          <w:p w14:paraId="577C5AA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FDA1C67">
            <w:pPr>
              <w:jc w:val="center"/>
              <w:rPr>
                <w:rFonts w:hint="eastAsia" w:ascii="宋体" w:hAnsi="宋体" w:eastAsia="宋体" w:cs="宋体"/>
                <w:b w:val="0"/>
                <w:bCs w:val="0"/>
                <w:color w:val="auto"/>
                <w:kern w:val="0"/>
                <w:sz w:val="20"/>
                <w:szCs w:val="20"/>
                <w:highlight w:val="none"/>
                <w:lang w:val="en-US" w:eastAsia="zh-CN" w:bidi="ar-SA"/>
              </w:rPr>
            </w:pPr>
          </w:p>
        </w:tc>
      </w:tr>
      <w:tr w14:paraId="67F20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7E8402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338</w:t>
            </w:r>
          </w:p>
        </w:tc>
        <w:tc>
          <w:tcPr>
            <w:tcW w:w="720" w:type="dxa"/>
            <w:vMerge w:val="continue"/>
            <w:vAlign w:val="center"/>
          </w:tcPr>
          <w:p w14:paraId="3F08FD1C">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54D5363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会诊类型分析</w:t>
            </w:r>
          </w:p>
        </w:tc>
        <w:tc>
          <w:tcPr>
            <w:tcW w:w="2058" w:type="dxa"/>
            <w:vAlign w:val="center"/>
          </w:tcPr>
          <w:p w14:paraId="33F2C73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机构会诊类型分析</w:t>
            </w:r>
          </w:p>
        </w:tc>
        <w:tc>
          <w:tcPr>
            <w:tcW w:w="4667" w:type="dxa"/>
            <w:vAlign w:val="center"/>
          </w:tcPr>
          <w:p w14:paraId="1F2E5B6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以机构维度统计并展示各机构会诊类型构成统计分析数据</w:t>
            </w:r>
          </w:p>
        </w:tc>
        <w:tc>
          <w:tcPr>
            <w:tcW w:w="733" w:type="dxa"/>
            <w:vMerge w:val="restart"/>
            <w:vAlign w:val="center"/>
          </w:tcPr>
          <w:p w14:paraId="45B2D68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3D1B9B2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2</w:t>
            </w:r>
          </w:p>
        </w:tc>
      </w:tr>
      <w:tr w14:paraId="0EC51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E95D11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339</w:t>
            </w:r>
          </w:p>
        </w:tc>
        <w:tc>
          <w:tcPr>
            <w:tcW w:w="720" w:type="dxa"/>
            <w:vMerge w:val="continue"/>
            <w:vAlign w:val="center"/>
          </w:tcPr>
          <w:p w14:paraId="43E8B59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5F06A2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D123A8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科室会诊类型分析</w:t>
            </w:r>
          </w:p>
        </w:tc>
        <w:tc>
          <w:tcPr>
            <w:tcW w:w="4667" w:type="dxa"/>
            <w:vAlign w:val="center"/>
          </w:tcPr>
          <w:p w14:paraId="630BF44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以科室维度统计并展示各机构会诊类型构成统计分析数据</w:t>
            </w:r>
          </w:p>
        </w:tc>
        <w:tc>
          <w:tcPr>
            <w:tcW w:w="733" w:type="dxa"/>
            <w:vMerge w:val="continue"/>
            <w:vAlign w:val="center"/>
          </w:tcPr>
          <w:p w14:paraId="4082DEB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402A40A">
            <w:pPr>
              <w:jc w:val="center"/>
              <w:rPr>
                <w:rFonts w:hint="eastAsia" w:ascii="宋体" w:hAnsi="宋体" w:eastAsia="宋体" w:cs="宋体"/>
                <w:b w:val="0"/>
                <w:bCs w:val="0"/>
                <w:color w:val="auto"/>
                <w:kern w:val="0"/>
                <w:sz w:val="20"/>
                <w:szCs w:val="20"/>
                <w:highlight w:val="none"/>
                <w:lang w:val="en-US" w:eastAsia="zh-CN" w:bidi="ar-SA"/>
              </w:rPr>
            </w:pPr>
          </w:p>
        </w:tc>
      </w:tr>
      <w:tr w14:paraId="1C23F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C18431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340</w:t>
            </w:r>
          </w:p>
        </w:tc>
        <w:tc>
          <w:tcPr>
            <w:tcW w:w="720" w:type="dxa"/>
            <w:vMerge w:val="continue"/>
            <w:vAlign w:val="center"/>
          </w:tcPr>
          <w:p w14:paraId="3E84FEEA">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4AD7235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会诊完成情况分析</w:t>
            </w:r>
          </w:p>
        </w:tc>
        <w:tc>
          <w:tcPr>
            <w:tcW w:w="2058" w:type="dxa"/>
            <w:vAlign w:val="center"/>
          </w:tcPr>
          <w:p w14:paraId="21C1F2E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机构会诊完成情况分析</w:t>
            </w:r>
          </w:p>
        </w:tc>
        <w:tc>
          <w:tcPr>
            <w:tcW w:w="4667" w:type="dxa"/>
            <w:vAlign w:val="center"/>
          </w:tcPr>
          <w:p w14:paraId="2AF3EA0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以机构维度统计并展示各机构会诊完成情况统计分析数据</w:t>
            </w:r>
          </w:p>
        </w:tc>
        <w:tc>
          <w:tcPr>
            <w:tcW w:w="733" w:type="dxa"/>
            <w:vMerge w:val="restart"/>
            <w:vAlign w:val="center"/>
          </w:tcPr>
          <w:p w14:paraId="7E7FF63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751E980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2</w:t>
            </w:r>
          </w:p>
        </w:tc>
      </w:tr>
      <w:tr w14:paraId="03632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0770BF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341</w:t>
            </w:r>
          </w:p>
        </w:tc>
        <w:tc>
          <w:tcPr>
            <w:tcW w:w="720" w:type="dxa"/>
            <w:vMerge w:val="continue"/>
            <w:vAlign w:val="center"/>
          </w:tcPr>
          <w:p w14:paraId="1114639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07B5EA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7404EC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科室会诊完成情况分析</w:t>
            </w:r>
          </w:p>
        </w:tc>
        <w:tc>
          <w:tcPr>
            <w:tcW w:w="4667" w:type="dxa"/>
            <w:vAlign w:val="center"/>
          </w:tcPr>
          <w:p w14:paraId="542F4E0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以科室维度统计并展示各机构会诊完成情况统计分析数据</w:t>
            </w:r>
          </w:p>
        </w:tc>
        <w:tc>
          <w:tcPr>
            <w:tcW w:w="733" w:type="dxa"/>
            <w:vMerge w:val="continue"/>
            <w:vAlign w:val="center"/>
          </w:tcPr>
          <w:p w14:paraId="2DA226D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81FBD0F">
            <w:pPr>
              <w:jc w:val="center"/>
              <w:rPr>
                <w:rFonts w:hint="eastAsia" w:ascii="宋体" w:hAnsi="宋体" w:eastAsia="宋体" w:cs="宋体"/>
                <w:b w:val="0"/>
                <w:bCs w:val="0"/>
                <w:color w:val="auto"/>
                <w:kern w:val="0"/>
                <w:sz w:val="20"/>
                <w:szCs w:val="20"/>
                <w:highlight w:val="none"/>
                <w:lang w:val="en-US" w:eastAsia="zh-CN" w:bidi="ar-SA"/>
              </w:rPr>
            </w:pPr>
          </w:p>
        </w:tc>
      </w:tr>
      <w:tr w14:paraId="0D847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4E2D36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342</w:t>
            </w:r>
          </w:p>
        </w:tc>
        <w:tc>
          <w:tcPr>
            <w:tcW w:w="720" w:type="dxa"/>
            <w:vMerge w:val="continue"/>
            <w:vAlign w:val="center"/>
          </w:tcPr>
          <w:p w14:paraId="141C7FC8">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03FD902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成员单位查询</w:t>
            </w:r>
          </w:p>
        </w:tc>
        <w:tc>
          <w:tcPr>
            <w:tcW w:w="2058" w:type="dxa"/>
            <w:vAlign w:val="center"/>
          </w:tcPr>
          <w:p w14:paraId="06D8495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成员单位信息展示</w:t>
            </w:r>
          </w:p>
        </w:tc>
        <w:tc>
          <w:tcPr>
            <w:tcW w:w="4667" w:type="dxa"/>
            <w:vAlign w:val="center"/>
          </w:tcPr>
          <w:p w14:paraId="3D1F939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展示成员单位的基本信息包括单位名称、加入时间、牵头机构等信息。</w:t>
            </w:r>
          </w:p>
        </w:tc>
        <w:tc>
          <w:tcPr>
            <w:tcW w:w="733" w:type="dxa"/>
            <w:vMerge w:val="restart"/>
            <w:vAlign w:val="center"/>
          </w:tcPr>
          <w:p w14:paraId="0AA4C57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47467E0E">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w:t>
            </w:r>
          </w:p>
        </w:tc>
      </w:tr>
      <w:tr w14:paraId="3F086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B71E5B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343</w:t>
            </w:r>
          </w:p>
        </w:tc>
        <w:tc>
          <w:tcPr>
            <w:tcW w:w="720" w:type="dxa"/>
            <w:vMerge w:val="continue"/>
            <w:vAlign w:val="center"/>
          </w:tcPr>
          <w:p w14:paraId="6C35563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A38927F">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B1F9B9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成员单位管理</w:t>
            </w:r>
          </w:p>
        </w:tc>
        <w:tc>
          <w:tcPr>
            <w:tcW w:w="4667" w:type="dxa"/>
            <w:vAlign w:val="center"/>
          </w:tcPr>
          <w:p w14:paraId="26EF81D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支持成员单位信息的新增、编辑和删除等操作</w:t>
            </w:r>
          </w:p>
        </w:tc>
        <w:tc>
          <w:tcPr>
            <w:tcW w:w="733" w:type="dxa"/>
            <w:vMerge w:val="continue"/>
            <w:vAlign w:val="center"/>
          </w:tcPr>
          <w:p w14:paraId="70C27B1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99A3335">
            <w:pPr>
              <w:jc w:val="center"/>
              <w:rPr>
                <w:rFonts w:hint="eastAsia" w:ascii="宋体" w:hAnsi="宋体" w:eastAsia="宋体" w:cs="宋体"/>
                <w:b w:val="0"/>
                <w:bCs w:val="0"/>
                <w:color w:val="auto"/>
                <w:kern w:val="0"/>
                <w:sz w:val="20"/>
                <w:szCs w:val="20"/>
                <w:highlight w:val="none"/>
                <w:lang w:val="en-US" w:eastAsia="zh-CN" w:bidi="ar-SA"/>
              </w:rPr>
            </w:pPr>
          </w:p>
        </w:tc>
      </w:tr>
      <w:tr w14:paraId="574B7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3B94EC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344</w:t>
            </w:r>
          </w:p>
        </w:tc>
        <w:tc>
          <w:tcPr>
            <w:tcW w:w="720" w:type="dxa"/>
            <w:vMerge w:val="continue"/>
            <w:vAlign w:val="center"/>
          </w:tcPr>
          <w:p w14:paraId="7DB0BD9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DA11F5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1A14CB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成员单位查询</w:t>
            </w:r>
          </w:p>
        </w:tc>
        <w:tc>
          <w:tcPr>
            <w:tcW w:w="4667" w:type="dxa"/>
            <w:vAlign w:val="center"/>
          </w:tcPr>
          <w:p w14:paraId="5F604A7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支持根据成员单位的名称模糊查询成员单位信息</w:t>
            </w:r>
          </w:p>
        </w:tc>
        <w:tc>
          <w:tcPr>
            <w:tcW w:w="733" w:type="dxa"/>
            <w:vMerge w:val="continue"/>
            <w:vAlign w:val="center"/>
          </w:tcPr>
          <w:p w14:paraId="6594032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9BA6708">
            <w:pPr>
              <w:jc w:val="center"/>
              <w:rPr>
                <w:rFonts w:hint="eastAsia" w:ascii="宋体" w:hAnsi="宋体" w:eastAsia="宋体" w:cs="宋体"/>
                <w:b w:val="0"/>
                <w:bCs w:val="0"/>
                <w:color w:val="auto"/>
                <w:kern w:val="0"/>
                <w:sz w:val="20"/>
                <w:szCs w:val="20"/>
                <w:highlight w:val="none"/>
                <w:lang w:val="en-US" w:eastAsia="zh-CN" w:bidi="ar-SA"/>
              </w:rPr>
            </w:pPr>
          </w:p>
        </w:tc>
      </w:tr>
      <w:tr w14:paraId="4C3D7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95F234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345</w:t>
            </w:r>
          </w:p>
        </w:tc>
        <w:tc>
          <w:tcPr>
            <w:tcW w:w="720" w:type="dxa"/>
            <w:vMerge w:val="continue"/>
            <w:vAlign w:val="center"/>
          </w:tcPr>
          <w:p w14:paraId="262DCA1D">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71E580F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会诊报告评价</w:t>
            </w:r>
          </w:p>
        </w:tc>
        <w:tc>
          <w:tcPr>
            <w:tcW w:w="2058" w:type="dxa"/>
            <w:vAlign w:val="center"/>
          </w:tcPr>
          <w:p w14:paraId="4C54D07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会诊报告评价</w:t>
            </w:r>
          </w:p>
        </w:tc>
        <w:tc>
          <w:tcPr>
            <w:tcW w:w="4667" w:type="dxa"/>
            <w:vAlign w:val="center"/>
          </w:tcPr>
          <w:p w14:paraId="4A6B812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支持已调查问卷的形式对会诊报告内容的质量进行匿名评价</w:t>
            </w:r>
          </w:p>
        </w:tc>
        <w:tc>
          <w:tcPr>
            <w:tcW w:w="733" w:type="dxa"/>
            <w:vAlign w:val="center"/>
          </w:tcPr>
          <w:p w14:paraId="371A1801">
            <w:pPr>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4A830495">
            <w:pPr>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2</w:t>
            </w:r>
          </w:p>
        </w:tc>
      </w:tr>
      <w:tr w14:paraId="009C4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47CE4C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346</w:t>
            </w:r>
          </w:p>
        </w:tc>
        <w:tc>
          <w:tcPr>
            <w:tcW w:w="720" w:type="dxa"/>
            <w:vMerge w:val="continue"/>
            <w:vAlign w:val="center"/>
          </w:tcPr>
          <w:p w14:paraId="35FBA69C">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5742382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会诊报告随访</w:t>
            </w:r>
          </w:p>
        </w:tc>
        <w:tc>
          <w:tcPr>
            <w:tcW w:w="2058" w:type="dxa"/>
            <w:vAlign w:val="center"/>
          </w:tcPr>
          <w:p w14:paraId="3ABC8D3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会诊报告随访</w:t>
            </w:r>
          </w:p>
        </w:tc>
        <w:tc>
          <w:tcPr>
            <w:tcW w:w="4667" w:type="dxa"/>
            <w:vAlign w:val="center"/>
          </w:tcPr>
          <w:p w14:paraId="6715E60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支持根据会诊报告内容对会诊患者进行随访。并将随访结果进行记录保存。</w:t>
            </w:r>
          </w:p>
        </w:tc>
        <w:tc>
          <w:tcPr>
            <w:tcW w:w="733" w:type="dxa"/>
            <w:vAlign w:val="center"/>
          </w:tcPr>
          <w:p w14:paraId="2A55D8E9">
            <w:pPr>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069F6C1F">
            <w:pPr>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3</w:t>
            </w:r>
          </w:p>
        </w:tc>
      </w:tr>
      <w:tr w14:paraId="1FF92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7D4C09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347</w:t>
            </w:r>
          </w:p>
        </w:tc>
        <w:tc>
          <w:tcPr>
            <w:tcW w:w="720" w:type="dxa"/>
            <w:vMerge w:val="continue"/>
            <w:vAlign w:val="center"/>
          </w:tcPr>
          <w:p w14:paraId="0AB8FB44">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688B0F0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视频会议</w:t>
            </w:r>
          </w:p>
        </w:tc>
        <w:tc>
          <w:tcPr>
            <w:tcW w:w="2058" w:type="dxa"/>
            <w:vAlign w:val="center"/>
          </w:tcPr>
          <w:p w14:paraId="08B7399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视频会议</w:t>
            </w:r>
          </w:p>
        </w:tc>
        <w:tc>
          <w:tcPr>
            <w:tcW w:w="4667" w:type="dxa"/>
            <w:vAlign w:val="center"/>
          </w:tcPr>
          <w:p w14:paraId="71918A7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支持会诊双方音视频实时交互</w:t>
            </w:r>
          </w:p>
        </w:tc>
        <w:tc>
          <w:tcPr>
            <w:tcW w:w="733" w:type="dxa"/>
            <w:vAlign w:val="center"/>
          </w:tcPr>
          <w:p w14:paraId="4069F79E">
            <w:pPr>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0B356171">
            <w:pPr>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4</w:t>
            </w:r>
          </w:p>
        </w:tc>
      </w:tr>
      <w:tr w14:paraId="15F5B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1929BF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348</w:t>
            </w:r>
          </w:p>
        </w:tc>
        <w:tc>
          <w:tcPr>
            <w:tcW w:w="720" w:type="dxa"/>
            <w:vMerge w:val="continue"/>
            <w:vAlign w:val="center"/>
          </w:tcPr>
          <w:p w14:paraId="158ACFA1">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64DB339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文件管理</w:t>
            </w:r>
          </w:p>
        </w:tc>
        <w:tc>
          <w:tcPr>
            <w:tcW w:w="2058" w:type="dxa"/>
            <w:vAlign w:val="center"/>
          </w:tcPr>
          <w:p w14:paraId="0316B6D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文件管理</w:t>
            </w:r>
          </w:p>
        </w:tc>
        <w:tc>
          <w:tcPr>
            <w:tcW w:w="4667" w:type="dxa"/>
            <w:vAlign w:val="center"/>
          </w:tcPr>
          <w:p w14:paraId="765E239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支持上传和下载患者的病历文书、检查检验报告、影像原始文件等文件</w:t>
            </w:r>
          </w:p>
        </w:tc>
        <w:tc>
          <w:tcPr>
            <w:tcW w:w="733" w:type="dxa"/>
            <w:vAlign w:val="center"/>
          </w:tcPr>
          <w:p w14:paraId="49D1D0A0">
            <w:pPr>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0941A993">
            <w:pPr>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3</w:t>
            </w:r>
          </w:p>
        </w:tc>
      </w:tr>
      <w:tr w14:paraId="5B3B6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979530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349</w:t>
            </w:r>
          </w:p>
        </w:tc>
        <w:tc>
          <w:tcPr>
            <w:tcW w:w="720" w:type="dxa"/>
            <w:vMerge w:val="restart"/>
            <w:vAlign w:val="center"/>
          </w:tcPr>
          <w:p w14:paraId="1DE1F814">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远程会诊系统数据对接</w:t>
            </w:r>
          </w:p>
        </w:tc>
        <w:tc>
          <w:tcPr>
            <w:tcW w:w="875" w:type="dxa"/>
            <w:vAlign w:val="center"/>
          </w:tcPr>
          <w:p w14:paraId="25231DA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对接区域检验中心</w:t>
            </w:r>
          </w:p>
        </w:tc>
        <w:tc>
          <w:tcPr>
            <w:tcW w:w="2058" w:type="dxa"/>
            <w:vAlign w:val="center"/>
          </w:tcPr>
          <w:p w14:paraId="516632D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对接区域检验中心</w:t>
            </w:r>
          </w:p>
        </w:tc>
        <w:tc>
          <w:tcPr>
            <w:tcW w:w="4667" w:type="dxa"/>
            <w:vAlign w:val="center"/>
          </w:tcPr>
          <w:p w14:paraId="0BD9699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支持区域检验的申请和报告数据，通过结构化和非结构化（PDF）两种格式接入</w:t>
            </w:r>
          </w:p>
        </w:tc>
        <w:tc>
          <w:tcPr>
            <w:tcW w:w="733" w:type="dxa"/>
            <w:vAlign w:val="center"/>
          </w:tcPr>
          <w:p w14:paraId="3C72DD3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427AE31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3</w:t>
            </w:r>
          </w:p>
        </w:tc>
      </w:tr>
      <w:tr w14:paraId="40D8E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D090E8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350</w:t>
            </w:r>
          </w:p>
        </w:tc>
        <w:tc>
          <w:tcPr>
            <w:tcW w:w="720" w:type="dxa"/>
            <w:vMerge w:val="continue"/>
            <w:vAlign w:val="center"/>
          </w:tcPr>
          <w:p w14:paraId="54DA8563">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3202DA1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对接影像云诊中心</w:t>
            </w:r>
          </w:p>
        </w:tc>
        <w:tc>
          <w:tcPr>
            <w:tcW w:w="2058" w:type="dxa"/>
            <w:vAlign w:val="center"/>
          </w:tcPr>
          <w:p w14:paraId="3C5B40E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对接影像云诊中心</w:t>
            </w:r>
          </w:p>
        </w:tc>
        <w:tc>
          <w:tcPr>
            <w:tcW w:w="4667" w:type="dxa"/>
            <w:vAlign w:val="center"/>
          </w:tcPr>
          <w:p w14:paraId="7FEBF87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支持区域影像的申请和报告数据，通过结构化和非结构化（PDF）两种格式接入</w:t>
            </w:r>
          </w:p>
        </w:tc>
        <w:tc>
          <w:tcPr>
            <w:tcW w:w="733" w:type="dxa"/>
            <w:vAlign w:val="center"/>
          </w:tcPr>
          <w:p w14:paraId="56BF7B3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70A3E33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2</w:t>
            </w:r>
          </w:p>
        </w:tc>
      </w:tr>
      <w:tr w14:paraId="6F2C8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9A7B719">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351</w:t>
            </w:r>
          </w:p>
        </w:tc>
        <w:tc>
          <w:tcPr>
            <w:tcW w:w="720" w:type="dxa"/>
            <w:vMerge w:val="continue"/>
            <w:vAlign w:val="center"/>
          </w:tcPr>
          <w:p w14:paraId="7EC328D1">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4D73EBA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对接网络心电中心</w:t>
            </w:r>
          </w:p>
        </w:tc>
        <w:tc>
          <w:tcPr>
            <w:tcW w:w="2058" w:type="dxa"/>
            <w:vAlign w:val="center"/>
          </w:tcPr>
          <w:p w14:paraId="3CEAC56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对接网络心电中心</w:t>
            </w:r>
          </w:p>
        </w:tc>
        <w:tc>
          <w:tcPr>
            <w:tcW w:w="4667" w:type="dxa"/>
            <w:vAlign w:val="center"/>
          </w:tcPr>
          <w:p w14:paraId="05D6FAA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支持区域心电的申请和报告数据，通过结构化和非结构化（PDF）两种格式接入</w:t>
            </w:r>
          </w:p>
        </w:tc>
        <w:tc>
          <w:tcPr>
            <w:tcW w:w="733" w:type="dxa"/>
            <w:vAlign w:val="center"/>
          </w:tcPr>
          <w:p w14:paraId="2120582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301663F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3</w:t>
            </w:r>
          </w:p>
        </w:tc>
      </w:tr>
      <w:tr w14:paraId="28850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165171C">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352</w:t>
            </w:r>
          </w:p>
        </w:tc>
        <w:tc>
          <w:tcPr>
            <w:tcW w:w="720" w:type="dxa"/>
            <w:vMerge w:val="continue"/>
            <w:vAlign w:val="center"/>
          </w:tcPr>
          <w:p w14:paraId="5217A6C3">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1500CC0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数据仓库建设</w:t>
            </w:r>
          </w:p>
        </w:tc>
        <w:tc>
          <w:tcPr>
            <w:tcW w:w="2058" w:type="dxa"/>
            <w:vAlign w:val="center"/>
          </w:tcPr>
          <w:p w14:paraId="7C49779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数据仓库建设</w:t>
            </w:r>
          </w:p>
        </w:tc>
        <w:tc>
          <w:tcPr>
            <w:tcW w:w="4667" w:type="dxa"/>
            <w:vAlign w:val="center"/>
          </w:tcPr>
          <w:p w14:paraId="66595EE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支持和阜宁县人口健康平台的对接。建立人口信息数据仓库。</w:t>
            </w:r>
          </w:p>
        </w:tc>
        <w:tc>
          <w:tcPr>
            <w:tcW w:w="733" w:type="dxa"/>
            <w:vAlign w:val="center"/>
          </w:tcPr>
          <w:p w14:paraId="5982278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07FC15E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2</w:t>
            </w:r>
          </w:p>
        </w:tc>
      </w:tr>
      <w:tr w14:paraId="77588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2FFE17D">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353</w:t>
            </w:r>
          </w:p>
        </w:tc>
        <w:tc>
          <w:tcPr>
            <w:tcW w:w="720" w:type="dxa"/>
            <w:vMerge w:val="continue"/>
            <w:vAlign w:val="center"/>
          </w:tcPr>
          <w:p w14:paraId="5437B9D5">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75888CD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与区域平台互联互通</w:t>
            </w:r>
          </w:p>
        </w:tc>
        <w:tc>
          <w:tcPr>
            <w:tcW w:w="2058" w:type="dxa"/>
            <w:vAlign w:val="center"/>
          </w:tcPr>
          <w:p w14:paraId="2636562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与区域平台互联互通</w:t>
            </w:r>
          </w:p>
        </w:tc>
        <w:tc>
          <w:tcPr>
            <w:tcW w:w="4667" w:type="dxa"/>
            <w:vAlign w:val="center"/>
          </w:tcPr>
          <w:p w14:paraId="11B6427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支持区域平台标准数据接口事项互联互通</w:t>
            </w:r>
          </w:p>
        </w:tc>
        <w:tc>
          <w:tcPr>
            <w:tcW w:w="733" w:type="dxa"/>
            <w:vAlign w:val="center"/>
          </w:tcPr>
          <w:p w14:paraId="0D44E30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646ADC5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1</w:t>
            </w:r>
          </w:p>
        </w:tc>
      </w:tr>
      <w:tr w14:paraId="1A7A3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C29177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354</w:t>
            </w:r>
          </w:p>
        </w:tc>
        <w:tc>
          <w:tcPr>
            <w:tcW w:w="720" w:type="dxa"/>
            <w:vMerge w:val="restart"/>
            <w:vAlign w:val="center"/>
          </w:tcPr>
          <w:p w14:paraId="4620DFD2">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数据大屏</w:t>
            </w:r>
          </w:p>
        </w:tc>
        <w:tc>
          <w:tcPr>
            <w:tcW w:w="2933" w:type="dxa"/>
            <w:gridSpan w:val="2"/>
            <w:vMerge w:val="restart"/>
            <w:vAlign w:val="center"/>
          </w:tcPr>
          <w:p w14:paraId="2E651CD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远程会诊中心</w:t>
            </w:r>
          </w:p>
        </w:tc>
        <w:tc>
          <w:tcPr>
            <w:tcW w:w="4667" w:type="dxa"/>
            <w:vAlign w:val="center"/>
          </w:tcPr>
          <w:p w14:paraId="305CC30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展示区域内会诊专家数量，并分析职称对比，以及工作量排名</w:t>
            </w:r>
          </w:p>
        </w:tc>
        <w:tc>
          <w:tcPr>
            <w:tcW w:w="733" w:type="dxa"/>
            <w:vMerge w:val="restart"/>
            <w:vAlign w:val="center"/>
          </w:tcPr>
          <w:p w14:paraId="1B91556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65B7095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3</w:t>
            </w:r>
          </w:p>
        </w:tc>
      </w:tr>
      <w:tr w14:paraId="367FC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6DD827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355</w:t>
            </w:r>
          </w:p>
        </w:tc>
        <w:tc>
          <w:tcPr>
            <w:tcW w:w="720" w:type="dxa"/>
            <w:vMerge w:val="continue"/>
            <w:vAlign w:val="center"/>
          </w:tcPr>
          <w:p w14:paraId="37AB36E6">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0EABD04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4653B6B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统计区域内会诊总量，按单学科、多学科对比，以及按普通会诊、影像会诊对比，可选择不同的年度进行筛选</w:t>
            </w:r>
          </w:p>
        </w:tc>
        <w:tc>
          <w:tcPr>
            <w:tcW w:w="733" w:type="dxa"/>
            <w:vMerge w:val="continue"/>
            <w:vAlign w:val="center"/>
          </w:tcPr>
          <w:p w14:paraId="00B5B28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37CC993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r w14:paraId="3E639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7C521B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356</w:t>
            </w:r>
          </w:p>
        </w:tc>
        <w:tc>
          <w:tcPr>
            <w:tcW w:w="720" w:type="dxa"/>
            <w:vMerge w:val="continue"/>
            <w:vAlign w:val="center"/>
          </w:tcPr>
          <w:p w14:paraId="59EA1D82">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00CEA0D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28BEC95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分析会诊量的月度趋势，以及会诊疾病的排名情况</w:t>
            </w:r>
          </w:p>
        </w:tc>
        <w:tc>
          <w:tcPr>
            <w:tcW w:w="733" w:type="dxa"/>
            <w:vMerge w:val="continue"/>
            <w:vAlign w:val="center"/>
          </w:tcPr>
          <w:p w14:paraId="09D3FB4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59AF089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r w14:paraId="3E346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36A73E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kern w:val="2"/>
                <w:sz w:val="22"/>
                <w:szCs w:val="22"/>
                <w:highlight w:val="none"/>
                <w:lang w:val="en-US" w:eastAsia="zh-CN" w:bidi="ar-SA"/>
              </w:rPr>
              <w:t>357</w:t>
            </w:r>
          </w:p>
        </w:tc>
        <w:tc>
          <w:tcPr>
            <w:tcW w:w="720" w:type="dxa"/>
            <w:vMerge w:val="continue"/>
            <w:vAlign w:val="center"/>
          </w:tcPr>
          <w:p w14:paraId="4219C22C">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573AF8B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2DBDA7C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通过地图展示各基层机构会诊申请量信息</w:t>
            </w:r>
          </w:p>
        </w:tc>
        <w:tc>
          <w:tcPr>
            <w:tcW w:w="733" w:type="dxa"/>
            <w:vMerge w:val="continue"/>
            <w:vAlign w:val="center"/>
          </w:tcPr>
          <w:p w14:paraId="5F3F72D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3B16F56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r w14:paraId="6047C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9E149C7">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358</w:t>
            </w:r>
          </w:p>
        </w:tc>
        <w:tc>
          <w:tcPr>
            <w:tcW w:w="720" w:type="dxa"/>
            <w:vMerge w:val="continue"/>
            <w:vAlign w:val="center"/>
          </w:tcPr>
          <w:p w14:paraId="2BD3C84D">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28AF2C5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4667" w:type="dxa"/>
            <w:vAlign w:val="center"/>
          </w:tcPr>
          <w:p w14:paraId="5BA09E7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展示会诊类型对比信息，并对会诊安排平均时长、会诊平均时长、会诊随访率、患者满意度等关键指标进行质控监管</w:t>
            </w:r>
          </w:p>
        </w:tc>
        <w:tc>
          <w:tcPr>
            <w:tcW w:w="733" w:type="dxa"/>
            <w:vMerge w:val="continue"/>
            <w:vAlign w:val="center"/>
          </w:tcPr>
          <w:p w14:paraId="044B709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5A41DD0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bl>
    <w:p w14:paraId="09B5D4ED">
      <w:pPr>
        <w:pStyle w:val="2"/>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both"/>
        <w:textAlignment w:val="auto"/>
        <w:rPr>
          <w:rFonts w:hint="eastAsia"/>
          <w:lang w:eastAsia="zh-CN"/>
        </w:rPr>
      </w:pPr>
      <w:r>
        <w:rPr>
          <w:rFonts w:hint="eastAsia" w:ascii="宋体" w:hAnsi="宋体" w:eastAsia="宋体" w:cs="宋体"/>
          <w:highlight w:val="yellow"/>
          <w:lang w:val="en-US" w:eastAsia="zh-CN"/>
        </w:rPr>
        <w:t>（二）-6：</w:t>
      </w:r>
      <w:r>
        <w:rPr>
          <w:rFonts w:hint="eastAsia" w:ascii="宋体" w:hAnsi="宋体" w:eastAsia="宋体" w:cs="宋体"/>
          <w:b w:val="0"/>
          <w:bCs w:val="0"/>
          <w:color w:val="auto"/>
          <w:kern w:val="0"/>
          <w:sz w:val="20"/>
          <w:szCs w:val="20"/>
          <w:highlight w:val="yellow"/>
          <w:lang w:val="en-US" w:eastAsia="zh-CN"/>
        </w:rPr>
        <w:t>集中审方中心</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875"/>
        <w:gridCol w:w="2058"/>
        <w:gridCol w:w="4667"/>
        <w:gridCol w:w="733"/>
        <w:gridCol w:w="714"/>
      </w:tblGrid>
      <w:tr w14:paraId="24C76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8AD91B4">
            <w:pPr>
              <w:widowControl/>
              <w:jc w:val="center"/>
              <w:rPr>
                <w:rFonts w:hint="eastAsia" w:ascii="仿宋" w:hAnsi="仿宋" w:eastAsia="仿宋" w:cs="宋体"/>
                <w:color w:val="auto"/>
                <w:sz w:val="22"/>
                <w:szCs w:val="22"/>
                <w:highlight w:val="none"/>
                <w:lang w:val="en-US" w:eastAsia="zh-CN"/>
              </w:rPr>
            </w:pPr>
            <w:r>
              <w:rPr>
                <w:rFonts w:hint="eastAsia" w:ascii="宋体" w:hAnsi="宋体" w:cs="宋体"/>
                <w:b/>
                <w:bCs/>
                <w:color w:val="auto"/>
                <w:kern w:val="0"/>
                <w:sz w:val="20"/>
                <w:szCs w:val="20"/>
                <w:highlight w:val="none"/>
              </w:rPr>
              <w:t>序号</w:t>
            </w:r>
          </w:p>
        </w:tc>
        <w:tc>
          <w:tcPr>
            <w:tcW w:w="3653" w:type="dxa"/>
            <w:gridSpan w:val="3"/>
            <w:vAlign w:val="center"/>
          </w:tcPr>
          <w:p w14:paraId="6BCF20E2">
            <w:pPr>
              <w:widowControl/>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建设内容</w:t>
            </w:r>
          </w:p>
        </w:tc>
        <w:tc>
          <w:tcPr>
            <w:tcW w:w="4667" w:type="dxa"/>
            <w:vAlign w:val="center"/>
          </w:tcPr>
          <w:p w14:paraId="540805AA">
            <w:pPr>
              <w:widowControl/>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7708EAD7">
            <w:pPr>
              <w:widowControl/>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单位</w:t>
            </w:r>
          </w:p>
        </w:tc>
        <w:tc>
          <w:tcPr>
            <w:tcW w:w="714" w:type="dxa"/>
            <w:vAlign w:val="center"/>
          </w:tcPr>
          <w:p w14:paraId="6691B69C">
            <w:pPr>
              <w:spacing w:line="240" w:lineRule="exact"/>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Cs w:val="21"/>
                <w:highlight w:val="none"/>
                <w:lang w:eastAsia="zh-CN"/>
              </w:rPr>
              <w:t>数量</w:t>
            </w:r>
          </w:p>
        </w:tc>
      </w:tr>
      <w:tr w14:paraId="420F6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shd w:val="clear" w:color="auto" w:fill="auto"/>
            <w:vAlign w:val="center"/>
          </w:tcPr>
          <w:p w14:paraId="7BAC7CB4">
            <w:pPr>
              <w:spacing w:line="300" w:lineRule="exact"/>
              <w:jc w:val="center"/>
              <w:rPr>
                <w:rFonts w:hint="default" w:ascii="仿宋" w:hAnsi="仿宋" w:eastAsia="仿宋" w:cs="宋体"/>
                <w:color w:val="auto"/>
                <w:kern w:val="2"/>
                <w:sz w:val="22"/>
                <w:szCs w:val="22"/>
                <w:highlight w:val="none"/>
                <w:lang w:val="en-US" w:eastAsia="zh-CN" w:bidi="ar-SA"/>
              </w:rPr>
            </w:pPr>
            <w:r>
              <w:rPr>
                <w:rFonts w:hint="eastAsia" w:ascii="仿宋" w:hAnsi="仿宋" w:eastAsia="仿宋" w:cs="宋体"/>
                <w:color w:val="auto"/>
                <w:sz w:val="22"/>
                <w:szCs w:val="22"/>
                <w:highlight w:val="none"/>
                <w:lang w:val="en-US" w:eastAsia="zh-CN"/>
              </w:rPr>
              <w:t>359</w:t>
            </w:r>
          </w:p>
        </w:tc>
        <w:tc>
          <w:tcPr>
            <w:tcW w:w="720" w:type="dxa"/>
            <w:vMerge w:val="restart"/>
            <w:vAlign w:val="center"/>
          </w:tcPr>
          <w:p w14:paraId="08F6BBE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集中审方系统</w:t>
            </w:r>
          </w:p>
        </w:tc>
        <w:tc>
          <w:tcPr>
            <w:tcW w:w="875" w:type="dxa"/>
            <w:vMerge w:val="restart"/>
            <w:vAlign w:val="center"/>
          </w:tcPr>
          <w:p w14:paraId="56B0D82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基础功能</w:t>
            </w:r>
          </w:p>
        </w:tc>
        <w:tc>
          <w:tcPr>
            <w:tcW w:w="2058" w:type="dxa"/>
            <w:vAlign w:val="center"/>
          </w:tcPr>
          <w:p w14:paraId="7E965B0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药学知识库</w:t>
            </w:r>
          </w:p>
        </w:tc>
        <w:tc>
          <w:tcPr>
            <w:tcW w:w="4667" w:type="dxa"/>
            <w:vAlign w:val="center"/>
          </w:tcPr>
          <w:p w14:paraId="69B63D1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系统具有多层次、开放式药学知识库，底层药学知识库内容丰富，覆盖医院现行用药品种，具有药品说明书、临床指南和开放自定义等功能内涵。</w:t>
            </w:r>
          </w:p>
        </w:tc>
        <w:tc>
          <w:tcPr>
            <w:tcW w:w="733" w:type="dxa"/>
            <w:vMerge w:val="restart"/>
            <w:vAlign w:val="center"/>
          </w:tcPr>
          <w:p w14:paraId="58CCE43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6C12D78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16</w:t>
            </w:r>
          </w:p>
        </w:tc>
      </w:tr>
      <w:tr w14:paraId="637A6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8FDA90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360</w:t>
            </w:r>
          </w:p>
        </w:tc>
        <w:tc>
          <w:tcPr>
            <w:tcW w:w="720" w:type="dxa"/>
            <w:vMerge w:val="continue"/>
            <w:vAlign w:val="center"/>
          </w:tcPr>
          <w:p w14:paraId="1B17BD6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F8D84E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9AE980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智能化审核引擎</w:t>
            </w:r>
          </w:p>
        </w:tc>
        <w:tc>
          <w:tcPr>
            <w:tcW w:w="4667" w:type="dxa"/>
            <w:vAlign w:val="center"/>
          </w:tcPr>
          <w:p w14:paraId="1786DEE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系统具有智能化审核引擎，实现审方规则的精细化配置和审核内容的分类匹配，且具有高性能并发处理机制，医生站弹框响应时间不超过0.5秒，医生工作站与药师工作站的数据实现秒级同步。</w:t>
            </w:r>
          </w:p>
        </w:tc>
        <w:tc>
          <w:tcPr>
            <w:tcW w:w="733" w:type="dxa"/>
            <w:vMerge w:val="continue"/>
            <w:vAlign w:val="center"/>
          </w:tcPr>
          <w:p w14:paraId="699A4D5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C4B6B2C">
            <w:pPr>
              <w:jc w:val="center"/>
              <w:rPr>
                <w:rFonts w:hint="eastAsia" w:ascii="宋体" w:hAnsi="宋体" w:eastAsia="宋体" w:cs="宋体"/>
                <w:b w:val="0"/>
                <w:bCs w:val="0"/>
                <w:color w:val="auto"/>
                <w:kern w:val="0"/>
                <w:sz w:val="20"/>
                <w:szCs w:val="20"/>
                <w:highlight w:val="none"/>
                <w:lang w:val="en-US" w:eastAsia="zh-CN" w:bidi="ar-SA"/>
              </w:rPr>
            </w:pPr>
          </w:p>
        </w:tc>
      </w:tr>
      <w:tr w14:paraId="0CC8B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179A1A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361</w:t>
            </w:r>
          </w:p>
        </w:tc>
        <w:tc>
          <w:tcPr>
            <w:tcW w:w="720" w:type="dxa"/>
            <w:vMerge w:val="continue"/>
            <w:vAlign w:val="center"/>
          </w:tcPr>
          <w:p w14:paraId="0179010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FFC8F6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2FECA3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医生工作站合理用药监测功能</w:t>
            </w:r>
          </w:p>
        </w:tc>
        <w:tc>
          <w:tcPr>
            <w:tcW w:w="4667" w:type="dxa"/>
            <w:vAlign w:val="center"/>
          </w:tcPr>
          <w:p w14:paraId="3C23FFE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系统具有医生工作站合理用药监测（系统预审）功能，可对问题处方进行分级分类设置，并根据实际使用情况进行调整。</w:t>
            </w:r>
          </w:p>
        </w:tc>
        <w:tc>
          <w:tcPr>
            <w:tcW w:w="733" w:type="dxa"/>
            <w:vMerge w:val="continue"/>
            <w:vAlign w:val="center"/>
          </w:tcPr>
          <w:p w14:paraId="2A92EA5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17974FA">
            <w:pPr>
              <w:jc w:val="center"/>
              <w:rPr>
                <w:rFonts w:hint="eastAsia" w:ascii="宋体" w:hAnsi="宋体" w:eastAsia="宋体" w:cs="宋体"/>
                <w:b w:val="0"/>
                <w:bCs w:val="0"/>
                <w:color w:val="auto"/>
                <w:kern w:val="0"/>
                <w:sz w:val="20"/>
                <w:szCs w:val="20"/>
                <w:highlight w:val="none"/>
                <w:lang w:val="en-US" w:eastAsia="zh-CN" w:bidi="ar-SA"/>
              </w:rPr>
            </w:pPr>
          </w:p>
        </w:tc>
      </w:tr>
      <w:tr w14:paraId="07807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BB8B28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362</w:t>
            </w:r>
          </w:p>
        </w:tc>
        <w:tc>
          <w:tcPr>
            <w:tcW w:w="720" w:type="dxa"/>
            <w:vMerge w:val="continue"/>
            <w:vAlign w:val="center"/>
          </w:tcPr>
          <w:p w14:paraId="7879E1B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F7512C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B93AB6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药师工作站审方干预功能</w:t>
            </w:r>
          </w:p>
        </w:tc>
        <w:tc>
          <w:tcPr>
            <w:tcW w:w="4667" w:type="dxa"/>
            <w:vAlign w:val="center"/>
          </w:tcPr>
          <w:p w14:paraId="232F199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系统具有药师工作站审方干预（药师复核）功能，审核时间可按门诊、住院、科室等分类设置，为方便药师快速、准确审方，须提供以下信息的便捷浏览</w:t>
            </w:r>
          </w:p>
        </w:tc>
        <w:tc>
          <w:tcPr>
            <w:tcW w:w="733" w:type="dxa"/>
            <w:vMerge w:val="continue"/>
            <w:vAlign w:val="center"/>
          </w:tcPr>
          <w:p w14:paraId="4101238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B1346C0">
            <w:pPr>
              <w:jc w:val="center"/>
              <w:rPr>
                <w:rFonts w:hint="eastAsia" w:ascii="宋体" w:hAnsi="宋体" w:eastAsia="宋体" w:cs="宋体"/>
                <w:b w:val="0"/>
                <w:bCs w:val="0"/>
                <w:color w:val="auto"/>
                <w:kern w:val="0"/>
                <w:sz w:val="20"/>
                <w:szCs w:val="20"/>
                <w:highlight w:val="none"/>
                <w:lang w:val="en-US" w:eastAsia="zh-CN" w:bidi="ar-SA"/>
              </w:rPr>
            </w:pPr>
          </w:p>
        </w:tc>
      </w:tr>
      <w:tr w14:paraId="6CC26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72BCCD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363</w:t>
            </w:r>
          </w:p>
        </w:tc>
        <w:tc>
          <w:tcPr>
            <w:tcW w:w="720" w:type="dxa"/>
            <w:vMerge w:val="continue"/>
            <w:vAlign w:val="center"/>
          </w:tcPr>
          <w:p w14:paraId="1D57085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71867A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85BF5D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处方信息浏览</w:t>
            </w:r>
          </w:p>
        </w:tc>
        <w:tc>
          <w:tcPr>
            <w:tcW w:w="4667" w:type="dxa"/>
            <w:vAlign w:val="center"/>
          </w:tcPr>
          <w:p w14:paraId="2FEA912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本次处方、历史处方/本次医嘱、执行医嘱、用药重整信息</w:t>
            </w:r>
          </w:p>
        </w:tc>
        <w:tc>
          <w:tcPr>
            <w:tcW w:w="733" w:type="dxa"/>
            <w:vMerge w:val="continue"/>
            <w:vAlign w:val="center"/>
          </w:tcPr>
          <w:p w14:paraId="3D2F8AF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F75520F">
            <w:pPr>
              <w:jc w:val="center"/>
              <w:rPr>
                <w:rFonts w:hint="eastAsia" w:ascii="宋体" w:hAnsi="宋体" w:eastAsia="宋体" w:cs="宋体"/>
                <w:b w:val="0"/>
                <w:bCs w:val="0"/>
                <w:color w:val="auto"/>
                <w:kern w:val="0"/>
                <w:sz w:val="20"/>
                <w:szCs w:val="20"/>
                <w:highlight w:val="none"/>
                <w:lang w:val="en-US" w:eastAsia="zh-CN" w:bidi="ar-SA"/>
              </w:rPr>
            </w:pPr>
          </w:p>
        </w:tc>
      </w:tr>
      <w:tr w14:paraId="54C80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AE817E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364</w:t>
            </w:r>
          </w:p>
        </w:tc>
        <w:tc>
          <w:tcPr>
            <w:tcW w:w="720" w:type="dxa"/>
            <w:vMerge w:val="continue"/>
            <w:vAlign w:val="center"/>
          </w:tcPr>
          <w:p w14:paraId="4610447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F01DFE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6BB0ED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诊断信息浏览</w:t>
            </w:r>
          </w:p>
        </w:tc>
        <w:tc>
          <w:tcPr>
            <w:tcW w:w="4667" w:type="dxa"/>
            <w:vAlign w:val="center"/>
          </w:tcPr>
          <w:p w14:paraId="0FAEF72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主诊断、辅助诊断，当前诊断、历史诊断</w:t>
            </w:r>
          </w:p>
        </w:tc>
        <w:tc>
          <w:tcPr>
            <w:tcW w:w="733" w:type="dxa"/>
            <w:vMerge w:val="continue"/>
            <w:vAlign w:val="center"/>
          </w:tcPr>
          <w:p w14:paraId="301B0C6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32428B0">
            <w:pPr>
              <w:jc w:val="center"/>
              <w:rPr>
                <w:rFonts w:hint="eastAsia" w:ascii="宋体" w:hAnsi="宋体" w:eastAsia="宋体" w:cs="宋体"/>
                <w:b w:val="0"/>
                <w:bCs w:val="0"/>
                <w:color w:val="auto"/>
                <w:kern w:val="0"/>
                <w:sz w:val="20"/>
                <w:szCs w:val="20"/>
                <w:highlight w:val="none"/>
                <w:lang w:val="en-US" w:eastAsia="zh-CN" w:bidi="ar-SA"/>
              </w:rPr>
            </w:pPr>
          </w:p>
        </w:tc>
      </w:tr>
      <w:tr w14:paraId="768BA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F30B6B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365</w:t>
            </w:r>
          </w:p>
        </w:tc>
        <w:tc>
          <w:tcPr>
            <w:tcW w:w="720" w:type="dxa"/>
            <w:vMerge w:val="continue"/>
            <w:vAlign w:val="center"/>
          </w:tcPr>
          <w:p w14:paraId="236549A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FA8203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FE814D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患者信息浏览</w:t>
            </w:r>
          </w:p>
        </w:tc>
        <w:tc>
          <w:tcPr>
            <w:tcW w:w="4667" w:type="dxa"/>
            <w:vAlign w:val="center"/>
          </w:tcPr>
          <w:p w14:paraId="09B4307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基本信息、药物过敏史、肝肾功能、身高/体重、哺乳/妊娠、（异常）检验指标、检查报告、电子病历等</w:t>
            </w:r>
          </w:p>
        </w:tc>
        <w:tc>
          <w:tcPr>
            <w:tcW w:w="733" w:type="dxa"/>
            <w:vMerge w:val="continue"/>
            <w:vAlign w:val="center"/>
          </w:tcPr>
          <w:p w14:paraId="3C69743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33C9A2F">
            <w:pPr>
              <w:jc w:val="center"/>
              <w:rPr>
                <w:rFonts w:hint="eastAsia" w:ascii="宋体" w:hAnsi="宋体" w:eastAsia="宋体" w:cs="宋体"/>
                <w:b w:val="0"/>
                <w:bCs w:val="0"/>
                <w:color w:val="auto"/>
                <w:kern w:val="0"/>
                <w:sz w:val="20"/>
                <w:szCs w:val="20"/>
                <w:highlight w:val="none"/>
                <w:lang w:val="en-US" w:eastAsia="zh-CN" w:bidi="ar-SA"/>
              </w:rPr>
            </w:pPr>
          </w:p>
        </w:tc>
      </w:tr>
      <w:tr w14:paraId="6DB5B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26972A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366</w:t>
            </w:r>
          </w:p>
        </w:tc>
        <w:tc>
          <w:tcPr>
            <w:tcW w:w="720" w:type="dxa"/>
            <w:vMerge w:val="continue"/>
            <w:vAlign w:val="center"/>
          </w:tcPr>
          <w:p w14:paraId="5535180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90B814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1996AA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医药沟通功能</w:t>
            </w:r>
          </w:p>
        </w:tc>
        <w:tc>
          <w:tcPr>
            <w:tcW w:w="4667" w:type="dxa"/>
            <w:vAlign w:val="center"/>
          </w:tcPr>
          <w:p w14:paraId="73F458F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系统具有便捷的医药沟通功能模块，沟通内容可采用定制模板选择、拷贝编辑等方式快速完成；并配备医院内网的即时通讯工具，供医生、药师之间事后沟通交流，可独立存储，供事后分析总结</w:t>
            </w:r>
          </w:p>
        </w:tc>
        <w:tc>
          <w:tcPr>
            <w:tcW w:w="733" w:type="dxa"/>
            <w:vMerge w:val="continue"/>
            <w:vAlign w:val="center"/>
          </w:tcPr>
          <w:p w14:paraId="5C7304F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691D70A">
            <w:pPr>
              <w:jc w:val="center"/>
              <w:rPr>
                <w:rFonts w:hint="eastAsia" w:ascii="宋体" w:hAnsi="宋体" w:eastAsia="宋体" w:cs="宋体"/>
                <w:b w:val="0"/>
                <w:bCs w:val="0"/>
                <w:color w:val="auto"/>
                <w:kern w:val="0"/>
                <w:sz w:val="20"/>
                <w:szCs w:val="20"/>
                <w:highlight w:val="none"/>
                <w:lang w:val="en-US" w:eastAsia="zh-CN" w:bidi="ar-SA"/>
              </w:rPr>
            </w:pPr>
          </w:p>
        </w:tc>
      </w:tr>
      <w:tr w14:paraId="30507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A3C5C5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367</w:t>
            </w:r>
          </w:p>
        </w:tc>
        <w:tc>
          <w:tcPr>
            <w:tcW w:w="720" w:type="dxa"/>
            <w:vMerge w:val="continue"/>
            <w:vAlign w:val="center"/>
          </w:tcPr>
          <w:p w14:paraId="47EB1A1F">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5E9D022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合理用药监测</w:t>
            </w:r>
          </w:p>
        </w:tc>
        <w:tc>
          <w:tcPr>
            <w:tcW w:w="2058" w:type="dxa"/>
            <w:vAlign w:val="center"/>
          </w:tcPr>
          <w:p w14:paraId="4780818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适应症审查</w:t>
            </w:r>
          </w:p>
        </w:tc>
        <w:tc>
          <w:tcPr>
            <w:tcW w:w="4667" w:type="dxa"/>
            <w:vAlign w:val="center"/>
          </w:tcPr>
          <w:p w14:paraId="096913B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通过患者的诊断与处方药品，分析药品适应症是否与患者诊断相符合；并对无适应症用药的问题进行提示</w:t>
            </w:r>
          </w:p>
        </w:tc>
        <w:tc>
          <w:tcPr>
            <w:tcW w:w="733" w:type="dxa"/>
            <w:vMerge w:val="restart"/>
            <w:vAlign w:val="center"/>
          </w:tcPr>
          <w:p w14:paraId="34732A0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03F55BD3">
            <w:pPr>
              <w:keepNext w:val="0"/>
              <w:keepLines w:val="0"/>
              <w:widowControl/>
              <w:suppressLineNumbers w:val="0"/>
              <w:jc w:val="center"/>
              <w:textAlignment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30</w:t>
            </w:r>
          </w:p>
        </w:tc>
      </w:tr>
      <w:tr w14:paraId="63109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3448AF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368</w:t>
            </w:r>
          </w:p>
        </w:tc>
        <w:tc>
          <w:tcPr>
            <w:tcW w:w="720" w:type="dxa"/>
            <w:vMerge w:val="continue"/>
            <w:vAlign w:val="center"/>
          </w:tcPr>
          <w:p w14:paraId="252E950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1CF151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D848DF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剂量审查</w:t>
            </w:r>
          </w:p>
        </w:tc>
        <w:tc>
          <w:tcPr>
            <w:tcW w:w="4667" w:type="dxa"/>
            <w:vAlign w:val="center"/>
          </w:tcPr>
          <w:p w14:paraId="79A07DD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结合年龄、给药途径、诊断、肝肾指标等信息审查处方（医嘱）中药品剂量、给药频次是否在说明书推荐范围内。</w:t>
            </w:r>
          </w:p>
        </w:tc>
        <w:tc>
          <w:tcPr>
            <w:tcW w:w="733" w:type="dxa"/>
            <w:vMerge w:val="continue"/>
            <w:vAlign w:val="center"/>
          </w:tcPr>
          <w:p w14:paraId="1BCFF26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BBD3A8C">
            <w:pPr>
              <w:jc w:val="center"/>
              <w:rPr>
                <w:rFonts w:hint="eastAsia" w:ascii="宋体" w:hAnsi="宋体" w:eastAsia="宋体" w:cs="宋体"/>
                <w:b w:val="0"/>
                <w:bCs w:val="0"/>
                <w:color w:val="auto"/>
                <w:kern w:val="0"/>
                <w:sz w:val="20"/>
                <w:szCs w:val="20"/>
                <w:highlight w:val="none"/>
                <w:lang w:val="en-US" w:eastAsia="zh-CN" w:bidi="ar-SA"/>
              </w:rPr>
            </w:pPr>
          </w:p>
        </w:tc>
      </w:tr>
      <w:tr w14:paraId="33FBB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399685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369</w:t>
            </w:r>
          </w:p>
        </w:tc>
        <w:tc>
          <w:tcPr>
            <w:tcW w:w="720" w:type="dxa"/>
            <w:vMerge w:val="continue"/>
            <w:vAlign w:val="center"/>
          </w:tcPr>
          <w:p w14:paraId="5DEB58F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69603B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8FFDD3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最大最小推荐量</w:t>
            </w:r>
          </w:p>
        </w:tc>
        <w:tc>
          <w:tcPr>
            <w:tcW w:w="4667" w:type="dxa"/>
            <w:vAlign w:val="bottom"/>
          </w:tcPr>
          <w:p w14:paraId="2B5BC66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审查处方/医嘱中药品的次剂量和日剂量的最大最小推荐量</w:t>
            </w:r>
          </w:p>
        </w:tc>
        <w:tc>
          <w:tcPr>
            <w:tcW w:w="733" w:type="dxa"/>
            <w:vMerge w:val="continue"/>
            <w:vAlign w:val="center"/>
          </w:tcPr>
          <w:p w14:paraId="071F268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FA75767">
            <w:pPr>
              <w:jc w:val="center"/>
              <w:rPr>
                <w:rFonts w:hint="eastAsia" w:ascii="宋体" w:hAnsi="宋体" w:eastAsia="宋体" w:cs="宋体"/>
                <w:b w:val="0"/>
                <w:bCs w:val="0"/>
                <w:color w:val="auto"/>
                <w:kern w:val="0"/>
                <w:sz w:val="20"/>
                <w:szCs w:val="20"/>
                <w:highlight w:val="none"/>
                <w:lang w:val="en-US" w:eastAsia="zh-CN" w:bidi="ar-SA"/>
              </w:rPr>
            </w:pPr>
          </w:p>
        </w:tc>
      </w:tr>
      <w:tr w14:paraId="7225B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AFD2F6F">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370</w:t>
            </w:r>
          </w:p>
        </w:tc>
        <w:tc>
          <w:tcPr>
            <w:tcW w:w="720" w:type="dxa"/>
            <w:vMerge w:val="continue"/>
            <w:vAlign w:val="center"/>
          </w:tcPr>
          <w:p w14:paraId="7F917C2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EDEE2E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143409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超出规定极量</w:t>
            </w:r>
          </w:p>
        </w:tc>
        <w:tc>
          <w:tcPr>
            <w:tcW w:w="4667" w:type="dxa"/>
            <w:vAlign w:val="center"/>
          </w:tcPr>
          <w:p w14:paraId="51A08CD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审查处方/医嘱中药品的每次和每日给药剂量是否超出规定极量</w:t>
            </w:r>
          </w:p>
        </w:tc>
        <w:tc>
          <w:tcPr>
            <w:tcW w:w="733" w:type="dxa"/>
            <w:vMerge w:val="continue"/>
            <w:vAlign w:val="center"/>
          </w:tcPr>
          <w:p w14:paraId="67811A2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64D84D0">
            <w:pPr>
              <w:jc w:val="center"/>
              <w:rPr>
                <w:rFonts w:hint="eastAsia" w:ascii="宋体" w:hAnsi="宋体" w:eastAsia="宋体" w:cs="宋体"/>
                <w:b w:val="0"/>
                <w:bCs w:val="0"/>
                <w:color w:val="auto"/>
                <w:kern w:val="0"/>
                <w:sz w:val="20"/>
                <w:szCs w:val="20"/>
                <w:highlight w:val="none"/>
                <w:lang w:val="en-US" w:eastAsia="zh-CN" w:bidi="ar-SA"/>
              </w:rPr>
            </w:pPr>
          </w:p>
        </w:tc>
      </w:tr>
      <w:tr w14:paraId="5888D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649FEF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371</w:t>
            </w:r>
          </w:p>
        </w:tc>
        <w:tc>
          <w:tcPr>
            <w:tcW w:w="720" w:type="dxa"/>
            <w:vMerge w:val="continue"/>
            <w:vAlign w:val="center"/>
          </w:tcPr>
          <w:p w14:paraId="2ACCB87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303C02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8D61A4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超出规定频次</w:t>
            </w:r>
          </w:p>
        </w:tc>
        <w:tc>
          <w:tcPr>
            <w:tcW w:w="4667" w:type="dxa"/>
            <w:vAlign w:val="center"/>
          </w:tcPr>
          <w:p w14:paraId="403D681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审查处方/医嘱中药品的给药频次是否超出规定频次</w:t>
            </w:r>
          </w:p>
        </w:tc>
        <w:tc>
          <w:tcPr>
            <w:tcW w:w="733" w:type="dxa"/>
            <w:vMerge w:val="continue"/>
            <w:vAlign w:val="center"/>
          </w:tcPr>
          <w:p w14:paraId="0441800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AA03868">
            <w:pPr>
              <w:jc w:val="center"/>
              <w:rPr>
                <w:rFonts w:hint="eastAsia" w:ascii="宋体" w:hAnsi="宋体" w:eastAsia="宋体" w:cs="宋体"/>
                <w:b w:val="0"/>
                <w:bCs w:val="0"/>
                <w:color w:val="auto"/>
                <w:kern w:val="0"/>
                <w:sz w:val="20"/>
                <w:szCs w:val="20"/>
                <w:highlight w:val="none"/>
                <w:lang w:val="en-US" w:eastAsia="zh-CN" w:bidi="ar-SA"/>
              </w:rPr>
            </w:pPr>
          </w:p>
        </w:tc>
      </w:tr>
      <w:tr w14:paraId="5BE57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C8BAF4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372</w:t>
            </w:r>
          </w:p>
        </w:tc>
        <w:tc>
          <w:tcPr>
            <w:tcW w:w="720" w:type="dxa"/>
            <w:vMerge w:val="continue"/>
            <w:vAlign w:val="center"/>
          </w:tcPr>
          <w:p w14:paraId="16157FD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3FA3E0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BDB0A8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禁忌症审查</w:t>
            </w:r>
          </w:p>
        </w:tc>
        <w:tc>
          <w:tcPr>
            <w:tcW w:w="4667" w:type="dxa"/>
            <w:vAlign w:val="center"/>
          </w:tcPr>
          <w:p w14:paraId="508AA96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通过患者的诊断与处方药品，分析药品与诊断之间是否存在问题</w:t>
            </w:r>
          </w:p>
        </w:tc>
        <w:tc>
          <w:tcPr>
            <w:tcW w:w="733" w:type="dxa"/>
            <w:vMerge w:val="continue"/>
            <w:vAlign w:val="center"/>
          </w:tcPr>
          <w:p w14:paraId="5DF0864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11238E3">
            <w:pPr>
              <w:jc w:val="center"/>
              <w:rPr>
                <w:rFonts w:hint="eastAsia" w:ascii="宋体" w:hAnsi="宋体" w:eastAsia="宋体" w:cs="宋体"/>
                <w:b w:val="0"/>
                <w:bCs w:val="0"/>
                <w:color w:val="auto"/>
                <w:kern w:val="0"/>
                <w:sz w:val="20"/>
                <w:szCs w:val="20"/>
                <w:highlight w:val="none"/>
                <w:lang w:val="en-US" w:eastAsia="zh-CN" w:bidi="ar-SA"/>
              </w:rPr>
            </w:pPr>
          </w:p>
        </w:tc>
      </w:tr>
      <w:tr w14:paraId="0BFF8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D44CDD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373</w:t>
            </w:r>
          </w:p>
        </w:tc>
        <w:tc>
          <w:tcPr>
            <w:tcW w:w="720" w:type="dxa"/>
            <w:vMerge w:val="continue"/>
            <w:vAlign w:val="center"/>
          </w:tcPr>
          <w:p w14:paraId="69DAAD3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3B71EA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9BC521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给药途径审查</w:t>
            </w:r>
          </w:p>
        </w:tc>
        <w:tc>
          <w:tcPr>
            <w:tcW w:w="4667" w:type="dxa"/>
            <w:vAlign w:val="center"/>
          </w:tcPr>
          <w:p w14:paraId="4B59711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根据药品说明书内容，对处方/医嘱中的药品选择的给药途径进行分析，对于存在给药途径选择问题进行提示</w:t>
            </w:r>
          </w:p>
        </w:tc>
        <w:tc>
          <w:tcPr>
            <w:tcW w:w="733" w:type="dxa"/>
            <w:vMerge w:val="continue"/>
            <w:vAlign w:val="center"/>
          </w:tcPr>
          <w:p w14:paraId="4304EF1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198E422">
            <w:pPr>
              <w:jc w:val="center"/>
              <w:rPr>
                <w:rFonts w:hint="eastAsia" w:ascii="宋体" w:hAnsi="宋体" w:eastAsia="宋体" w:cs="宋体"/>
                <w:b w:val="0"/>
                <w:bCs w:val="0"/>
                <w:color w:val="auto"/>
                <w:kern w:val="0"/>
                <w:sz w:val="20"/>
                <w:szCs w:val="20"/>
                <w:highlight w:val="none"/>
                <w:lang w:val="en-US" w:eastAsia="zh-CN" w:bidi="ar-SA"/>
              </w:rPr>
            </w:pPr>
          </w:p>
        </w:tc>
      </w:tr>
      <w:tr w14:paraId="30FF7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8A81E0B">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374</w:t>
            </w:r>
          </w:p>
        </w:tc>
        <w:tc>
          <w:tcPr>
            <w:tcW w:w="720" w:type="dxa"/>
            <w:vMerge w:val="continue"/>
            <w:vAlign w:val="center"/>
          </w:tcPr>
          <w:p w14:paraId="4FE658F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103284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942800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相互作用审查</w:t>
            </w:r>
          </w:p>
        </w:tc>
        <w:tc>
          <w:tcPr>
            <w:tcW w:w="4667" w:type="dxa"/>
            <w:vAlign w:val="center"/>
          </w:tcPr>
          <w:p w14:paraId="3E6C3A9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对患者同时使用的处方/医嘱中的药品两两之间或是药品所含成份之间存在的相互作用进行审查，对于存在的问题进行提示</w:t>
            </w:r>
          </w:p>
        </w:tc>
        <w:tc>
          <w:tcPr>
            <w:tcW w:w="733" w:type="dxa"/>
            <w:vMerge w:val="continue"/>
            <w:vAlign w:val="center"/>
          </w:tcPr>
          <w:p w14:paraId="1B38D47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ACE147C">
            <w:pPr>
              <w:jc w:val="center"/>
              <w:rPr>
                <w:rFonts w:hint="eastAsia" w:ascii="宋体" w:hAnsi="宋体" w:eastAsia="宋体" w:cs="宋体"/>
                <w:b w:val="0"/>
                <w:bCs w:val="0"/>
                <w:color w:val="auto"/>
                <w:kern w:val="0"/>
                <w:sz w:val="20"/>
                <w:szCs w:val="20"/>
                <w:highlight w:val="none"/>
                <w:lang w:val="en-US" w:eastAsia="zh-CN" w:bidi="ar-SA"/>
              </w:rPr>
            </w:pPr>
          </w:p>
        </w:tc>
      </w:tr>
      <w:tr w14:paraId="677FC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93BD29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375</w:t>
            </w:r>
          </w:p>
        </w:tc>
        <w:tc>
          <w:tcPr>
            <w:tcW w:w="720" w:type="dxa"/>
            <w:vMerge w:val="continue"/>
            <w:vAlign w:val="center"/>
          </w:tcPr>
          <w:p w14:paraId="031A433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6361D4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038568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配伍禁忌审查</w:t>
            </w:r>
          </w:p>
        </w:tc>
        <w:tc>
          <w:tcPr>
            <w:tcW w:w="4667" w:type="dxa"/>
            <w:vAlign w:val="center"/>
          </w:tcPr>
          <w:p w14:paraId="4087B04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对将在同一容器中混合的注射药品进行配伍审查，对混合后会导致药液浑浊、变色、稳定性变化等配伍问题进行提示，提示内容包括详细信息及参考文献</w:t>
            </w:r>
          </w:p>
        </w:tc>
        <w:tc>
          <w:tcPr>
            <w:tcW w:w="733" w:type="dxa"/>
            <w:vMerge w:val="continue"/>
            <w:vAlign w:val="center"/>
          </w:tcPr>
          <w:p w14:paraId="41439B6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CEF1C94">
            <w:pPr>
              <w:jc w:val="center"/>
              <w:rPr>
                <w:rFonts w:hint="eastAsia" w:ascii="宋体" w:hAnsi="宋体" w:eastAsia="宋体" w:cs="宋体"/>
                <w:b w:val="0"/>
                <w:bCs w:val="0"/>
                <w:color w:val="auto"/>
                <w:kern w:val="0"/>
                <w:sz w:val="20"/>
                <w:szCs w:val="20"/>
                <w:highlight w:val="none"/>
                <w:lang w:val="en-US" w:eastAsia="zh-CN" w:bidi="ar-SA"/>
              </w:rPr>
            </w:pPr>
          </w:p>
        </w:tc>
      </w:tr>
      <w:tr w14:paraId="31C7F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312BA8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376</w:t>
            </w:r>
          </w:p>
        </w:tc>
        <w:tc>
          <w:tcPr>
            <w:tcW w:w="720" w:type="dxa"/>
            <w:vMerge w:val="continue"/>
            <w:vAlign w:val="center"/>
          </w:tcPr>
          <w:p w14:paraId="5CD225D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B92B39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CD092D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妊娠期妇女用药审查</w:t>
            </w:r>
          </w:p>
        </w:tc>
        <w:tc>
          <w:tcPr>
            <w:tcW w:w="4667" w:type="dxa"/>
            <w:vAlign w:val="center"/>
          </w:tcPr>
          <w:p w14:paraId="1E7C8B4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根据药品说明书内容，结合患者生理状态进行分析，当患者处于妊娠期时，对处方中的药品进行妊娠期用药审查，对于存在的问题进行提示</w:t>
            </w:r>
          </w:p>
        </w:tc>
        <w:tc>
          <w:tcPr>
            <w:tcW w:w="733" w:type="dxa"/>
            <w:vMerge w:val="continue"/>
            <w:vAlign w:val="center"/>
          </w:tcPr>
          <w:p w14:paraId="56244BF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8890BDE">
            <w:pPr>
              <w:jc w:val="center"/>
              <w:rPr>
                <w:rFonts w:hint="eastAsia" w:ascii="宋体" w:hAnsi="宋体" w:eastAsia="宋体" w:cs="宋体"/>
                <w:b w:val="0"/>
                <w:bCs w:val="0"/>
                <w:color w:val="auto"/>
                <w:kern w:val="0"/>
                <w:sz w:val="20"/>
                <w:szCs w:val="20"/>
                <w:highlight w:val="none"/>
                <w:lang w:val="en-US" w:eastAsia="zh-CN" w:bidi="ar-SA"/>
              </w:rPr>
            </w:pPr>
          </w:p>
        </w:tc>
      </w:tr>
      <w:tr w14:paraId="4C919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4F01C3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377</w:t>
            </w:r>
          </w:p>
        </w:tc>
        <w:tc>
          <w:tcPr>
            <w:tcW w:w="720" w:type="dxa"/>
            <w:vMerge w:val="continue"/>
            <w:vAlign w:val="center"/>
          </w:tcPr>
          <w:p w14:paraId="1EC6C4C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DA1D8B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D5ABE0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哺乳期妇女用药审查</w:t>
            </w:r>
          </w:p>
        </w:tc>
        <w:tc>
          <w:tcPr>
            <w:tcW w:w="4667" w:type="dxa"/>
            <w:vAlign w:val="center"/>
          </w:tcPr>
          <w:p w14:paraId="752C6D0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根据药品说明书内容，结合患者生理状态进行分析，当患者处于哺乳期时，对处方中的药品进行哺乳期用药审查，对于存在的问题进行提示</w:t>
            </w:r>
          </w:p>
        </w:tc>
        <w:tc>
          <w:tcPr>
            <w:tcW w:w="733" w:type="dxa"/>
            <w:vMerge w:val="continue"/>
            <w:vAlign w:val="center"/>
          </w:tcPr>
          <w:p w14:paraId="346379B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3AEFB47">
            <w:pPr>
              <w:jc w:val="center"/>
              <w:rPr>
                <w:rFonts w:hint="eastAsia" w:ascii="宋体" w:hAnsi="宋体" w:eastAsia="宋体" w:cs="宋体"/>
                <w:b w:val="0"/>
                <w:bCs w:val="0"/>
                <w:color w:val="auto"/>
                <w:kern w:val="0"/>
                <w:sz w:val="20"/>
                <w:szCs w:val="20"/>
                <w:highlight w:val="none"/>
                <w:lang w:val="en-US" w:eastAsia="zh-CN" w:bidi="ar-SA"/>
              </w:rPr>
            </w:pPr>
          </w:p>
        </w:tc>
      </w:tr>
      <w:tr w14:paraId="6F9FA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FCC002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378</w:t>
            </w:r>
          </w:p>
        </w:tc>
        <w:tc>
          <w:tcPr>
            <w:tcW w:w="720" w:type="dxa"/>
            <w:vMerge w:val="continue"/>
            <w:vAlign w:val="center"/>
          </w:tcPr>
          <w:p w14:paraId="3C800E2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226CA2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167932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肝功能不全患者的用药审查</w:t>
            </w:r>
          </w:p>
        </w:tc>
        <w:tc>
          <w:tcPr>
            <w:tcW w:w="4667" w:type="dxa"/>
            <w:vAlign w:val="center"/>
          </w:tcPr>
          <w:p w14:paraId="2D8033A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根据药品说明书内容，结合患者肝功能状态进行分析，当患者肝功能不全时，对处方中的药品进行肝功能不全用药审查，对于存在的问题进行提示</w:t>
            </w:r>
          </w:p>
        </w:tc>
        <w:tc>
          <w:tcPr>
            <w:tcW w:w="733" w:type="dxa"/>
            <w:vMerge w:val="continue"/>
            <w:vAlign w:val="center"/>
          </w:tcPr>
          <w:p w14:paraId="4BE4008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FACA9CC">
            <w:pPr>
              <w:jc w:val="center"/>
              <w:rPr>
                <w:rFonts w:hint="eastAsia" w:ascii="宋体" w:hAnsi="宋体" w:eastAsia="宋体" w:cs="宋体"/>
                <w:b w:val="0"/>
                <w:bCs w:val="0"/>
                <w:color w:val="auto"/>
                <w:kern w:val="0"/>
                <w:sz w:val="20"/>
                <w:szCs w:val="20"/>
                <w:highlight w:val="none"/>
                <w:lang w:val="en-US" w:eastAsia="zh-CN" w:bidi="ar-SA"/>
              </w:rPr>
            </w:pPr>
          </w:p>
        </w:tc>
      </w:tr>
      <w:tr w14:paraId="49AAD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464EFF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379</w:t>
            </w:r>
          </w:p>
        </w:tc>
        <w:tc>
          <w:tcPr>
            <w:tcW w:w="720" w:type="dxa"/>
            <w:vMerge w:val="continue"/>
            <w:vAlign w:val="center"/>
          </w:tcPr>
          <w:p w14:paraId="5AF3427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637D62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A01E53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肾功能不全患者的用药审查</w:t>
            </w:r>
          </w:p>
        </w:tc>
        <w:tc>
          <w:tcPr>
            <w:tcW w:w="4667" w:type="dxa"/>
            <w:vAlign w:val="center"/>
          </w:tcPr>
          <w:p w14:paraId="740146B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根据药品说明书内容，结合患者肾功能状态进行分析，当患者肾功能不全时，对处方中的药品进行肾功能不全用药审查，对于存在的问题进行提示</w:t>
            </w:r>
          </w:p>
        </w:tc>
        <w:tc>
          <w:tcPr>
            <w:tcW w:w="733" w:type="dxa"/>
            <w:vMerge w:val="continue"/>
            <w:vAlign w:val="center"/>
          </w:tcPr>
          <w:p w14:paraId="0A8A758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7B2AB61">
            <w:pPr>
              <w:jc w:val="center"/>
              <w:rPr>
                <w:rFonts w:hint="eastAsia" w:ascii="宋体" w:hAnsi="宋体" w:eastAsia="宋体" w:cs="宋体"/>
                <w:b w:val="0"/>
                <w:bCs w:val="0"/>
                <w:color w:val="auto"/>
                <w:kern w:val="0"/>
                <w:sz w:val="20"/>
                <w:szCs w:val="20"/>
                <w:highlight w:val="none"/>
                <w:lang w:val="en-US" w:eastAsia="zh-CN" w:bidi="ar-SA"/>
              </w:rPr>
            </w:pPr>
          </w:p>
        </w:tc>
      </w:tr>
      <w:tr w14:paraId="3E166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C9A91B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380</w:t>
            </w:r>
          </w:p>
        </w:tc>
        <w:tc>
          <w:tcPr>
            <w:tcW w:w="720" w:type="dxa"/>
            <w:vMerge w:val="continue"/>
            <w:vAlign w:val="center"/>
          </w:tcPr>
          <w:p w14:paraId="430A9F6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C9721F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EA1F6F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儿童患者用药审查</w:t>
            </w:r>
          </w:p>
        </w:tc>
        <w:tc>
          <w:tcPr>
            <w:tcW w:w="4667" w:type="dxa"/>
            <w:vAlign w:val="center"/>
          </w:tcPr>
          <w:p w14:paraId="55CFEE0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根据药品说明书内容，结合患者年龄进行分析，当患者处于某一年龄段时，对于存在的问题进行提示</w:t>
            </w:r>
          </w:p>
        </w:tc>
        <w:tc>
          <w:tcPr>
            <w:tcW w:w="733" w:type="dxa"/>
            <w:vMerge w:val="continue"/>
            <w:vAlign w:val="center"/>
          </w:tcPr>
          <w:p w14:paraId="589CCE0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910B03B">
            <w:pPr>
              <w:jc w:val="center"/>
              <w:rPr>
                <w:rFonts w:hint="eastAsia" w:ascii="宋体" w:hAnsi="宋体" w:eastAsia="宋体" w:cs="宋体"/>
                <w:b w:val="0"/>
                <w:bCs w:val="0"/>
                <w:color w:val="auto"/>
                <w:kern w:val="0"/>
                <w:sz w:val="20"/>
                <w:szCs w:val="20"/>
                <w:highlight w:val="none"/>
                <w:lang w:val="en-US" w:eastAsia="zh-CN" w:bidi="ar-SA"/>
              </w:rPr>
            </w:pPr>
          </w:p>
        </w:tc>
      </w:tr>
      <w:tr w14:paraId="15B77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644BBF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381</w:t>
            </w:r>
          </w:p>
        </w:tc>
        <w:tc>
          <w:tcPr>
            <w:tcW w:w="720" w:type="dxa"/>
            <w:vMerge w:val="continue"/>
            <w:vAlign w:val="center"/>
          </w:tcPr>
          <w:p w14:paraId="4D68F20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06689F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01AF8F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老年患者用药审查</w:t>
            </w:r>
          </w:p>
        </w:tc>
        <w:tc>
          <w:tcPr>
            <w:tcW w:w="4667" w:type="dxa"/>
            <w:vAlign w:val="center"/>
          </w:tcPr>
          <w:p w14:paraId="5347CE3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根据药品说明书内容，结合患者年龄进行分析，当患者处于某一年龄段时，对于存在的问题进行提示</w:t>
            </w:r>
          </w:p>
        </w:tc>
        <w:tc>
          <w:tcPr>
            <w:tcW w:w="733" w:type="dxa"/>
            <w:vMerge w:val="continue"/>
            <w:vAlign w:val="center"/>
          </w:tcPr>
          <w:p w14:paraId="1084DC8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3C38933">
            <w:pPr>
              <w:jc w:val="center"/>
              <w:rPr>
                <w:rFonts w:hint="eastAsia" w:ascii="宋体" w:hAnsi="宋体" w:eastAsia="宋体" w:cs="宋体"/>
                <w:b w:val="0"/>
                <w:bCs w:val="0"/>
                <w:color w:val="auto"/>
                <w:kern w:val="0"/>
                <w:sz w:val="20"/>
                <w:szCs w:val="20"/>
                <w:highlight w:val="none"/>
                <w:lang w:val="en-US" w:eastAsia="zh-CN" w:bidi="ar-SA"/>
              </w:rPr>
            </w:pPr>
          </w:p>
        </w:tc>
      </w:tr>
      <w:tr w14:paraId="51905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50B952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382</w:t>
            </w:r>
          </w:p>
        </w:tc>
        <w:tc>
          <w:tcPr>
            <w:tcW w:w="720" w:type="dxa"/>
            <w:vMerge w:val="continue"/>
            <w:vAlign w:val="center"/>
          </w:tcPr>
          <w:p w14:paraId="708FC23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E2D5EC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5ED5E9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重复使用的药品进行审查</w:t>
            </w:r>
          </w:p>
        </w:tc>
        <w:tc>
          <w:tcPr>
            <w:tcW w:w="4667" w:type="dxa"/>
            <w:vAlign w:val="center"/>
          </w:tcPr>
          <w:p w14:paraId="182CC98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对患者同时使用的药品进行重复用药问题审查。包括是否使用了同种药、同类药或所含成份相同的药品</w:t>
            </w:r>
          </w:p>
        </w:tc>
        <w:tc>
          <w:tcPr>
            <w:tcW w:w="733" w:type="dxa"/>
            <w:vMerge w:val="continue"/>
            <w:vAlign w:val="center"/>
          </w:tcPr>
          <w:p w14:paraId="4597A6C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BDCF3E5">
            <w:pPr>
              <w:jc w:val="center"/>
              <w:rPr>
                <w:rFonts w:hint="eastAsia" w:ascii="宋体" w:hAnsi="宋体" w:eastAsia="宋体" w:cs="宋体"/>
                <w:b w:val="0"/>
                <w:bCs w:val="0"/>
                <w:color w:val="auto"/>
                <w:kern w:val="0"/>
                <w:sz w:val="20"/>
                <w:szCs w:val="20"/>
                <w:highlight w:val="none"/>
                <w:lang w:val="en-US" w:eastAsia="zh-CN" w:bidi="ar-SA"/>
              </w:rPr>
            </w:pPr>
          </w:p>
        </w:tc>
      </w:tr>
      <w:tr w14:paraId="7EE6B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08E286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383</w:t>
            </w:r>
          </w:p>
        </w:tc>
        <w:tc>
          <w:tcPr>
            <w:tcW w:w="720" w:type="dxa"/>
            <w:vMerge w:val="continue"/>
            <w:vAlign w:val="center"/>
          </w:tcPr>
          <w:p w14:paraId="404475E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7F17C3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BA61AB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药品使用疗程审核</w:t>
            </w:r>
          </w:p>
        </w:tc>
        <w:tc>
          <w:tcPr>
            <w:tcW w:w="4667" w:type="dxa"/>
            <w:vAlign w:val="center"/>
          </w:tcPr>
          <w:p w14:paraId="1632F44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据院方规定设置药品最大开具天数，对于存在的问题进行提示</w:t>
            </w:r>
          </w:p>
        </w:tc>
        <w:tc>
          <w:tcPr>
            <w:tcW w:w="733" w:type="dxa"/>
            <w:vMerge w:val="continue"/>
            <w:vAlign w:val="center"/>
          </w:tcPr>
          <w:p w14:paraId="345A8E3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676C46B">
            <w:pPr>
              <w:jc w:val="center"/>
              <w:rPr>
                <w:rFonts w:hint="eastAsia" w:ascii="宋体" w:hAnsi="宋体" w:eastAsia="宋体" w:cs="宋体"/>
                <w:b w:val="0"/>
                <w:bCs w:val="0"/>
                <w:color w:val="auto"/>
                <w:kern w:val="0"/>
                <w:sz w:val="20"/>
                <w:szCs w:val="20"/>
                <w:highlight w:val="none"/>
                <w:lang w:val="en-US" w:eastAsia="zh-CN" w:bidi="ar-SA"/>
              </w:rPr>
            </w:pPr>
          </w:p>
        </w:tc>
      </w:tr>
      <w:tr w14:paraId="41346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114CB2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384</w:t>
            </w:r>
          </w:p>
        </w:tc>
        <w:tc>
          <w:tcPr>
            <w:tcW w:w="720" w:type="dxa"/>
            <w:vMerge w:val="continue"/>
            <w:vAlign w:val="center"/>
          </w:tcPr>
          <w:p w14:paraId="1FD80AC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9A300E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9F7B07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药物过敏史审查</w:t>
            </w:r>
          </w:p>
        </w:tc>
        <w:tc>
          <w:tcPr>
            <w:tcW w:w="4667" w:type="dxa"/>
            <w:vAlign w:val="center"/>
          </w:tcPr>
          <w:p w14:paraId="7B7A3D5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根据药品说明书内容，结合患者的过敏信息分析处方/医嘱中的药品是否存在患者禁用或是慎用的药品，对于存在的问题进行提示</w:t>
            </w:r>
          </w:p>
        </w:tc>
        <w:tc>
          <w:tcPr>
            <w:tcW w:w="733" w:type="dxa"/>
            <w:vMerge w:val="continue"/>
            <w:vAlign w:val="center"/>
          </w:tcPr>
          <w:p w14:paraId="3F668E2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3E6E5C6">
            <w:pPr>
              <w:jc w:val="center"/>
              <w:rPr>
                <w:rFonts w:hint="eastAsia" w:ascii="宋体" w:hAnsi="宋体" w:eastAsia="宋体" w:cs="宋体"/>
                <w:b w:val="0"/>
                <w:bCs w:val="0"/>
                <w:color w:val="auto"/>
                <w:kern w:val="0"/>
                <w:sz w:val="20"/>
                <w:szCs w:val="20"/>
                <w:highlight w:val="none"/>
                <w:lang w:val="en-US" w:eastAsia="zh-CN" w:bidi="ar-SA"/>
              </w:rPr>
            </w:pPr>
          </w:p>
        </w:tc>
      </w:tr>
      <w:tr w14:paraId="3AF30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D43E78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385</w:t>
            </w:r>
          </w:p>
        </w:tc>
        <w:tc>
          <w:tcPr>
            <w:tcW w:w="720" w:type="dxa"/>
            <w:vMerge w:val="continue"/>
            <w:vAlign w:val="center"/>
          </w:tcPr>
          <w:p w14:paraId="1843122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7DC024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B1F1F7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抗菌药物审查</w:t>
            </w:r>
          </w:p>
        </w:tc>
        <w:tc>
          <w:tcPr>
            <w:tcW w:w="4667" w:type="dxa"/>
            <w:vAlign w:val="center"/>
          </w:tcPr>
          <w:p w14:paraId="1F1B648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以《抗菌药物临床应用分级管理目录》为依据，对抗菌药物分级信息进行提示。对超权限使用抗菌药物问题进行审查并提醒</w:t>
            </w:r>
          </w:p>
        </w:tc>
        <w:tc>
          <w:tcPr>
            <w:tcW w:w="733" w:type="dxa"/>
            <w:vMerge w:val="continue"/>
            <w:vAlign w:val="center"/>
          </w:tcPr>
          <w:p w14:paraId="0208A21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5D1ED61">
            <w:pPr>
              <w:jc w:val="center"/>
              <w:rPr>
                <w:rFonts w:hint="eastAsia" w:ascii="宋体" w:hAnsi="宋体" w:eastAsia="宋体" w:cs="宋体"/>
                <w:b w:val="0"/>
                <w:bCs w:val="0"/>
                <w:color w:val="auto"/>
                <w:kern w:val="0"/>
                <w:sz w:val="20"/>
                <w:szCs w:val="20"/>
                <w:highlight w:val="none"/>
                <w:lang w:val="en-US" w:eastAsia="zh-CN" w:bidi="ar-SA"/>
              </w:rPr>
            </w:pPr>
          </w:p>
        </w:tc>
      </w:tr>
      <w:tr w14:paraId="1BAB4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9C4E1D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386</w:t>
            </w:r>
          </w:p>
        </w:tc>
        <w:tc>
          <w:tcPr>
            <w:tcW w:w="720" w:type="dxa"/>
            <w:vMerge w:val="continue"/>
            <w:vAlign w:val="center"/>
          </w:tcPr>
          <w:p w14:paraId="704C775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4A175F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FED7D3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审查项目自定义设置</w:t>
            </w:r>
          </w:p>
        </w:tc>
        <w:tc>
          <w:tcPr>
            <w:tcW w:w="4667" w:type="dxa"/>
            <w:vAlign w:val="center"/>
          </w:tcPr>
          <w:p w14:paraId="2317F68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于不同类型的提醒信息系统提供默认级别间进行调整。做到处方可以“跨科室、跨处方”进行审查，并可以自定义基本原则。对于上述所有审查项目都可进行自定义修改与调整，对于缺失的审查项目可进行手动添加，对于不需要的审查项目或内容可手动删除。并且可对如何审查可进行个性化设置</w:t>
            </w:r>
          </w:p>
        </w:tc>
        <w:tc>
          <w:tcPr>
            <w:tcW w:w="733" w:type="dxa"/>
            <w:vMerge w:val="continue"/>
            <w:vAlign w:val="center"/>
          </w:tcPr>
          <w:p w14:paraId="74DBBEE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137CB2F">
            <w:pPr>
              <w:jc w:val="center"/>
              <w:rPr>
                <w:rFonts w:hint="eastAsia" w:ascii="宋体" w:hAnsi="宋体" w:eastAsia="宋体" w:cs="宋体"/>
                <w:b w:val="0"/>
                <w:bCs w:val="0"/>
                <w:color w:val="auto"/>
                <w:kern w:val="0"/>
                <w:sz w:val="20"/>
                <w:szCs w:val="20"/>
                <w:highlight w:val="none"/>
                <w:lang w:val="en-US" w:eastAsia="zh-CN" w:bidi="ar-SA"/>
              </w:rPr>
            </w:pPr>
          </w:p>
        </w:tc>
      </w:tr>
      <w:tr w14:paraId="46B33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2C5EA4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387</w:t>
            </w:r>
          </w:p>
        </w:tc>
        <w:tc>
          <w:tcPr>
            <w:tcW w:w="720" w:type="dxa"/>
            <w:vMerge w:val="continue"/>
            <w:vAlign w:val="center"/>
          </w:tcPr>
          <w:p w14:paraId="61719EC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563C97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F90156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药品说明书</w:t>
            </w:r>
          </w:p>
        </w:tc>
        <w:tc>
          <w:tcPr>
            <w:tcW w:w="4667" w:type="dxa"/>
            <w:vAlign w:val="center"/>
          </w:tcPr>
          <w:p w14:paraId="545EC35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可以查看处方药品说明书电子版文档</w:t>
            </w:r>
          </w:p>
        </w:tc>
        <w:tc>
          <w:tcPr>
            <w:tcW w:w="733" w:type="dxa"/>
            <w:vMerge w:val="continue"/>
            <w:vAlign w:val="center"/>
          </w:tcPr>
          <w:p w14:paraId="0B4E3CD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A82766D">
            <w:pPr>
              <w:jc w:val="center"/>
              <w:rPr>
                <w:rFonts w:hint="eastAsia" w:ascii="宋体" w:hAnsi="宋体" w:eastAsia="宋体" w:cs="宋体"/>
                <w:b w:val="0"/>
                <w:bCs w:val="0"/>
                <w:color w:val="auto"/>
                <w:kern w:val="0"/>
                <w:sz w:val="20"/>
                <w:szCs w:val="20"/>
                <w:highlight w:val="none"/>
                <w:lang w:val="en-US" w:eastAsia="zh-CN" w:bidi="ar-SA"/>
              </w:rPr>
            </w:pPr>
          </w:p>
        </w:tc>
      </w:tr>
      <w:tr w14:paraId="56BE5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ED0DCAC">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388</w:t>
            </w:r>
          </w:p>
        </w:tc>
        <w:tc>
          <w:tcPr>
            <w:tcW w:w="720" w:type="dxa"/>
            <w:vMerge w:val="continue"/>
            <w:vAlign w:val="center"/>
          </w:tcPr>
          <w:p w14:paraId="546A493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B9CD2D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9BA371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药品限定科室自定义</w:t>
            </w:r>
          </w:p>
        </w:tc>
        <w:tc>
          <w:tcPr>
            <w:tcW w:w="4667" w:type="dxa"/>
            <w:vAlign w:val="center"/>
          </w:tcPr>
          <w:p w14:paraId="3FD8B00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对于某药品有权使用科室、医师进行自定义设置</w:t>
            </w:r>
          </w:p>
        </w:tc>
        <w:tc>
          <w:tcPr>
            <w:tcW w:w="733" w:type="dxa"/>
            <w:vMerge w:val="continue"/>
            <w:vAlign w:val="center"/>
          </w:tcPr>
          <w:p w14:paraId="20BE829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14BB5F5">
            <w:pPr>
              <w:jc w:val="center"/>
              <w:rPr>
                <w:rFonts w:hint="eastAsia" w:ascii="宋体" w:hAnsi="宋体" w:eastAsia="宋体" w:cs="宋体"/>
                <w:b w:val="0"/>
                <w:bCs w:val="0"/>
                <w:color w:val="auto"/>
                <w:kern w:val="0"/>
                <w:sz w:val="20"/>
                <w:szCs w:val="20"/>
                <w:highlight w:val="none"/>
                <w:lang w:val="en-US" w:eastAsia="zh-CN" w:bidi="ar-SA"/>
              </w:rPr>
            </w:pPr>
          </w:p>
        </w:tc>
      </w:tr>
      <w:tr w14:paraId="55B78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FE3274E">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389</w:t>
            </w:r>
          </w:p>
        </w:tc>
        <w:tc>
          <w:tcPr>
            <w:tcW w:w="720" w:type="dxa"/>
            <w:vMerge w:val="continue"/>
            <w:vAlign w:val="center"/>
          </w:tcPr>
          <w:p w14:paraId="3D928CFD">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08CED49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药师审方干预</w:t>
            </w:r>
          </w:p>
        </w:tc>
        <w:tc>
          <w:tcPr>
            <w:tcW w:w="2058" w:type="dxa"/>
            <w:vAlign w:val="center"/>
          </w:tcPr>
          <w:p w14:paraId="227992B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药师开始/停止审方</w:t>
            </w:r>
          </w:p>
        </w:tc>
        <w:tc>
          <w:tcPr>
            <w:tcW w:w="4667" w:type="dxa"/>
            <w:vAlign w:val="center"/>
          </w:tcPr>
          <w:p w14:paraId="5B284D1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系统按照模块设置用户“开始审方”、“结束审方”的功能</w:t>
            </w:r>
          </w:p>
        </w:tc>
        <w:tc>
          <w:tcPr>
            <w:tcW w:w="733" w:type="dxa"/>
            <w:vMerge w:val="restart"/>
            <w:vAlign w:val="center"/>
          </w:tcPr>
          <w:p w14:paraId="4EE0E7C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63EBEA1F">
            <w:pPr>
              <w:keepNext w:val="0"/>
              <w:keepLines w:val="0"/>
              <w:widowControl/>
              <w:suppressLineNumbers w:val="0"/>
              <w:jc w:val="center"/>
              <w:textAlignment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9.5</w:t>
            </w:r>
          </w:p>
        </w:tc>
      </w:tr>
      <w:tr w14:paraId="2057A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96C98A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390</w:t>
            </w:r>
          </w:p>
        </w:tc>
        <w:tc>
          <w:tcPr>
            <w:tcW w:w="720" w:type="dxa"/>
            <w:vMerge w:val="continue"/>
            <w:vAlign w:val="center"/>
          </w:tcPr>
          <w:p w14:paraId="12C11D1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8E5201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BF3418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处方审核超时功能</w:t>
            </w:r>
          </w:p>
        </w:tc>
        <w:tc>
          <w:tcPr>
            <w:tcW w:w="4667" w:type="dxa"/>
            <w:vAlign w:val="center"/>
          </w:tcPr>
          <w:p w14:paraId="542D056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用户可设置处方/医嘱审核的超时时间，系统对于超过预设时间未经药师人工审核的处方/医嘱有系统标识通过</w:t>
            </w:r>
          </w:p>
        </w:tc>
        <w:tc>
          <w:tcPr>
            <w:tcW w:w="733" w:type="dxa"/>
            <w:vMerge w:val="continue"/>
            <w:vAlign w:val="center"/>
          </w:tcPr>
          <w:p w14:paraId="19EF48B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DC0F1CA">
            <w:pPr>
              <w:jc w:val="center"/>
              <w:rPr>
                <w:rFonts w:hint="eastAsia" w:ascii="宋体" w:hAnsi="宋体" w:eastAsia="宋体" w:cs="宋体"/>
                <w:b w:val="0"/>
                <w:bCs w:val="0"/>
                <w:color w:val="auto"/>
                <w:kern w:val="0"/>
                <w:sz w:val="20"/>
                <w:szCs w:val="20"/>
                <w:highlight w:val="none"/>
                <w:lang w:val="en-US" w:eastAsia="zh-CN" w:bidi="ar-SA"/>
              </w:rPr>
            </w:pPr>
          </w:p>
        </w:tc>
      </w:tr>
      <w:tr w14:paraId="4AB33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ADFD0F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391</w:t>
            </w:r>
          </w:p>
        </w:tc>
        <w:tc>
          <w:tcPr>
            <w:tcW w:w="720" w:type="dxa"/>
            <w:vMerge w:val="continue"/>
            <w:vAlign w:val="center"/>
          </w:tcPr>
          <w:p w14:paraId="11A30B5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B03D7C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7A3499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处方优先审核功能</w:t>
            </w:r>
          </w:p>
        </w:tc>
        <w:tc>
          <w:tcPr>
            <w:tcW w:w="4667" w:type="dxa"/>
            <w:vAlign w:val="center"/>
          </w:tcPr>
          <w:p w14:paraId="04AD215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支持审方任务的自动分配，系统可以设置处方/医嘱的优先顺序以及按科室审核的功能</w:t>
            </w:r>
          </w:p>
        </w:tc>
        <w:tc>
          <w:tcPr>
            <w:tcW w:w="733" w:type="dxa"/>
            <w:vMerge w:val="continue"/>
            <w:vAlign w:val="center"/>
          </w:tcPr>
          <w:p w14:paraId="001121B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FECE69D">
            <w:pPr>
              <w:jc w:val="center"/>
              <w:rPr>
                <w:rFonts w:hint="eastAsia" w:ascii="宋体" w:hAnsi="宋体" w:eastAsia="宋体" w:cs="宋体"/>
                <w:b w:val="0"/>
                <w:bCs w:val="0"/>
                <w:color w:val="auto"/>
                <w:kern w:val="0"/>
                <w:sz w:val="20"/>
                <w:szCs w:val="20"/>
                <w:highlight w:val="none"/>
                <w:lang w:val="en-US" w:eastAsia="zh-CN" w:bidi="ar-SA"/>
              </w:rPr>
            </w:pPr>
          </w:p>
        </w:tc>
      </w:tr>
      <w:tr w14:paraId="678B7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4EDAB6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392</w:t>
            </w:r>
          </w:p>
        </w:tc>
        <w:tc>
          <w:tcPr>
            <w:tcW w:w="720" w:type="dxa"/>
            <w:vMerge w:val="continue"/>
            <w:vAlign w:val="center"/>
          </w:tcPr>
          <w:p w14:paraId="41FBC08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42A819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6417F9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审核意见模板设置功能</w:t>
            </w:r>
          </w:p>
        </w:tc>
        <w:tc>
          <w:tcPr>
            <w:tcW w:w="4667" w:type="dxa"/>
            <w:vAlign w:val="center"/>
          </w:tcPr>
          <w:p w14:paraId="786F952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用户可设置常用的审核意见模板</w:t>
            </w:r>
          </w:p>
        </w:tc>
        <w:tc>
          <w:tcPr>
            <w:tcW w:w="733" w:type="dxa"/>
            <w:vMerge w:val="continue"/>
            <w:vAlign w:val="center"/>
          </w:tcPr>
          <w:p w14:paraId="7D6A3F5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51EEB0D">
            <w:pPr>
              <w:jc w:val="center"/>
              <w:rPr>
                <w:rFonts w:hint="eastAsia" w:ascii="宋体" w:hAnsi="宋体" w:eastAsia="宋体" w:cs="宋体"/>
                <w:b w:val="0"/>
                <w:bCs w:val="0"/>
                <w:color w:val="auto"/>
                <w:kern w:val="0"/>
                <w:sz w:val="20"/>
                <w:szCs w:val="20"/>
                <w:highlight w:val="none"/>
                <w:lang w:val="en-US" w:eastAsia="zh-CN" w:bidi="ar-SA"/>
              </w:rPr>
            </w:pPr>
          </w:p>
        </w:tc>
      </w:tr>
      <w:tr w14:paraId="16014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25779A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393</w:t>
            </w:r>
          </w:p>
        </w:tc>
        <w:tc>
          <w:tcPr>
            <w:tcW w:w="720" w:type="dxa"/>
            <w:vMerge w:val="continue"/>
            <w:vAlign w:val="center"/>
          </w:tcPr>
          <w:p w14:paraId="28C8F11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E0C35A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FEBD68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门急诊药师审方</w:t>
            </w:r>
          </w:p>
        </w:tc>
        <w:tc>
          <w:tcPr>
            <w:tcW w:w="4667" w:type="dxa"/>
            <w:vAlign w:val="center"/>
          </w:tcPr>
          <w:p w14:paraId="32C84AA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帮助药师在患者缴费前完成门诊处方实时审查。系统先自动审查出问题处方，再由药师人工审查，审查过程（审核通过、打回、提醒）中药师可以与医生实时互动，直到处方通过，交流过程可设置常用询问意见模板</w:t>
            </w:r>
          </w:p>
        </w:tc>
        <w:tc>
          <w:tcPr>
            <w:tcW w:w="733" w:type="dxa"/>
            <w:vMerge w:val="continue"/>
            <w:vAlign w:val="center"/>
          </w:tcPr>
          <w:p w14:paraId="3F55606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EE6485B">
            <w:pPr>
              <w:jc w:val="center"/>
              <w:rPr>
                <w:rFonts w:hint="eastAsia" w:ascii="宋体" w:hAnsi="宋体" w:eastAsia="宋体" w:cs="宋体"/>
                <w:b w:val="0"/>
                <w:bCs w:val="0"/>
                <w:color w:val="auto"/>
                <w:kern w:val="0"/>
                <w:sz w:val="20"/>
                <w:szCs w:val="20"/>
                <w:highlight w:val="none"/>
                <w:lang w:val="en-US" w:eastAsia="zh-CN" w:bidi="ar-SA"/>
              </w:rPr>
            </w:pPr>
          </w:p>
        </w:tc>
      </w:tr>
      <w:tr w14:paraId="311AF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81CC70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394</w:t>
            </w:r>
          </w:p>
        </w:tc>
        <w:tc>
          <w:tcPr>
            <w:tcW w:w="720" w:type="dxa"/>
            <w:vMerge w:val="continue"/>
            <w:vAlign w:val="center"/>
          </w:tcPr>
          <w:p w14:paraId="002FB0D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51A8A9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A4BE09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住院药师审方</w:t>
            </w:r>
          </w:p>
        </w:tc>
        <w:tc>
          <w:tcPr>
            <w:tcW w:w="4667" w:type="dxa"/>
            <w:vAlign w:val="center"/>
          </w:tcPr>
          <w:p w14:paraId="6308397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帮助药师在护士领药前完成住院医嘱审查。系统应能区分临时医嘱和长期医嘱。对于长期医嘱，系统应能区分新开立医嘱和原医嘱。系统先自动审查出问题医嘱，再由药师人工审查，审查过程（审核通过、打回、提醒）中药师可以与医生实时互动，直到医嘱通过，交流过程可设置常用询问意见模板</w:t>
            </w:r>
          </w:p>
        </w:tc>
        <w:tc>
          <w:tcPr>
            <w:tcW w:w="733" w:type="dxa"/>
            <w:vMerge w:val="continue"/>
            <w:vAlign w:val="center"/>
          </w:tcPr>
          <w:p w14:paraId="6C96281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4ED6B89">
            <w:pPr>
              <w:jc w:val="center"/>
              <w:rPr>
                <w:rFonts w:hint="eastAsia" w:ascii="宋体" w:hAnsi="宋体" w:eastAsia="宋体" w:cs="宋体"/>
                <w:b w:val="0"/>
                <w:bCs w:val="0"/>
                <w:color w:val="auto"/>
                <w:kern w:val="0"/>
                <w:sz w:val="20"/>
                <w:szCs w:val="20"/>
                <w:highlight w:val="none"/>
                <w:lang w:val="en-US" w:eastAsia="zh-CN" w:bidi="ar-SA"/>
              </w:rPr>
            </w:pPr>
          </w:p>
        </w:tc>
      </w:tr>
      <w:tr w14:paraId="45A3B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981DB1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395</w:t>
            </w:r>
          </w:p>
        </w:tc>
        <w:tc>
          <w:tcPr>
            <w:tcW w:w="720" w:type="dxa"/>
            <w:vMerge w:val="continue"/>
            <w:vAlign w:val="center"/>
          </w:tcPr>
          <w:p w14:paraId="23761E9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AC7545F">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E476B4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查看全部处方或医嘱</w:t>
            </w:r>
          </w:p>
        </w:tc>
        <w:tc>
          <w:tcPr>
            <w:tcW w:w="4667" w:type="dxa"/>
            <w:vAlign w:val="center"/>
          </w:tcPr>
          <w:p w14:paraId="225F3BD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支持查看进入审方系统的全部处方或医嘱，包括人工审核通过及打回的处方/医嘱以及系统自动通过的处方/医嘱</w:t>
            </w:r>
          </w:p>
        </w:tc>
        <w:tc>
          <w:tcPr>
            <w:tcW w:w="733" w:type="dxa"/>
            <w:vMerge w:val="continue"/>
            <w:vAlign w:val="center"/>
          </w:tcPr>
          <w:p w14:paraId="3666A84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259C503">
            <w:pPr>
              <w:jc w:val="center"/>
              <w:rPr>
                <w:rFonts w:hint="eastAsia" w:ascii="宋体" w:hAnsi="宋体" w:eastAsia="宋体" w:cs="宋体"/>
                <w:b w:val="0"/>
                <w:bCs w:val="0"/>
                <w:color w:val="auto"/>
                <w:kern w:val="0"/>
                <w:sz w:val="20"/>
                <w:szCs w:val="20"/>
                <w:highlight w:val="none"/>
                <w:lang w:val="en-US" w:eastAsia="zh-CN" w:bidi="ar-SA"/>
              </w:rPr>
            </w:pPr>
          </w:p>
        </w:tc>
      </w:tr>
      <w:tr w14:paraId="37556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2693BD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396</w:t>
            </w:r>
          </w:p>
        </w:tc>
        <w:tc>
          <w:tcPr>
            <w:tcW w:w="720" w:type="dxa"/>
            <w:vMerge w:val="continue"/>
            <w:vAlign w:val="center"/>
          </w:tcPr>
          <w:p w14:paraId="764B4E3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163E1B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6F16ED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药师审方工作统计</w:t>
            </w:r>
          </w:p>
        </w:tc>
        <w:tc>
          <w:tcPr>
            <w:tcW w:w="4667" w:type="dxa"/>
            <w:vAlign w:val="center"/>
          </w:tcPr>
          <w:p w14:paraId="5387C52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支持药师审方工作统计功能，包括审方药师审核处方（医嘱）数、审查次数、干预次数、干预成功次数、干预失败次数</w:t>
            </w:r>
          </w:p>
        </w:tc>
        <w:tc>
          <w:tcPr>
            <w:tcW w:w="733" w:type="dxa"/>
            <w:vMerge w:val="continue"/>
            <w:vAlign w:val="center"/>
          </w:tcPr>
          <w:p w14:paraId="5061AE8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2616867">
            <w:pPr>
              <w:jc w:val="center"/>
              <w:rPr>
                <w:rFonts w:hint="eastAsia" w:ascii="宋体" w:hAnsi="宋体" w:eastAsia="宋体" w:cs="宋体"/>
                <w:b w:val="0"/>
                <w:bCs w:val="0"/>
                <w:color w:val="auto"/>
                <w:kern w:val="0"/>
                <w:sz w:val="20"/>
                <w:szCs w:val="20"/>
                <w:highlight w:val="none"/>
                <w:lang w:val="en-US" w:eastAsia="zh-CN" w:bidi="ar-SA"/>
              </w:rPr>
            </w:pPr>
          </w:p>
        </w:tc>
      </w:tr>
      <w:tr w14:paraId="4BB50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C256FF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397</w:t>
            </w:r>
          </w:p>
        </w:tc>
        <w:tc>
          <w:tcPr>
            <w:tcW w:w="720" w:type="dxa"/>
            <w:vMerge w:val="continue"/>
            <w:vAlign w:val="center"/>
          </w:tcPr>
          <w:p w14:paraId="588E42DB">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4D5CEAA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处方点评系统</w:t>
            </w:r>
          </w:p>
        </w:tc>
        <w:tc>
          <w:tcPr>
            <w:tcW w:w="2058" w:type="dxa"/>
            <w:vAlign w:val="center"/>
          </w:tcPr>
          <w:p w14:paraId="284CC27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处方点评预处理</w:t>
            </w:r>
          </w:p>
        </w:tc>
        <w:tc>
          <w:tcPr>
            <w:tcW w:w="4667" w:type="dxa"/>
            <w:vAlign w:val="center"/>
          </w:tcPr>
          <w:p w14:paraId="5366772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可根据多重条件，抽取已审核处方/医嘱供药学管理人员进行回顾性分析评价，并可根据审核结果生成评价报表</w:t>
            </w:r>
          </w:p>
        </w:tc>
        <w:tc>
          <w:tcPr>
            <w:tcW w:w="733" w:type="dxa"/>
            <w:vAlign w:val="center"/>
          </w:tcPr>
          <w:p w14:paraId="3C55462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35A32A6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2</w:t>
            </w:r>
          </w:p>
        </w:tc>
      </w:tr>
      <w:tr w14:paraId="79D5D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2CEF2E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398</w:t>
            </w:r>
          </w:p>
        </w:tc>
        <w:tc>
          <w:tcPr>
            <w:tcW w:w="720" w:type="dxa"/>
            <w:vMerge w:val="continue"/>
            <w:vAlign w:val="center"/>
          </w:tcPr>
          <w:p w14:paraId="05B20CF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E14527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restart"/>
            <w:vAlign w:val="center"/>
          </w:tcPr>
          <w:p w14:paraId="3CE6552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点评不规范处方</w:t>
            </w:r>
          </w:p>
        </w:tc>
        <w:tc>
          <w:tcPr>
            <w:tcW w:w="4667" w:type="dxa"/>
            <w:vAlign w:val="center"/>
          </w:tcPr>
          <w:p w14:paraId="428D87B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全处方的前记、正文、后记内容缺项，书写不规范或者字迹难以辨认的；此项不作判断，由用户人工点评确认。</w:t>
            </w:r>
          </w:p>
        </w:tc>
        <w:tc>
          <w:tcPr>
            <w:tcW w:w="733" w:type="dxa"/>
            <w:vMerge w:val="restart"/>
            <w:vAlign w:val="center"/>
          </w:tcPr>
          <w:p w14:paraId="13748CA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0FFEFD3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9</w:t>
            </w:r>
          </w:p>
        </w:tc>
      </w:tr>
      <w:tr w14:paraId="1116B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0C29B4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399</w:t>
            </w:r>
          </w:p>
        </w:tc>
        <w:tc>
          <w:tcPr>
            <w:tcW w:w="720" w:type="dxa"/>
            <w:vMerge w:val="continue"/>
            <w:vAlign w:val="center"/>
          </w:tcPr>
          <w:p w14:paraId="400E224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C51287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7E5C362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5A1DC5C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医师签名、签章不规范或者与签名、签章的留样不一致的；此项不作判断，由用户人工点评确认。</w:t>
            </w:r>
          </w:p>
        </w:tc>
        <w:tc>
          <w:tcPr>
            <w:tcW w:w="733" w:type="dxa"/>
            <w:vMerge w:val="continue"/>
            <w:vAlign w:val="center"/>
          </w:tcPr>
          <w:p w14:paraId="03D94DF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CB3C659">
            <w:pPr>
              <w:jc w:val="center"/>
              <w:rPr>
                <w:rFonts w:hint="eastAsia" w:ascii="宋体" w:hAnsi="宋体" w:eastAsia="宋体" w:cs="宋体"/>
                <w:b w:val="0"/>
                <w:bCs w:val="0"/>
                <w:color w:val="auto"/>
                <w:kern w:val="0"/>
                <w:sz w:val="20"/>
                <w:szCs w:val="20"/>
                <w:highlight w:val="none"/>
                <w:lang w:val="en-US" w:eastAsia="zh-CN" w:bidi="ar-SA"/>
              </w:rPr>
            </w:pPr>
          </w:p>
        </w:tc>
      </w:tr>
      <w:tr w14:paraId="78E0F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606097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400</w:t>
            </w:r>
          </w:p>
        </w:tc>
        <w:tc>
          <w:tcPr>
            <w:tcW w:w="720" w:type="dxa"/>
            <w:vMerge w:val="continue"/>
            <w:vAlign w:val="center"/>
          </w:tcPr>
          <w:p w14:paraId="713E342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B1B5FC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7283202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1D52AA3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 xml:space="preserve"> 药师未对处方进行适宜性审核的（处方后记的审核、调配、核对、发药栏目无审核调配药师及核对发药药师签名，或者单人值班调剂未执行双签名规定）；</w:t>
            </w:r>
            <w:r>
              <w:rPr>
                <w:rFonts w:hint="eastAsia" w:ascii="宋体" w:hAnsi="宋体" w:eastAsia="宋体" w:cs="宋体"/>
                <w:b w:val="0"/>
                <w:bCs w:val="0"/>
                <w:color w:val="auto"/>
                <w:kern w:val="0"/>
                <w:sz w:val="20"/>
                <w:szCs w:val="20"/>
                <w:highlight w:val="none"/>
                <w:lang w:val="en-US" w:eastAsia="zh-CN"/>
              </w:rPr>
              <w:br w:type="textWrapping"/>
            </w:r>
            <w:r>
              <w:rPr>
                <w:rFonts w:hint="eastAsia" w:ascii="宋体" w:hAnsi="宋体" w:eastAsia="宋体" w:cs="宋体"/>
                <w:b w:val="0"/>
                <w:bCs w:val="0"/>
                <w:color w:val="auto"/>
                <w:kern w:val="0"/>
                <w:sz w:val="20"/>
                <w:szCs w:val="20"/>
                <w:highlight w:val="none"/>
                <w:lang w:val="en-US" w:eastAsia="zh-CN"/>
              </w:rPr>
              <w:t>处方中审核药师、调配药师、核对药师、发药药师有一字段内容为空，系统判断为问题。</w:t>
            </w:r>
          </w:p>
        </w:tc>
        <w:tc>
          <w:tcPr>
            <w:tcW w:w="733" w:type="dxa"/>
            <w:vMerge w:val="continue"/>
            <w:vAlign w:val="center"/>
          </w:tcPr>
          <w:p w14:paraId="5F29EB6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903B7E4">
            <w:pPr>
              <w:jc w:val="center"/>
              <w:rPr>
                <w:rFonts w:hint="eastAsia" w:ascii="宋体" w:hAnsi="宋体" w:eastAsia="宋体" w:cs="宋体"/>
                <w:b w:val="0"/>
                <w:bCs w:val="0"/>
                <w:color w:val="auto"/>
                <w:kern w:val="0"/>
                <w:sz w:val="20"/>
                <w:szCs w:val="20"/>
                <w:highlight w:val="none"/>
                <w:lang w:val="en-US" w:eastAsia="zh-CN" w:bidi="ar-SA"/>
              </w:rPr>
            </w:pPr>
          </w:p>
        </w:tc>
      </w:tr>
      <w:tr w14:paraId="19E3E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820941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401</w:t>
            </w:r>
          </w:p>
        </w:tc>
        <w:tc>
          <w:tcPr>
            <w:tcW w:w="720" w:type="dxa"/>
            <w:vMerge w:val="continue"/>
            <w:vAlign w:val="center"/>
          </w:tcPr>
          <w:p w14:paraId="5023093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45951E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159FD51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3EC3619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全新生儿、婴幼儿处方未写明日、月龄的；此项不作判断，由用户人工点评确认。</w:t>
            </w:r>
          </w:p>
        </w:tc>
        <w:tc>
          <w:tcPr>
            <w:tcW w:w="733" w:type="dxa"/>
            <w:vMerge w:val="continue"/>
            <w:vAlign w:val="center"/>
          </w:tcPr>
          <w:p w14:paraId="7A272C8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D958E34">
            <w:pPr>
              <w:jc w:val="center"/>
              <w:rPr>
                <w:rFonts w:hint="eastAsia" w:ascii="宋体" w:hAnsi="宋体" w:eastAsia="宋体" w:cs="宋体"/>
                <w:b w:val="0"/>
                <w:bCs w:val="0"/>
                <w:color w:val="auto"/>
                <w:kern w:val="0"/>
                <w:sz w:val="20"/>
                <w:szCs w:val="20"/>
                <w:highlight w:val="none"/>
                <w:lang w:val="en-US" w:eastAsia="zh-CN" w:bidi="ar-SA"/>
              </w:rPr>
            </w:pPr>
          </w:p>
        </w:tc>
      </w:tr>
      <w:tr w14:paraId="2F47C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22D29E1">
            <w:pPr>
              <w:keepNext w:val="0"/>
              <w:keepLines w:val="0"/>
              <w:widowControl/>
              <w:suppressLineNumbers w:val="0"/>
              <w:jc w:val="right"/>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402</w:t>
            </w:r>
          </w:p>
        </w:tc>
        <w:tc>
          <w:tcPr>
            <w:tcW w:w="720" w:type="dxa"/>
            <w:vMerge w:val="continue"/>
            <w:vAlign w:val="center"/>
          </w:tcPr>
          <w:p w14:paraId="440D7A4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C16B84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71311F6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4A68BFF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西药、中成药与中药饮片未分别开具处方的； 处方中同时存在西药、中成药、草药时，系统判断为问题。</w:t>
            </w:r>
          </w:p>
        </w:tc>
        <w:tc>
          <w:tcPr>
            <w:tcW w:w="733" w:type="dxa"/>
            <w:vMerge w:val="continue"/>
            <w:vAlign w:val="center"/>
          </w:tcPr>
          <w:p w14:paraId="18E42A4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60AD5B0">
            <w:pPr>
              <w:jc w:val="center"/>
              <w:rPr>
                <w:rFonts w:hint="eastAsia" w:ascii="宋体" w:hAnsi="宋体" w:eastAsia="宋体" w:cs="宋体"/>
                <w:b w:val="0"/>
                <w:bCs w:val="0"/>
                <w:color w:val="auto"/>
                <w:kern w:val="0"/>
                <w:sz w:val="20"/>
                <w:szCs w:val="20"/>
                <w:highlight w:val="none"/>
                <w:lang w:val="en-US" w:eastAsia="zh-CN" w:bidi="ar-SA"/>
              </w:rPr>
            </w:pPr>
          </w:p>
        </w:tc>
      </w:tr>
      <w:tr w14:paraId="2BAE6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CCA8A18">
            <w:pPr>
              <w:keepNext w:val="0"/>
              <w:keepLines w:val="0"/>
              <w:widowControl/>
              <w:suppressLineNumbers w:val="0"/>
              <w:jc w:val="right"/>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403</w:t>
            </w:r>
          </w:p>
        </w:tc>
        <w:tc>
          <w:tcPr>
            <w:tcW w:w="720" w:type="dxa"/>
            <w:vMerge w:val="continue"/>
            <w:vAlign w:val="center"/>
          </w:tcPr>
          <w:p w14:paraId="5058C6C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542BE4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5E3BDA4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69BB0CB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未使用药品规范名称开具处方的； 此项不作判断，由用户人工点评确认。</w:t>
            </w:r>
          </w:p>
        </w:tc>
        <w:tc>
          <w:tcPr>
            <w:tcW w:w="733" w:type="dxa"/>
            <w:vMerge w:val="continue"/>
            <w:vAlign w:val="center"/>
          </w:tcPr>
          <w:p w14:paraId="0CEFAE0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AF604BE">
            <w:pPr>
              <w:jc w:val="center"/>
              <w:rPr>
                <w:rFonts w:hint="eastAsia" w:ascii="宋体" w:hAnsi="宋体" w:eastAsia="宋体" w:cs="宋体"/>
                <w:b w:val="0"/>
                <w:bCs w:val="0"/>
                <w:color w:val="auto"/>
                <w:kern w:val="0"/>
                <w:sz w:val="20"/>
                <w:szCs w:val="20"/>
                <w:highlight w:val="none"/>
                <w:lang w:val="en-US" w:eastAsia="zh-CN" w:bidi="ar-SA"/>
              </w:rPr>
            </w:pPr>
          </w:p>
        </w:tc>
      </w:tr>
      <w:tr w14:paraId="470BB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BDE302C">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404</w:t>
            </w:r>
          </w:p>
        </w:tc>
        <w:tc>
          <w:tcPr>
            <w:tcW w:w="720" w:type="dxa"/>
            <w:vMerge w:val="continue"/>
            <w:vAlign w:val="center"/>
          </w:tcPr>
          <w:p w14:paraId="3AE7493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DE1F71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37E7C4B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76438B8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药品的剂量、规格、数量、单位等书写不规范或不清楚的； 处方的药品名称、规格、剂量、剂量单位、用药天数有一字段内容为空，系统判断为问题。</w:t>
            </w:r>
          </w:p>
        </w:tc>
        <w:tc>
          <w:tcPr>
            <w:tcW w:w="733" w:type="dxa"/>
            <w:vMerge w:val="continue"/>
            <w:vAlign w:val="center"/>
          </w:tcPr>
          <w:p w14:paraId="6741966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E16C3C3">
            <w:pPr>
              <w:jc w:val="center"/>
              <w:rPr>
                <w:rFonts w:hint="eastAsia" w:ascii="宋体" w:hAnsi="宋体" w:eastAsia="宋体" w:cs="宋体"/>
                <w:b w:val="0"/>
                <w:bCs w:val="0"/>
                <w:color w:val="auto"/>
                <w:kern w:val="0"/>
                <w:sz w:val="20"/>
                <w:szCs w:val="20"/>
                <w:highlight w:val="none"/>
                <w:lang w:val="en-US" w:eastAsia="zh-CN" w:bidi="ar-SA"/>
              </w:rPr>
            </w:pPr>
          </w:p>
        </w:tc>
      </w:tr>
      <w:tr w14:paraId="60E21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82689D6">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405</w:t>
            </w:r>
          </w:p>
        </w:tc>
        <w:tc>
          <w:tcPr>
            <w:tcW w:w="720" w:type="dxa"/>
            <w:vMerge w:val="continue"/>
            <w:vAlign w:val="center"/>
          </w:tcPr>
          <w:p w14:paraId="5EB13F2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F435B7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37F7218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29105F4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用法、用量使用“遵医嘱”、“自用”等含糊不清字句的； 药品剂量、给药途径、频次、用药天数中有一字段内容含有“遵医嘱”、“自用”等字句时，系统判断为问题。</w:t>
            </w:r>
          </w:p>
        </w:tc>
        <w:tc>
          <w:tcPr>
            <w:tcW w:w="733" w:type="dxa"/>
            <w:vMerge w:val="continue"/>
            <w:vAlign w:val="center"/>
          </w:tcPr>
          <w:p w14:paraId="5C39580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BC9989E">
            <w:pPr>
              <w:jc w:val="center"/>
              <w:rPr>
                <w:rFonts w:hint="eastAsia" w:ascii="宋体" w:hAnsi="宋体" w:eastAsia="宋体" w:cs="宋体"/>
                <w:b w:val="0"/>
                <w:bCs w:val="0"/>
                <w:color w:val="auto"/>
                <w:kern w:val="0"/>
                <w:sz w:val="20"/>
                <w:szCs w:val="20"/>
                <w:highlight w:val="none"/>
                <w:lang w:val="en-US" w:eastAsia="zh-CN" w:bidi="ar-SA"/>
              </w:rPr>
            </w:pPr>
          </w:p>
        </w:tc>
      </w:tr>
      <w:tr w14:paraId="67FBF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74EABFD">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406</w:t>
            </w:r>
          </w:p>
        </w:tc>
        <w:tc>
          <w:tcPr>
            <w:tcW w:w="720" w:type="dxa"/>
            <w:vMerge w:val="continue"/>
            <w:vAlign w:val="center"/>
          </w:tcPr>
          <w:p w14:paraId="1E62B0A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2C9CB8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3E73EB2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10F4088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处方修改未签名并注明修改日期，或药品超剂量使用未注明原因和再次签名的；此项不作判断，由用户人工点评确认。</w:t>
            </w:r>
          </w:p>
        </w:tc>
        <w:tc>
          <w:tcPr>
            <w:tcW w:w="733" w:type="dxa"/>
            <w:vMerge w:val="continue"/>
            <w:vAlign w:val="center"/>
          </w:tcPr>
          <w:p w14:paraId="4B377F6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67D8044">
            <w:pPr>
              <w:jc w:val="center"/>
              <w:rPr>
                <w:rFonts w:hint="eastAsia" w:ascii="宋体" w:hAnsi="宋体" w:eastAsia="宋体" w:cs="宋体"/>
                <w:b w:val="0"/>
                <w:bCs w:val="0"/>
                <w:color w:val="auto"/>
                <w:kern w:val="0"/>
                <w:sz w:val="20"/>
                <w:szCs w:val="20"/>
                <w:highlight w:val="none"/>
                <w:lang w:val="en-US" w:eastAsia="zh-CN" w:bidi="ar-SA"/>
              </w:rPr>
            </w:pPr>
          </w:p>
        </w:tc>
      </w:tr>
      <w:tr w14:paraId="3F995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9EC6D26">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407</w:t>
            </w:r>
          </w:p>
        </w:tc>
        <w:tc>
          <w:tcPr>
            <w:tcW w:w="720" w:type="dxa"/>
            <w:vMerge w:val="continue"/>
            <w:vAlign w:val="center"/>
          </w:tcPr>
          <w:p w14:paraId="0EE2142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7525FB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2E26DEA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613C571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开具处方未写临床诊断或临床诊断书写不全的； 处方中的诊断字段内容为空，系统判断为问题。</w:t>
            </w:r>
          </w:p>
        </w:tc>
        <w:tc>
          <w:tcPr>
            <w:tcW w:w="733" w:type="dxa"/>
            <w:vMerge w:val="continue"/>
            <w:vAlign w:val="center"/>
          </w:tcPr>
          <w:p w14:paraId="4D651BB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A02C576">
            <w:pPr>
              <w:jc w:val="center"/>
              <w:rPr>
                <w:rFonts w:hint="eastAsia" w:ascii="宋体" w:hAnsi="宋体" w:eastAsia="宋体" w:cs="宋体"/>
                <w:b w:val="0"/>
                <w:bCs w:val="0"/>
                <w:color w:val="auto"/>
                <w:kern w:val="0"/>
                <w:sz w:val="20"/>
                <w:szCs w:val="20"/>
                <w:highlight w:val="none"/>
                <w:lang w:val="en-US" w:eastAsia="zh-CN" w:bidi="ar-SA"/>
              </w:rPr>
            </w:pPr>
          </w:p>
        </w:tc>
      </w:tr>
      <w:tr w14:paraId="18463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C687073">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408</w:t>
            </w:r>
          </w:p>
        </w:tc>
        <w:tc>
          <w:tcPr>
            <w:tcW w:w="720" w:type="dxa"/>
            <w:vMerge w:val="continue"/>
            <w:vAlign w:val="center"/>
          </w:tcPr>
          <w:p w14:paraId="0E7FD7B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A0E44B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59CF1DD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080EB7A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单张门急诊处方超过五种药品的；药品品种按照用户提供的药品通用名进行统计，单张处方中药品品种数＞5，系统判断为问题。</w:t>
            </w:r>
          </w:p>
        </w:tc>
        <w:tc>
          <w:tcPr>
            <w:tcW w:w="733" w:type="dxa"/>
            <w:vMerge w:val="continue"/>
            <w:vAlign w:val="center"/>
          </w:tcPr>
          <w:p w14:paraId="049DE6A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3FC53C3">
            <w:pPr>
              <w:jc w:val="center"/>
              <w:rPr>
                <w:rFonts w:hint="eastAsia" w:ascii="宋体" w:hAnsi="宋体" w:eastAsia="宋体" w:cs="宋体"/>
                <w:b w:val="0"/>
                <w:bCs w:val="0"/>
                <w:color w:val="auto"/>
                <w:kern w:val="0"/>
                <w:sz w:val="20"/>
                <w:szCs w:val="20"/>
                <w:highlight w:val="none"/>
                <w:lang w:val="en-US" w:eastAsia="zh-CN" w:bidi="ar-SA"/>
              </w:rPr>
            </w:pPr>
          </w:p>
        </w:tc>
      </w:tr>
      <w:tr w14:paraId="72FDB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F45D4AE">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409</w:t>
            </w:r>
          </w:p>
        </w:tc>
        <w:tc>
          <w:tcPr>
            <w:tcW w:w="720" w:type="dxa"/>
            <w:vMerge w:val="continue"/>
            <w:vAlign w:val="center"/>
          </w:tcPr>
          <w:p w14:paraId="7E13E19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0F3740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65B5395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2087952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无特殊情况下，门诊处方超过7日用量，急诊处方超过3日用量，慢性病、老年病或特殊情况下需要适当延长处方用量未注明理由 门诊、急诊处方用药天数超过规定天数且未注明理由时，即用药理由字段内容为空，系统判断为问题</w:t>
            </w:r>
          </w:p>
        </w:tc>
        <w:tc>
          <w:tcPr>
            <w:tcW w:w="733" w:type="dxa"/>
            <w:vMerge w:val="continue"/>
            <w:vAlign w:val="center"/>
          </w:tcPr>
          <w:p w14:paraId="7432D7B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84D8358">
            <w:pPr>
              <w:jc w:val="center"/>
              <w:rPr>
                <w:rFonts w:hint="eastAsia" w:ascii="宋体" w:hAnsi="宋体" w:eastAsia="宋体" w:cs="宋体"/>
                <w:b w:val="0"/>
                <w:bCs w:val="0"/>
                <w:color w:val="auto"/>
                <w:kern w:val="0"/>
                <w:sz w:val="20"/>
                <w:szCs w:val="20"/>
                <w:highlight w:val="none"/>
                <w:lang w:val="en-US" w:eastAsia="zh-CN" w:bidi="ar-SA"/>
              </w:rPr>
            </w:pPr>
          </w:p>
        </w:tc>
      </w:tr>
      <w:tr w14:paraId="6478C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A23A7D5">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410</w:t>
            </w:r>
          </w:p>
        </w:tc>
        <w:tc>
          <w:tcPr>
            <w:tcW w:w="720" w:type="dxa"/>
            <w:vMerge w:val="continue"/>
            <w:vAlign w:val="center"/>
          </w:tcPr>
          <w:p w14:paraId="721F248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7BEB53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5C90D69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020A15E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开具麻醉药品、精神药品、医疗用毒性药品、放射性药品等特殊管理药品处方未执行国家有关规定</w:t>
            </w:r>
          </w:p>
        </w:tc>
        <w:tc>
          <w:tcPr>
            <w:tcW w:w="733" w:type="dxa"/>
            <w:vMerge w:val="continue"/>
            <w:vAlign w:val="center"/>
          </w:tcPr>
          <w:p w14:paraId="7F1EB36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836161D">
            <w:pPr>
              <w:jc w:val="center"/>
              <w:rPr>
                <w:rFonts w:hint="eastAsia" w:ascii="宋体" w:hAnsi="宋体" w:eastAsia="宋体" w:cs="宋体"/>
                <w:b w:val="0"/>
                <w:bCs w:val="0"/>
                <w:color w:val="auto"/>
                <w:kern w:val="0"/>
                <w:sz w:val="20"/>
                <w:szCs w:val="20"/>
                <w:highlight w:val="none"/>
                <w:lang w:val="en-US" w:eastAsia="zh-CN" w:bidi="ar-SA"/>
              </w:rPr>
            </w:pPr>
          </w:p>
        </w:tc>
      </w:tr>
      <w:tr w14:paraId="2B5A0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B1122AB">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411</w:t>
            </w:r>
          </w:p>
        </w:tc>
        <w:tc>
          <w:tcPr>
            <w:tcW w:w="720" w:type="dxa"/>
            <w:vMerge w:val="continue"/>
            <w:vAlign w:val="center"/>
          </w:tcPr>
          <w:p w14:paraId="149D352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260F4F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2F3947D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273EE6A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医师未按照抗菌药物临床应用管理规定开具抗菌药物处方根据医院设定的医生抗菌药物处方权限进行判断，有越级使用现象，系统判断为问题。</w:t>
            </w:r>
          </w:p>
        </w:tc>
        <w:tc>
          <w:tcPr>
            <w:tcW w:w="733" w:type="dxa"/>
            <w:vMerge w:val="continue"/>
            <w:vAlign w:val="center"/>
          </w:tcPr>
          <w:p w14:paraId="603CEDD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D8E2ADC">
            <w:pPr>
              <w:jc w:val="center"/>
              <w:rPr>
                <w:rFonts w:hint="eastAsia" w:ascii="宋体" w:hAnsi="宋体" w:eastAsia="宋体" w:cs="宋体"/>
                <w:b w:val="0"/>
                <w:bCs w:val="0"/>
                <w:color w:val="auto"/>
                <w:kern w:val="0"/>
                <w:sz w:val="20"/>
                <w:szCs w:val="20"/>
                <w:highlight w:val="none"/>
                <w:lang w:val="en-US" w:eastAsia="zh-CN" w:bidi="ar-SA"/>
              </w:rPr>
            </w:pPr>
          </w:p>
        </w:tc>
      </w:tr>
      <w:tr w14:paraId="6C622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49778AA">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412</w:t>
            </w:r>
          </w:p>
        </w:tc>
        <w:tc>
          <w:tcPr>
            <w:tcW w:w="720" w:type="dxa"/>
            <w:vMerge w:val="continue"/>
            <w:vAlign w:val="center"/>
          </w:tcPr>
          <w:p w14:paraId="1347E3D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11240F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4612162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7FD7CFF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中药饮片处方药物未按照“君、臣、佐、使”的顺序排列，或未按要求标注药物调剂、煎煮等特殊要求的。此项不作判断，由用户人工点评确认。</w:t>
            </w:r>
          </w:p>
        </w:tc>
        <w:tc>
          <w:tcPr>
            <w:tcW w:w="733" w:type="dxa"/>
            <w:vMerge w:val="continue"/>
            <w:vAlign w:val="center"/>
          </w:tcPr>
          <w:p w14:paraId="2535249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4BA4BFB">
            <w:pPr>
              <w:jc w:val="center"/>
              <w:rPr>
                <w:rFonts w:hint="eastAsia" w:ascii="宋体" w:hAnsi="宋体" w:eastAsia="宋体" w:cs="宋体"/>
                <w:b w:val="0"/>
                <w:bCs w:val="0"/>
                <w:color w:val="auto"/>
                <w:kern w:val="0"/>
                <w:sz w:val="20"/>
                <w:szCs w:val="20"/>
                <w:highlight w:val="none"/>
                <w:lang w:val="en-US" w:eastAsia="zh-CN" w:bidi="ar-SA"/>
              </w:rPr>
            </w:pPr>
          </w:p>
        </w:tc>
      </w:tr>
      <w:tr w14:paraId="6BD8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A3B2769">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413</w:t>
            </w:r>
          </w:p>
        </w:tc>
        <w:tc>
          <w:tcPr>
            <w:tcW w:w="720" w:type="dxa"/>
            <w:vMerge w:val="continue"/>
            <w:vAlign w:val="center"/>
          </w:tcPr>
          <w:p w14:paraId="06DAE32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DE5070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restart"/>
            <w:vAlign w:val="center"/>
          </w:tcPr>
          <w:p w14:paraId="7E005D9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点评用药不适宜处方</w:t>
            </w:r>
          </w:p>
        </w:tc>
        <w:tc>
          <w:tcPr>
            <w:tcW w:w="4667" w:type="dxa"/>
            <w:vAlign w:val="center"/>
          </w:tcPr>
          <w:p w14:paraId="1F51064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适应证不适宜 药品与诊断不相符，系统判断为问题。</w:t>
            </w:r>
          </w:p>
        </w:tc>
        <w:tc>
          <w:tcPr>
            <w:tcW w:w="733" w:type="dxa"/>
            <w:vMerge w:val="restart"/>
            <w:vAlign w:val="center"/>
          </w:tcPr>
          <w:p w14:paraId="1385C57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41619CB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5</w:t>
            </w:r>
          </w:p>
        </w:tc>
      </w:tr>
      <w:tr w14:paraId="7A5DA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9951DDB">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414</w:t>
            </w:r>
          </w:p>
        </w:tc>
        <w:tc>
          <w:tcPr>
            <w:tcW w:w="720" w:type="dxa"/>
            <w:vMerge w:val="continue"/>
            <w:vAlign w:val="center"/>
          </w:tcPr>
          <w:p w14:paraId="5F38379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6758F8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65842E2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5CDAC9C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遴选的药品不适宜 诊断与药品存在禁忌症；特殊人群禁慎用（孕妇禁/慎用问题；哺乳期妇女禁/慎用问题；肝功能不用禁/慎用问题；肾功能不全禁/慎用问题）；年龄与性别禁慎用、过敏禁/慎用问题，系统判断为问题</w:t>
            </w:r>
          </w:p>
        </w:tc>
        <w:tc>
          <w:tcPr>
            <w:tcW w:w="733" w:type="dxa"/>
            <w:vMerge w:val="continue"/>
            <w:vAlign w:val="center"/>
          </w:tcPr>
          <w:p w14:paraId="35FFA77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578DE05">
            <w:pPr>
              <w:jc w:val="center"/>
              <w:rPr>
                <w:rFonts w:hint="eastAsia" w:ascii="宋体" w:hAnsi="宋体" w:eastAsia="宋体" w:cs="宋体"/>
                <w:b w:val="0"/>
                <w:bCs w:val="0"/>
                <w:color w:val="auto"/>
                <w:kern w:val="0"/>
                <w:sz w:val="20"/>
                <w:szCs w:val="20"/>
                <w:highlight w:val="none"/>
                <w:lang w:val="en-US" w:eastAsia="zh-CN" w:bidi="ar-SA"/>
              </w:rPr>
            </w:pPr>
          </w:p>
        </w:tc>
      </w:tr>
      <w:tr w14:paraId="2C7D0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DFE6073">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415</w:t>
            </w:r>
          </w:p>
        </w:tc>
        <w:tc>
          <w:tcPr>
            <w:tcW w:w="720" w:type="dxa"/>
            <w:vMerge w:val="continue"/>
            <w:vAlign w:val="center"/>
          </w:tcPr>
          <w:p w14:paraId="238A49A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A9CD78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6657D64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255F1EB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药品剂型或给药途径不适宜 药品给药途径错误，或超过说明书规定范围的，系统判断为问题</w:t>
            </w:r>
          </w:p>
        </w:tc>
        <w:tc>
          <w:tcPr>
            <w:tcW w:w="733" w:type="dxa"/>
            <w:vMerge w:val="continue"/>
            <w:vAlign w:val="center"/>
          </w:tcPr>
          <w:p w14:paraId="2F12188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7379EE4">
            <w:pPr>
              <w:jc w:val="center"/>
              <w:rPr>
                <w:rFonts w:hint="eastAsia" w:ascii="宋体" w:hAnsi="宋体" w:eastAsia="宋体" w:cs="宋体"/>
                <w:b w:val="0"/>
                <w:bCs w:val="0"/>
                <w:color w:val="auto"/>
                <w:kern w:val="0"/>
                <w:sz w:val="20"/>
                <w:szCs w:val="20"/>
                <w:highlight w:val="none"/>
                <w:lang w:val="en-US" w:eastAsia="zh-CN" w:bidi="ar-SA"/>
              </w:rPr>
            </w:pPr>
          </w:p>
        </w:tc>
      </w:tr>
      <w:tr w14:paraId="2222A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7EF2F0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416</w:t>
            </w:r>
          </w:p>
        </w:tc>
        <w:tc>
          <w:tcPr>
            <w:tcW w:w="720" w:type="dxa"/>
            <w:vMerge w:val="continue"/>
            <w:vAlign w:val="center"/>
          </w:tcPr>
          <w:p w14:paraId="0365753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BF8353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22E7DDA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56641C3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无正当理由不首选国家基本药物用法、用量不适宜联合用药不适宜重复给药有配伍禁忌或者不良相互作用其它用药不适宜情况</w:t>
            </w:r>
          </w:p>
        </w:tc>
        <w:tc>
          <w:tcPr>
            <w:tcW w:w="733" w:type="dxa"/>
            <w:vMerge w:val="continue"/>
            <w:vAlign w:val="center"/>
          </w:tcPr>
          <w:p w14:paraId="15543A3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1203BAB">
            <w:pPr>
              <w:jc w:val="center"/>
              <w:rPr>
                <w:rFonts w:hint="eastAsia" w:ascii="宋体" w:hAnsi="宋体" w:eastAsia="宋体" w:cs="宋体"/>
                <w:b w:val="0"/>
                <w:bCs w:val="0"/>
                <w:color w:val="auto"/>
                <w:kern w:val="0"/>
                <w:sz w:val="20"/>
                <w:szCs w:val="20"/>
                <w:highlight w:val="none"/>
                <w:lang w:val="en-US" w:eastAsia="zh-CN" w:bidi="ar-SA"/>
              </w:rPr>
            </w:pPr>
          </w:p>
        </w:tc>
      </w:tr>
      <w:tr w14:paraId="6BE25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2D029B1">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417</w:t>
            </w:r>
          </w:p>
        </w:tc>
        <w:tc>
          <w:tcPr>
            <w:tcW w:w="720" w:type="dxa"/>
            <w:vMerge w:val="continue"/>
            <w:vAlign w:val="center"/>
          </w:tcPr>
          <w:p w14:paraId="4A924E1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CBEEAD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3706D87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4AF1E6C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用法、用量不适宜超极量或常规量，系统判断为问题</w:t>
            </w:r>
          </w:p>
        </w:tc>
        <w:tc>
          <w:tcPr>
            <w:tcW w:w="733" w:type="dxa"/>
            <w:vMerge w:val="continue"/>
            <w:vAlign w:val="center"/>
          </w:tcPr>
          <w:p w14:paraId="0391BEB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A045976">
            <w:pPr>
              <w:jc w:val="center"/>
              <w:rPr>
                <w:rFonts w:hint="eastAsia" w:ascii="宋体" w:hAnsi="宋体" w:eastAsia="宋体" w:cs="宋体"/>
                <w:b w:val="0"/>
                <w:bCs w:val="0"/>
                <w:color w:val="auto"/>
                <w:kern w:val="0"/>
                <w:sz w:val="20"/>
                <w:szCs w:val="20"/>
                <w:highlight w:val="none"/>
                <w:lang w:val="en-US" w:eastAsia="zh-CN" w:bidi="ar-SA"/>
              </w:rPr>
            </w:pPr>
          </w:p>
        </w:tc>
      </w:tr>
      <w:tr w14:paraId="1787A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0B5C036">
            <w:pPr>
              <w:keepNext w:val="0"/>
              <w:keepLines w:val="0"/>
              <w:widowControl/>
              <w:suppressLineNumbers w:val="0"/>
              <w:jc w:val="right"/>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418</w:t>
            </w:r>
          </w:p>
        </w:tc>
        <w:tc>
          <w:tcPr>
            <w:tcW w:w="720" w:type="dxa"/>
            <w:vMerge w:val="continue"/>
            <w:vAlign w:val="center"/>
          </w:tcPr>
          <w:p w14:paraId="2EE2A5F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0B769E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032347C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126CA75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联合用药不适宜系统不作判断，由用户在点评时确认</w:t>
            </w:r>
          </w:p>
        </w:tc>
        <w:tc>
          <w:tcPr>
            <w:tcW w:w="733" w:type="dxa"/>
            <w:vMerge w:val="continue"/>
            <w:vAlign w:val="center"/>
          </w:tcPr>
          <w:p w14:paraId="258EC28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C182274">
            <w:pPr>
              <w:jc w:val="center"/>
              <w:rPr>
                <w:rFonts w:hint="eastAsia" w:ascii="宋体" w:hAnsi="宋体" w:eastAsia="宋体" w:cs="宋体"/>
                <w:b w:val="0"/>
                <w:bCs w:val="0"/>
                <w:color w:val="auto"/>
                <w:kern w:val="0"/>
                <w:sz w:val="20"/>
                <w:szCs w:val="20"/>
                <w:highlight w:val="none"/>
                <w:lang w:val="en-US" w:eastAsia="zh-CN" w:bidi="ar-SA"/>
              </w:rPr>
            </w:pPr>
          </w:p>
        </w:tc>
      </w:tr>
      <w:tr w14:paraId="239B4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0595311">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419</w:t>
            </w:r>
          </w:p>
        </w:tc>
        <w:tc>
          <w:tcPr>
            <w:tcW w:w="720" w:type="dxa"/>
            <w:vMerge w:val="continue"/>
            <w:vAlign w:val="center"/>
          </w:tcPr>
          <w:p w14:paraId="15149F8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CEE9E6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1EAEF62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0E9B618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重复给药，处方中存在同种药品，系统判断为问题</w:t>
            </w:r>
          </w:p>
        </w:tc>
        <w:tc>
          <w:tcPr>
            <w:tcW w:w="733" w:type="dxa"/>
            <w:vMerge w:val="continue"/>
            <w:vAlign w:val="center"/>
          </w:tcPr>
          <w:p w14:paraId="5FBA601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7D2D597">
            <w:pPr>
              <w:jc w:val="center"/>
              <w:rPr>
                <w:rFonts w:hint="eastAsia" w:ascii="宋体" w:hAnsi="宋体" w:eastAsia="宋体" w:cs="宋体"/>
                <w:b w:val="0"/>
                <w:bCs w:val="0"/>
                <w:color w:val="auto"/>
                <w:kern w:val="0"/>
                <w:sz w:val="20"/>
                <w:szCs w:val="20"/>
                <w:highlight w:val="none"/>
                <w:lang w:val="en-US" w:eastAsia="zh-CN" w:bidi="ar-SA"/>
              </w:rPr>
            </w:pPr>
          </w:p>
        </w:tc>
      </w:tr>
      <w:tr w14:paraId="19196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FE810B7">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420</w:t>
            </w:r>
          </w:p>
        </w:tc>
        <w:tc>
          <w:tcPr>
            <w:tcW w:w="720" w:type="dxa"/>
            <w:vMerge w:val="continue"/>
            <w:vAlign w:val="center"/>
          </w:tcPr>
          <w:p w14:paraId="0111ABD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4123A2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1F90C0A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7C0C350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有配伍禁忌或者不良相互作用存在配伍禁忌或相互作用的，系统判断为问题</w:t>
            </w:r>
          </w:p>
        </w:tc>
        <w:tc>
          <w:tcPr>
            <w:tcW w:w="733" w:type="dxa"/>
            <w:vMerge w:val="continue"/>
            <w:vAlign w:val="center"/>
          </w:tcPr>
          <w:p w14:paraId="1C2404B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98CA971">
            <w:pPr>
              <w:jc w:val="center"/>
              <w:rPr>
                <w:rFonts w:hint="eastAsia" w:ascii="宋体" w:hAnsi="宋体" w:eastAsia="宋体" w:cs="宋体"/>
                <w:b w:val="0"/>
                <w:bCs w:val="0"/>
                <w:color w:val="auto"/>
                <w:kern w:val="0"/>
                <w:sz w:val="20"/>
                <w:szCs w:val="20"/>
                <w:highlight w:val="none"/>
                <w:lang w:val="en-US" w:eastAsia="zh-CN" w:bidi="ar-SA"/>
              </w:rPr>
            </w:pPr>
          </w:p>
        </w:tc>
      </w:tr>
      <w:tr w14:paraId="65B79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2EAA908">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421</w:t>
            </w:r>
          </w:p>
        </w:tc>
        <w:tc>
          <w:tcPr>
            <w:tcW w:w="720" w:type="dxa"/>
            <w:vMerge w:val="continue"/>
            <w:vAlign w:val="center"/>
          </w:tcPr>
          <w:p w14:paraId="5FBCF3F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3F7510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4D1B710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5D45349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其它用药不适宜情况系统不作判断，由用户在点评时确认。</w:t>
            </w:r>
          </w:p>
        </w:tc>
        <w:tc>
          <w:tcPr>
            <w:tcW w:w="733" w:type="dxa"/>
            <w:vMerge w:val="continue"/>
            <w:vAlign w:val="center"/>
          </w:tcPr>
          <w:p w14:paraId="0709A03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1F039F0">
            <w:pPr>
              <w:jc w:val="center"/>
              <w:rPr>
                <w:rFonts w:hint="eastAsia" w:ascii="宋体" w:hAnsi="宋体" w:eastAsia="宋体" w:cs="宋体"/>
                <w:b w:val="0"/>
                <w:bCs w:val="0"/>
                <w:color w:val="auto"/>
                <w:kern w:val="0"/>
                <w:sz w:val="20"/>
                <w:szCs w:val="20"/>
                <w:highlight w:val="none"/>
                <w:lang w:val="en-US" w:eastAsia="zh-CN" w:bidi="ar-SA"/>
              </w:rPr>
            </w:pPr>
          </w:p>
        </w:tc>
      </w:tr>
      <w:tr w14:paraId="7A54E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D80990B">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422</w:t>
            </w:r>
          </w:p>
        </w:tc>
        <w:tc>
          <w:tcPr>
            <w:tcW w:w="720" w:type="dxa"/>
            <w:vMerge w:val="continue"/>
            <w:vAlign w:val="center"/>
          </w:tcPr>
          <w:p w14:paraId="5B5F298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5ABE33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restart"/>
            <w:vAlign w:val="center"/>
          </w:tcPr>
          <w:p w14:paraId="25A1683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点评超常处方</w:t>
            </w:r>
          </w:p>
        </w:tc>
        <w:tc>
          <w:tcPr>
            <w:tcW w:w="4667" w:type="dxa"/>
            <w:vAlign w:val="center"/>
          </w:tcPr>
          <w:p w14:paraId="2077F3C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无适应证用药诊断字段为空，系统判断为问题</w:t>
            </w:r>
          </w:p>
        </w:tc>
        <w:tc>
          <w:tcPr>
            <w:tcW w:w="733" w:type="dxa"/>
            <w:vMerge w:val="restart"/>
            <w:vAlign w:val="center"/>
          </w:tcPr>
          <w:p w14:paraId="52F0FD5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4E58AA4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2</w:t>
            </w:r>
          </w:p>
        </w:tc>
      </w:tr>
      <w:tr w14:paraId="0BCB0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B7C27D5">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423</w:t>
            </w:r>
          </w:p>
        </w:tc>
        <w:tc>
          <w:tcPr>
            <w:tcW w:w="720" w:type="dxa"/>
            <w:vMerge w:val="continue"/>
            <w:vAlign w:val="center"/>
          </w:tcPr>
          <w:p w14:paraId="58EABDF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E3DEB3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4CB3233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10DB8E2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无正当理由开具高价药使用高价药的，用药理由字段为空，系统判断为问题</w:t>
            </w:r>
          </w:p>
        </w:tc>
        <w:tc>
          <w:tcPr>
            <w:tcW w:w="733" w:type="dxa"/>
            <w:vMerge w:val="continue"/>
            <w:vAlign w:val="center"/>
          </w:tcPr>
          <w:p w14:paraId="1B1D022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847B645">
            <w:pPr>
              <w:jc w:val="center"/>
              <w:rPr>
                <w:rFonts w:hint="eastAsia" w:ascii="宋体" w:hAnsi="宋体" w:eastAsia="宋体" w:cs="宋体"/>
                <w:b w:val="0"/>
                <w:bCs w:val="0"/>
                <w:color w:val="auto"/>
                <w:kern w:val="0"/>
                <w:sz w:val="20"/>
                <w:szCs w:val="20"/>
                <w:highlight w:val="none"/>
                <w:lang w:val="en-US" w:eastAsia="zh-CN" w:bidi="ar-SA"/>
              </w:rPr>
            </w:pPr>
          </w:p>
        </w:tc>
      </w:tr>
      <w:tr w14:paraId="35D1D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0A57C13">
            <w:pPr>
              <w:keepNext w:val="0"/>
              <w:keepLines w:val="0"/>
              <w:widowControl/>
              <w:suppressLineNumbers w:val="0"/>
              <w:jc w:val="right"/>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424</w:t>
            </w:r>
          </w:p>
        </w:tc>
        <w:tc>
          <w:tcPr>
            <w:tcW w:w="720" w:type="dxa"/>
            <w:vMerge w:val="continue"/>
            <w:vAlign w:val="center"/>
          </w:tcPr>
          <w:p w14:paraId="0862107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6AF3CA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1B99685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2FC70AC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无正当理由超说明书用药系统不作判断，由用户在点评时确认</w:t>
            </w:r>
          </w:p>
        </w:tc>
        <w:tc>
          <w:tcPr>
            <w:tcW w:w="733" w:type="dxa"/>
            <w:vMerge w:val="continue"/>
            <w:vAlign w:val="center"/>
          </w:tcPr>
          <w:p w14:paraId="18A2142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4FE8976">
            <w:pPr>
              <w:jc w:val="center"/>
              <w:rPr>
                <w:rFonts w:hint="eastAsia" w:ascii="宋体" w:hAnsi="宋体" w:eastAsia="宋体" w:cs="宋体"/>
                <w:b w:val="0"/>
                <w:bCs w:val="0"/>
                <w:color w:val="auto"/>
                <w:kern w:val="0"/>
                <w:sz w:val="20"/>
                <w:szCs w:val="20"/>
                <w:highlight w:val="none"/>
                <w:lang w:val="en-US" w:eastAsia="zh-CN" w:bidi="ar-SA"/>
              </w:rPr>
            </w:pPr>
          </w:p>
        </w:tc>
      </w:tr>
      <w:tr w14:paraId="4BFE0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68AF89D">
            <w:pPr>
              <w:keepNext w:val="0"/>
              <w:keepLines w:val="0"/>
              <w:widowControl/>
              <w:suppressLineNumbers w:val="0"/>
              <w:jc w:val="right"/>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425</w:t>
            </w:r>
          </w:p>
        </w:tc>
        <w:tc>
          <w:tcPr>
            <w:tcW w:w="720" w:type="dxa"/>
            <w:vMerge w:val="continue"/>
            <w:vAlign w:val="center"/>
          </w:tcPr>
          <w:p w14:paraId="278C771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89947FF">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2CB0863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19616FF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无正当理由为同一患者同时开具2种以上药理作用相同药物存在两个以上药理作用相同的药品且用药理由字段为空，系统判断为问题</w:t>
            </w:r>
          </w:p>
        </w:tc>
        <w:tc>
          <w:tcPr>
            <w:tcW w:w="733" w:type="dxa"/>
            <w:vMerge w:val="continue"/>
            <w:vAlign w:val="center"/>
          </w:tcPr>
          <w:p w14:paraId="30C2A5D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4EBA2B5">
            <w:pPr>
              <w:jc w:val="center"/>
              <w:rPr>
                <w:rFonts w:hint="eastAsia" w:ascii="宋体" w:hAnsi="宋体" w:eastAsia="宋体" w:cs="宋体"/>
                <w:b w:val="0"/>
                <w:bCs w:val="0"/>
                <w:color w:val="auto"/>
                <w:kern w:val="0"/>
                <w:sz w:val="20"/>
                <w:szCs w:val="20"/>
                <w:highlight w:val="none"/>
                <w:lang w:val="en-US" w:eastAsia="zh-CN" w:bidi="ar-SA"/>
              </w:rPr>
            </w:pPr>
          </w:p>
        </w:tc>
      </w:tr>
      <w:tr w14:paraId="1FFAC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C97A202">
            <w:pPr>
              <w:keepNext w:val="0"/>
              <w:keepLines w:val="0"/>
              <w:widowControl/>
              <w:suppressLineNumbers w:val="0"/>
              <w:jc w:val="center"/>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426</w:t>
            </w:r>
          </w:p>
        </w:tc>
        <w:tc>
          <w:tcPr>
            <w:tcW w:w="720" w:type="dxa"/>
            <w:vMerge w:val="continue"/>
            <w:vAlign w:val="center"/>
          </w:tcPr>
          <w:p w14:paraId="62BB057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586917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DDABE1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0F55A5A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抽查情况进行数据统计，可了解处方/医嘱的抽查情况，包括“系统分析的疑似问题处方数”、“占样本的比例”及“人工确认的问题处方数”及“占样比的比例”，点击“系统分析的疑似问题处方数”与“人工确认的问题处方数”可进一步了解问题处方的具体问题分布情况，并可查看处方点评结果。包括：“系统预处理结果”的统计及占样本的百分比及“人工点评结果”的统计及占样本的百分比。</w:t>
            </w:r>
          </w:p>
        </w:tc>
        <w:tc>
          <w:tcPr>
            <w:tcW w:w="733" w:type="dxa"/>
            <w:vAlign w:val="center"/>
          </w:tcPr>
          <w:p w14:paraId="596C0E0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60C0440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1.5</w:t>
            </w:r>
          </w:p>
        </w:tc>
      </w:tr>
      <w:tr w14:paraId="0200E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3F44DB5">
            <w:pPr>
              <w:keepNext w:val="0"/>
              <w:keepLines w:val="0"/>
              <w:widowControl/>
              <w:suppressLineNumbers w:val="0"/>
              <w:jc w:val="center"/>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427</w:t>
            </w:r>
          </w:p>
        </w:tc>
        <w:tc>
          <w:tcPr>
            <w:tcW w:w="720" w:type="dxa"/>
            <w:vMerge w:val="continue"/>
            <w:vAlign w:val="center"/>
          </w:tcPr>
          <w:p w14:paraId="45669CA4">
            <w:pPr>
              <w:jc w:val="center"/>
              <w:rPr>
                <w:rFonts w:hint="eastAsia" w:ascii="宋体" w:hAnsi="宋体" w:eastAsia="宋体" w:cs="宋体"/>
                <w:b/>
                <w:color w:val="auto"/>
                <w:sz w:val="24"/>
                <w:szCs w:val="24"/>
                <w:highlight w:val="none"/>
                <w:vertAlign w:val="baseline"/>
                <w:lang w:eastAsia="zh-CN"/>
              </w:rPr>
            </w:pPr>
          </w:p>
        </w:tc>
        <w:tc>
          <w:tcPr>
            <w:tcW w:w="2933" w:type="dxa"/>
            <w:gridSpan w:val="2"/>
            <w:vAlign w:val="center"/>
          </w:tcPr>
          <w:p w14:paraId="19C4925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区域平台对接调试</w:t>
            </w:r>
          </w:p>
        </w:tc>
        <w:tc>
          <w:tcPr>
            <w:tcW w:w="4667" w:type="dxa"/>
            <w:vAlign w:val="center"/>
          </w:tcPr>
          <w:p w14:paraId="7DA2DE4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区域平台相关接口对接</w:t>
            </w:r>
          </w:p>
        </w:tc>
        <w:tc>
          <w:tcPr>
            <w:tcW w:w="733" w:type="dxa"/>
            <w:vAlign w:val="center"/>
          </w:tcPr>
          <w:p w14:paraId="2122992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4D44375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2</w:t>
            </w:r>
          </w:p>
        </w:tc>
      </w:tr>
      <w:tr w14:paraId="345E3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2EA571C">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428</w:t>
            </w:r>
          </w:p>
        </w:tc>
        <w:tc>
          <w:tcPr>
            <w:tcW w:w="720" w:type="dxa"/>
            <w:vMerge w:val="restart"/>
            <w:vAlign w:val="center"/>
          </w:tcPr>
          <w:p w14:paraId="44C59809">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数据大屏</w:t>
            </w:r>
          </w:p>
        </w:tc>
        <w:tc>
          <w:tcPr>
            <w:tcW w:w="2933" w:type="dxa"/>
            <w:gridSpan w:val="2"/>
            <w:vMerge w:val="restart"/>
            <w:vAlign w:val="center"/>
          </w:tcPr>
          <w:p w14:paraId="33DE012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集中审方中心</w:t>
            </w:r>
          </w:p>
        </w:tc>
        <w:tc>
          <w:tcPr>
            <w:tcW w:w="4667" w:type="dxa"/>
            <w:vAlign w:val="center"/>
          </w:tcPr>
          <w:p w14:paraId="2CA5B91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展示区域内审方药师数量，并按职称进行分类展示</w:t>
            </w:r>
          </w:p>
        </w:tc>
        <w:tc>
          <w:tcPr>
            <w:tcW w:w="733" w:type="dxa"/>
            <w:vMerge w:val="restart"/>
            <w:vAlign w:val="center"/>
          </w:tcPr>
          <w:p w14:paraId="0027EBE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32BD313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4</w:t>
            </w:r>
          </w:p>
        </w:tc>
      </w:tr>
      <w:tr w14:paraId="411DB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805E461">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429</w:t>
            </w:r>
          </w:p>
        </w:tc>
        <w:tc>
          <w:tcPr>
            <w:tcW w:w="720" w:type="dxa"/>
            <w:vMerge w:val="continue"/>
            <w:vAlign w:val="center"/>
          </w:tcPr>
          <w:p w14:paraId="7E7458D5">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410338D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1564C98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通过地图展示各机构的门诊处方量和住院医嘱量</w:t>
            </w:r>
          </w:p>
        </w:tc>
        <w:tc>
          <w:tcPr>
            <w:tcW w:w="733" w:type="dxa"/>
            <w:vMerge w:val="continue"/>
            <w:vAlign w:val="center"/>
          </w:tcPr>
          <w:p w14:paraId="2002703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3753DEA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r w14:paraId="57A27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013DC5F">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430</w:t>
            </w:r>
          </w:p>
        </w:tc>
        <w:tc>
          <w:tcPr>
            <w:tcW w:w="720" w:type="dxa"/>
            <w:vMerge w:val="continue"/>
            <w:vAlign w:val="center"/>
          </w:tcPr>
          <w:p w14:paraId="163CB6E2">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73762D1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46B71FE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对区域内处方和医嘱的总张(组)数、自动神恶化不合理数、点评不合理数进行汇总，并可按年度进行筛选</w:t>
            </w:r>
          </w:p>
        </w:tc>
        <w:tc>
          <w:tcPr>
            <w:tcW w:w="733" w:type="dxa"/>
            <w:vMerge w:val="continue"/>
            <w:vAlign w:val="center"/>
          </w:tcPr>
          <w:p w14:paraId="6A62013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182BE2F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r w14:paraId="41F56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3624650">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431</w:t>
            </w:r>
          </w:p>
        </w:tc>
        <w:tc>
          <w:tcPr>
            <w:tcW w:w="720" w:type="dxa"/>
            <w:vMerge w:val="continue"/>
            <w:vAlign w:val="center"/>
          </w:tcPr>
          <w:p w14:paraId="690776BE">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0304E04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7BDB0F6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分析人工审方数量趋势和处方点评数量趋势</w:t>
            </w:r>
          </w:p>
        </w:tc>
        <w:tc>
          <w:tcPr>
            <w:tcW w:w="733" w:type="dxa"/>
            <w:vMerge w:val="continue"/>
            <w:vAlign w:val="center"/>
          </w:tcPr>
          <w:p w14:paraId="33A5AE3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7A73D5B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r w14:paraId="608C4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98F5D08">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432</w:t>
            </w:r>
          </w:p>
        </w:tc>
        <w:tc>
          <w:tcPr>
            <w:tcW w:w="720" w:type="dxa"/>
            <w:vMerge w:val="continue"/>
            <w:vAlign w:val="center"/>
          </w:tcPr>
          <w:p w14:paraId="5AFC0421">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392C58A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4FA89DA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按处方、医嘱对比分析各机构点评不合理的处方数量，以及按点评不合理处方数筛选top5科室</w:t>
            </w:r>
          </w:p>
        </w:tc>
        <w:tc>
          <w:tcPr>
            <w:tcW w:w="733" w:type="dxa"/>
            <w:vMerge w:val="continue"/>
            <w:vAlign w:val="center"/>
          </w:tcPr>
          <w:p w14:paraId="6DCB13D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4770528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r w14:paraId="18CE7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CAFABD9">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433</w:t>
            </w:r>
          </w:p>
        </w:tc>
        <w:tc>
          <w:tcPr>
            <w:tcW w:w="720" w:type="dxa"/>
            <w:vMerge w:val="continue"/>
            <w:vAlign w:val="center"/>
          </w:tcPr>
          <w:p w14:paraId="4ACE311F">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42CEDED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5C31F78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对处方合格率、点评率指标进行质控，以及按不规范处方、用药不适宜处方、超常处方对点评不合理处方进行分类对比</w:t>
            </w:r>
          </w:p>
        </w:tc>
        <w:tc>
          <w:tcPr>
            <w:tcW w:w="733" w:type="dxa"/>
            <w:vMerge w:val="continue"/>
            <w:vAlign w:val="center"/>
          </w:tcPr>
          <w:p w14:paraId="1603BBE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0397D79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bl>
    <w:p w14:paraId="12D42897">
      <w:pPr>
        <w:pStyle w:val="2"/>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both"/>
        <w:textAlignment w:val="auto"/>
        <w:rPr>
          <w:rFonts w:hint="eastAsia" w:ascii="宋体" w:hAnsi="宋体" w:eastAsia="宋体" w:cs="宋体"/>
          <w:highlight w:val="yellow"/>
          <w:lang w:val="en-US" w:eastAsia="zh-CN"/>
        </w:rPr>
      </w:pPr>
      <w:r>
        <w:rPr>
          <w:rFonts w:hint="eastAsia" w:ascii="宋体" w:hAnsi="宋体" w:eastAsia="宋体" w:cs="宋体"/>
          <w:highlight w:val="yellow"/>
          <w:lang w:val="en-US" w:eastAsia="zh-CN"/>
        </w:rPr>
        <w:t>（二）-7：健康随访中心</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1308"/>
        <w:gridCol w:w="1900"/>
        <w:gridCol w:w="4392"/>
        <w:gridCol w:w="733"/>
        <w:gridCol w:w="714"/>
      </w:tblGrid>
      <w:tr w14:paraId="737FA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556D1A7">
            <w:pPr>
              <w:widowControl/>
              <w:jc w:val="center"/>
              <w:rPr>
                <w:rFonts w:hint="eastAsia" w:ascii="仿宋" w:hAnsi="仿宋" w:eastAsia="仿宋" w:cs="宋体"/>
                <w:color w:val="auto"/>
                <w:sz w:val="22"/>
                <w:szCs w:val="22"/>
                <w:highlight w:val="none"/>
                <w:lang w:val="en-US" w:eastAsia="zh-CN"/>
              </w:rPr>
            </w:pPr>
            <w:r>
              <w:rPr>
                <w:rFonts w:hint="eastAsia" w:ascii="宋体" w:hAnsi="宋体" w:cs="宋体"/>
                <w:b/>
                <w:bCs/>
                <w:color w:val="auto"/>
                <w:kern w:val="0"/>
                <w:sz w:val="20"/>
                <w:szCs w:val="20"/>
                <w:highlight w:val="none"/>
              </w:rPr>
              <w:t>序号</w:t>
            </w:r>
          </w:p>
        </w:tc>
        <w:tc>
          <w:tcPr>
            <w:tcW w:w="3928" w:type="dxa"/>
            <w:gridSpan w:val="3"/>
            <w:vAlign w:val="center"/>
          </w:tcPr>
          <w:p w14:paraId="51F9F190">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建设内容</w:t>
            </w:r>
          </w:p>
        </w:tc>
        <w:tc>
          <w:tcPr>
            <w:tcW w:w="4392" w:type="dxa"/>
            <w:vAlign w:val="center"/>
          </w:tcPr>
          <w:p w14:paraId="1A66A626">
            <w:pPr>
              <w:widowControl/>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7F9BFE2A">
            <w:pPr>
              <w:widowControl/>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单位</w:t>
            </w:r>
          </w:p>
        </w:tc>
        <w:tc>
          <w:tcPr>
            <w:tcW w:w="714" w:type="dxa"/>
            <w:vAlign w:val="center"/>
          </w:tcPr>
          <w:p w14:paraId="6E6090C5">
            <w:pPr>
              <w:spacing w:line="240" w:lineRule="exact"/>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Cs w:val="21"/>
                <w:highlight w:val="none"/>
                <w:lang w:eastAsia="zh-CN"/>
              </w:rPr>
              <w:t>数量</w:t>
            </w:r>
          </w:p>
        </w:tc>
      </w:tr>
      <w:tr w14:paraId="6F871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3" w:type="dxa"/>
            <w:vAlign w:val="center"/>
          </w:tcPr>
          <w:p w14:paraId="4D3DE836">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434</w:t>
            </w:r>
          </w:p>
        </w:tc>
        <w:tc>
          <w:tcPr>
            <w:tcW w:w="720" w:type="dxa"/>
            <w:vMerge w:val="restart"/>
            <w:vAlign w:val="center"/>
          </w:tcPr>
          <w:p w14:paraId="5D61A08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数据采集系统</w:t>
            </w:r>
          </w:p>
        </w:tc>
        <w:tc>
          <w:tcPr>
            <w:tcW w:w="1308" w:type="dxa"/>
            <w:vMerge w:val="restart"/>
            <w:vAlign w:val="center"/>
          </w:tcPr>
          <w:p w14:paraId="31E84FC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多数据源接入</w:t>
            </w:r>
          </w:p>
        </w:tc>
        <w:tc>
          <w:tcPr>
            <w:tcW w:w="1900" w:type="dxa"/>
            <w:vAlign w:val="center"/>
          </w:tcPr>
          <w:p w14:paraId="17EC8F6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数据源配置</w:t>
            </w:r>
          </w:p>
        </w:tc>
        <w:tc>
          <w:tcPr>
            <w:tcW w:w="4392" w:type="dxa"/>
            <w:vAlign w:val="center"/>
          </w:tcPr>
          <w:p w14:paraId="7D57AA5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提供数据源连接信息的配置管理</w:t>
            </w:r>
          </w:p>
        </w:tc>
        <w:tc>
          <w:tcPr>
            <w:tcW w:w="733" w:type="dxa"/>
            <w:vMerge w:val="restart"/>
            <w:vAlign w:val="center"/>
          </w:tcPr>
          <w:p w14:paraId="1CF325D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64625DE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1</w:t>
            </w:r>
          </w:p>
        </w:tc>
      </w:tr>
      <w:tr w14:paraId="191CA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47A2621">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435</w:t>
            </w:r>
          </w:p>
        </w:tc>
        <w:tc>
          <w:tcPr>
            <w:tcW w:w="720" w:type="dxa"/>
            <w:vMerge w:val="continue"/>
            <w:vAlign w:val="center"/>
          </w:tcPr>
          <w:p w14:paraId="65E78D4F">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537D587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1AE4A56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多数据源接入</w:t>
            </w:r>
          </w:p>
        </w:tc>
        <w:tc>
          <w:tcPr>
            <w:tcW w:w="4392" w:type="dxa"/>
            <w:vAlign w:val="center"/>
          </w:tcPr>
          <w:p w14:paraId="3E5931D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提供数据采集系统，支持自动定时采集多数据源的健康数据。</w:t>
            </w:r>
          </w:p>
        </w:tc>
        <w:tc>
          <w:tcPr>
            <w:tcW w:w="733" w:type="dxa"/>
            <w:vMerge w:val="continue"/>
            <w:vAlign w:val="center"/>
          </w:tcPr>
          <w:p w14:paraId="5F56DF7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59093D1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r w14:paraId="1970B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BB03A33">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436</w:t>
            </w:r>
          </w:p>
        </w:tc>
        <w:tc>
          <w:tcPr>
            <w:tcW w:w="720" w:type="dxa"/>
            <w:vMerge w:val="continue"/>
            <w:vAlign w:val="center"/>
          </w:tcPr>
          <w:p w14:paraId="40EBBC29">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45CE2AA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流程管理</w:t>
            </w:r>
          </w:p>
        </w:tc>
        <w:tc>
          <w:tcPr>
            <w:tcW w:w="1900" w:type="dxa"/>
            <w:vAlign w:val="center"/>
          </w:tcPr>
          <w:p w14:paraId="0722E01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流程信息展示</w:t>
            </w:r>
          </w:p>
        </w:tc>
        <w:tc>
          <w:tcPr>
            <w:tcW w:w="4392" w:type="dxa"/>
            <w:vAlign w:val="center"/>
          </w:tcPr>
          <w:p w14:paraId="2CB9456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展示、编辑已创建的数据采集处理流程基本信息</w:t>
            </w:r>
          </w:p>
        </w:tc>
        <w:tc>
          <w:tcPr>
            <w:tcW w:w="733" w:type="dxa"/>
            <w:vMerge w:val="restart"/>
            <w:vAlign w:val="center"/>
          </w:tcPr>
          <w:p w14:paraId="0EDF1C7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3AC62AA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3.5</w:t>
            </w:r>
          </w:p>
        </w:tc>
      </w:tr>
      <w:tr w14:paraId="5D238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6A53DC6">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437</w:t>
            </w:r>
          </w:p>
        </w:tc>
        <w:tc>
          <w:tcPr>
            <w:tcW w:w="720" w:type="dxa"/>
            <w:vMerge w:val="continue"/>
            <w:vAlign w:val="center"/>
          </w:tcPr>
          <w:p w14:paraId="2F566D57">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0D1386A1">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07F9BDB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流程信息管理</w:t>
            </w:r>
          </w:p>
        </w:tc>
        <w:tc>
          <w:tcPr>
            <w:tcW w:w="4392" w:type="dxa"/>
            <w:vAlign w:val="center"/>
          </w:tcPr>
          <w:p w14:paraId="17362AD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支持数据采集流程新增、编排和撤销操作。</w:t>
            </w:r>
          </w:p>
        </w:tc>
        <w:tc>
          <w:tcPr>
            <w:tcW w:w="733" w:type="dxa"/>
            <w:vMerge w:val="continue"/>
            <w:vAlign w:val="center"/>
          </w:tcPr>
          <w:p w14:paraId="49495DA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6A7D26B">
            <w:pPr>
              <w:jc w:val="center"/>
              <w:rPr>
                <w:rFonts w:hint="eastAsia" w:ascii="宋体" w:hAnsi="宋体" w:eastAsia="宋体" w:cs="宋体"/>
                <w:b w:val="0"/>
                <w:bCs w:val="0"/>
                <w:color w:val="auto"/>
                <w:kern w:val="0"/>
                <w:sz w:val="20"/>
                <w:szCs w:val="20"/>
                <w:highlight w:val="none"/>
                <w:lang w:val="en-US" w:eastAsia="zh-CN" w:bidi="ar-SA"/>
              </w:rPr>
            </w:pPr>
          </w:p>
        </w:tc>
      </w:tr>
      <w:tr w14:paraId="1D039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838BDC5">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438</w:t>
            </w:r>
          </w:p>
        </w:tc>
        <w:tc>
          <w:tcPr>
            <w:tcW w:w="720" w:type="dxa"/>
            <w:vMerge w:val="continue"/>
            <w:vAlign w:val="center"/>
          </w:tcPr>
          <w:p w14:paraId="0FD30ACA">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46675E3E">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472B089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流程的导入和导出</w:t>
            </w:r>
          </w:p>
        </w:tc>
        <w:tc>
          <w:tcPr>
            <w:tcW w:w="4392" w:type="dxa"/>
            <w:vAlign w:val="center"/>
          </w:tcPr>
          <w:p w14:paraId="405CD41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支持XML格式的数据采集流程配置信息的导入和导出。</w:t>
            </w:r>
          </w:p>
        </w:tc>
        <w:tc>
          <w:tcPr>
            <w:tcW w:w="733" w:type="dxa"/>
            <w:vMerge w:val="continue"/>
            <w:vAlign w:val="center"/>
          </w:tcPr>
          <w:p w14:paraId="36116D4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F26CB9B">
            <w:pPr>
              <w:jc w:val="center"/>
              <w:rPr>
                <w:rFonts w:hint="eastAsia" w:ascii="宋体" w:hAnsi="宋体" w:eastAsia="宋体" w:cs="宋体"/>
                <w:b w:val="0"/>
                <w:bCs w:val="0"/>
                <w:color w:val="auto"/>
                <w:kern w:val="0"/>
                <w:sz w:val="20"/>
                <w:szCs w:val="20"/>
                <w:highlight w:val="none"/>
                <w:lang w:val="en-US" w:eastAsia="zh-CN" w:bidi="ar-SA"/>
              </w:rPr>
            </w:pPr>
          </w:p>
        </w:tc>
      </w:tr>
      <w:tr w14:paraId="63863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B388D4C">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439</w:t>
            </w:r>
          </w:p>
        </w:tc>
        <w:tc>
          <w:tcPr>
            <w:tcW w:w="720" w:type="dxa"/>
            <w:vMerge w:val="continue"/>
            <w:vAlign w:val="center"/>
          </w:tcPr>
          <w:p w14:paraId="0BF0A390">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6300001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定时任务</w:t>
            </w:r>
          </w:p>
        </w:tc>
        <w:tc>
          <w:tcPr>
            <w:tcW w:w="1900" w:type="dxa"/>
            <w:vAlign w:val="center"/>
          </w:tcPr>
          <w:p w14:paraId="2622239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定时任务信息展示</w:t>
            </w:r>
          </w:p>
        </w:tc>
        <w:tc>
          <w:tcPr>
            <w:tcW w:w="4392" w:type="dxa"/>
            <w:vAlign w:val="center"/>
          </w:tcPr>
          <w:p w14:paraId="009A1A9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展示定时任务的基本信息。包括：任务名称、任务脚本、任务类型、执行周期和执行状态等。</w:t>
            </w:r>
          </w:p>
        </w:tc>
        <w:tc>
          <w:tcPr>
            <w:tcW w:w="733" w:type="dxa"/>
            <w:vMerge w:val="restart"/>
            <w:vAlign w:val="center"/>
          </w:tcPr>
          <w:p w14:paraId="0F54363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58B64B2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2</w:t>
            </w:r>
          </w:p>
        </w:tc>
      </w:tr>
      <w:tr w14:paraId="3B3FE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D180CD7">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440</w:t>
            </w:r>
          </w:p>
        </w:tc>
        <w:tc>
          <w:tcPr>
            <w:tcW w:w="720" w:type="dxa"/>
            <w:vMerge w:val="continue"/>
            <w:vAlign w:val="center"/>
          </w:tcPr>
          <w:p w14:paraId="7842A759">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4F3CFE74">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693EB40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定时任务信息管理</w:t>
            </w:r>
          </w:p>
        </w:tc>
        <w:tc>
          <w:tcPr>
            <w:tcW w:w="4392" w:type="dxa"/>
            <w:vAlign w:val="center"/>
          </w:tcPr>
          <w:p w14:paraId="5F58263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支持定时任务的新增、修改和删除操作。</w:t>
            </w:r>
          </w:p>
        </w:tc>
        <w:tc>
          <w:tcPr>
            <w:tcW w:w="733" w:type="dxa"/>
            <w:vMerge w:val="continue"/>
            <w:vAlign w:val="center"/>
          </w:tcPr>
          <w:p w14:paraId="00BB0EB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4CDB594">
            <w:pPr>
              <w:jc w:val="center"/>
              <w:rPr>
                <w:rFonts w:hint="eastAsia" w:ascii="宋体" w:hAnsi="宋体" w:eastAsia="宋体" w:cs="宋体"/>
                <w:b w:val="0"/>
                <w:bCs w:val="0"/>
                <w:color w:val="auto"/>
                <w:kern w:val="0"/>
                <w:sz w:val="20"/>
                <w:szCs w:val="20"/>
                <w:highlight w:val="none"/>
                <w:lang w:val="en-US" w:eastAsia="zh-CN" w:bidi="ar-SA"/>
              </w:rPr>
            </w:pPr>
          </w:p>
        </w:tc>
      </w:tr>
      <w:tr w14:paraId="2FAB0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583" w:type="dxa"/>
            <w:vAlign w:val="center"/>
          </w:tcPr>
          <w:p w14:paraId="6BF474A0">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441</w:t>
            </w:r>
          </w:p>
        </w:tc>
        <w:tc>
          <w:tcPr>
            <w:tcW w:w="720" w:type="dxa"/>
            <w:vMerge w:val="continue"/>
            <w:vAlign w:val="center"/>
          </w:tcPr>
          <w:p w14:paraId="16C74A86">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63B9669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任务日志</w:t>
            </w:r>
          </w:p>
        </w:tc>
        <w:tc>
          <w:tcPr>
            <w:tcW w:w="1900" w:type="dxa"/>
            <w:vAlign w:val="center"/>
          </w:tcPr>
          <w:p w14:paraId="5438492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任务日志信息展示</w:t>
            </w:r>
          </w:p>
        </w:tc>
        <w:tc>
          <w:tcPr>
            <w:tcW w:w="4392" w:type="dxa"/>
            <w:vAlign w:val="center"/>
          </w:tcPr>
          <w:p w14:paraId="27C8EE1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展示定时任务执行的日志详细信息以及任务当前执行时的相关参数信息。</w:t>
            </w:r>
          </w:p>
        </w:tc>
        <w:tc>
          <w:tcPr>
            <w:tcW w:w="733" w:type="dxa"/>
            <w:vAlign w:val="center"/>
          </w:tcPr>
          <w:p w14:paraId="2F68DBF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2E119B4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0.5</w:t>
            </w:r>
          </w:p>
        </w:tc>
      </w:tr>
      <w:tr w14:paraId="5F56F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BD9CBB9">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442</w:t>
            </w:r>
          </w:p>
        </w:tc>
        <w:tc>
          <w:tcPr>
            <w:tcW w:w="720" w:type="dxa"/>
            <w:vMerge w:val="continue"/>
            <w:vAlign w:val="center"/>
          </w:tcPr>
          <w:p w14:paraId="6CBEF579">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2C4B022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任务监控</w:t>
            </w:r>
          </w:p>
        </w:tc>
        <w:tc>
          <w:tcPr>
            <w:tcW w:w="1900" w:type="dxa"/>
            <w:vAlign w:val="center"/>
          </w:tcPr>
          <w:p w14:paraId="7E8183F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任务监控信息展示</w:t>
            </w:r>
          </w:p>
        </w:tc>
        <w:tc>
          <w:tcPr>
            <w:tcW w:w="4392" w:type="dxa"/>
            <w:vAlign w:val="center"/>
          </w:tcPr>
          <w:p w14:paraId="70B6225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展示定时任务执行的执行状态、任务开始时间、任务耗时、任务的数据范围等信息</w:t>
            </w:r>
          </w:p>
        </w:tc>
        <w:tc>
          <w:tcPr>
            <w:tcW w:w="733" w:type="dxa"/>
            <w:vAlign w:val="center"/>
          </w:tcPr>
          <w:p w14:paraId="40B4257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46B1891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0.5</w:t>
            </w:r>
          </w:p>
        </w:tc>
      </w:tr>
      <w:tr w14:paraId="6DD33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9DA94D5">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443</w:t>
            </w:r>
          </w:p>
        </w:tc>
        <w:tc>
          <w:tcPr>
            <w:tcW w:w="720" w:type="dxa"/>
            <w:vMerge w:val="continue"/>
            <w:vAlign w:val="center"/>
          </w:tcPr>
          <w:p w14:paraId="6F9CE06C">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2EA035B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数据采集流程编排</w:t>
            </w:r>
          </w:p>
        </w:tc>
        <w:tc>
          <w:tcPr>
            <w:tcW w:w="1900" w:type="dxa"/>
            <w:vAlign w:val="center"/>
          </w:tcPr>
          <w:p w14:paraId="710E21C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数据处理流程编排</w:t>
            </w:r>
          </w:p>
        </w:tc>
        <w:tc>
          <w:tcPr>
            <w:tcW w:w="4392" w:type="dxa"/>
            <w:vAlign w:val="center"/>
          </w:tcPr>
          <w:p w14:paraId="7CFD559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通过可视化各数据采集转换组件拖拽处理进行数据采集流程的编排，降低数据采集复杂度提高数据采集质量</w:t>
            </w:r>
          </w:p>
        </w:tc>
        <w:tc>
          <w:tcPr>
            <w:tcW w:w="733" w:type="dxa"/>
            <w:vAlign w:val="center"/>
          </w:tcPr>
          <w:p w14:paraId="0D737EA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6310E74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2199D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787B38D">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444</w:t>
            </w:r>
          </w:p>
        </w:tc>
        <w:tc>
          <w:tcPr>
            <w:tcW w:w="720" w:type="dxa"/>
            <w:vMerge w:val="continue"/>
            <w:vAlign w:val="center"/>
          </w:tcPr>
          <w:p w14:paraId="6F150BEF">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4E1727A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步骤度量</w:t>
            </w:r>
          </w:p>
        </w:tc>
        <w:tc>
          <w:tcPr>
            <w:tcW w:w="1900" w:type="dxa"/>
            <w:vAlign w:val="center"/>
          </w:tcPr>
          <w:p w14:paraId="6EA76F8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步骤度量信息展示</w:t>
            </w:r>
          </w:p>
        </w:tc>
        <w:tc>
          <w:tcPr>
            <w:tcW w:w="4392" w:type="dxa"/>
            <w:vAlign w:val="center"/>
          </w:tcPr>
          <w:p w14:paraId="29950BD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展示采集步骤的步骤名称、复制记录数、输入、输出、执行时间、执行状态等信息。</w:t>
            </w:r>
          </w:p>
        </w:tc>
        <w:tc>
          <w:tcPr>
            <w:tcW w:w="733" w:type="dxa"/>
            <w:vAlign w:val="center"/>
          </w:tcPr>
          <w:p w14:paraId="6447CDD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03A0179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0.5</w:t>
            </w:r>
          </w:p>
        </w:tc>
      </w:tr>
      <w:tr w14:paraId="700E6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F05BE46">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445</w:t>
            </w:r>
          </w:p>
        </w:tc>
        <w:tc>
          <w:tcPr>
            <w:tcW w:w="720" w:type="dxa"/>
            <w:vMerge w:val="continue"/>
            <w:vAlign w:val="center"/>
          </w:tcPr>
          <w:p w14:paraId="4C1E1FAB">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186FEF2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采集数据预览</w:t>
            </w:r>
          </w:p>
        </w:tc>
        <w:tc>
          <w:tcPr>
            <w:tcW w:w="1900" w:type="dxa"/>
            <w:vAlign w:val="center"/>
          </w:tcPr>
          <w:p w14:paraId="4B1F3C4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采集数据预览</w:t>
            </w:r>
          </w:p>
        </w:tc>
        <w:tc>
          <w:tcPr>
            <w:tcW w:w="4392" w:type="dxa"/>
            <w:vAlign w:val="center"/>
          </w:tcPr>
          <w:p w14:paraId="54B0CD9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支持对数据采集流程执行数据预览。通过设定数据采集流程业务参数和预览数据量参数获取预览数据信息。</w:t>
            </w:r>
          </w:p>
        </w:tc>
        <w:tc>
          <w:tcPr>
            <w:tcW w:w="733" w:type="dxa"/>
            <w:vAlign w:val="center"/>
          </w:tcPr>
          <w:p w14:paraId="1CE8171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602D3E3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1B293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82F7B0D">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446</w:t>
            </w:r>
          </w:p>
        </w:tc>
        <w:tc>
          <w:tcPr>
            <w:tcW w:w="720" w:type="dxa"/>
            <w:vMerge w:val="continue"/>
            <w:vAlign w:val="center"/>
          </w:tcPr>
          <w:p w14:paraId="34914C2A">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7BA008C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数据存储监控</w:t>
            </w:r>
          </w:p>
        </w:tc>
        <w:tc>
          <w:tcPr>
            <w:tcW w:w="1900" w:type="dxa"/>
            <w:vAlign w:val="center"/>
          </w:tcPr>
          <w:p w14:paraId="60E56C1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数据存储监控信息展示</w:t>
            </w:r>
          </w:p>
        </w:tc>
        <w:tc>
          <w:tcPr>
            <w:tcW w:w="4392" w:type="dxa"/>
            <w:vAlign w:val="center"/>
          </w:tcPr>
          <w:p w14:paraId="57AC610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展示数据采集系统的已采集的总数据数、空间容量、数据容量、索引容量、使用率以及个采集数据业务表的概要信息等信息。</w:t>
            </w:r>
          </w:p>
        </w:tc>
        <w:tc>
          <w:tcPr>
            <w:tcW w:w="733" w:type="dxa"/>
            <w:vAlign w:val="center"/>
          </w:tcPr>
          <w:p w14:paraId="438FED4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3EC536D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2D00C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B6851EC">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447</w:t>
            </w:r>
          </w:p>
        </w:tc>
        <w:tc>
          <w:tcPr>
            <w:tcW w:w="720" w:type="dxa"/>
            <w:vMerge w:val="continue"/>
            <w:vAlign w:val="center"/>
          </w:tcPr>
          <w:p w14:paraId="0F7EDD59">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484B8A0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数据库表管理</w:t>
            </w:r>
          </w:p>
        </w:tc>
        <w:tc>
          <w:tcPr>
            <w:tcW w:w="1900" w:type="dxa"/>
            <w:vAlign w:val="center"/>
          </w:tcPr>
          <w:p w14:paraId="6FA5EA3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数据库表信息展示</w:t>
            </w:r>
          </w:p>
        </w:tc>
        <w:tc>
          <w:tcPr>
            <w:tcW w:w="4392" w:type="dxa"/>
            <w:vAlign w:val="center"/>
          </w:tcPr>
          <w:p w14:paraId="46624A0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展示数据库表表名称、字段名称、字段描述、字段类型、字段长度、是否可为空、是否是主键以及数据格式等信息</w:t>
            </w:r>
          </w:p>
        </w:tc>
        <w:tc>
          <w:tcPr>
            <w:tcW w:w="733" w:type="dxa"/>
            <w:vMerge w:val="restart"/>
            <w:vAlign w:val="center"/>
          </w:tcPr>
          <w:p w14:paraId="521EA6D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0B2A5240">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4C837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00A38B7">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448</w:t>
            </w:r>
          </w:p>
        </w:tc>
        <w:tc>
          <w:tcPr>
            <w:tcW w:w="720" w:type="dxa"/>
            <w:vMerge w:val="continue"/>
            <w:vAlign w:val="center"/>
          </w:tcPr>
          <w:p w14:paraId="2BE54378">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37657B29">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0E3EBC4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数据库表管理</w:t>
            </w:r>
          </w:p>
        </w:tc>
        <w:tc>
          <w:tcPr>
            <w:tcW w:w="4392" w:type="dxa"/>
            <w:vAlign w:val="center"/>
          </w:tcPr>
          <w:p w14:paraId="7C69759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支持数据库表以及所属字段信息的新增、编辑和删除等操作。</w:t>
            </w:r>
          </w:p>
        </w:tc>
        <w:tc>
          <w:tcPr>
            <w:tcW w:w="733" w:type="dxa"/>
            <w:vMerge w:val="continue"/>
            <w:vAlign w:val="center"/>
          </w:tcPr>
          <w:p w14:paraId="1D750DB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7A65621">
            <w:pPr>
              <w:jc w:val="center"/>
              <w:rPr>
                <w:rFonts w:hint="eastAsia" w:ascii="宋体" w:hAnsi="宋体" w:eastAsia="宋体" w:cs="宋体"/>
                <w:b w:val="0"/>
                <w:bCs w:val="0"/>
                <w:color w:val="auto"/>
                <w:kern w:val="0"/>
                <w:sz w:val="20"/>
                <w:szCs w:val="20"/>
                <w:highlight w:val="none"/>
                <w:lang w:val="en-US" w:eastAsia="zh-CN" w:bidi="ar-SA"/>
              </w:rPr>
            </w:pPr>
          </w:p>
        </w:tc>
      </w:tr>
      <w:tr w14:paraId="3B300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05FBAFE">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449</w:t>
            </w:r>
          </w:p>
        </w:tc>
        <w:tc>
          <w:tcPr>
            <w:tcW w:w="720" w:type="dxa"/>
            <w:vMerge w:val="continue"/>
            <w:vAlign w:val="center"/>
          </w:tcPr>
          <w:p w14:paraId="29EB4817">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076EDF0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全文检索</w:t>
            </w:r>
          </w:p>
        </w:tc>
        <w:tc>
          <w:tcPr>
            <w:tcW w:w="1900" w:type="dxa"/>
            <w:vAlign w:val="center"/>
          </w:tcPr>
          <w:p w14:paraId="0F5995F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全文信息检索</w:t>
            </w:r>
          </w:p>
        </w:tc>
        <w:tc>
          <w:tcPr>
            <w:tcW w:w="4392" w:type="dxa"/>
            <w:vAlign w:val="center"/>
          </w:tcPr>
          <w:p w14:paraId="2E906227">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支持查询关键字通过模糊查询检索数据采集系统的元数据信息</w:t>
            </w:r>
          </w:p>
        </w:tc>
        <w:tc>
          <w:tcPr>
            <w:tcW w:w="733" w:type="dxa"/>
            <w:vAlign w:val="center"/>
          </w:tcPr>
          <w:p w14:paraId="2376192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349D250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0ACFD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23EDF7B">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450</w:t>
            </w:r>
          </w:p>
        </w:tc>
        <w:tc>
          <w:tcPr>
            <w:tcW w:w="720" w:type="dxa"/>
            <w:vMerge w:val="continue"/>
            <w:vAlign w:val="center"/>
          </w:tcPr>
          <w:p w14:paraId="31FFFD5D">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21F9C62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标准管理</w:t>
            </w:r>
          </w:p>
        </w:tc>
        <w:tc>
          <w:tcPr>
            <w:tcW w:w="1900" w:type="dxa"/>
            <w:vAlign w:val="center"/>
          </w:tcPr>
          <w:p w14:paraId="427745D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数据标准信息展示</w:t>
            </w:r>
          </w:p>
        </w:tc>
        <w:tc>
          <w:tcPr>
            <w:tcW w:w="4392" w:type="dxa"/>
            <w:vAlign w:val="center"/>
          </w:tcPr>
          <w:p w14:paraId="4A83AE6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展示数据标准名称及所包含标准项的基本信息</w:t>
            </w:r>
          </w:p>
        </w:tc>
        <w:tc>
          <w:tcPr>
            <w:tcW w:w="733" w:type="dxa"/>
            <w:vMerge w:val="restart"/>
            <w:vAlign w:val="center"/>
          </w:tcPr>
          <w:p w14:paraId="0B70CD4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740B280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291F6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F5481AC">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451</w:t>
            </w:r>
          </w:p>
        </w:tc>
        <w:tc>
          <w:tcPr>
            <w:tcW w:w="720" w:type="dxa"/>
            <w:vMerge w:val="continue"/>
            <w:vAlign w:val="center"/>
          </w:tcPr>
          <w:p w14:paraId="436A1B72">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2B2EC09A">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097F684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数据标准管理</w:t>
            </w:r>
          </w:p>
        </w:tc>
        <w:tc>
          <w:tcPr>
            <w:tcW w:w="4392" w:type="dxa"/>
            <w:vAlign w:val="center"/>
          </w:tcPr>
          <w:p w14:paraId="2FB533D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支持数据标准及标准项的新增、修改和删除操作</w:t>
            </w:r>
          </w:p>
        </w:tc>
        <w:tc>
          <w:tcPr>
            <w:tcW w:w="733" w:type="dxa"/>
            <w:vMerge w:val="continue"/>
            <w:vAlign w:val="center"/>
          </w:tcPr>
          <w:p w14:paraId="7198BAC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60029C5">
            <w:pPr>
              <w:jc w:val="center"/>
              <w:rPr>
                <w:rFonts w:hint="eastAsia" w:ascii="宋体" w:hAnsi="宋体" w:eastAsia="宋体" w:cs="宋体"/>
                <w:b w:val="0"/>
                <w:bCs w:val="0"/>
                <w:color w:val="auto"/>
                <w:kern w:val="0"/>
                <w:sz w:val="20"/>
                <w:szCs w:val="20"/>
                <w:highlight w:val="none"/>
                <w:lang w:val="en-US" w:eastAsia="zh-CN" w:bidi="ar-SA"/>
              </w:rPr>
            </w:pPr>
          </w:p>
        </w:tc>
      </w:tr>
      <w:tr w14:paraId="66496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2F6B33D">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452</w:t>
            </w:r>
          </w:p>
        </w:tc>
        <w:tc>
          <w:tcPr>
            <w:tcW w:w="720" w:type="dxa"/>
            <w:vMerge w:val="continue"/>
            <w:vAlign w:val="center"/>
          </w:tcPr>
          <w:p w14:paraId="61209869">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4A17F10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参照字段</w:t>
            </w:r>
          </w:p>
        </w:tc>
        <w:tc>
          <w:tcPr>
            <w:tcW w:w="1900" w:type="dxa"/>
            <w:vAlign w:val="center"/>
          </w:tcPr>
          <w:p w14:paraId="4AF2D94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参照字段信息展示</w:t>
            </w:r>
          </w:p>
        </w:tc>
        <w:tc>
          <w:tcPr>
            <w:tcW w:w="4392" w:type="dxa"/>
            <w:vAlign w:val="center"/>
          </w:tcPr>
          <w:p w14:paraId="38EFA44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展示参照字段的基本信息，包括字段名称、字段类型、长度和字段描述等信息</w:t>
            </w:r>
          </w:p>
        </w:tc>
        <w:tc>
          <w:tcPr>
            <w:tcW w:w="733" w:type="dxa"/>
            <w:vAlign w:val="center"/>
          </w:tcPr>
          <w:p w14:paraId="3CB410A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3850FC8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13F5F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532F333">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453</w:t>
            </w:r>
          </w:p>
        </w:tc>
        <w:tc>
          <w:tcPr>
            <w:tcW w:w="720" w:type="dxa"/>
            <w:vMerge w:val="restart"/>
            <w:vAlign w:val="center"/>
          </w:tcPr>
          <w:p w14:paraId="4DF3E134">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健康随访系统</w:t>
            </w:r>
          </w:p>
        </w:tc>
        <w:tc>
          <w:tcPr>
            <w:tcW w:w="1308" w:type="dxa"/>
            <w:vAlign w:val="center"/>
          </w:tcPr>
          <w:p w14:paraId="2C6BAE6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健康数据筛查功能</w:t>
            </w:r>
          </w:p>
        </w:tc>
        <w:tc>
          <w:tcPr>
            <w:tcW w:w="1900" w:type="dxa"/>
            <w:vAlign w:val="center"/>
          </w:tcPr>
          <w:p w14:paraId="4F67F0E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慢病数据筛查</w:t>
            </w:r>
          </w:p>
        </w:tc>
        <w:tc>
          <w:tcPr>
            <w:tcW w:w="4392" w:type="dxa"/>
            <w:vAlign w:val="center"/>
          </w:tcPr>
          <w:p w14:paraId="146B301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支持对上消化道肿瘤、前列腺肿瘤、肺结节、宫颈癌、乳腺癌筛查以及高血压、糖尿病靶器官，采集健康数据，按照不同的疾病特征分类到各个疾病管理模块中的未建档患者</w:t>
            </w:r>
          </w:p>
        </w:tc>
        <w:tc>
          <w:tcPr>
            <w:tcW w:w="733" w:type="dxa"/>
            <w:vAlign w:val="center"/>
          </w:tcPr>
          <w:p w14:paraId="30BB364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3D02E08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2FC41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562451D">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454</w:t>
            </w:r>
          </w:p>
        </w:tc>
        <w:tc>
          <w:tcPr>
            <w:tcW w:w="720" w:type="dxa"/>
            <w:vMerge w:val="continue"/>
            <w:vAlign w:val="center"/>
          </w:tcPr>
          <w:p w14:paraId="15AE9097">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3D79DDE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高血压患者管理</w:t>
            </w:r>
          </w:p>
        </w:tc>
        <w:tc>
          <w:tcPr>
            <w:tcW w:w="1900" w:type="dxa"/>
            <w:vAlign w:val="center"/>
          </w:tcPr>
          <w:p w14:paraId="12ECC1C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高血压患者档案信息</w:t>
            </w:r>
          </w:p>
        </w:tc>
        <w:tc>
          <w:tcPr>
            <w:tcW w:w="4392" w:type="dxa"/>
            <w:vAlign w:val="center"/>
          </w:tcPr>
          <w:p w14:paraId="28E73ED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管理高血压患者基本信息、高血压随访基本情况</w:t>
            </w:r>
          </w:p>
        </w:tc>
        <w:tc>
          <w:tcPr>
            <w:tcW w:w="733" w:type="dxa"/>
            <w:vMerge w:val="restart"/>
            <w:vAlign w:val="center"/>
          </w:tcPr>
          <w:p w14:paraId="39B1322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793B3E2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2.5</w:t>
            </w:r>
          </w:p>
        </w:tc>
      </w:tr>
      <w:tr w14:paraId="699B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F6A3CF3">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455</w:t>
            </w:r>
          </w:p>
        </w:tc>
        <w:tc>
          <w:tcPr>
            <w:tcW w:w="720" w:type="dxa"/>
            <w:vMerge w:val="continue"/>
            <w:vAlign w:val="center"/>
          </w:tcPr>
          <w:p w14:paraId="0647284F">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589BD445">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5BDC4CA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高危状态患者档案信息</w:t>
            </w:r>
          </w:p>
        </w:tc>
        <w:tc>
          <w:tcPr>
            <w:tcW w:w="4392" w:type="dxa"/>
            <w:vAlign w:val="center"/>
          </w:tcPr>
          <w:p w14:paraId="6C24BC0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管理高危高血压患者基本信息、高血压级别信息、高血压层级信息、高血压管随访基本情况</w:t>
            </w:r>
          </w:p>
        </w:tc>
        <w:tc>
          <w:tcPr>
            <w:tcW w:w="733" w:type="dxa"/>
            <w:vMerge w:val="continue"/>
            <w:vAlign w:val="center"/>
          </w:tcPr>
          <w:p w14:paraId="79084BB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1440DE9">
            <w:pPr>
              <w:jc w:val="center"/>
              <w:rPr>
                <w:rFonts w:hint="eastAsia" w:ascii="宋体" w:hAnsi="宋体" w:eastAsia="宋体" w:cs="宋体"/>
                <w:b w:val="0"/>
                <w:bCs w:val="0"/>
                <w:color w:val="auto"/>
                <w:kern w:val="0"/>
                <w:sz w:val="20"/>
                <w:szCs w:val="20"/>
                <w:highlight w:val="none"/>
                <w:lang w:val="en-US" w:eastAsia="zh-CN" w:bidi="ar-SA"/>
              </w:rPr>
            </w:pPr>
          </w:p>
        </w:tc>
      </w:tr>
      <w:tr w14:paraId="41CD7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88298FE">
            <w:pPr>
              <w:keepNext w:val="0"/>
              <w:keepLines w:val="0"/>
              <w:widowControl/>
              <w:suppressLineNumbers w:val="0"/>
              <w:jc w:val="center"/>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456</w:t>
            </w:r>
          </w:p>
        </w:tc>
        <w:tc>
          <w:tcPr>
            <w:tcW w:w="720" w:type="dxa"/>
            <w:vMerge w:val="continue"/>
            <w:vAlign w:val="center"/>
          </w:tcPr>
          <w:p w14:paraId="14179F73">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1325310B">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6BF0239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规范管理患者档案信息</w:t>
            </w:r>
          </w:p>
        </w:tc>
        <w:tc>
          <w:tcPr>
            <w:tcW w:w="4392" w:type="dxa"/>
            <w:vAlign w:val="center"/>
          </w:tcPr>
          <w:p w14:paraId="62ADBC2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规范管理高血压患者基本信息、高血压管随访基本情况</w:t>
            </w:r>
          </w:p>
        </w:tc>
        <w:tc>
          <w:tcPr>
            <w:tcW w:w="733" w:type="dxa"/>
            <w:vMerge w:val="continue"/>
            <w:vAlign w:val="center"/>
          </w:tcPr>
          <w:p w14:paraId="297C37E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2993950">
            <w:pPr>
              <w:jc w:val="center"/>
              <w:rPr>
                <w:rFonts w:hint="eastAsia" w:ascii="宋体" w:hAnsi="宋体" w:eastAsia="宋体" w:cs="宋体"/>
                <w:b w:val="0"/>
                <w:bCs w:val="0"/>
                <w:color w:val="auto"/>
                <w:kern w:val="0"/>
                <w:sz w:val="20"/>
                <w:szCs w:val="20"/>
                <w:highlight w:val="none"/>
                <w:lang w:val="en-US" w:eastAsia="zh-CN" w:bidi="ar-SA"/>
              </w:rPr>
            </w:pPr>
          </w:p>
        </w:tc>
      </w:tr>
      <w:tr w14:paraId="11ECF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D5A8A06">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457</w:t>
            </w:r>
          </w:p>
        </w:tc>
        <w:tc>
          <w:tcPr>
            <w:tcW w:w="720" w:type="dxa"/>
            <w:vMerge w:val="continue"/>
            <w:vAlign w:val="center"/>
          </w:tcPr>
          <w:p w14:paraId="76FF0153">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3AEBD5C5">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0C76997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疑似患者档案信息</w:t>
            </w:r>
          </w:p>
        </w:tc>
        <w:tc>
          <w:tcPr>
            <w:tcW w:w="4392" w:type="dxa"/>
            <w:vAlign w:val="center"/>
          </w:tcPr>
          <w:p w14:paraId="313D392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管理疑似高血压患者的基本情况、高血压管随访基本情况</w:t>
            </w:r>
          </w:p>
        </w:tc>
        <w:tc>
          <w:tcPr>
            <w:tcW w:w="733" w:type="dxa"/>
            <w:vMerge w:val="continue"/>
            <w:vAlign w:val="center"/>
          </w:tcPr>
          <w:p w14:paraId="1A0E3B5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373CD01">
            <w:pPr>
              <w:jc w:val="center"/>
              <w:rPr>
                <w:rFonts w:hint="eastAsia" w:ascii="宋体" w:hAnsi="宋体" w:eastAsia="宋体" w:cs="宋体"/>
                <w:b w:val="0"/>
                <w:bCs w:val="0"/>
                <w:color w:val="auto"/>
                <w:kern w:val="0"/>
                <w:sz w:val="20"/>
                <w:szCs w:val="20"/>
                <w:highlight w:val="none"/>
                <w:lang w:val="en-US" w:eastAsia="zh-CN" w:bidi="ar-SA"/>
              </w:rPr>
            </w:pPr>
          </w:p>
        </w:tc>
      </w:tr>
      <w:tr w14:paraId="54D8C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8D47812">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458</w:t>
            </w:r>
          </w:p>
        </w:tc>
        <w:tc>
          <w:tcPr>
            <w:tcW w:w="720" w:type="dxa"/>
            <w:vMerge w:val="continue"/>
            <w:vAlign w:val="center"/>
          </w:tcPr>
          <w:p w14:paraId="7F8C6DA0">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589124D3">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4765BF2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未建档患者信息</w:t>
            </w:r>
          </w:p>
        </w:tc>
        <w:tc>
          <w:tcPr>
            <w:tcW w:w="4392" w:type="dxa"/>
            <w:vAlign w:val="center"/>
          </w:tcPr>
          <w:p w14:paraId="3250EAA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管理高血压但未建档患者的基本信息，并提供高血压患者管理建档功能</w:t>
            </w:r>
          </w:p>
        </w:tc>
        <w:tc>
          <w:tcPr>
            <w:tcW w:w="733" w:type="dxa"/>
            <w:vMerge w:val="continue"/>
            <w:vAlign w:val="center"/>
          </w:tcPr>
          <w:p w14:paraId="1625D5D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1A21724">
            <w:pPr>
              <w:jc w:val="center"/>
              <w:rPr>
                <w:rFonts w:hint="eastAsia" w:ascii="宋体" w:hAnsi="宋体" w:eastAsia="宋体" w:cs="宋体"/>
                <w:b w:val="0"/>
                <w:bCs w:val="0"/>
                <w:color w:val="auto"/>
                <w:kern w:val="0"/>
                <w:sz w:val="20"/>
                <w:szCs w:val="20"/>
                <w:highlight w:val="none"/>
                <w:lang w:val="en-US" w:eastAsia="zh-CN" w:bidi="ar-SA"/>
              </w:rPr>
            </w:pPr>
          </w:p>
        </w:tc>
      </w:tr>
      <w:tr w14:paraId="38FCF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8A2E1C2">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459</w:t>
            </w:r>
          </w:p>
        </w:tc>
        <w:tc>
          <w:tcPr>
            <w:tcW w:w="720" w:type="dxa"/>
            <w:vMerge w:val="continue"/>
            <w:vAlign w:val="center"/>
          </w:tcPr>
          <w:p w14:paraId="23E6E3A0">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48952FA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糖尿病患者管理</w:t>
            </w:r>
          </w:p>
        </w:tc>
        <w:tc>
          <w:tcPr>
            <w:tcW w:w="1900" w:type="dxa"/>
            <w:vAlign w:val="center"/>
          </w:tcPr>
          <w:p w14:paraId="2165472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糖尿病患者档案信息</w:t>
            </w:r>
          </w:p>
        </w:tc>
        <w:tc>
          <w:tcPr>
            <w:tcW w:w="4392" w:type="dxa"/>
            <w:vAlign w:val="center"/>
          </w:tcPr>
          <w:p w14:paraId="7C8688A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管理糖尿病患者基本信息、糖尿病随访基本情况</w:t>
            </w:r>
          </w:p>
        </w:tc>
        <w:tc>
          <w:tcPr>
            <w:tcW w:w="733" w:type="dxa"/>
            <w:vMerge w:val="restart"/>
            <w:vAlign w:val="center"/>
          </w:tcPr>
          <w:p w14:paraId="24D1AB6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7A4E746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635E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19D4F0A">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460</w:t>
            </w:r>
          </w:p>
        </w:tc>
        <w:tc>
          <w:tcPr>
            <w:tcW w:w="720" w:type="dxa"/>
            <w:vMerge w:val="continue"/>
            <w:vAlign w:val="center"/>
          </w:tcPr>
          <w:p w14:paraId="1EF969C9">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07AD8467">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663665F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未建档患者信息</w:t>
            </w:r>
          </w:p>
        </w:tc>
        <w:tc>
          <w:tcPr>
            <w:tcW w:w="4392" w:type="dxa"/>
            <w:vAlign w:val="center"/>
          </w:tcPr>
          <w:p w14:paraId="30F6D20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管理糖尿病但未建档患者的基本信息，并提供糖尿病患者管理建档功能</w:t>
            </w:r>
          </w:p>
        </w:tc>
        <w:tc>
          <w:tcPr>
            <w:tcW w:w="733" w:type="dxa"/>
            <w:vMerge w:val="continue"/>
            <w:vAlign w:val="center"/>
          </w:tcPr>
          <w:p w14:paraId="34F994A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2519E1C">
            <w:pPr>
              <w:jc w:val="center"/>
              <w:rPr>
                <w:rFonts w:hint="eastAsia" w:ascii="宋体" w:hAnsi="宋体" w:eastAsia="宋体" w:cs="宋体"/>
                <w:b w:val="0"/>
                <w:bCs w:val="0"/>
                <w:color w:val="auto"/>
                <w:kern w:val="0"/>
                <w:sz w:val="20"/>
                <w:szCs w:val="20"/>
                <w:highlight w:val="none"/>
                <w:lang w:val="en-US" w:eastAsia="zh-CN" w:bidi="ar-SA"/>
              </w:rPr>
            </w:pPr>
          </w:p>
        </w:tc>
      </w:tr>
      <w:tr w14:paraId="55281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83" w:type="dxa"/>
            <w:vAlign w:val="center"/>
          </w:tcPr>
          <w:p w14:paraId="131FB68A">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461</w:t>
            </w:r>
          </w:p>
        </w:tc>
        <w:tc>
          <w:tcPr>
            <w:tcW w:w="720" w:type="dxa"/>
            <w:vMerge w:val="continue"/>
            <w:vAlign w:val="center"/>
          </w:tcPr>
          <w:p w14:paraId="19DAA98B">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3A8FDD5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高血脂患者管理</w:t>
            </w:r>
          </w:p>
        </w:tc>
        <w:tc>
          <w:tcPr>
            <w:tcW w:w="1900" w:type="dxa"/>
            <w:vAlign w:val="center"/>
          </w:tcPr>
          <w:p w14:paraId="21144E4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高血脂患者档案信息</w:t>
            </w:r>
          </w:p>
        </w:tc>
        <w:tc>
          <w:tcPr>
            <w:tcW w:w="4392" w:type="dxa"/>
            <w:vAlign w:val="center"/>
          </w:tcPr>
          <w:p w14:paraId="26B989D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管理高血脂患者基本信息、高血脂随访基本情况</w:t>
            </w:r>
          </w:p>
        </w:tc>
        <w:tc>
          <w:tcPr>
            <w:tcW w:w="733" w:type="dxa"/>
            <w:vMerge w:val="restart"/>
            <w:vAlign w:val="center"/>
          </w:tcPr>
          <w:p w14:paraId="41E7B22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61FCCF6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716AE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0187269">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462</w:t>
            </w:r>
          </w:p>
        </w:tc>
        <w:tc>
          <w:tcPr>
            <w:tcW w:w="720" w:type="dxa"/>
            <w:vMerge w:val="continue"/>
            <w:vAlign w:val="center"/>
          </w:tcPr>
          <w:p w14:paraId="5F7DA784">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095739BB">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59488E8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未建档患者信息</w:t>
            </w:r>
          </w:p>
        </w:tc>
        <w:tc>
          <w:tcPr>
            <w:tcW w:w="4392" w:type="dxa"/>
            <w:vAlign w:val="center"/>
          </w:tcPr>
          <w:p w14:paraId="18AE937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管理高血脂但未建档患者的基本信息，并提供高血脂患者管理建档功能</w:t>
            </w:r>
          </w:p>
        </w:tc>
        <w:tc>
          <w:tcPr>
            <w:tcW w:w="733" w:type="dxa"/>
            <w:vMerge w:val="continue"/>
            <w:vAlign w:val="center"/>
          </w:tcPr>
          <w:p w14:paraId="2231482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FDB8129">
            <w:pPr>
              <w:jc w:val="center"/>
              <w:rPr>
                <w:rFonts w:hint="eastAsia" w:ascii="宋体" w:hAnsi="宋体" w:eastAsia="宋体" w:cs="宋体"/>
                <w:b w:val="0"/>
                <w:bCs w:val="0"/>
                <w:color w:val="auto"/>
                <w:kern w:val="0"/>
                <w:sz w:val="20"/>
                <w:szCs w:val="20"/>
                <w:highlight w:val="none"/>
                <w:lang w:val="en-US" w:eastAsia="zh-CN" w:bidi="ar-SA"/>
              </w:rPr>
            </w:pPr>
          </w:p>
        </w:tc>
      </w:tr>
      <w:tr w14:paraId="15BCE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F536F24">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463</w:t>
            </w:r>
          </w:p>
        </w:tc>
        <w:tc>
          <w:tcPr>
            <w:tcW w:w="720" w:type="dxa"/>
            <w:vMerge w:val="continue"/>
            <w:vAlign w:val="center"/>
          </w:tcPr>
          <w:p w14:paraId="0244C857">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2B976DE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肺结节患者管理</w:t>
            </w:r>
          </w:p>
        </w:tc>
        <w:tc>
          <w:tcPr>
            <w:tcW w:w="1900" w:type="dxa"/>
            <w:vAlign w:val="center"/>
          </w:tcPr>
          <w:p w14:paraId="7CF5E64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肺结节患者档案信息</w:t>
            </w:r>
          </w:p>
        </w:tc>
        <w:tc>
          <w:tcPr>
            <w:tcW w:w="4392" w:type="dxa"/>
            <w:vAlign w:val="center"/>
          </w:tcPr>
          <w:p w14:paraId="1046129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管理肺结节患者基本信息、肺结节随访基本情况</w:t>
            </w:r>
          </w:p>
        </w:tc>
        <w:tc>
          <w:tcPr>
            <w:tcW w:w="733" w:type="dxa"/>
            <w:vMerge w:val="restart"/>
            <w:vAlign w:val="center"/>
          </w:tcPr>
          <w:p w14:paraId="6966E7F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57A70DB1">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582E7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3B0C16C">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464</w:t>
            </w:r>
          </w:p>
        </w:tc>
        <w:tc>
          <w:tcPr>
            <w:tcW w:w="720" w:type="dxa"/>
            <w:vMerge w:val="continue"/>
            <w:vAlign w:val="center"/>
          </w:tcPr>
          <w:p w14:paraId="006B6F4C">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0BC0E47C">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083F7A8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未建档患者信息</w:t>
            </w:r>
          </w:p>
        </w:tc>
        <w:tc>
          <w:tcPr>
            <w:tcW w:w="4392" w:type="dxa"/>
            <w:vAlign w:val="center"/>
          </w:tcPr>
          <w:p w14:paraId="0A72E2F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管理肺结节但未建档患者的基本信息，并提供肺结节患者管理建档功能</w:t>
            </w:r>
          </w:p>
        </w:tc>
        <w:tc>
          <w:tcPr>
            <w:tcW w:w="733" w:type="dxa"/>
            <w:vMerge w:val="continue"/>
            <w:vAlign w:val="center"/>
          </w:tcPr>
          <w:p w14:paraId="486CA95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DE85846">
            <w:pPr>
              <w:jc w:val="center"/>
              <w:rPr>
                <w:rFonts w:hint="eastAsia" w:ascii="宋体" w:hAnsi="宋体" w:eastAsia="宋体" w:cs="宋体"/>
                <w:b w:val="0"/>
                <w:bCs w:val="0"/>
                <w:color w:val="auto"/>
                <w:kern w:val="0"/>
                <w:sz w:val="20"/>
                <w:szCs w:val="20"/>
                <w:highlight w:val="none"/>
                <w:lang w:val="en-US" w:eastAsia="zh-CN" w:bidi="ar-SA"/>
              </w:rPr>
            </w:pPr>
          </w:p>
        </w:tc>
      </w:tr>
      <w:tr w14:paraId="38204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668E455">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465</w:t>
            </w:r>
          </w:p>
        </w:tc>
        <w:tc>
          <w:tcPr>
            <w:tcW w:w="720" w:type="dxa"/>
            <w:vMerge w:val="continue"/>
            <w:vAlign w:val="center"/>
          </w:tcPr>
          <w:p w14:paraId="1AE3B403">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295D1D5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上消化道肿瘤管理</w:t>
            </w:r>
          </w:p>
        </w:tc>
        <w:tc>
          <w:tcPr>
            <w:tcW w:w="1900" w:type="dxa"/>
            <w:vAlign w:val="center"/>
          </w:tcPr>
          <w:p w14:paraId="3B9AA1D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上消化道肿瘤患者档案信息</w:t>
            </w:r>
          </w:p>
        </w:tc>
        <w:tc>
          <w:tcPr>
            <w:tcW w:w="4392" w:type="dxa"/>
            <w:vAlign w:val="center"/>
          </w:tcPr>
          <w:p w14:paraId="605595C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管理上消化道肿瘤患者基本信息、上消化道肿瘤随访基本情况</w:t>
            </w:r>
          </w:p>
        </w:tc>
        <w:tc>
          <w:tcPr>
            <w:tcW w:w="733" w:type="dxa"/>
            <w:vMerge w:val="restart"/>
            <w:vAlign w:val="center"/>
          </w:tcPr>
          <w:p w14:paraId="11A9EC6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77E9455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72BD8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308124B">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466</w:t>
            </w:r>
          </w:p>
        </w:tc>
        <w:tc>
          <w:tcPr>
            <w:tcW w:w="720" w:type="dxa"/>
            <w:vMerge w:val="continue"/>
            <w:vAlign w:val="center"/>
          </w:tcPr>
          <w:p w14:paraId="631F9E5A">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1888397F">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1F652A4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未建档患者信息</w:t>
            </w:r>
          </w:p>
        </w:tc>
        <w:tc>
          <w:tcPr>
            <w:tcW w:w="4392" w:type="dxa"/>
            <w:vAlign w:val="center"/>
          </w:tcPr>
          <w:p w14:paraId="51F9EFA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管理上消化道肿瘤但未建档患者的基本信息，并提供上消化道肿瘤患者管理建档功能</w:t>
            </w:r>
          </w:p>
        </w:tc>
        <w:tc>
          <w:tcPr>
            <w:tcW w:w="733" w:type="dxa"/>
            <w:vMerge w:val="continue"/>
            <w:vAlign w:val="center"/>
          </w:tcPr>
          <w:p w14:paraId="50B1B03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234D5B5">
            <w:pPr>
              <w:jc w:val="center"/>
              <w:rPr>
                <w:rFonts w:hint="eastAsia" w:ascii="宋体" w:hAnsi="宋体" w:eastAsia="宋体" w:cs="宋体"/>
                <w:b w:val="0"/>
                <w:bCs w:val="0"/>
                <w:color w:val="auto"/>
                <w:kern w:val="0"/>
                <w:sz w:val="20"/>
                <w:szCs w:val="20"/>
                <w:highlight w:val="none"/>
                <w:lang w:val="en-US" w:eastAsia="zh-CN" w:bidi="ar-SA"/>
              </w:rPr>
            </w:pPr>
          </w:p>
        </w:tc>
      </w:tr>
      <w:tr w14:paraId="69C26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480BAC2">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467</w:t>
            </w:r>
          </w:p>
        </w:tc>
        <w:tc>
          <w:tcPr>
            <w:tcW w:w="720" w:type="dxa"/>
            <w:vMerge w:val="continue"/>
            <w:vAlign w:val="center"/>
          </w:tcPr>
          <w:p w14:paraId="795E535B">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457B167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前列腺肿瘤管理</w:t>
            </w:r>
          </w:p>
        </w:tc>
        <w:tc>
          <w:tcPr>
            <w:tcW w:w="1900" w:type="dxa"/>
            <w:vAlign w:val="center"/>
          </w:tcPr>
          <w:p w14:paraId="7F3F6DC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前列腺肿瘤患者档案信息</w:t>
            </w:r>
          </w:p>
        </w:tc>
        <w:tc>
          <w:tcPr>
            <w:tcW w:w="4392" w:type="dxa"/>
            <w:vAlign w:val="center"/>
          </w:tcPr>
          <w:p w14:paraId="15D8A94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前列腺肿瘤患者基本信息、前列腺肿瘤随访基本情况</w:t>
            </w:r>
          </w:p>
        </w:tc>
        <w:tc>
          <w:tcPr>
            <w:tcW w:w="733" w:type="dxa"/>
            <w:vMerge w:val="restart"/>
            <w:vAlign w:val="center"/>
          </w:tcPr>
          <w:p w14:paraId="1DDBC6A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664BB4E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0315E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D14549D">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468</w:t>
            </w:r>
          </w:p>
        </w:tc>
        <w:tc>
          <w:tcPr>
            <w:tcW w:w="720" w:type="dxa"/>
            <w:vMerge w:val="continue"/>
            <w:vAlign w:val="center"/>
          </w:tcPr>
          <w:p w14:paraId="4CAC0647">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077F7043">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060FF53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未建档患者信息</w:t>
            </w:r>
          </w:p>
        </w:tc>
        <w:tc>
          <w:tcPr>
            <w:tcW w:w="4392" w:type="dxa"/>
            <w:vAlign w:val="center"/>
          </w:tcPr>
          <w:p w14:paraId="0CFCBD1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管理前列腺肿瘤但未建档患者的基本信息，并提供前列腺肿瘤患者管理建档功能</w:t>
            </w:r>
          </w:p>
        </w:tc>
        <w:tc>
          <w:tcPr>
            <w:tcW w:w="733" w:type="dxa"/>
            <w:vMerge w:val="continue"/>
            <w:vAlign w:val="center"/>
          </w:tcPr>
          <w:p w14:paraId="38E1FC8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7FA5F83">
            <w:pPr>
              <w:jc w:val="center"/>
              <w:rPr>
                <w:rFonts w:hint="eastAsia" w:ascii="宋体" w:hAnsi="宋体" w:eastAsia="宋体" w:cs="宋体"/>
                <w:b w:val="0"/>
                <w:bCs w:val="0"/>
                <w:color w:val="auto"/>
                <w:kern w:val="0"/>
                <w:sz w:val="20"/>
                <w:szCs w:val="20"/>
                <w:highlight w:val="none"/>
                <w:lang w:val="en-US" w:eastAsia="zh-CN" w:bidi="ar-SA"/>
              </w:rPr>
            </w:pPr>
          </w:p>
        </w:tc>
      </w:tr>
      <w:tr w14:paraId="50C8E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A545740">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469</w:t>
            </w:r>
          </w:p>
        </w:tc>
        <w:tc>
          <w:tcPr>
            <w:tcW w:w="720" w:type="dxa"/>
            <w:vMerge w:val="continue"/>
            <w:vAlign w:val="center"/>
          </w:tcPr>
          <w:p w14:paraId="62A1FB6E">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0B1D16B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宫颈癌管理</w:t>
            </w:r>
          </w:p>
        </w:tc>
        <w:tc>
          <w:tcPr>
            <w:tcW w:w="1900" w:type="dxa"/>
            <w:vAlign w:val="center"/>
          </w:tcPr>
          <w:p w14:paraId="527F91A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宫颈癌患者档案信息</w:t>
            </w:r>
          </w:p>
        </w:tc>
        <w:tc>
          <w:tcPr>
            <w:tcW w:w="4392" w:type="dxa"/>
            <w:vAlign w:val="center"/>
          </w:tcPr>
          <w:p w14:paraId="4DEA5E3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宫颈癌患者基本信息、宫颈癌随访基本情况</w:t>
            </w:r>
          </w:p>
        </w:tc>
        <w:tc>
          <w:tcPr>
            <w:tcW w:w="733" w:type="dxa"/>
            <w:vMerge w:val="restart"/>
            <w:vAlign w:val="center"/>
          </w:tcPr>
          <w:p w14:paraId="51CC7CE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59200E8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37ED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6C939E3">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470</w:t>
            </w:r>
          </w:p>
        </w:tc>
        <w:tc>
          <w:tcPr>
            <w:tcW w:w="720" w:type="dxa"/>
            <w:vMerge w:val="continue"/>
            <w:vAlign w:val="center"/>
          </w:tcPr>
          <w:p w14:paraId="27CC25A5">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18E7CF4E">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21C0B1E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未建档患者信息</w:t>
            </w:r>
          </w:p>
        </w:tc>
        <w:tc>
          <w:tcPr>
            <w:tcW w:w="4392" w:type="dxa"/>
            <w:vAlign w:val="center"/>
          </w:tcPr>
          <w:p w14:paraId="09462F2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管理宫颈癌但未建档患者的基本信息，并提供宫颈癌患者管理建档功能</w:t>
            </w:r>
          </w:p>
        </w:tc>
        <w:tc>
          <w:tcPr>
            <w:tcW w:w="733" w:type="dxa"/>
            <w:vMerge w:val="continue"/>
            <w:vAlign w:val="center"/>
          </w:tcPr>
          <w:p w14:paraId="2C9D46A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F5025C0">
            <w:pPr>
              <w:jc w:val="center"/>
              <w:rPr>
                <w:rFonts w:hint="eastAsia" w:ascii="宋体" w:hAnsi="宋体" w:eastAsia="宋体" w:cs="宋体"/>
                <w:b w:val="0"/>
                <w:bCs w:val="0"/>
                <w:color w:val="auto"/>
                <w:kern w:val="0"/>
                <w:sz w:val="20"/>
                <w:szCs w:val="20"/>
                <w:highlight w:val="none"/>
                <w:lang w:val="en-US" w:eastAsia="zh-CN" w:bidi="ar-SA"/>
              </w:rPr>
            </w:pPr>
          </w:p>
        </w:tc>
      </w:tr>
      <w:tr w14:paraId="5FF20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B5CEDE6">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471</w:t>
            </w:r>
          </w:p>
        </w:tc>
        <w:tc>
          <w:tcPr>
            <w:tcW w:w="720" w:type="dxa"/>
            <w:vMerge w:val="continue"/>
            <w:vAlign w:val="center"/>
          </w:tcPr>
          <w:p w14:paraId="5593C04C">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57E0D94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乳腺癌管理</w:t>
            </w:r>
          </w:p>
        </w:tc>
        <w:tc>
          <w:tcPr>
            <w:tcW w:w="1900" w:type="dxa"/>
            <w:vAlign w:val="center"/>
          </w:tcPr>
          <w:p w14:paraId="698A202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乳腺癌患者档案信息</w:t>
            </w:r>
          </w:p>
        </w:tc>
        <w:tc>
          <w:tcPr>
            <w:tcW w:w="4392" w:type="dxa"/>
            <w:vAlign w:val="center"/>
          </w:tcPr>
          <w:p w14:paraId="4319BCC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乳腺癌患者基本信息、乳腺癌随访基本情况</w:t>
            </w:r>
          </w:p>
        </w:tc>
        <w:tc>
          <w:tcPr>
            <w:tcW w:w="733" w:type="dxa"/>
            <w:vMerge w:val="restart"/>
            <w:vAlign w:val="center"/>
          </w:tcPr>
          <w:p w14:paraId="78BD6B1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1B3F2C4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26D34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5F23A54">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472</w:t>
            </w:r>
          </w:p>
        </w:tc>
        <w:tc>
          <w:tcPr>
            <w:tcW w:w="720" w:type="dxa"/>
            <w:vMerge w:val="continue"/>
            <w:vAlign w:val="center"/>
          </w:tcPr>
          <w:p w14:paraId="6F8D05E5">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62B60F7A">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29B2EEC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未建档患者信息</w:t>
            </w:r>
          </w:p>
        </w:tc>
        <w:tc>
          <w:tcPr>
            <w:tcW w:w="4392" w:type="dxa"/>
            <w:vAlign w:val="center"/>
          </w:tcPr>
          <w:p w14:paraId="34DBAC8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管理乳腺癌但未建档患者的基本信息，并提供乳腺癌患者管理建档功能</w:t>
            </w:r>
          </w:p>
        </w:tc>
        <w:tc>
          <w:tcPr>
            <w:tcW w:w="733" w:type="dxa"/>
            <w:vMerge w:val="continue"/>
            <w:vAlign w:val="center"/>
          </w:tcPr>
          <w:p w14:paraId="37E9760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902D3B3">
            <w:pPr>
              <w:jc w:val="center"/>
              <w:rPr>
                <w:rFonts w:hint="eastAsia" w:ascii="宋体" w:hAnsi="宋体" w:eastAsia="宋体" w:cs="宋体"/>
                <w:b w:val="0"/>
                <w:bCs w:val="0"/>
                <w:color w:val="auto"/>
                <w:kern w:val="0"/>
                <w:sz w:val="20"/>
                <w:szCs w:val="20"/>
                <w:highlight w:val="none"/>
                <w:lang w:val="en-US" w:eastAsia="zh-CN" w:bidi="ar-SA"/>
              </w:rPr>
            </w:pPr>
          </w:p>
        </w:tc>
      </w:tr>
      <w:tr w14:paraId="76FE4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668B2A8">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473</w:t>
            </w:r>
          </w:p>
        </w:tc>
        <w:tc>
          <w:tcPr>
            <w:tcW w:w="720" w:type="dxa"/>
            <w:vMerge w:val="continue"/>
            <w:vAlign w:val="center"/>
          </w:tcPr>
          <w:p w14:paraId="6A08D9E6">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4667824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慢阻肺管理</w:t>
            </w:r>
          </w:p>
        </w:tc>
        <w:tc>
          <w:tcPr>
            <w:tcW w:w="1900" w:type="dxa"/>
            <w:vAlign w:val="center"/>
          </w:tcPr>
          <w:p w14:paraId="605A4C2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慢阻肺患者档案信息</w:t>
            </w:r>
          </w:p>
        </w:tc>
        <w:tc>
          <w:tcPr>
            <w:tcW w:w="4392" w:type="dxa"/>
            <w:vAlign w:val="center"/>
          </w:tcPr>
          <w:p w14:paraId="22BF998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慢阻肺患者基本信息、慢阻肺随访基本情况</w:t>
            </w:r>
          </w:p>
        </w:tc>
        <w:tc>
          <w:tcPr>
            <w:tcW w:w="733" w:type="dxa"/>
            <w:vMerge w:val="restart"/>
            <w:vAlign w:val="center"/>
          </w:tcPr>
          <w:p w14:paraId="47A7B2C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0F4AB12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038F0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D25469A">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474</w:t>
            </w:r>
          </w:p>
        </w:tc>
        <w:tc>
          <w:tcPr>
            <w:tcW w:w="720" w:type="dxa"/>
            <w:vMerge w:val="continue"/>
            <w:vAlign w:val="center"/>
          </w:tcPr>
          <w:p w14:paraId="77626645">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61080645">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7F853EE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未建档患者信息</w:t>
            </w:r>
          </w:p>
        </w:tc>
        <w:tc>
          <w:tcPr>
            <w:tcW w:w="4392" w:type="dxa"/>
            <w:vAlign w:val="center"/>
          </w:tcPr>
          <w:p w14:paraId="0758B56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管理慢阻肺但未建档患者的基本信息，并提供慢阻肺患者管理建档功能</w:t>
            </w:r>
          </w:p>
        </w:tc>
        <w:tc>
          <w:tcPr>
            <w:tcW w:w="733" w:type="dxa"/>
            <w:vMerge w:val="continue"/>
            <w:vAlign w:val="center"/>
          </w:tcPr>
          <w:p w14:paraId="6BB20D6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362271A">
            <w:pPr>
              <w:jc w:val="center"/>
              <w:rPr>
                <w:rFonts w:hint="eastAsia" w:ascii="宋体" w:hAnsi="宋体" w:eastAsia="宋体" w:cs="宋体"/>
                <w:b w:val="0"/>
                <w:bCs w:val="0"/>
                <w:color w:val="auto"/>
                <w:kern w:val="0"/>
                <w:sz w:val="20"/>
                <w:szCs w:val="20"/>
                <w:highlight w:val="none"/>
                <w:lang w:val="en-US" w:eastAsia="zh-CN" w:bidi="ar-SA"/>
              </w:rPr>
            </w:pPr>
          </w:p>
        </w:tc>
      </w:tr>
      <w:tr w14:paraId="773B6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35058F2">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475</w:t>
            </w:r>
          </w:p>
        </w:tc>
        <w:tc>
          <w:tcPr>
            <w:tcW w:w="720" w:type="dxa"/>
            <w:vMerge w:val="continue"/>
            <w:vAlign w:val="center"/>
          </w:tcPr>
          <w:p w14:paraId="310D99E4">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7F51F34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脑卒中</w:t>
            </w:r>
          </w:p>
        </w:tc>
        <w:tc>
          <w:tcPr>
            <w:tcW w:w="1900" w:type="dxa"/>
            <w:vAlign w:val="center"/>
          </w:tcPr>
          <w:p w14:paraId="0BA21F7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脑卒中患者档案信息</w:t>
            </w:r>
          </w:p>
        </w:tc>
        <w:tc>
          <w:tcPr>
            <w:tcW w:w="4392" w:type="dxa"/>
            <w:vAlign w:val="center"/>
          </w:tcPr>
          <w:p w14:paraId="425FE40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脑卒中患者基本信息、脑卒中随访基本情况</w:t>
            </w:r>
          </w:p>
        </w:tc>
        <w:tc>
          <w:tcPr>
            <w:tcW w:w="733" w:type="dxa"/>
            <w:vMerge w:val="restart"/>
            <w:vAlign w:val="center"/>
          </w:tcPr>
          <w:p w14:paraId="57720D4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1C27B4C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5B098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EB8DFFE">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476</w:t>
            </w:r>
          </w:p>
        </w:tc>
        <w:tc>
          <w:tcPr>
            <w:tcW w:w="720" w:type="dxa"/>
            <w:vMerge w:val="continue"/>
            <w:vAlign w:val="center"/>
          </w:tcPr>
          <w:p w14:paraId="2E928E09">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2072CA6E">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1718E11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未建档患者信息</w:t>
            </w:r>
          </w:p>
        </w:tc>
        <w:tc>
          <w:tcPr>
            <w:tcW w:w="4392" w:type="dxa"/>
            <w:vAlign w:val="center"/>
          </w:tcPr>
          <w:p w14:paraId="43DBBA0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管理脑卒中但未建档患者的基本信息，并提供脑卒中患者管理建档功能</w:t>
            </w:r>
          </w:p>
        </w:tc>
        <w:tc>
          <w:tcPr>
            <w:tcW w:w="733" w:type="dxa"/>
            <w:vMerge w:val="continue"/>
            <w:vAlign w:val="center"/>
          </w:tcPr>
          <w:p w14:paraId="2DF25BE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B443272">
            <w:pPr>
              <w:jc w:val="center"/>
              <w:rPr>
                <w:rFonts w:hint="eastAsia" w:ascii="宋体" w:hAnsi="宋体" w:eastAsia="宋体" w:cs="宋体"/>
                <w:b w:val="0"/>
                <w:bCs w:val="0"/>
                <w:color w:val="auto"/>
                <w:kern w:val="0"/>
                <w:sz w:val="20"/>
                <w:szCs w:val="20"/>
                <w:highlight w:val="none"/>
                <w:lang w:val="en-US" w:eastAsia="zh-CN" w:bidi="ar-SA"/>
              </w:rPr>
            </w:pPr>
          </w:p>
        </w:tc>
      </w:tr>
      <w:tr w14:paraId="3DBE9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92196EA">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477</w:t>
            </w:r>
          </w:p>
        </w:tc>
        <w:tc>
          <w:tcPr>
            <w:tcW w:w="720" w:type="dxa"/>
            <w:vMerge w:val="continue"/>
            <w:vAlign w:val="center"/>
          </w:tcPr>
          <w:p w14:paraId="12086ED8">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2A18211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冠心病</w:t>
            </w:r>
          </w:p>
        </w:tc>
        <w:tc>
          <w:tcPr>
            <w:tcW w:w="1900" w:type="dxa"/>
            <w:vAlign w:val="center"/>
          </w:tcPr>
          <w:p w14:paraId="3D169D1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冠心病患者档案信息</w:t>
            </w:r>
          </w:p>
        </w:tc>
        <w:tc>
          <w:tcPr>
            <w:tcW w:w="4392" w:type="dxa"/>
            <w:vAlign w:val="center"/>
          </w:tcPr>
          <w:p w14:paraId="5D51B84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冠心病患者基本信息、冠心病随访基本情况</w:t>
            </w:r>
          </w:p>
        </w:tc>
        <w:tc>
          <w:tcPr>
            <w:tcW w:w="733" w:type="dxa"/>
            <w:vMerge w:val="restart"/>
            <w:vAlign w:val="center"/>
          </w:tcPr>
          <w:p w14:paraId="43C7BCC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04612B5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19624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6AEC2A7">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478</w:t>
            </w:r>
          </w:p>
        </w:tc>
        <w:tc>
          <w:tcPr>
            <w:tcW w:w="720" w:type="dxa"/>
            <w:vMerge w:val="continue"/>
            <w:vAlign w:val="center"/>
          </w:tcPr>
          <w:p w14:paraId="37F24637">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38E5D52B">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3ED98D3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未建档患者信息</w:t>
            </w:r>
          </w:p>
        </w:tc>
        <w:tc>
          <w:tcPr>
            <w:tcW w:w="4392" w:type="dxa"/>
            <w:vAlign w:val="center"/>
          </w:tcPr>
          <w:p w14:paraId="33A92DA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管理冠心病但未建档患者的基本信息，并提供冠心病患者管理建档功能</w:t>
            </w:r>
          </w:p>
        </w:tc>
        <w:tc>
          <w:tcPr>
            <w:tcW w:w="733" w:type="dxa"/>
            <w:vMerge w:val="continue"/>
            <w:vAlign w:val="center"/>
          </w:tcPr>
          <w:p w14:paraId="3288554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39DD4E6">
            <w:pPr>
              <w:jc w:val="center"/>
              <w:rPr>
                <w:rFonts w:hint="eastAsia" w:ascii="宋体" w:hAnsi="宋体" w:eastAsia="宋体" w:cs="宋体"/>
                <w:b w:val="0"/>
                <w:bCs w:val="0"/>
                <w:color w:val="auto"/>
                <w:kern w:val="0"/>
                <w:sz w:val="20"/>
                <w:szCs w:val="20"/>
                <w:highlight w:val="none"/>
                <w:lang w:val="en-US" w:eastAsia="zh-CN" w:bidi="ar-SA"/>
              </w:rPr>
            </w:pPr>
          </w:p>
        </w:tc>
      </w:tr>
      <w:tr w14:paraId="4552D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4CB312A">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479</w:t>
            </w:r>
          </w:p>
        </w:tc>
        <w:tc>
          <w:tcPr>
            <w:tcW w:w="720" w:type="dxa"/>
            <w:vMerge w:val="continue"/>
            <w:vAlign w:val="center"/>
          </w:tcPr>
          <w:p w14:paraId="716EFFF5">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2AC9286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并发症查询</w:t>
            </w:r>
          </w:p>
        </w:tc>
        <w:tc>
          <w:tcPr>
            <w:tcW w:w="1900" w:type="dxa"/>
            <w:vAlign w:val="center"/>
          </w:tcPr>
          <w:p w14:paraId="79E9813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并发症患者信息查询</w:t>
            </w:r>
          </w:p>
        </w:tc>
        <w:tc>
          <w:tcPr>
            <w:tcW w:w="4392" w:type="dxa"/>
            <w:vAlign w:val="center"/>
          </w:tcPr>
          <w:p w14:paraId="7B3271B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管理具有多个慢病并发症患者的基本信息，并提供并发症患者随访功能</w:t>
            </w:r>
          </w:p>
        </w:tc>
        <w:tc>
          <w:tcPr>
            <w:tcW w:w="733" w:type="dxa"/>
            <w:vAlign w:val="center"/>
          </w:tcPr>
          <w:p w14:paraId="6AE1336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1C69FF9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24B8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503BA01">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480</w:t>
            </w:r>
          </w:p>
        </w:tc>
        <w:tc>
          <w:tcPr>
            <w:tcW w:w="720" w:type="dxa"/>
            <w:vMerge w:val="continue"/>
            <w:vAlign w:val="center"/>
          </w:tcPr>
          <w:p w14:paraId="1BC55339">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45E5D90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未建档患者识别</w:t>
            </w:r>
          </w:p>
        </w:tc>
        <w:tc>
          <w:tcPr>
            <w:tcW w:w="1900" w:type="dxa"/>
            <w:vAlign w:val="center"/>
          </w:tcPr>
          <w:p w14:paraId="3E42A69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识别未建档患者信息</w:t>
            </w:r>
          </w:p>
        </w:tc>
        <w:tc>
          <w:tcPr>
            <w:tcW w:w="4392" w:type="dxa"/>
            <w:vAlign w:val="center"/>
          </w:tcPr>
          <w:p w14:paraId="6B606AB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识别并未建立健康档案居民的基本信息</w:t>
            </w:r>
          </w:p>
        </w:tc>
        <w:tc>
          <w:tcPr>
            <w:tcW w:w="733" w:type="dxa"/>
            <w:vMerge w:val="restart"/>
            <w:vAlign w:val="center"/>
          </w:tcPr>
          <w:p w14:paraId="3139295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3BA0645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47FE5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83" w:type="dxa"/>
            <w:vAlign w:val="center"/>
          </w:tcPr>
          <w:p w14:paraId="01BCCD1C">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481</w:t>
            </w:r>
          </w:p>
        </w:tc>
        <w:tc>
          <w:tcPr>
            <w:tcW w:w="720" w:type="dxa"/>
            <w:vMerge w:val="continue"/>
            <w:vAlign w:val="center"/>
          </w:tcPr>
          <w:p w14:paraId="7A1AFE6A">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54F08791">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0C99FC6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建立居民健康档案</w:t>
            </w:r>
          </w:p>
        </w:tc>
        <w:tc>
          <w:tcPr>
            <w:tcW w:w="4392" w:type="dxa"/>
            <w:vAlign w:val="center"/>
          </w:tcPr>
          <w:p w14:paraId="077F2F9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对已识别的未建档的居民建立健康档案</w:t>
            </w:r>
          </w:p>
        </w:tc>
        <w:tc>
          <w:tcPr>
            <w:tcW w:w="733" w:type="dxa"/>
            <w:vMerge w:val="continue"/>
            <w:vAlign w:val="center"/>
          </w:tcPr>
          <w:p w14:paraId="73E2DE9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29A349A">
            <w:pPr>
              <w:jc w:val="center"/>
              <w:rPr>
                <w:rFonts w:hint="eastAsia" w:ascii="宋体" w:hAnsi="宋体" w:eastAsia="宋体" w:cs="宋体"/>
                <w:b w:val="0"/>
                <w:bCs w:val="0"/>
                <w:color w:val="auto"/>
                <w:kern w:val="0"/>
                <w:sz w:val="20"/>
                <w:szCs w:val="20"/>
                <w:highlight w:val="none"/>
                <w:lang w:val="en-US" w:eastAsia="zh-CN" w:bidi="ar-SA"/>
              </w:rPr>
            </w:pPr>
          </w:p>
        </w:tc>
      </w:tr>
      <w:tr w14:paraId="61E7A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68A5DC2">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482</w:t>
            </w:r>
          </w:p>
        </w:tc>
        <w:tc>
          <w:tcPr>
            <w:tcW w:w="720" w:type="dxa"/>
            <w:vMerge w:val="continue"/>
            <w:vAlign w:val="center"/>
          </w:tcPr>
          <w:p w14:paraId="7865ABA7">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520B4B6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高位状态识别</w:t>
            </w:r>
          </w:p>
        </w:tc>
        <w:tc>
          <w:tcPr>
            <w:tcW w:w="1900" w:type="dxa"/>
            <w:vAlign w:val="center"/>
          </w:tcPr>
          <w:p w14:paraId="1E40F24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高位状态识别信息</w:t>
            </w:r>
          </w:p>
        </w:tc>
        <w:tc>
          <w:tcPr>
            <w:tcW w:w="4392" w:type="dxa"/>
            <w:vAlign w:val="center"/>
          </w:tcPr>
          <w:p w14:paraId="677655F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识别慢病高危预警患者信息并展示</w:t>
            </w:r>
          </w:p>
        </w:tc>
        <w:tc>
          <w:tcPr>
            <w:tcW w:w="733" w:type="dxa"/>
            <w:vAlign w:val="center"/>
          </w:tcPr>
          <w:p w14:paraId="0CF851EE">
            <w:pPr>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7D230709">
            <w:pPr>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1</w:t>
            </w:r>
          </w:p>
        </w:tc>
      </w:tr>
      <w:tr w14:paraId="49366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B872EF8">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483</w:t>
            </w:r>
          </w:p>
        </w:tc>
        <w:tc>
          <w:tcPr>
            <w:tcW w:w="720" w:type="dxa"/>
            <w:vMerge w:val="continue"/>
            <w:vAlign w:val="center"/>
          </w:tcPr>
          <w:p w14:paraId="25BD3AE6">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3292EE1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随访流程</w:t>
            </w:r>
          </w:p>
        </w:tc>
        <w:tc>
          <w:tcPr>
            <w:tcW w:w="1900" w:type="dxa"/>
            <w:vAlign w:val="center"/>
          </w:tcPr>
          <w:p w14:paraId="20F67EA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随访流程信息展示</w:t>
            </w:r>
          </w:p>
        </w:tc>
        <w:tc>
          <w:tcPr>
            <w:tcW w:w="4392" w:type="dxa"/>
            <w:vAlign w:val="center"/>
          </w:tcPr>
          <w:p w14:paraId="4F8C3D4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支持查看患者历次随访信息和疾病分级信息，根据分级信息，查询该级别对应的随访流程。</w:t>
            </w:r>
          </w:p>
        </w:tc>
        <w:tc>
          <w:tcPr>
            <w:tcW w:w="733" w:type="dxa"/>
            <w:vAlign w:val="center"/>
          </w:tcPr>
          <w:p w14:paraId="58285BA5">
            <w:pPr>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6FC14D96">
            <w:pPr>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1</w:t>
            </w:r>
          </w:p>
        </w:tc>
      </w:tr>
      <w:tr w14:paraId="0F5B0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D597052">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484</w:t>
            </w:r>
          </w:p>
        </w:tc>
        <w:tc>
          <w:tcPr>
            <w:tcW w:w="720" w:type="dxa"/>
            <w:vMerge w:val="continue"/>
            <w:vAlign w:val="center"/>
          </w:tcPr>
          <w:p w14:paraId="674BF82F">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51065BC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红黄绿患者标记</w:t>
            </w:r>
          </w:p>
        </w:tc>
        <w:tc>
          <w:tcPr>
            <w:tcW w:w="1900" w:type="dxa"/>
            <w:vAlign w:val="center"/>
          </w:tcPr>
          <w:p w14:paraId="46CAFD3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红黄绿患者标记信息</w:t>
            </w:r>
          </w:p>
        </w:tc>
        <w:tc>
          <w:tcPr>
            <w:tcW w:w="4392" w:type="dxa"/>
            <w:vAlign w:val="center"/>
          </w:tcPr>
          <w:p w14:paraId="45C77F8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支持根据慢性疾病设定的分级（红、黄、绿三色）信息。</w:t>
            </w:r>
          </w:p>
        </w:tc>
        <w:tc>
          <w:tcPr>
            <w:tcW w:w="733" w:type="dxa"/>
            <w:vMerge w:val="restart"/>
            <w:vAlign w:val="center"/>
          </w:tcPr>
          <w:p w14:paraId="6B3FB09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738632C7">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2.5</w:t>
            </w:r>
          </w:p>
        </w:tc>
      </w:tr>
      <w:tr w14:paraId="501FA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352E9A6">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485</w:t>
            </w:r>
          </w:p>
        </w:tc>
        <w:tc>
          <w:tcPr>
            <w:tcW w:w="720" w:type="dxa"/>
            <w:vMerge w:val="continue"/>
            <w:vAlign w:val="center"/>
          </w:tcPr>
          <w:p w14:paraId="7E3671A7">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2D81FE6F">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67FBF44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患者转诊</w:t>
            </w:r>
          </w:p>
        </w:tc>
        <w:tc>
          <w:tcPr>
            <w:tcW w:w="4392" w:type="dxa"/>
            <w:vAlign w:val="center"/>
          </w:tcPr>
          <w:p w14:paraId="4E930A6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对于红色级别的患者，提供双向转诊管理功能。</w:t>
            </w:r>
          </w:p>
        </w:tc>
        <w:tc>
          <w:tcPr>
            <w:tcW w:w="733" w:type="dxa"/>
            <w:vMerge w:val="continue"/>
            <w:vAlign w:val="center"/>
          </w:tcPr>
          <w:p w14:paraId="19BF365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0ADEF24">
            <w:pPr>
              <w:jc w:val="center"/>
              <w:rPr>
                <w:rFonts w:hint="eastAsia" w:ascii="宋体" w:hAnsi="宋体" w:eastAsia="宋体" w:cs="宋体"/>
                <w:b w:val="0"/>
                <w:bCs w:val="0"/>
                <w:color w:val="auto"/>
                <w:kern w:val="0"/>
                <w:sz w:val="20"/>
                <w:szCs w:val="20"/>
                <w:highlight w:val="none"/>
                <w:lang w:val="en-US" w:eastAsia="zh-CN" w:bidi="ar-SA"/>
              </w:rPr>
            </w:pPr>
          </w:p>
        </w:tc>
      </w:tr>
      <w:tr w14:paraId="3E7CF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583" w:type="dxa"/>
            <w:vAlign w:val="center"/>
          </w:tcPr>
          <w:p w14:paraId="0BCD19BD">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486</w:t>
            </w:r>
          </w:p>
        </w:tc>
        <w:tc>
          <w:tcPr>
            <w:tcW w:w="720" w:type="dxa"/>
            <w:vMerge w:val="continue"/>
            <w:vAlign w:val="center"/>
          </w:tcPr>
          <w:p w14:paraId="319BA49A">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5A370C9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健康档案功能</w:t>
            </w:r>
          </w:p>
        </w:tc>
        <w:tc>
          <w:tcPr>
            <w:tcW w:w="1900" w:type="dxa"/>
            <w:vAlign w:val="center"/>
          </w:tcPr>
          <w:p w14:paraId="42B12D3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健康档案建档</w:t>
            </w:r>
          </w:p>
        </w:tc>
        <w:tc>
          <w:tcPr>
            <w:tcW w:w="4392" w:type="dxa"/>
            <w:vAlign w:val="center"/>
          </w:tcPr>
          <w:p w14:paraId="0B81368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支持首诊医生实时建立标准化、数字化的健康档案。并支持已建立档案和其他慢病专案的患者，合并档案，建立多疾病专案。</w:t>
            </w:r>
          </w:p>
        </w:tc>
        <w:tc>
          <w:tcPr>
            <w:tcW w:w="733" w:type="dxa"/>
            <w:vAlign w:val="center"/>
          </w:tcPr>
          <w:p w14:paraId="6E1E279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576935D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14448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262F2B8">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487</w:t>
            </w:r>
          </w:p>
        </w:tc>
        <w:tc>
          <w:tcPr>
            <w:tcW w:w="720" w:type="dxa"/>
            <w:vMerge w:val="continue"/>
            <w:vAlign w:val="center"/>
          </w:tcPr>
          <w:p w14:paraId="6E0FB346">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36ED05F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人口画像自动识别</w:t>
            </w:r>
          </w:p>
        </w:tc>
        <w:tc>
          <w:tcPr>
            <w:tcW w:w="1900" w:type="dxa"/>
            <w:vAlign w:val="center"/>
          </w:tcPr>
          <w:p w14:paraId="2D757C3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人口画像自动识别</w:t>
            </w:r>
          </w:p>
        </w:tc>
        <w:tc>
          <w:tcPr>
            <w:tcW w:w="4392" w:type="dxa"/>
            <w:vAlign w:val="center"/>
          </w:tcPr>
          <w:p w14:paraId="045F356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通过采集各类HIS的门诊电子病历和公卫平台数据或根据随访结果信息并结合相关疾病特征进行分析，对符合疾病特征的居民进行筛查并疾病人群分类</w:t>
            </w:r>
          </w:p>
        </w:tc>
        <w:tc>
          <w:tcPr>
            <w:tcW w:w="733" w:type="dxa"/>
            <w:vAlign w:val="center"/>
          </w:tcPr>
          <w:p w14:paraId="6B9846E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1EE6BF4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76FB7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2A86D42">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488</w:t>
            </w:r>
          </w:p>
        </w:tc>
        <w:tc>
          <w:tcPr>
            <w:tcW w:w="720" w:type="dxa"/>
            <w:vMerge w:val="continue"/>
            <w:vAlign w:val="center"/>
          </w:tcPr>
          <w:p w14:paraId="1F036A9E">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76240E9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死亡停管功能</w:t>
            </w:r>
          </w:p>
        </w:tc>
        <w:tc>
          <w:tcPr>
            <w:tcW w:w="1900" w:type="dxa"/>
            <w:vAlign w:val="center"/>
          </w:tcPr>
          <w:p w14:paraId="5CEB357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死亡停管功能</w:t>
            </w:r>
          </w:p>
        </w:tc>
        <w:tc>
          <w:tcPr>
            <w:tcW w:w="4392" w:type="dxa"/>
            <w:vAlign w:val="center"/>
          </w:tcPr>
          <w:p w14:paraId="2D28622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标记已死亡的居民信息，并提供健康档案停管功能</w:t>
            </w:r>
          </w:p>
        </w:tc>
        <w:tc>
          <w:tcPr>
            <w:tcW w:w="733" w:type="dxa"/>
            <w:vAlign w:val="center"/>
          </w:tcPr>
          <w:p w14:paraId="18E9700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21F0459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09B52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B19ADBF">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489</w:t>
            </w:r>
          </w:p>
        </w:tc>
        <w:tc>
          <w:tcPr>
            <w:tcW w:w="720" w:type="dxa"/>
            <w:vMerge w:val="continue"/>
            <w:vAlign w:val="center"/>
          </w:tcPr>
          <w:p w14:paraId="6D9CC1D3">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3B3C750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档案手工维护</w:t>
            </w:r>
          </w:p>
        </w:tc>
        <w:tc>
          <w:tcPr>
            <w:tcW w:w="1900" w:type="dxa"/>
            <w:vAlign w:val="center"/>
          </w:tcPr>
          <w:p w14:paraId="4660562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档案信息维护</w:t>
            </w:r>
          </w:p>
        </w:tc>
        <w:tc>
          <w:tcPr>
            <w:tcW w:w="4392" w:type="dxa"/>
            <w:vAlign w:val="center"/>
          </w:tcPr>
          <w:p w14:paraId="1A3EC6F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提供上级管理用户可对居民的健康档案信息内容进行手工修改功能</w:t>
            </w:r>
          </w:p>
        </w:tc>
        <w:tc>
          <w:tcPr>
            <w:tcW w:w="733" w:type="dxa"/>
            <w:vAlign w:val="center"/>
          </w:tcPr>
          <w:p w14:paraId="2A29AE1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34148A7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1E6F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265D126">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490</w:t>
            </w:r>
          </w:p>
        </w:tc>
        <w:tc>
          <w:tcPr>
            <w:tcW w:w="720" w:type="dxa"/>
            <w:vMerge w:val="continue"/>
            <w:vAlign w:val="center"/>
          </w:tcPr>
          <w:p w14:paraId="3191E228">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332FE66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机构列表导入</w:t>
            </w:r>
          </w:p>
        </w:tc>
        <w:tc>
          <w:tcPr>
            <w:tcW w:w="1900" w:type="dxa"/>
            <w:vAlign w:val="center"/>
          </w:tcPr>
          <w:p w14:paraId="51815DC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机构列表信息导入</w:t>
            </w:r>
          </w:p>
        </w:tc>
        <w:tc>
          <w:tcPr>
            <w:tcW w:w="4392" w:type="dxa"/>
            <w:vAlign w:val="center"/>
          </w:tcPr>
          <w:p w14:paraId="2F2BED2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可通过Excel格式文件对机构信息进行导入并维护</w:t>
            </w:r>
          </w:p>
        </w:tc>
        <w:tc>
          <w:tcPr>
            <w:tcW w:w="733" w:type="dxa"/>
            <w:vAlign w:val="center"/>
          </w:tcPr>
          <w:p w14:paraId="5EAD75A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55FD332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58098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EB8226F">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491</w:t>
            </w:r>
          </w:p>
        </w:tc>
        <w:tc>
          <w:tcPr>
            <w:tcW w:w="720" w:type="dxa"/>
            <w:vMerge w:val="continue"/>
            <w:vAlign w:val="center"/>
          </w:tcPr>
          <w:p w14:paraId="5031B2BA">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31FC4B4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健康随访功能</w:t>
            </w:r>
          </w:p>
        </w:tc>
        <w:tc>
          <w:tcPr>
            <w:tcW w:w="1900" w:type="dxa"/>
            <w:vAlign w:val="center"/>
          </w:tcPr>
          <w:p w14:paraId="03A8D1C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随访计划信息展示</w:t>
            </w:r>
          </w:p>
        </w:tc>
        <w:tc>
          <w:tcPr>
            <w:tcW w:w="4392" w:type="dxa"/>
            <w:vAlign w:val="center"/>
          </w:tcPr>
          <w:p w14:paraId="11BFB3F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展示待随访、逾期随访计划信息；可新增、修改、查看详细和删除随访计划。</w:t>
            </w:r>
          </w:p>
        </w:tc>
        <w:tc>
          <w:tcPr>
            <w:tcW w:w="733" w:type="dxa"/>
            <w:vMerge w:val="restart"/>
            <w:vAlign w:val="center"/>
          </w:tcPr>
          <w:p w14:paraId="743E13C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7909304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73402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0340C7F">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492</w:t>
            </w:r>
          </w:p>
        </w:tc>
        <w:tc>
          <w:tcPr>
            <w:tcW w:w="720" w:type="dxa"/>
            <w:vMerge w:val="continue"/>
            <w:vAlign w:val="center"/>
          </w:tcPr>
          <w:p w14:paraId="7278717D">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014391B2">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35AF7E0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执行随访</w:t>
            </w:r>
          </w:p>
        </w:tc>
        <w:tc>
          <w:tcPr>
            <w:tcW w:w="4392" w:type="dxa"/>
            <w:vAlign w:val="center"/>
          </w:tcPr>
          <w:p w14:paraId="53F8C55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随访人员执行随访计划中随访任务。并根据随访对象的实际情况填写随访记录表单内容，并且单次随访支持针对多个疾病同时随访</w:t>
            </w:r>
          </w:p>
        </w:tc>
        <w:tc>
          <w:tcPr>
            <w:tcW w:w="733" w:type="dxa"/>
            <w:vMerge w:val="continue"/>
            <w:vAlign w:val="center"/>
          </w:tcPr>
          <w:p w14:paraId="1F4D289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38C80EC">
            <w:pPr>
              <w:jc w:val="center"/>
              <w:rPr>
                <w:rFonts w:hint="eastAsia" w:ascii="宋体" w:hAnsi="宋体" w:eastAsia="宋体" w:cs="宋体"/>
                <w:b w:val="0"/>
                <w:bCs w:val="0"/>
                <w:color w:val="auto"/>
                <w:kern w:val="0"/>
                <w:sz w:val="20"/>
                <w:szCs w:val="20"/>
                <w:highlight w:val="none"/>
                <w:lang w:val="en-US" w:eastAsia="zh-CN" w:bidi="ar-SA"/>
              </w:rPr>
            </w:pPr>
          </w:p>
        </w:tc>
      </w:tr>
      <w:tr w14:paraId="7487F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A62922A">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493</w:t>
            </w:r>
          </w:p>
        </w:tc>
        <w:tc>
          <w:tcPr>
            <w:tcW w:w="720" w:type="dxa"/>
            <w:vMerge w:val="continue"/>
            <w:vAlign w:val="center"/>
          </w:tcPr>
          <w:p w14:paraId="24066271">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0677D38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随访提醒</w:t>
            </w:r>
          </w:p>
        </w:tc>
        <w:tc>
          <w:tcPr>
            <w:tcW w:w="1900" w:type="dxa"/>
            <w:vAlign w:val="center"/>
          </w:tcPr>
          <w:p w14:paraId="0B54FD5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随访提醒</w:t>
            </w:r>
          </w:p>
        </w:tc>
        <w:tc>
          <w:tcPr>
            <w:tcW w:w="4392" w:type="dxa"/>
            <w:vAlign w:val="center"/>
          </w:tcPr>
          <w:p w14:paraId="0414D3F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根据制定的随访计划，可通过短信、微信和电话的形式对随访执行人员和随访对象进行通知提醒</w:t>
            </w:r>
          </w:p>
        </w:tc>
        <w:tc>
          <w:tcPr>
            <w:tcW w:w="733" w:type="dxa"/>
            <w:vAlign w:val="center"/>
          </w:tcPr>
          <w:p w14:paraId="1679DE6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64DF4F0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59655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5A3A974">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494</w:t>
            </w:r>
          </w:p>
        </w:tc>
        <w:tc>
          <w:tcPr>
            <w:tcW w:w="720" w:type="dxa"/>
            <w:vMerge w:val="continue"/>
            <w:vAlign w:val="center"/>
          </w:tcPr>
          <w:p w14:paraId="4BDB0890">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4C56934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健康处方功能</w:t>
            </w:r>
          </w:p>
        </w:tc>
        <w:tc>
          <w:tcPr>
            <w:tcW w:w="1900" w:type="dxa"/>
            <w:vAlign w:val="center"/>
          </w:tcPr>
          <w:p w14:paraId="570806B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健康处方展示</w:t>
            </w:r>
          </w:p>
        </w:tc>
        <w:tc>
          <w:tcPr>
            <w:tcW w:w="4392" w:type="dxa"/>
            <w:vAlign w:val="center"/>
          </w:tcPr>
          <w:p w14:paraId="5252048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针对特殊疾病居民，结合各类HIS的门诊电子病历和公卫平台数据或根据随访结果信息展示响应的健康处方，并提供处方打印功能</w:t>
            </w:r>
          </w:p>
        </w:tc>
        <w:tc>
          <w:tcPr>
            <w:tcW w:w="733" w:type="dxa"/>
            <w:vMerge w:val="restart"/>
            <w:vAlign w:val="center"/>
          </w:tcPr>
          <w:p w14:paraId="053FECD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4A497EC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4A7D8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821B4EA">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495</w:t>
            </w:r>
          </w:p>
        </w:tc>
        <w:tc>
          <w:tcPr>
            <w:tcW w:w="720" w:type="dxa"/>
            <w:vMerge w:val="continue"/>
            <w:vAlign w:val="center"/>
          </w:tcPr>
          <w:p w14:paraId="65442E2B">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059CCFF0">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492F063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处方模板</w:t>
            </w:r>
          </w:p>
        </w:tc>
        <w:tc>
          <w:tcPr>
            <w:tcW w:w="4392" w:type="dxa"/>
            <w:vAlign w:val="center"/>
          </w:tcPr>
          <w:p w14:paraId="29FDA2F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维护健康处方内容模板，可动态生成各类健康处方内容。并提供模板的新增、修改和删除功能</w:t>
            </w:r>
          </w:p>
        </w:tc>
        <w:tc>
          <w:tcPr>
            <w:tcW w:w="733" w:type="dxa"/>
            <w:vMerge w:val="continue"/>
            <w:vAlign w:val="center"/>
          </w:tcPr>
          <w:p w14:paraId="7D87AD2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68A49DD">
            <w:pPr>
              <w:jc w:val="center"/>
              <w:rPr>
                <w:rFonts w:hint="eastAsia" w:ascii="宋体" w:hAnsi="宋体" w:eastAsia="宋体" w:cs="宋体"/>
                <w:b w:val="0"/>
                <w:bCs w:val="0"/>
                <w:color w:val="auto"/>
                <w:kern w:val="0"/>
                <w:sz w:val="20"/>
                <w:szCs w:val="20"/>
                <w:highlight w:val="none"/>
                <w:lang w:val="en-US" w:eastAsia="zh-CN" w:bidi="ar-SA"/>
              </w:rPr>
            </w:pPr>
          </w:p>
        </w:tc>
      </w:tr>
      <w:tr w14:paraId="2EFA7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DE6042C">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496</w:t>
            </w:r>
          </w:p>
        </w:tc>
        <w:tc>
          <w:tcPr>
            <w:tcW w:w="720" w:type="dxa"/>
            <w:vMerge w:val="continue"/>
            <w:vAlign w:val="center"/>
          </w:tcPr>
          <w:p w14:paraId="72F678E6">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2F2DB0A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健康积分功能</w:t>
            </w:r>
          </w:p>
        </w:tc>
        <w:tc>
          <w:tcPr>
            <w:tcW w:w="1900" w:type="dxa"/>
            <w:vAlign w:val="center"/>
          </w:tcPr>
          <w:p w14:paraId="2B0CF83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居民积分管理</w:t>
            </w:r>
          </w:p>
        </w:tc>
        <w:tc>
          <w:tcPr>
            <w:tcW w:w="4392" w:type="dxa"/>
            <w:vAlign w:val="center"/>
          </w:tcPr>
          <w:p w14:paraId="4D5EC25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根据居民的健康行为（参加健康知识讲座、健康体检、慢病患者自我管理、更新居民健康档案）为居民进行积分管理</w:t>
            </w:r>
          </w:p>
        </w:tc>
        <w:tc>
          <w:tcPr>
            <w:tcW w:w="733" w:type="dxa"/>
            <w:vMerge w:val="restart"/>
            <w:vAlign w:val="center"/>
          </w:tcPr>
          <w:p w14:paraId="2492E9C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0FC8A2B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61DB7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D3AD695">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497</w:t>
            </w:r>
          </w:p>
        </w:tc>
        <w:tc>
          <w:tcPr>
            <w:tcW w:w="720" w:type="dxa"/>
            <w:vMerge w:val="continue"/>
            <w:vAlign w:val="center"/>
          </w:tcPr>
          <w:p w14:paraId="2D9D909D">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4DEC7D90">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3417692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健康积分项目管理</w:t>
            </w:r>
          </w:p>
        </w:tc>
        <w:tc>
          <w:tcPr>
            <w:tcW w:w="4392" w:type="dxa"/>
            <w:vAlign w:val="center"/>
          </w:tcPr>
          <w:p w14:paraId="5A93245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可动态维护健康积分项目（积分项目、积分周期等）内容</w:t>
            </w:r>
          </w:p>
        </w:tc>
        <w:tc>
          <w:tcPr>
            <w:tcW w:w="733" w:type="dxa"/>
            <w:vMerge w:val="continue"/>
            <w:vAlign w:val="center"/>
          </w:tcPr>
          <w:p w14:paraId="3D2790F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8D74087">
            <w:pPr>
              <w:jc w:val="center"/>
              <w:rPr>
                <w:rFonts w:hint="eastAsia" w:ascii="宋体" w:hAnsi="宋体" w:eastAsia="宋体" w:cs="宋体"/>
                <w:b w:val="0"/>
                <w:bCs w:val="0"/>
                <w:color w:val="auto"/>
                <w:kern w:val="0"/>
                <w:sz w:val="20"/>
                <w:szCs w:val="20"/>
                <w:highlight w:val="none"/>
                <w:lang w:val="en-US" w:eastAsia="zh-CN" w:bidi="ar-SA"/>
              </w:rPr>
            </w:pPr>
          </w:p>
        </w:tc>
      </w:tr>
      <w:tr w14:paraId="2DEB8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9CA6B56">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498</w:t>
            </w:r>
          </w:p>
        </w:tc>
        <w:tc>
          <w:tcPr>
            <w:tcW w:w="720" w:type="dxa"/>
            <w:vMerge w:val="continue"/>
            <w:vAlign w:val="center"/>
          </w:tcPr>
          <w:p w14:paraId="697C7C91">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3203F1D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健康穿戴设备对接接口</w:t>
            </w:r>
          </w:p>
        </w:tc>
        <w:tc>
          <w:tcPr>
            <w:tcW w:w="1900" w:type="dxa"/>
            <w:vAlign w:val="center"/>
          </w:tcPr>
          <w:p w14:paraId="2BA56A8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健康指标数据</w:t>
            </w:r>
          </w:p>
        </w:tc>
        <w:tc>
          <w:tcPr>
            <w:tcW w:w="4392" w:type="dxa"/>
            <w:vAlign w:val="center"/>
          </w:tcPr>
          <w:p w14:paraId="5935555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系统通过穿戴设备数据接口获取居民的健康数据，对获取到的数据进行展示。方便医生了解居民的健康状况，以便及时进行干预。</w:t>
            </w:r>
          </w:p>
        </w:tc>
        <w:tc>
          <w:tcPr>
            <w:tcW w:w="733" w:type="dxa"/>
            <w:vMerge w:val="restart"/>
            <w:vAlign w:val="center"/>
          </w:tcPr>
          <w:p w14:paraId="4D21FF6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3CB1CC5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6EAEF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98A96E6">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499</w:t>
            </w:r>
          </w:p>
        </w:tc>
        <w:tc>
          <w:tcPr>
            <w:tcW w:w="720" w:type="dxa"/>
            <w:vMerge w:val="continue"/>
            <w:vAlign w:val="center"/>
          </w:tcPr>
          <w:p w14:paraId="4FA2BAA6">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670DA25F">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1F5135F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健康指标预警</w:t>
            </w:r>
          </w:p>
        </w:tc>
        <w:tc>
          <w:tcPr>
            <w:tcW w:w="4392" w:type="dxa"/>
            <w:vAlign w:val="center"/>
          </w:tcPr>
          <w:p w14:paraId="273B603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对于中老年人系统通过穿戴设备数据接口监测到心率异常或血压升高时，可以自动发送警报提醒。</w:t>
            </w:r>
          </w:p>
        </w:tc>
        <w:tc>
          <w:tcPr>
            <w:tcW w:w="733" w:type="dxa"/>
            <w:vMerge w:val="continue"/>
            <w:vAlign w:val="center"/>
          </w:tcPr>
          <w:p w14:paraId="3DC067A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4B8CD45">
            <w:pPr>
              <w:jc w:val="center"/>
              <w:rPr>
                <w:rFonts w:hint="eastAsia" w:ascii="宋体" w:hAnsi="宋体" w:eastAsia="宋体" w:cs="宋体"/>
                <w:b w:val="0"/>
                <w:bCs w:val="0"/>
                <w:color w:val="auto"/>
                <w:kern w:val="0"/>
                <w:sz w:val="20"/>
                <w:szCs w:val="20"/>
                <w:highlight w:val="none"/>
                <w:lang w:val="en-US" w:eastAsia="zh-CN" w:bidi="ar-SA"/>
              </w:rPr>
            </w:pPr>
          </w:p>
        </w:tc>
      </w:tr>
      <w:tr w14:paraId="054F7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FA9FC98">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500</w:t>
            </w:r>
          </w:p>
        </w:tc>
        <w:tc>
          <w:tcPr>
            <w:tcW w:w="720" w:type="dxa"/>
            <w:vMerge w:val="continue"/>
            <w:vAlign w:val="center"/>
          </w:tcPr>
          <w:p w14:paraId="5D4962A1">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6D2027D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健康随访质量控制</w:t>
            </w:r>
          </w:p>
        </w:tc>
        <w:tc>
          <w:tcPr>
            <w:tcW w:w="1900" w:type="dxa"/>
            <w:vAlign w:val="center"/>
          </w:tcPr>
          <w:p w14:paraId="74ED0C1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质量控制核查项目管理</w:t>
            </w:r>
          </w:p>
        </w:tc>
        <w:tc>
          <w:tcPr>
            <w:tcW w:w="4392" w:type="dxa"/>
            <w:vAlign w:val="center"/>
          </w:tcPr>
          <w:p w14:paraId="3C0B5CC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基本信息，包括：核查点名称、核查标准、完整性判断等信息。</w:t>
            </w:r>
          </w:p>
        </w:tc>
        <w:tc>
          <w:tcPr>
            <w:tcW w:w="733" w:type="dxa"/>
            <w:vMerge w:val="restart"/>
            <w:vAlign w:val="center"/>
          </w:tcPr>
          <w:p w14:paraId="39F3CED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39E94BD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66DE2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5A2EABD">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501</w:t>
            </w:r>
          </w:p>
        </w:tc>
        <w:tc>
          <w:tcPr>
            <w:tcW w:w="720" w:type="dxa"/>
            <w:vMerge w:val="continue"/>
            <w:vAlign w:val="center"/>
          </w:tcPr>
          <w:p w14:paraId="44DD7004">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4DC193B9">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4C78EBF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随访记录质控</w:t>
            </w:r>
          </w:p>
        </w:tc>
        <w:tc>
          <w:tcPr>
            <w:tcW w:w="4392" w:type="dxa"/>
            <w:vAlign w:val="center"/>
          </w:tcPr>
          <w:p w14:paraId="187919E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根据系统配置的核查项目信息，对已随访的记录信息进行质控处理，并展示相关质控结果。</w:t>
            </w:r>
          </w:p>
        </w:tc>
        <w:tc>
          <w:tcPr>
            <w:tcW w:w="733" w:type="dxa"/>
            <w:vMerge w:val="continue"/>
            <w:vAlign w:val="center"/>
          </w:tcPr>
          <w:p w14:paraId="6FEEA4E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F917548">
            <w:pPr>
              <w:jc w:val="center"/>
              <w:rPr>
                <w:rFonts w:hint="eastAsia" w:ascii="宋体" w:hAnsi="宋体" w:eastAsia="宋体" w:cs="宋体"/>
                <w:b w:val="0"/>
                <w:bCs w:val="0"/>
                <w:color w:val="auto"/>
                <w:kern w:val="0"/>
                <w:sz w:val="20"/>
                <w:szCs w:val="20"/>
                <w:highlight w:val="none"/>
                <w:lang w:val="en-US" w:eastAsia="zh-CN" w:bidi="ar-SA"/>
              </w:rPr>
            </w:pPr>
          </w:p>
        </w:tc>
      </w:tr>
      <w:tr w14:paraId="6B5B8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EF9BA68">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502</w:t>
            </w:r>
          </w:p>
        </w:tc>
        <w:tc>
          <w:tcPr>
            <w:tcW w:w="720" w:type="dxa"/>
            <w:vMerge w:val="continue"/>
            <w:vAlign w:val="center"/>
          </w:tcPr>
          <w:p w14:paraId="2DC46158">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13DE63E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上转管理</w:t>
            </w:r>
          </w:p>
        </w:tc>
        <w:tc>
          <w:tcPr>
            <w:tcW w:w="1900" w:type="dxa"/>
            <w:vAlign w:val="center"/>
          </w:tcPr>
          <w:p w14:paraId="404400F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上转申请单</w:t>
            </w:r>
          </w:p>
        </w:tc>
        <w:tc>
          <w:tcPr>
            <w:tcW w:w="4392" w:type="dxa"/>
            <w:vAlign w:val="center"/>
          </w:tcPr>
          <w:p w14:paraId="56A6E05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向上级机构进行转诊时支持填写转诊申请单</w:t>
            </w:r>
          </w:p>
        </w:tc>
        <w:tc>
          <w:tcPr>
            <w:tcW w:w="733" w:type="dxa"/>
            <w:vMerge w:val="restart"/>
            <w:vAlign w:val="center"/>
          </w:tcPr>
          <w:p w14:paraId="6ABB9F5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3668E5B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27102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A30BD31">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503</w:t>
            </w:r>
          </w:p>
        </w:tc>
        <w:tc>
          <w:tcPr>
            <w:tcW w:w="720" w:type="dxa"/>
            <w:vMerge w:val="continue"/>
            <w:vAlign w:val="center"/>
          </w:tcPr>
          <w:p w14:paraId="36A4CFE0">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2EEF172A">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3B9E2FA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执行上转</w:t>
            </w:r>
          </w:p>
        </w:tc>
        <w:tc>
          <w:tcPr>
            <w:tcW w:w="4392" w:type="dxa"/>
            <w:vAlign w:val="center"/>
          </w:tcPr>
          <w:p w14:paraId="589C9B7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执行向上级机构进行转诊处理流程</w:t>
            </w:r>
          </w:p>
        </w:tc>
        <w:tc>
          <w:tcPr>
            <w:tcW w:w="733" w:type="dxa"/>
            <w:vMerge w:val="continue"/>
            <w:vAlign w:val="center"/>
          </w:tcPr>
          <w:p w14:paraId="5DD7596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031D7B4">
            <w:pPr>
              <w:jc w:val="center"/>
              <w:rPr>
                <w:rFonts w:hint="eastAsia" w:ascii="宋体" w:hAnsi="宋体" w:eastAsia="宋体" w:cs="宋体"/>
                <w:b w:val="0"/>
                <w:bCs w:val="0"/>
                <w:color w:val="auto"/>
                <w:kern w:val="0"/>
                <w:sz w:val="20"/>
                <w:szCs w:val="20"/>
                <w:highlight w:val="none"/>
                <w:lang w:val="en-US" w:eastAsia="zh-CN" w:bidi="ar-SA"/>
              </w:rPr>
            </w:pPr>
          </w:p>
        </w:tc>
      </w:tr>
      <w:tr w14:paraId="66834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08BAB80">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504</w:t>
            </w:r>
          </w:p>
        </w:tc>
        <w:tc>
          <w:tcPr>
            <w:tcW w:w="720" w:type="dxa"/>
            <w:vMerge w:val="continue"/>
            <w:vAlign w:val="center"/>
          </w:tcPr>
          <w:p w14:paraId="509D0F18">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093CB53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下转管理</w:t>
            </w:r>
          </w:p>
        </w:tc>
        <w:tc>
          <w:tcPr>
            <w:tcW w:w="1900" w:type="dxa"/>
            <w:vAlign w:val="center"/>
          </w:tcPr>
          <w:p w14:paraId="52023F5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转入接收单</w:t>
            </w:r>
          </w:p>
        </w:tc>
        <w:tc>
          <w:tcPr>
            <w:tcW w:w="4392" w:type="dxa"/>
            <w:vAlign w:val="center"/>
          </w:tcPr>
          <w:p w14:paraId="20875EB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下级机构进行转入时支持填写转入接收单</w:t>
            </w:r>
          </w:p>
        </w:tc>
        <w:tc>
          <w:tcPr>
            <w:tcW w:w="733" w:type="dxa"/>
            <w:vAlign w:val="center"/>
          </w:tcPr>
          <w:p w14:paraId="143F098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16EEB36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0.5</w:t>
            </w:r>
          </w:p>
        </w:tc>
      </w:tr>
      <w:tr w14:paraId="0F7F1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583" w:type="dxa"/>
            <w:vAlign w:val="center"/>
          </w:tcPr>
          <w:p w14:paraId="5BE2EDCB">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505</w:t>
            </w:r>
          </w:p>
        </w:tc>
        <w:tc>
          <w:tcPr>
            <w:tcW w:w="720" w:type="dxa"/>
            <w:vMerge w:val="continue"/>
            <w:vAlign w:val="center"/>
          </w:tcPr>
          <w:p w14:paraId="67AB0F2E">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7E5DFD8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转入管理</w:t>
            </w:r>
          </w:p>
        </w:tc>
        <w:tc>
          <w:tcPr>
            <w:tcW w:w="1900" w:type="dxa"/>
            <w:vAlign w:val="center"/>
          </w:tcPr>
          <w:p w14:paraId="50333D8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转入管理</w:t>
            </w:r>
          </w:p>
        </w:tc>
        <w:tc>
          <w:tcPr>
            <w:tcW w:w="4392" w:type="dxa"/>
            <w:vAlign w:val="center"/>
          </w:tcPr>
          <w:p w14:paraId="57968B9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执行病人转入处理流程</w:t>
            </w:r>
          </w:p>
        </w:tc>
        <w:tc>
          <w:tcPr>
            <w:tcW w:w="733" w:type="dxa"/>
            <w:vAlign w:val="center"/>
          </w:tcPr>
          <w:p w14:paraId="52863D2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7EED476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0.5</w:t>
            </w:r>
          </w:p>
        </w:tc>
      </w:tr>
      <w:tr w14:paraId="69247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BC55BFC">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506</w:t>
            </w:r>
          </w:p>
        </w:tc>
        <w:tc>
          <w:tcPr>
            <w:tcW w:w="720" w:type="dxa"/>
            <w:vMerge w:val="continue"/>
            <w:vAlign w:val="center"/>
          </w:tcPr>
          <w:p w14:paraId="4B019E5A">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03570ABB">
            <w:pPr>
              <w:tabs>
                <w:tab w:val="left" w:pos="316"/>
              </w:tabs>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转诊统计</w:t>
            </w:r>
          </w:p>
        </w:tc>
        <w:tc>
          <w:tcPr>
            <w:tcW w:w="1900" w:type="dxa"/>
            <w:vAlign w:val="center"/>
          </w:tcPr>
          <w:p w14:paraId="53A8C83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转出统计</w:t>
            </w:r>
          </w:p>
        </w:tc>
        <w:tc>
          <w:tcPr>
            <w:tcW w:w="4392" w:type="dxa"/>
            <w:vAlign w:val="center"/>
          </w:tcPr>
          <w:p w14:paraId="6AB02A7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统计并展示下级机构转出的患者及转诊基本信息</w:t>
            </w:r>
          </w:p>
        </w:tc>
        <w:tc>
          <w:tcPr>
            <w:tcW w:w="733" w:type="dxa"/>
            <w:vMerge w:val="restart"/>
            <w:vAlign w:val="center"/>
          </w:tcPr>
          <w:p w14:paraId="2DF6B48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7422DC2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A213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289070C">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507</w:t>
            </w:r>
          </w:p>
        </w:tc>
        <w:tc>
          <w:tcPr>
            <w:tcW w:w="720" w:type="dxa"/>
            <w:vMerge w:val="continue"/>
            <w:vAlign w:val="center"/>
          </w:tcPr>
          <w:p w14:paraId="362D8ECC">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2C88E336">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2137538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转入统计</w:t>
            </w:r>
          </w:p>
        </w:tc>
        <w:tc>
          <w:tcPr>
            <w:tcW w:w="4392" w:type="dxa"/>
            <w:vAlign w:val="center"/>
          </w:tcPr>
          <w:p w14:paraId="55D014E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统计并展示转入的患者及转诊基本信息</w:t>
            </w:r>
          </w:p>
        </w:tc>
        <w:tc>
          <w:tcPr>
            <w:tcW w:w="733" w:type="dxa"/>
            <w:vMerge w:val="continue"/>
            <w:vAlign w:val="center"/>
          </w:tcPr>
          <w:p w14:paraId="3A45F09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476D8BA">
            <w:pPr>
              <w:jc w:val="center"/>
              <w:rPr>
                <w:rFonts w:hint="eastAsia" w:ascii="宋体" w:hAnsi="宋体" w:eastAsia="宋体" w:cs="宋体"/>
                <w:b w:val="0"/>
                <w:bCs w:val="0"/>
                <w:color w:val="auto"/>
                <w:kern w:val="0"/>
                <w:sz w:val="20"/>
                <w:szCs w:val="20"/>
                <w:highlight w:val="none"/>
                <w:lang w:val="en-US" w:eastAsia="zh-CN" w:bidi="ar-SA"/>
              </w:rPr>
            </w:pPr>
          </w:p>
        </w:tc>
      </w:tr>
      <w:tr w14:paraId="322AB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6B1FAB1">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508</w:t>
            </w:r>
          </w:p>
        </w:tc>
        <w:tc>
          <w:tcPr>
            <w:tcW w:w="720" w:type="dxa"/>
            <w:vMerge w:val="continue"/>
            <w:vAlign w:val="center"/>
          </w:tcPr>
          <w:p w14:paraId="24C20EA4">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21272D2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健康宣教</w:t>
            </w:r>
          </w:p>
        </w:tc>
        <w:tc>
          <w:tcPr>
            <w:tcW w:w="1900" w:type="dxa"/>
            <w:vAlign w:val="center"/>
          </w:tcPr>
          <w:p w14:paraId="0335AA0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健康宣教信息维护</w:t>
            </w:r>
          </w:p>
        </w:tc>
        <w:tc>
          <w:tcPr>
            <w:tcW w:w="4392" w:type="dxa"/>
            <w:vAlign w:val="center"/>
          </w:tcPr>
          <w:p w14:paraId="17505F9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支持健康宣教信息的新增、修改和删除等功能。</w:t>
            </w:r>
          </w:p>
        </w:tc>
        <w:tc>
          <w:tcPr>
            <w:tcW w:w="733" w:type="dxa"/>
            <w:vMerge w:val="restart"/>
            <w:vAlign w:val="center"/>
          </w:tcPr>
          <w:p w14:paraId="660C867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77D6853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4B5AA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8AC66A7">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509</w:t>
            </w:r>
          </w:p>
        </w:tc>
        <w:tc>
          <w:tcPr>
            <w:tcW w:w="720" w:type="dxa"/>
            <w:vMerge w:val="continue"/>
            <w:vAlign w:val="center"/>
          </w:tcPr>
          <w:p w14:paraId="69C3A9BE">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4C0ECB38">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4125D93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健康宣教信息展示</w:t>
            </w:r>
          </w:p>
        </w:tc>
        <w:tc>
          <w:tcPr>
            <w:tcW w:w="4392" w:type="dxa"/>
            <w:vAlign w:val="center"/>
          </w:tcPr>
          <w:p w14:paraId="3F4C76D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支持为慢病患者提供以健康处方为核心的健康宣教服务</w:t>
            </w:r>
          </w:p>
        </w:tc>
        <w:tc>
          <w:tcPr>
            <w:tcW w:w="733" w:type="dxa"/>
            <w:vMerge w:val="continue"/>
            <w:vAlign w:val="center"/>
          </w:tcPr>
          <w:p w14:paraId="54DF2EC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FC192F3">
            <w:pPr>
              <w:jc w:val="center"/>
              <w:rPr>
                <w:rFonts w:hint="eastAsia" w:ascii="宋体" w:hAnsi="宋体" w:eastAsia="宋体" w:cs="宋体"/>
                <w:b w:val="0"/>
                <w:bCs w:val="0"/>
                <w:color w:val="auto"/>
                <w:kern w:val="0"/>
                <w:sz w:val="20"/>
                <w:szCs w:val="20"/>
                <w:highlight w:val="none"/>
                <w:lang w:val="en-US" w:eastAsia="zh-CN" w:bidi="ar-SA"/>
              </w:rPr>
            </w:pPr>
          </w:p>
        </w:tc>
      </w:tr>
      <w:tr w14:paraId="1C769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79E9F16">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510</w:t>
            </w:r>
          </w:p>
        </w:tc>
        <w:tc>
          <w:tcPr>
            <w:tcW w:w="720" w:type="dxa"/>
            <w:vMerge w:val="continue"/>
            <w:vAlign w:val="center"/>
          </w:tcPr>
          <w:p w14:paraId="712305E2">
            <w:pPr>
              <w:jc w:val="center"/>
              <w:rPr>
                <w:rFonts w:hint="eastAsia" w:ascii="宋体" w:hAnsi="宋体" w:eastAsia="宋体" w:cs="宋体"/>
                <w:b/>
                <w:color w:val="auto"/>
                <w:sz w:val="24"/>
                <w:szCs w:val="24"/>
                <w:highlight w:val="none"/>
                <w:vertAlign w:val="baseline"/>
                <w:lang w:eastAsia="zh-CN"/>
              </w:rPr>
            </w:pPr>
          </w:p>
        </w:tc>
        <w:tc>
          <w:tcPr>
            <w:tcW w:w="1308" w:type="dxa"/>
            <w:vMerge w:val="restart"/>
            <w:vAlign w:val="center"/>
          </w:tcPr>
          <w:p w14:paraId="386569A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健康咨询</w:t>
            </w:r>
          </w:p>
        </w:tc>
        <w:tc>
          <w:tcPr>
            <w:tcW w:w="1900" w:type="dxa"/>
            <w:vAlign w:val="center"/>
          </w:tcPr>
          <w:p w14:paraId="02A4F7E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健康咨询信息维护</w:t>
            </w:r>
          </w:p>
        </w:tc>
        <w:tc>
          <w:tcPr>
            <w:tcW w:w="4392" w:type="dxa"/>
            <w:vAlign w:val="center"/>
          </w:tcPr>
          <w:p w14:paraId="6329923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支持健康咨询信息的新增、修改和删除等功能。</w:t>
            </w:r>
          </w:p>
        </w:tc>
        <w:tc>
          <w:tcPr>
            <w:tcW w:w="733" w:type="dxa"/>
            <w:vMerge w:val="restart"/>
            <w:vAlign w:val="center"/>
          </w:tcPr>
          <w:p w14:paraId="6167E2B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084A2A2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5D333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026ACF3">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511</w:t>
            </w:r>
          </w:p>
        </w:tc>
        <w:tc>
          <w:tcPr>
            <w:tcW w:w="720" w:type="dxa"/>
            <w:vMerge w:val="continue"/>
            <w:vAlign w:val="center"/>
          </w:tcPr>
          <w:p w14:paraId="2022267A">
            <w:pPr>
              <w:jc w:val="center"/>
              <w:rPr>
                <w:rFonts w:hint="eastAsia" w:ascii="宋体" w:hAnsi="宋体" w:eastAsia="宋体" w:cs="宋体"/>
                <w:b/>
                <w:color w:val="auto"/>
                <w:sz w:val="24"/>
                <w:szCs w:val="24"/>
                <w:highlight w:val="none"/>
                <w:vertAlign w:val="baseline"/>
                <w:lang w:eastAsia="zh-CN"/>
              </w:rPr>
            </w:pPr>
          </w:p>
        </w:tc>
        <w:tc>
          <w:tcPr>
            <w:tcW w:w="1308" w:type="dxa"/>
            <w:vMerge w:val="continue"/>
            <w:vAlign w:val="center"/>
          </w:tcPr>
          <w:p w14:paraId="2D53E62F">
            <w:pPr>
              <w:jc w:val="center"/>
              <w:rPr>
                <w:rFonts w:hint="eastAsia" w:ascii="宋体" w:hAnsi="宋体" w:eastAsia="宋体" w:cs="宋体"/>
                <w:b w:val="0"/>
                <w:bCs w:val="0"/>
                <w:color w:val="auto"/>
                <w:kern w:val="0"/>
                <w:sz w:val="20"/>
                <w:szCs w:val="20"/>
                <w:highlight w:val="none"/>
                <w:lang w:val="en-US" w:eastAsia="zh-CN" w:bidi="ar-SA"/>
              </w:rPr>
            </w:pPr>
          </w:p>
        </w:tc>
        <w:tc>
          <w:tcPr>
            <w:tcW w:w="1900" w:type="dxa"/>
            <w:vAlign w:val="center"/>
          </w:tcPr>
          <w:p w14:paraId="5BE449B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健康咨询信息展示</w:t>
            </w:r>
          </w:p>
        </w:tc>
        <w:tc>
          <w:tcPr>
            <w:tcW w:w="4392" w:type="dxa"/>
            <w:vAlign w:val="center"/>
          </w:tcPr>
          <w:p w14:paraId="5AEC02E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支持健康咨询信息对外展示功能</w:t>
            </w:r>
          </w:p>
        </w:tc>
        <w:tc>
          <w:tcPr>
            <w:tcW w:w="733" w:type="dxa"/>
            <w:vMerge w:val="continue"/>
            <w:vAlign w:val="center"/>
          </w:tcPr>
          <w:p w14:paraId="712D9A8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28093C7">
            <w:pPr>
              <w:jc w:val="center"/>
              <w:rPr>
                <w:rFonts w:hint="eastAsia" w:ascii="宋体" w:hAnsi="宋体" w:eastAsia="宋体" w:cs="宋体"/>
                <w:b w:val="0"/>
                <w:bCs w:val="0"/>
                <w:color w:val="auto"/>
                <w:kern w:val="0"/>
                <w:sz w:val="20"/>
                <w:szCs w:val="20"/>
                <w:highlight w:val="none"/>
                <w:lang w:val="en-US" w:eastAsia="zh-CN" w:bidi="ar-SA"/>
              </w:rPr>
            </w:pPr>
          </w:p>
        </w:tc>
      </w:tr>
      <w:tr w14:paraId="4596D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936ACA8">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512</w:t>
            </w:r>
          </w:p>
        </w:tc>
        <w:tc>
          <w:tcPr>
            <w:tcW w:w="720" w:type="dxa"/>
            <w:vMerge w:val="restart"/>
            <w:vAlign w:val="center"/>
          </w:tcPr>
          <w:p w14:paraId="79BCE494">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采集实施</w:t>
            </w:r>
          </w:p>
        </w:tc>
        <w:tc>
          <w:tcPr>
            <w:tcW w:w="1308" w:type="dxa"/>
            <w:vAlign w:val="center"/>
          </w:tcPr>
          <w:p w14:paraId="44DEDBD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健康档案与电子病历数据库</w:t>
            </w:r>
          </w:p>
        </w:tc>
        <w:tc>
          <w:tcPr>
            <w:tcW w:w="1900" w:type="dxa"/>
            <w:vAlign w:val="center"/>
          </w:tcPr>
          <w:p w14:paraId="48D4633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健康档案与电子病历数据库</w:t>
            </w:r>
          </w:p>
        </w:tc>
        <w:tc>
          <w:tcPr>
            <w:tcW w:w="4392" w:type="dxa"/>
            <w:vAlign w:val="center"/>
          </w:tcPr>
          <w:p w14:paraId="48D0577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建立标准化的健康档案与电子病历数据库，制定数据采集标准，抽取医共体内医疗、公卫等数据。</w:t>
            </w:r>
          </w:p>
        </w:tc>
        <w:tc>
          <w:tcPr>
            <w:tcW w:w="733" w:type="dxa"/>
            <w:vAlign w:val="center"/>
          </w:tcPr>
          <w:p w14:paraId="4823659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297327E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0.5</w:t>
            </w:r>
          </w:p>
        </w:tc>
      </w:tr>
      <w:tr w14:paraId="7D164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E234536">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513</w:t>
            </w:r>
          </w:p>
        </w:tc>
        <w:tc>
          <w:tcPr>
            <w:tcW w:w="720" w:type="dxa"/>
            <w:vMerge w:val="continue"/>
            <w:vAlign w:val="center"/>
          </w:tcPr>
          <w:p w14:paraId="41AA3F6A">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5AB0966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基层公卫健康档案、慢病、体检数据采集与分析</w:t>
            </w:r>
          </w:p>
        </w:tc>
        <w:tc>
          <w:tcPr>
            <w:tcW w:w="1900" w:type="dxa"/>
            <w:vAlign w:val="center"/>
          </w:tcPr>
          <w:p w14:paraId="6C20505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基层公卫健康档案、慢病、体检数据采集与分析</w:t>
            </w:r>
          </w:p>
        </w:tc>
        <w:tc>
          <w:tcPr>
            <w:tcW w:w="4392" w:type="dxa"/>
            <w:vAlign w:val="center"/>
          </w:tcPr>
          <w:p w14:paraId="30F7591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支持对基层公卫健康档案、慢病、体检数据采集与分析。</w:t>
            </w:r>
          </w:p>
        </w:tc>
        <w:tc>
          <w:tcPr>
            <w:tcW w:w="733" w:type="dxa"/>
            <w:vAlign w:val="center"/>
          </w:tcPr>
          <w:p w14:paraId="54B9B3C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233F854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420D2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7BA5EB9">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514</w:t>
            </w:r>
          </w:p>
        </w:tc>
        <w:tc>
          <w:tcPr>
            <w:tcW w:w="720" w:type="dxa"/>
            <w:vMerge w:val="continue"/>
            <w:vAlign w:val="center"/>
          </w:tcPr>
          <w:p w14:paraId="4A2FD10F">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3DF5D00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人民医院门诊、住院、体检数据采集与分析</w:t>
            </w:r>
          </w:p>
        </w:tc>
        <w:tc>
          <w:tcPr>
            <w:tcW w:w="1900" w:type="dxa"/>
            <w:vAlign w:val="center"/>
          </w:tcPr>
          <w:p w14:paraId="1E7403F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人民医院门诊、住院、体检数据采集与分析</w:t>
            </w:r>
          </w:p>
        </w:tc>
        <w:tc>
          <w:tcPr>
            <w:tcW w:w="4392" w:type="dxa"/>
            <w:vAlign w:val="center"/>
          </w:tcPr>
          <w:p w14:paraId="024F0F0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支持对接人民医院的HIS、病案系统，采集医院的门诊、住院、体检数据。</w:t>
            </w:r>
          </w:p>
        </w:tc>
        <w:tc>
          <w:tcPr>
            <w:tcW w:w="733" w:type="dxa"/>
            <w:vAlign w:val="center"/>
          </w:tcPr>
          <w:p w14:paraId="6CD5EC4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382DA76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1F5AB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F7EFF7B">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515</w:t>
            </w:r>
          </w:p>
        </w:tc>
        <w:tc>
          <w:tcPr>
            <w:tcW w:w="720" w:type="dxa"/>
            <w:vMerge w:val="continue"/>
            <w:vAlign w:val="center"/>
          </w:tcPr>
          <w:p w14:paraId="34DBD6DD">
            <w:pPr>
              <w:jc w:val="center"/>
              <w:rPr>
                <w:rFonts w:hint="eastAsia" w:ascii="宋体" w:hAnsi="宋体" w:eastAsia="宋体" w:cs="宋体"/>
                <w:b/>
                <w:color w:val="auto"/>
                <w:sz w:val="24"/>
                <w:szCs w:val="24"/>
                <w:highlight w:val="none"/>
                <w:vertAlign w:val="baseline"/>
                <w:lang w:eastAsia="zh-CN"/>
              </w:rPr>
            </w:pPr>
          </w:p>
        </w:tc>
        <w:tc>
          <w:tcPr>
            <w:tcW w:w="1308" w:type="dxa"/>
            <w:vAlign w:val="center"/>
          </w:tcPr>
          <w:p w14:paraId="4152541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微信服务号随访提醒服务对接</w:t>
            </w:r>
          </w:p>
        </w:tc>
        <w:tc>
          <w:tcPr>
            <w:tcW w:w="1900" w:type="dxa"/>
            <w:vAlign w:val="center"/>
          </w:tcPr>
          <w:p w14:paraId="5D7B0A1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微信服务号随访提醒服务对接</w:t>
            </w:r>
          </w:p>
        </w:tc>
        <w:tc>
          <w:tcPr>
            <w:tcW w:w="4392" w:type="dxa"/>
            <w:vAlign w:val="center"/>
          </w:tcPr>
          <w:p w14:paraId="0EE1CEA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支持对接微信消息发送接口。</w:t>
            </w:r>
          </w:p>
        </w:tc>
        <w:tc>
          <w:tcPr>
            <w:tcW w:w="733" w:type="dxa"/>
            <w:vAlign w:val="center"/>
          </w:tcPr>
          <w:p w14:paraId="0D60BDE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07513A3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0.5</w:t>
            </w:r>
          </w:p>
        </w:tc>
      </w:tr>
      <w:tr w14:paraId="66E27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628F1AD">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516</w:t>
            </w:r>
          </w:p>
        </w:tc>
        <w:tc>
          <w:tcPr>
            <w:tcW w:w="720" w:type="dxa"/>
            <w:vMerge w:val="restart"/>
            <w:vAlign w:val="center"/>
          </w:tcPr>
          <w:p w14:paraId="23179792">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数据大屏</w:t>
            </w:r>
          </w:p>
        </w:tc>
        <w:tc>
          <w:tcPr>
            <w:tcW w:w="3208" w:type="dxa"/>
            <w:gridSpan w:val="2"/>
            <w:vMerge w:val="restart"/>
            <w:vAlign w:val="center"/>
          </w:tcPr>
          <w:p w14:paraId="0B4118E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健康随访中心</w:t>
            </w:r>
          </w:p>
        </w:tc>
        <w:tc>
          <w:tcPr>
            <w:tcW w:w="4392" w:type="dxa"/>
            <w:vAlign w:val="center"/>
          </w:tcPr>
          <w:p w14:paraId="020CC58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展示疾病筛查人数、发现人数、建档人数、随访总人次和人数、随访率等关键指标，可按年度进行筛选</w:t>
            </w:r>
          </w:p>
        </w:tc>
        <w:tc>
          <w:tcPr>
            <w:tcW w:w="733" w:type="dxa"/>
            <w:vMerge w:val="restart"/>
            <w:vAlign w:val="center"/>
          </w:tcPr>
          <w:p w14:paraId="7579095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1D7AFB2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w:t>
            </w:r>
          </w:p>
        </w:tc>
      </w:tr>
      <w:tr w14:paraId="5A44C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8195145">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517</w:t>
            </w:r>
          </w:p>
        </w:tc>
        <w:tc>
          <w:tcPr>
            <w:tcW w:w="720" w:type="dxa"/>
            <w:vMerge w:val="continue"/>
            <w:vAlign w:val="center"/>
          </w:tcPr>
          <w:p w14:paraId="05F6AF5A">
            <w:pPr>
              <w:jc w:val="center"/>
              <w:rPr>
                <w:rFonts w:hint="eastAsia" w:ascii="宋体" w:hAnsi="宋体" w:eastAsia="宋体" w:cs="宋体"/>
                <w:b/>
                <w:color w:val="auto"/>
                <w:sz w:val="24"/>
                <w:szCs w:val="24"/>
                <w:highlight w:val="none"/>
                <w:vertAlign w:val="baseline"/>
                <w:lang w:eastAsia="zh-CN"/>
              </w:rPr>
            </w:pPr>
          </w:p>
        </w:tc>
        <w:tc>
          <w:tcPr>
            <w:tcW w:w="3208" w:type="dxa"/>
            <w:gridSpan w:val="2"/>
            <w:vMerge w:val="continue"/>
            <w:vAlign w:val="center"/>
          </w:tcPr>
          <w:p w14:paraId="195DF321">
            <w:pPr>
              <w:jc w:val="center"/>
              <w:rPr>
                <w:rFonts w:hint="eastAsia" w:ascii="宋体" w:hAnsi="宋体" w:eastAsia="宋体" w:cs="宋体"/>
                <w:b w:val="0"/>
                <w:bCs w:val="0"/>
                <w:color w:val="auto"/>
                <w:kern w:val="0"/>
                <w:sz w:val="20"/>
                <w:szCs w:val="20"/>
                <w:highlight w:val="none"/>
                <w:lang w:val="en-US" w:eastAsia="zh-CN" w:bidi="ar-SA"/>
              </w:rPr>
            </w:pPr>
          </w:p>
        </w:tc>
        <w:tc>
          <w:tcPr>
            <w:tcW w:w="4392" w:type="dxa"/>
            <w:vAlign w:val="center"/>
          </w:tcPr>
          <w:p w14:paraId="31AF674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通过地图展示不同机构疾发现人数和随访人次</w:t>
            </w:r>
          </w:p>
        </w:tc>
        <w:tc>
          <w:tcPr>
            <w:tcW w:w="733" w:type="dxa"/>
            <w:vMerge w:val="continue"/>
            <w:vAlign w:val="center"/>
          </w:tcPr>
          <w:p w14:paraId="56A3242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2014772">
            <w:pPr>
              <w:jc w:val="center"/>
              <w:rPr>
                <w:rFonts w:hint="eastAsia" w:ascii="宋体" w:hAnsi="宋体" w:eastAsia="宋体" w:cs="宋体"/>
                <w:b w:val="0"/>
                <w:bCs w:val="0"/>
                <w:color w:val="auto"/>
                <w:kern w:val="0"/>
                <w:sz w:val="20"/>
                <w:szCs w:val="20"/>
                <w:highlight w:val="none"/>
                <w:lang w:val="en-US" w:eastAsia="zh-CN" w:bidi="ar-SA"/>
              </w:rPr>
            </w:pPr>
          </w:p>
        </w:tc>
      </w:tr>
      <w:tr w14:paraId="70742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0772C64">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518</w:t>
            </w:r>
          </w:p>
        </w:tc>
        <w:tc>
          <w:tcPr>
            <w:tcW w:w="720" w:type="dxa"/>
            <w:vMerge w:val="continue"/>
            <w:vAlign w:val="center"/>
          </w:tcPr>
          <w:p w14:paraId="335647CF">
            <w:pPr>
              <w:jc w:val="center"/>
              <w:rPr>
                <w:rFonts w:hint="eastAsia" w:ascii="宋体" w:hAnsi="宋体" w:eastAsia="宋体" w:cs="宋体"/>
                <w:b/>
                <w:color w:val="auto"/>
                <w:sz w:val="24"/>
                <w:szCs w:val="24"/>
                <w:highlight w:val="none"/>
                <w:vertAlign w:val="baseline"/>
                <w:lang w:eastAsia="zh-CN"/>
              </w:rPr>
            </w:pPr>
          </w:p>
        </w:tc>
        <w:tc>
          <w:tcPr>
            <w:tcW w:w="3208" w:type="dxa"/>
            <w:gridSpan w:val="2"/>
            <w:vMerge w:val="continue"/>
            <w:vAlign w:val="center"/>
          </w:tcPr>
          <w:p w14:paraId="25ACD383">
            <w:pPr>
              <w:jc w:val="center"/>
              <w:rPr>
                <w:rFonts w:hint="eastAsia" w:ascii="宋体" w:hAnsi="宋体" w:eastAsia="宋体" w:cs="宋体"/>
                <w:b w:val="0"/>
                <w:bCs w:val="0"/>
                <w:color w:val="auto"/>
                <w:kern w:val="0"/>
                <w:sz w:val="20"/>
                <w:szCs w:val="20"/>
                <w:highlight w:val="none"/>
                <w:lang w:val="en-US" w:eastAsia="zh-CN" w:bidi="ar-SA"/>
              </w:rPr>
            </w:pPr>
          </w:p>
        </w:tc>
        <w:tc>
          <w:tcPr>
            <w:tcW w:w="4392" w:type="dxa"/>
            <w:vAlign w:val="center"/>
          </w:tcPr>
          <w:p w14:paraId="7EB4499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对发现人数按疾病类别进行对比，分析不同疾病的建档人数和随访人次</w:t>
            </w:r>
          </w:p>
        </w:tc>
        <w:tc>
          <w:tcPr>
            <w:tcW w:w="733" w:type="dxa"/>
            <w:vMerge w:val="continue"/>
            <w:vAlign w:val="center"/>
          </w:tcPr>
          <w:p w14:paraId="641352B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B568B42">
            <w:pPr>
              <w:jc w:val="center"/>
              <w:rPr>
                <w:rFonts w:hint="eastAsia" w:ascii="宋体" w:hAnsi="宋体" w:eastAsia="宋体" w:cs="宋体"/>
                <w:b w:val="0"/>
                <w:bCs w:val="0"/>
                <w:color w:val="auto"/>
                <w:kern w:val="0"/>
                <w:sz w:val="20"/>
                <w:szCs w:val="20"/>
                <w:highlight w:val="none"/>
                <w:lang w:val="en-US" w:eastAsia="zh-CN" w:bidi="ar-SA"/>
              </w:rPr>
            </w:pPr>
          </w:p>
        </w:tc>
      </w:tr>
      <w:tr w14:paraId="77AE1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F176AEF">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519</w:t>
            </w:r>
          </w:p>
        </w:tc>
        <w:tc>
          <w:tcPr>
            <w:tcW w:w="720" w:type="dxa"/>
            <w:vMerge w:val="continue"/>
            <w:vAlign w:val="center"/>
          </w:tcPr>
          <w:p w14:paraId="68C32755">
            <w:pPr>
              <w:jc w:val="center"/>
              <w:rPr>
                <w:rFonts w:hint="eastAsia" w:ascii="宋体" w:hAnsi="宋体" w:eastAsia="宋体" w:cs="宋体"/>
                <w:b/>
                <w:color w:val="auto"/>
                <w:sz w:val="24"/>
                <w:szCs w:val="24"/>
                <w:highlight w:val="none"/>
                <w:vertAlign w:val="baseline"/>
                <w:lang w:eastAsia="zh-CN"/>
              </w:rPr>
            </w:pPr>
          </w:p>
        </w:tc>
        <w:tc>
          <w:tcPr>
            <w:tcW w:w="3208" w:type="dxa"/>
            <w:gridSpan w:val="2"/>
            <w:vMerge w:val="continue"/>
            <w:vAlign w:val="center"/>
          </w:tcPr>
          <w:p w14:paraId="5BA3E6C1">
            <w:pPr>
              <w:jc w:val="center"/>
              <w:rPr>
                <w:rFonts w:hint="eastAsia" w:ascii="宋体" w:hAnsi="宋体" w:eastAsia="宋体" w:cs="宋体"/>
                <w:b w:val="0"/>
                <w:bCs w:val="0"/>
                <w:color w:val="auto"/>
                <w:kern w:val="0"/>
                <w:sz w:val="20"/>
                <w:szCs w:val="20"/>
                <w:highlight w:val="none"/>
                <w:lang w:val="en-US" w:eastAsia="zh-CN" w:bidi="ar-SA"/>
              </w:rPr>
            </w:pPr>
          </w:p>
        </w:tc>
        <w:tc>
          <w:tcPr>
            <w:tcW w:w="4392" w:type="dxa"/>
            <w:vAlign w:val="center"/>
          </w:tcPr>
          <w:p w14:paraId="6AA7FE9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对随访人次进行月度趋势分析</w:t>
            </w:r>
          </w:p>
        </w:tc>
        <w:tc>
          <w:tcPr>
            <w:tcW w:w="733" w:type="dxa"/>
            <w:vMerge w:val="continue"/>
            <w:vAlign w:val="center"/>
          </w:tcPr>
          <w:p w14:paraId="7631881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F966DA4">
            <w:pPr>
              <w:jc w:val="center"/>
              <w:rPr>
                <w:rFonts w:hint="eastAsia" w:ascii="宋体" w:hAnsi="宋体" w:eastAsia="宋体" w:cs="宋体"/>
                <w:b w:val="0"/>
                <w:bCs w:val="0"/>
                <w:color w:val="auto"/>
                <w:kern w:val="0"/>
                <w:sz w:val="20"/>
                <w:szCs w:val="20"/>
                <w:highlight w:val="none"/>
                <w:lang w:val="en-US" w:eastAsia="zh-CN" w:bidi="ar-SA"/>
              </w:rPr>
            </w:pPr>
          </w:p>
        </w:tc>
      </w:tr>
      <w:tr w14:paraId="6B72E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E77ECB3">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520</w:t>
            </w:r>
          </w:p>
        </w:tc>
        <w:tc>
          <w:tcPr>
            <w:tcW w:w="720" w:type="dxa"/>
            <w:vMerge w:val="continue"/>
            <w:vAlign w:val="center"/>
          </w:tcPr>
          <w:p w14:paraId="694A995A">
            <w:pPr>
              <w:jc w:val="center"/>
              <w:rPr>
                <w:rFonts w:hint="eastAsia" w:ascii="宋体" w:hAnsi="宋体" w:eastAsia="宋体" w:cs="宋体"/>
                <w:b/>
                <w:color w:val="auto"/>
                <w:sz w:val="24"/>
                <w:szCs w:val="24"/>
                <w:highlight w:val="none"/>
                <w:vertAlign w:val="baseline"/>
                <w:lang w:eastAsia="zh-CN"/>
              </w:rPr>
            </w:pPr>
          </w:p>
        </w:tc>
        <w:tc>
          <w:tcPr>
            <w:tcW w:w="3208" w:type="dxa"/>
            <w:gridSpan w:val="2"/>
            <w:vMerge w:val="continue"/>
            <w:vAlign w:val="center"/>
          </w:tcPr>
          <w:p w14:paraId="1DA2C983">
            <w:pPr>
              <w:jc w:val="center"/>
              <w:rPr>
                <w:rFonts w:hint="eastAsia" w:ascii="宋体" w:hAnsi="宋体" w:eastAsia="宋体" w:cs="宋体"/>
                <w:b w:val="0"/>
                <w:bCs w:val="0"/>
                <w:color w:val="auto"/>
                <w:kern w:val="0"/>
                <w:sz w:val="20"/>
                <w:szCs w:val="20"/>
                <w:highlight w:val="none"/>
                <w:lang w:val="en-US" w:eastAsia="zh-CN" w:bidi="ar-SA"/>
              </w:rPr>
            </w:pPr>
          </w:p>
        </w:tc>
        <w:tc>
          <w:tcPr>
            <w:tcW w:w="4392" w:type="dxa"/>
            <w:vAlign w:val="center"/>
          </w:tcPr>
          <w:p w14:paraId="6AEBF38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按疾病统计开具的健康处方数量，并对一周内患者返院情况进行分析展示</w:t>
            </w:r>
          </w:p>
        </w:tc>
        <w:tc>
          <w:tcPr>
            <w:tcW w:w="733" w:type="dxa"/>
            <w:vMerge w:val="continue"/>
            <w:vAlign w:val="center"/>
          </w:tcPr>
          <w:p w14:paraId="5A515B3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2ECAB72">
            <w:pPr>
              <w:jc w:val="center"/>
              <w:rPr>
                <w:rFonts w:hint="eastAsia" w:ascii="宋体" w:hAnsi="宋体" w:eastAsia="宋体" w:cs="宋体"/>
                <w:b w:val="0"/>
                <w:bCs w:val="0"/>
                <w:color w:val="auto"/>
                <w:kern w:val="0"/>
                <w:sz w:val="20"/>
                <w:szCs w:val="20"/>
                <w:highlight w:val="none"/>
                <w:lang w:val="en-US" w:eastAsia="zh-CN" w:bidi="ar-SA"/>
              </w:rPr>
            </w:pPr>
          </w:p>
        </w:tc>
      </w:tr>
    </w:tbl>
    <w:p w14:paraId="4D9DF241">
      <w:pPr>
        <w:pStyle w:val="2"/>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both"/>
        <w:textAlignment w:val="auto"/>
        <w:rPr>
          <w:rFonts w:hint="eastAsia" w:ascii="宋体" w:hAnsi="宋体" w:eastAsia="宋体" w:cs="宋体"/>
          <w:highlight w:val="yellow"/>
          <w:lang w:val="en-US" w:eastAsia="zh-CN"/>
        </w:rPr>
      </w:pPr>
      <w:r>
        <w:rPr>
          <w:rFonts w:hint="eastAsia" w:ascii="宋体" w:hAnsi="宋体" w:eastAsia="宋体" w:cs="宋体"/>
          <w:highlight w:val="yellow"/>
          <w:lang w:val="en-US" w:eastAsia="zh-CN"/>
        </w:rPr>
        <w:t>（二）-8：医护调度中心</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875"/>
        <w:gridCol w:w="966"/>
        <w:gridCol w:w="1117"/>
        <w:gridCol w:w="4642"/>
        <w:gridCol w:w="733"/>
        <w:gridCol w:w="714"/>
      </w:tblGrid>
      <w:tr w14:paraId="612B9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86A0E28">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序号</w:t>
            </w:r>
          </w:p>
        </w:tc>
        <w:tc>
          <w:tcPr>
            <w:tcW w:w="720" w:type="dxa"/>
            <w:vAlign w:val="center"/>
          </w:tcPr>
          <w:p w14:paraId="3194F083">
            <w:pPr>
              <w:widowControl/>
              <w:jc w:val="center"/>
              <w:rPr>
                <w:rFonts w:hint="eastAsia" w:ascii="宋体" w:hAnsi="宋体" w:cs="宋体"/>
                <w:b/>
                <w:bCs/>
                <w:color w:val="auto"/>
                <w:kern w:val="0"/>
                <w:sz w:val="20"/>
                <w:szCs w:val="20"/>
                <w:highlight w:val="none"/>
                <w:lang w:eastAsia="zh-CN"/>
              </w:rPr>
            </w:pPr>
            <w:r>
              <w:rPr>
                <w:rFonts w:hint="eastAsia" w:ascii="宋体" w:hAnsi="宋体" w:cs="宋体"/>
                <w:b/>
                <w:bCs/>
                <w:color w:val="auto"/>
                <w:kern w:val="0"/>
                <w:sz w:val="20"/>
                <w:szCs w:val="20"/>
                <w:highlight w:val="none"/>
                <w:lang w:eastAsia="zh-CN"/>
              </w:rPr>
              <w:t>系统名称</w:t>
            </w:r>
          </w:p>
        </w:tc>
        <w:tc>
          <w:tcPr>
            <w:tcW w:w="875" w:type="dxa"/>
            <w:vAlign w:val="center"/>
          </w:tcPr>
          <w:p w14:paraId="0D2C8048">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一级子系统</w:t>
            </w:r>
          </w:p>
        </w:tc>
        <w:tc>
          <w:tcPr>
            <w:tcW w:w="966" w:type="dxa"/>
            <w:vAlign w:val="center"/>
          </w:tcPr>
          <w:p w14:paraId="30438C76">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二级子系统</w:t>
            </w:r>
          </w:p>
        </w:tc>
        <w:tc>
          <w:tcPr>
            <w:tcW w:w="1117" w:type="dxa"/>
            <w:vAlign w:val="center"/>
          </w:tcPr>
          <w:p w14:paraId="704C5EB3">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 xml:space="preserve">三级子系统 </w:t>
            </w:r>
          </w:p>
        </w:tc>
        <w:tc>
          <w:tcPr>
            <w:tcW w:w="4642" w:type="dxa"/>
            <w:vAlign w:val="center"/>
          </w:tcPr>
          <w:p w14:paraId="47C305A3">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 xml:space="preserve"> </w:t>
            </w: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70103F85">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单位</w:t>
            </w:r>
          </w:p>
        </w:tc>
        <w:tc>
          <w:tcPr>
            <w:tcW w:w="714" w:type="dxa"/>
            <w:vAlign w:val="center"/>
          </w:tcPr>
          <w:p w14:paraId="4836D3E3">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数量</w:t>
            </w:r>
          </w:p>
        </w:tc>
      </w:tr>
      <w:tr w14:paraId="75FB8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3" w:type="dxa"/>
            <w:vAlign w:val="center"/>
          </w:tcPr>
          <w:p w14:paraId="4E4E6AC1">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521</w:t>
            </w:r>
          </w:p>
        </w:tc>
        <w:tc>
          <w:tcPr>
            <w:tcW w:w="720" w:type="dxa"/>
            <w:vMerge w:val="restart"/>
            <w:vAlign w:val="center"/>
          </w:tcPr>
          <w:p w14:paraId="3AD58D72">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医护调度系统</w:t>
            </w:r>
          </w:p>
        </w:tc>
        <w:tc>
          <w:tcPr>
            <w:tcW w:w="875" w:type="dxa"/>
            <w:vMerge w:val="restart"/>
            <w:vAlign w:val="center"/>
          </w:tcPr>
          <w:p w14:paraId="60D6EAF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居家医疗服</w:t>
            </w:r>
          </w:p>
        </w:tc>
        <w:tc>
          <w:tcPr>
            <w:tcW w:w="966" w:type="dxa"/>
            <w:vMerge w:val="restart"/>
            <w:vAlign w:val="center"/>
          </w:tcPr>
          <w:p w14:paraId="58E0AFD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患者端</w:t>
            </w:r>
          </w:p>
        </w:tc>
        <w:tc>
          <w:tcPr>
            <w:tcW w:w="1117" w:type="dxa"/>
            <w:vAlign w:val="center"/>
          </w:tcPr>
          <w:p w14:paraId="0EA080F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预约挂号</w:t>
            </w:r>
          </w:p>
        </w:tc>
        <w:tc>
          <w:tcPr>
            <w:tcW w:w="4642" w:type="dxa"/>
            <w:vAlign w:val="center"/>
          </w:tcPr>
          <w:p w14:paraId="3C540C2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支持患者在线预约挂号</w:t>
            </w:r>
          </w:p>
        </w:tc>
        <w:tc>
          <w:tcPr>
            <w:tcW w:w="733" w:type="dxa"/>
            <w:vMerge w:val="restart"/>
            <w:vAlign w:val="center"/>
          </w:tcPr>
          <w:p w14:paraId="0EE3ACE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28E58F0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7</w:t>
            </w:r>
          </w:p>
        </w:tc>
      </w:tr>
      <w:tr w14:paraId="281F2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BEE83DD">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522</w:t>
            </w:r>
          </w:p>
        </w:tc>
        <w:tc>
          <w:tcPr>
            <w:tcW w:w="720" w:type="dxa"/>
            <w:vMerge w:val="continue"/>
            <w:vAlign w:val="center"/>
          </w:tcPr>
          <w:p w14:paraId="3D9962F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66297CA">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5844DDC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3D11A04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线上咨询</w:t>
            </w:r>
          </w:p>
        </w:tc>
        <w:tc>
          <w:tcPr>
            <w:tcW w:w="4642" w:type="dxa"/>
            <w:vAlign w:val="center"/>
          </w:tcPr>
          <w:p w14:paraId="15CB553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由患者在线申请，医生在线为患者提供医疗健康咨询服务，该服务中医生不可以为患者开立处方</w:t>
            </w:r>
          </w:p>
        </w:tc>
        <w:tc>
          <w:tcPr>
            <w:tcW w:w="733" w:type="dxa"/>
            <w:vMerge w:val="continue"/>
            <w:vAlign w:val="center"/>
          </w:tcPr>
          <w:p w14:paraId="40143BD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5835BB8">
            <w:pPr>
              <w:jc w:val="center"/>
              <w:rPr>
                <w:rFonts w:hint="eastAsia" w:ascii="宋体" w:hAnsi="宋体" w:eastAsia="宋体" w:cs="宋体"/>
                <w:b w:val="0"/>
                <w:bCs w:val="0"/>
                <w:color w:val="auto"/>
                <w:kern w:val="0"/>
                <w:sz w:val="20"/>
                <w:szCs w:val="20"/>
                <w:highlight w:val="none"/>
                <w:lang w:val="en-US" w:eastAsia="zh-CN" w:bidi="ar-SA"/>
              </w:rPr>
            </w:pPr>
          </w:p>
        </w:tc>
      </w:tr>
      <w:tr w14:paraId="27510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E9A7777">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523</w:t>
            </w:r>
          </w:p>
        </w:tc>
        <w:tc>
          <w:tcPr>
            <w:tcW w:w="720" w:type="dxa"/>
            <w:vMerge w:val="continue"/>
            <w:vAlign w:val="center"/>
          </w:tcPr>
          <w:p w14:paraId="660722A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FA0EEDA">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27ED18F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711D9E4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线上复诊</w:t>
            </w:r>
          </w:p>
        </w:tc>
        <w:tc>
          <w:tcPr>
            <w:tcW w:w="4642" w:type="dxa"/>
            <w:vAlign w:val="center"/>
          </w:tcPr>
          <w:p w14:paraId="713C2D7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由患者在线申请，医生在线为患者提供复诊诊察服务，该服务中医生可以为患者开立处方。</w:t>
            </w:r>
          </w:p>
        </w:tc>
        <w:tc>
          <w:tcPr>
            <w:tcW w:w="733" w:type="dxa"/>
            <w:vMerge w:val="continue"/>
            <w:vAlign w:val="center"/>
          </w:tcPr>
          <w:p w14:paraId="1729EC8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43176A7">
            <w:pPr>
              <w:jc w:val="center"/>
              <w:rPr>
                <w:rFonts w:hint="eastAsia" w:ascii="宋体" w:hAnsi="宋体" w:eastAsia="宋体" w:cs="宋体"/>
                <w:b w:val="0"/>
                <w:bCs w:val="0"/>
                <w:color w:val="auto"/>
                <w:kern w:val="0"/>
                <w:sz w:val="20"/>
                <w:szCs w:val="20"/>
                <w:highlight w:val="none"/>
                <w:lang w:val="en-US" w:eastAsia="zh-CN" w:bidi="ar-SA"/>
              </w:rPr>
            </w:pPr>
          </w:p>
        </w:tc>
      </w:tr>
      <w:tr w14:paraId="3D8E0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D1FC5F9">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524</w:t>
            </w:r>
          </w:p>
        </w:tc>
        <w:tc>
          <w:tcPr>
            <w:tcW w:w="720" w:type="dxa"/>
            <w:vMerge w:val="continue"/>
            <w:vAlign w:val="center"/>
          </w:tcPr>
          <w:p w14:paraId="7E116DF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E8C1A25">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2632EE8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5D59CB7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报告查询</w:t>
            </w:r>
          </w:p>
        </w:tc>
        <w:tc>
          <w:tcPr>
            <w:tcW w:w="4642" w:type="dxa"/>
            <w:vAlign w:val="center"/>
          </w:tcPr>
          <w:p w14:paraId="3E30902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支持患者在线查阅院内报告。</w:t>
            </w:r>
          </w:p>
        </w:tc>
        <w:tc>
          <w:tcPr>
            <w:tcW w:w="733" w:type="dxa"/>
            <w:vMerge w:val="continue"/>
            <w:vAlign w:val="center"/>
          </w:tcPr>
          <w:p w14:paraId="28AB971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2584F28">
            <w:pPr>
              <w:jc w:val="center"/>
              <w:rPr>
                <w:rFonts w:hint="eastAsia" w:ascii="宋体" w:hAnsi="宋体" w:eastAsia="宋体" w:cs="宋体"/>
                <w:b w:val="0"/>
                <w:bCs w:val="0"/>
                <w:color w:val="auto"/>
                <w:kern w:val="0"/>
                <w:sz w:val="20"/>
                <w:szCs w:val="20"/>
                <w:highlight w:val="none"/>
                <w:lang w:val="en-US" w:eastAsia="zh-CN" w:bidi="ar-SA"/>
              </w:rPr>
            </w:pPr>
          </w:p>
        </w:tc>
      </w:tr>
      <w:tr w14:paraId="70591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E40133F">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525</w:t>
            </w:r>
          </w:p>
        </w:tc>
        <w:tc>
          <w:tcPr>
            <w:tcW w:w="720" w:type="dxa"/>
            <w:vMerge w:val="continue"/>
            <w:vAlign w:val="center"/>
          </w:tcPr>
          <w:p w14:paraId="30BAD53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A903486">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2C378E4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546FEFC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自费支付</w:t>
            </w:r>
          </w:p>
        </w:tc>
        <w:tc>
          <w:tcPr>
            <w:tcW w:w="4642" w:type="dxa"/>
            <w:vAlign w:val="center"/>
          </w:tcPr>
          <w:p w14:paraId="034CE7A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支持患者在线支付挂号费用、线上复诊费用、药品费用、病案复印费用。</w:t>
            </w:r>
          </w:p>
        </w:tc>
        <w:tc>
          <w:tcPr>
            <w:tcW w:w="733" w:type="dxa"/>
            <w:vMerge w:val="continue"/>
            <w:vAlign w:val="center"/>
          </w:tcPr>
          <w:p w14:paraId="0F28483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C7B28F7">
            <w:pPr>
              <w:jc w:val="center"/>
              <w:rPr>
                <w:rFonts w:hint="eastAsia" w:ascii="宋体" w:hAnsi="宋体" w:eastAsia="宋体" w:cs="宋体"/>
                <w:b w:val="0"/>
                <w:bCs w:val="0"/>
                <w:color w:val="auto"/>
                <w:kern w:val="0"/>
                <w:sz w:val="20"/>
                <w:szCs w:val="20"/>
                <w:highlight w:val="none"/>
                <w:lang w:val="en-US" w:eastAsia="zh-CN" w:bidi="ar-SA"/>
              </w:rPr>
            </w:pPr>
          </w:p>
        </w:tc>
      </w:tr>
      <w:tr w14:paraId="4A59F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7B3D8FB">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526</w:t>
            </w:r>
          </w:p>
        </w:tc>
        <w:tc>
          <w:tcPr>
            <w:tcW w:w="720" w:type="dxa"/>
            <w:vMerge w:val="continue"/>
            <w:vAlign w:val="center"/>
          </w:tcPr>
          <w:p w14:paraId="312CF9C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96E468C">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restart"/>
            <w:vAlign w:val="center"/>
          </w:tcPr>
          <w:p w14:paraId="479966A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医生端</w:t>
            </w:r>
          </w:p>
        </w:tc>
        <w:tc>
          <w:tcPr>
            <w:tcW w:w="1117" w:type="dxa"/>
            <w:vAlign w:val="center"/>
          </w:tcPr>
          <w:p w14:paraId="5E4089D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CA签名</w:t>
            </w:r>
          </w:p>
        </w:tc>
        <w:tc>
          <w:tcPr>
            <w:tcW w:w="4642" w:type="dxa"/>
            <w:vAlign w:val="center"/>
          </w:tcPr>
          <w:p w14:paraId="6356FC5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为医生提供CA签名功能。</w:t>
            </w:r>
          </w:p>
        </w:tc>
        <w:tc>
          <w:tcPr>
            <w:tcW w:w="733" w:type="dxa"/>
            <w:vMerge w:val="restart"/>
            <w:vAlign w:val="center"/>
          </w:tcPr>
          <w:p w14:paraId="02F1398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1782421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8</w:t>
            </w:r>
          </w:p>
        </w:tc>
      </w:tr>
      <w:tr w14:paraId="2267E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9A2887D">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527</w:t>
            </w:r>
          </w:p>
        </w:tc>
        <w:tc>
          <w:tcPr>
            <w:tcW w:w="720" w:type="dxa"/>
            <w:vMerge w:val="continue"/>
            <w:vAlign w:val="center"/>
          </w:tcPr>
          <w:p w14:paraId="58F058C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6973141">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7C489E1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7B08168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线上门诊</w:t>
            </w:r>
          </w:p>
        </w:tc>
        <w:tc>
          <w:tcPr>
            <w:tcW w:w="4642" w:type="dxa"/>
            <w:vAlign w:val="center"/>
          </w:tcPr>
          <w:p w14:paraId="356004A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支持在工作站中查看候诊中、服务中和已关闭的线上问诊概况，并可以进入服务，选择提供接诊服务、服务沟通或服务结束。</w:t>
            </w:r>
          </w:p>
        </w:tc>
        <w:tc>
          <w:tcPr>
            <w:tcW w:w="733" w:type="dxa"/>
            <w:vMerge w:val="continue"/>
            <w:vAlign w:val="center"/>
          </w:tcPr>
          <w:p w14:paraId="5B350D3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055BEC4">
            <w:pPr>
              <w:jc w:val="center"/>
              <w:rPr>
                <w:rFonts w:hint="eastAsia" w:ascii="宋体" w:hAnsi="宋体" w:eastAsia="宋体" w:cs="宋体"/>
                <w:b w:val="0"/>
                <w:bCs w:val="0"/>
                <w:color w:val="auto"/>
                <w:kern w:val="0"/>
                <w:sz w:val="20"/>
                <w:szCs w:val="20"/>
                <w:highlight w:val="none"/>
                <w:lang w:val="en-US" w:eastAsia="zh-CN" w:bidi="ar-SA"/>
              </w:rPr>
            </w:pPr>
          </w:p>
        </w:tc>
      </w:tr>
      <w:tr w14:paraId="5028C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1CFC6C6">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528</w:t>
            </w:r>
          </w:p>
        </w:tc>
        <w:tc>
          <w:tcPr>
            <w:tcW w:w="720" w:type="dxa"/>
            <w:vMerge w:val="continue"/>
            <w:vAlign w:val="center"/>
          </w:tcPr>
          <w:p w14:paraId="0114961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DE265DA">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7056456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58694CA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电子病历</w:t>
            </w:r>
          </w:p>
        </w:tc>
        <w:tc>
          <w:tcPr>
            <w:tcW w:w="4642" w:type="dxa"/>
            <w:vAlign w:val="center"/>
          </w:tcPr>
          <w:p w14:paraId="78586C7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支持医生为线上复诊患者填写线上病历。</w:t>
            </w:r>
          </w:p>
        </w:tc>
        <w:tc>
          <w:tcPr>
            <w:tcW w:w="733" w:type="dxa"/>
            <w:vMerge w:val="continue"/>
            <w:vAlign w:val="center"/>
          </w:tcPr>
          <w:p w14:paraId="72D0BB4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44CCA61">
            <w:pPr>
              <w:jc w:val="center"/>
              <w:rPr>
                <w:rFonts w:hint="eastAsia" w:ascii="宋体" w:hAnsi="宋体" w:eastAsia="宋体" w:cs="宋体"/>
                <w:b w:val="0"/>
                <w:bCs w:val="0"/>
                <w:color w:val="auto"/>
                <w:kern w:val="0"/>
                <w:sz w:val="20"/>
                <w:szCs w:val="20"/>
                <w:highlight w:val="none"/>
                <w:lang w:val="en-US" w:eastAsia="zh-CN" w:bidi="ar-SA"/>
              </w:rPr>
            </w:pPr>
          </w:p>
        </w:tc>
      </w:tr>
      <w:tr w14:paraId="63BEC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2E6E123">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529</w:t>
            </w:r>
          </w:p>
        </w:tc>
        <w:tc>
          <w:tcPr>
            <w:tcW w:w="720" w:type="dxa"/>
            <w:vMerge w:val="continue"/>
            <w:vAlign w:val="center"/>
          </w:tcPr>
          <w:p w14:paraId="74EE5D2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EACD4BA">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58F5AB7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093B391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电子处方开立</w:t>
            </w:r>
          </w:p>
        </w:tc>
        <w:tc>
          <w:tcPr>
            <w:tcW w:w="4642" w:type="dxa"/>
            <w:vAlign w:val="center"/>
          </w:tcPr>
          <w:p w14:paraId="0C56DDB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支持医生为线上复诊的患者下诊断并开立电子处方。</w:t>
            </w:r>
          </w:p>
        </w:tc>
        <w:tc>
          <w:tcPr>
            <w:tcW w:w="733" w:type="dxa"/>
            <w:vMerge w:val="continue"/>
            <w:vAlign w:val="center"/>
          </w:tcPr>
          <w:p w14:paraId="5ADC786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1CE1514">
            <w:pPr>
              <w:jc w:val="center"/>
              <w:rPr>
                <w:rFonts w:hint="eastAsia" w:ascii="宋体" w:hAnsi="宋体" w:eastAsia="宋体" w:cs="宋体"/>
                <w:b w:val="0"/>
                <w:bCs w:val="0"/>
                <w:color w:val="auto"/>
                <w:kern w:val="0"/>
                <w:sz w:val="20"/>
                <w:szCs w:val="20"/>
                <w:highlight w:val="none"/>
                <w:lang w:val="en-US" w:eastAsia="zh-CN" w:bidi="ar-SA"/>
              </w:rPr>
            </w:pPr>
          </w:p>
        </w:tc>
      </w:tr>
      <w:tr w14:paraId="39D98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64C8CC4">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530</w:t>
            </w:r>
          </w:p>
        </w:tc>
        <w:tc>
          <w:tcPr>
            <w:tcW w:w="720" w:type="dxa"/>
            <w:vMerge w:val="continue"/>
            <w:vAlign w:val="center"/>
          </w:tcPr>
          <w:p w14:paraId="3D650AD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887233C">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0C67141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7E340FB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药品查询</w:t>
            </w:r>
          </w:p>
        </w:tc>
        <w:tc>
          <w:tcPr>
            <w:tcW w:w="4642" w:type="dxa"/>
            <w:vAlign w:val="center"/>
          </w:tcPr>
          <w:p w14:paraId="3F82382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支持医生在线查询药品的基本信息和药品说明书。</w:t>
            </w:r>
          </w:p>
        </w:tc>
        <w:tc>
          <w:tcPr>
            <w:tcW w:w="733" w:type="dxa"/>
            <w:vMerge w:val="continue"/>
            <w:vAlign w:val="center"/>
          </w:tcPr>
          <w:p w14:paraId="2BA70C0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32652AA">
            <w:pPr>
              <w:jc w:val="center"/>
              <w:rPr>
                <w:rFonts w:hint="eastAsia" w:ascii="宋体" w:hAnsi="宋体" w:eastAsia="宋体" w:cs="宋体"/>
                <w:b w:val="0"/>
                <w:bCs w:val="0"/>
                <w:color w:val="auto"/>
                <w:kern w:val="0"/>
                <w:sz w:val="20"/>
                <w:szCs w:val="20"/>
                <w:highlight w:val="none"/>
                <w:lang w:val="en-US" w:eastAsia="zh-CN" w:bidi="ar-SA"/>
              </w:rPr>
            </w:pPr>
          </w:p>
        </w:tc>
      </w:tr>
      <w:tr w14:paraId="73147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49D84FB">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531</w:t>
            </w:r>
          </w:p>
        </w:tc>
        <w:tc>
          <w:tcPr>
            <w:tcW w:w="720" w:type="dxa"/>
            <w:vMerge w:val="continue"/>
            <w:vAlign w:val="center"/>
          </w:tcPr>
          <w:p w14:paraId="5E8662C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93FDA5D">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4CA10C8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1A3E291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今日班次</w:t>
            </w:r>
          </w:p>
        </w:tc>
        <w:tc>
          <w:tcPr>
            <w:tcW w:w="4642" w:type="dxa"/>
            <w:vAlign w:val="center"/>
          </w:tcPr>
          <w:p w14:paraId="78CF21C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医生可以查看当日服务排班及服务情况。</w:t>
            </w:r>
          </w:p>
        </w:tc>
        <w:tc>
          <w:tcPr>
            <w:tcW w:w="733" w:type="dxa"/>
            <w:vMerge w:val="continue"/>
            <w:vAlign w:val="center"/>
          </w:tcPr>
          <w:p w14:paraId="1FF8304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F1E3AA5">
            <w:pPr>
              <w:jc w:val="center"/>
              <w:rPr>
                <w:rFonts w:hint="eastAsia" w:ascii="宋体" w:hAnsi="宋体" w:eastAsia="宋体" w:cs="宋体"/>
                <w:b w:val="0"/>
                <w:bCs w:val="0"/>
                <w:color w:val="auto"/>
                <w:kern w:val="0"/>
                <w:sz w:val="20"/>
                <w:szCs w:val="20"/>
                <w:highlight w:val="none"/>
                <w:lang w:val="en-US" w:eastAsia="zh-CN" w:bidi="ar-SA"/>
              </w:rPr>
            </w:pPr>
          </w:p>
        </w:tc>
      </w:tr>
      <w:tr w14:paraId="58995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036D279">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532</w:t>
            </w:r>
          </w:p>
        </w:tc>
        <w:tc>
          <w:tcPr>
            <w:tcW w:w="720" w:type="dxa"/>
            <w:vMerge w:val="continue"/>
            <w:vAlign w:val="center"/>
          </w:tcPr>
          <w:p w14:paraId="2C8E49A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C04F452">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610EEC7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14BAB80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消息通知</w:t>
            </w:r>
          </w:p>
        </w:tc>
        <w:tc>
          <w:tcPr>
            <w:tcW w:w="4642" w:type="dxa"/>
            <w:vAlign w:val="center"/>
          </w:tcPr>
          <w:p w14:paraId="59BB24C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医生可以收到服务消息通知，并在消息中心查看通知。</w:t>
            </w:r>
          </w:p>
        </w:tc>
        <w:tc>
          <w:tcPr>
            <w:tcW w:w="733" w:type="dxa"/>
            <w:vMerge w:val="continue"/>
            <w:vAlign w:val="center"/>
          </w:tcPr>
          <w:p w14:paraId="03AE990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877A2B2">
            <w:pPr>
              <w:jc w:val="center"/>
              <w:rPr>
                <w:rFonts w:hint="eastAsia" w:ascii="宋体" w:hAnsi="宋体" w:eastAsia="宋体" w:cs="宋体"/>
                <w:b w:val="0"/>
                <w:bCs w:val="0"/>
                <w:color w:val="auto"/>
                <w:kern w:val="0"/>
                <w:sz w:val="20"/>
                <w:szCs w:val="20"/>
                <w:highlight w:val="none"/>
                <w:lang w:val="en-US" w:eastAsia="zh-CN" w:bidi="ar-SA"/>
              </w:rPr>
            </w:pPr>
          </w:p>
        </w:tc>
      </w:tr>
      <w:tr w14:paraId="793A1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42BD722">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533</w:t>
            </w:r>
          </w:p>
        </w:tc>
        <w:tc>
          <w:tcPr>
            <w:tcW w:w="720" w:type="dxa"/>
            <w:vMerge w:val="continue"/>
            <w:vAlign w:val="center"/>
          </w:tcPr>
          <w:p w14:paraId="753C1D57">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5D78573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护理上门服务</w:t>
            </w:r>
          </w:p>
        </w:tc>
        <w:tc>
          <w:tcPr>
            <w:tcW w:w="966" w:type="dxa"/>
            <w:vMerge w:val="restart"/>
            <w:vAlign w:val="center"/>
          </w:tcPr>
          <w:p w14:paraId="4BFD9E9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患者端</w:t>
            </w:r>
          </w:p>
        </w:tc>
        <w:tc>
          <w:tcPr>
            <w:tcW w:w="1117" w:type="dxa"/>
            <w:vAlign w:val="center"/>
          </w:tcPr>
          <w:p w14:paraId="6EEE64E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热门服务</w:t>
            </w:r>
          </w:p>
        </w:tc>
        <w:tc>
          <w:tcPr>
            <w:tcW w:w="4642" w:type="dxa"/>
            <w:vAlign w:val="center"/>
          </w:tcPr>
          <w:p w14:paraId="423176D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显示热门服务及服务分类信</w:t>
            </w:r>
          </w:p>
        </w:tc>
        <w:tc>
          <w:tcPr>
            <w:tcW w:w="733" w:type="dxa"/>
            <w:vMerge w:val="restart"/>
            <w:vAlign w:val="center"/>
          </w:tcPr>
          <w:p w14:paraId="761A970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3ACA138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w:t>
            </w:r>
          </w:p>
        </w:tc>
      </w:tr>
      <w:tr w14:paraId="0BE06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589226E">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534</w:t>
            </w:r>
          </w:p>
        </w:tc>
        <w:tc>
          <w:tcPr>
            <w:tcW w:w="720" w:type="dxa"/>
            <w:vMerge w:val="continue"/>
            <w:vAlign w:val="center"/>
          </w:tcPr>
          <w:p w14:paraId="41717C9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89E1882">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1D55A26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5071DA8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服务种类</w:t>
            </w:r>
          </w:p>
        </w:tc>
        <w:tc>
          <w:tcPr>
            <w:tcW w:w="4642" w:type="dxa"/>
            <w:vAlign w:val="center"/>
          </w:tcPr>
          <w:p w14:paraId="2C3236D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可根据服务种类查看各种类下提供的服务项</w:t>
            </w:r>
          </w:p>
        </w:tc>
        <w:tc>
          <w:tcPr>
            <w:tcW w:w="733" w:type="dxa"/>
            <w:vMerge w:val="continue"/>
            <w:vAlign w:val="center"/>
          </w:tcPr>
          <w:p w14:paraId="2D6B540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6DC1AEB">
            <w:pPr>
              <w:jc w:val="center"/>
              <w:rPr>
                <w:rFonts w:hint="eastAsia" w:ascii="宋体" w:hAnsi="宋体" w:eastAsia="宋体" w:cs="宋体"/>
                <w:b w:val="0"/>
                <w:bCs w:val="0"/>
                <w:color w:val="auto"/>
                <w:kern w:val="0"/>
                <w:sz w:val="20"/>
                <w:szCs w:val="20"/>
                <w:highlight w:val="none"/>
                <w:lang w:val="en-US" w:eastAsia="zh-CN" w:bidi="ar-SA"/>
              </w:rPr>
            </w:pPr>
          </w:p>
        </w:tc>
      </w:tr>
      <w:tr w14:paraId="3D8EC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24BFD62">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535</w:t>
            </w:r>
          </w:p>
        </w:tc>
        <w:tc>
          <w:tcPr>
            <w:tcW w:w="720" w:type="dxa"/>
            <w:vMerge w:val="continue"/>
            <w:vAlign w:val="center"/>
          </w:tcPr>
          <w:p w14:paraId="1B8F4B2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2491F5D">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255E3B7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2AD0C35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定位</w:t>
            </w:r>
          </w:p>
        </w:tc>
        <w:tc>
          <w:tcPr>
            <w:tcW w:w="4642" w:type="dxa"/>
            <w:vAlign w:val="center"/>
          </w:tcPr>
          <w:p w14:paraId="4960EA1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自动获取用户当前的定位信息，根据地理位置展示可提供的服务项目。</w:t>
            </w:r>
          </w:p>
        </w:tc>
        <w:tc>
          <w:tcPr>
            <w:tcW w:w="733" w:type="dxa"/>
            <w:vMerge w:val="continue"/>
            <w:vAlign w:val="center"/>
          </w:tcPr>
          <w:p w14:paraId="7A6EA59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2D77DFA">
            <w:pPr>
              <w:jc w:val="center"/>
              <w:rPr>
                <w:rFonts w:hint="eastAsia" w:ascii="宋体" w:hAnsi="宋体" w:eastAsia="宋体" w:cs="宋体"/>
                <w:b w:val="0"/>
                <w:bCs w:val="0"/>
                <w:color w:val="auto"/>
                <w:kern w:val="0"/>
                <w:sz w:val="20"/>
                <w:szCs w:val="20"/>
                <w:highlight w:val="none"/>
                <w:lang w:val="en-US" w:eastAsia="zh-CN" w:bidi="ar-SA"/>
              </w:rPr>
            </w:pPr>
          </w:p>
        </w:tc>
      </w:tr>
      <w:tr w14:paraId="3DCC0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0EB369A">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536</w:t>
            </w:r>
          </w:p>
        </w:tc>
        <w:tc>
          <w:tcPr>
            <w:tcW w:w="720" w:type="dxa"/>
            <w:vMerge w:val="continue"/>
            <w:vAlign w:val="center"/>
          </w:tcPr>
          <w:p w14:paraId="7076032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F152E37">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6293238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22A41BA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服务项目详情</w:t>
            </w:r>
          </w:p>
        </w:tc>
        <w:tc>
          <w:tcPr>
            <w:tcW w:w="4642" w:type="dxa"/>
            <w:vAlign w:val="center"/>
          </w:tcPr>
          <w:p w14:paraId="7B1695E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介绍服务项目的详情、须知、价格、相关耗材信息</w:t>
            </w:r>
          </w:p>
        </w:tc>
        <w:tc>
          <w:tcPr>
            <w:tcW w:w="733" w:type="dxa"/>
            <w:vMerge w:val="continue"/>
            <w:vAlign w:val="center"/>
          </w:tcPr>
          <w:p w14:paraId="7E501FB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50D186E">
            <w:pPr>
              <w:jc w:val="center"/>
              <w:rPr>
                <w:rFonts w:hint="eastAsia" w:ascii="宋体" w:hAnsi="宋体" w:eastAsia="宋体" w:cs="宋体"/>
                <w:b w:val="0"/>
                <w:bCs w:val="0"/>
                <w:color w:val="auto"/>
                <w:kern w:val="0"/>
                <w:sz w:val="20"/>
                <w:szCs w:val="20"/>
                <w:highlight w:val="none"/>
                <w:lang w:val="en-US" w:eastAsia="zh-CN" w:bidi="ar-SA"/>
              </w:rPr>
            </w:pPr>
          </w:p>
        </w:tc>
      </w:tr>
      <w:tr w14:paraId="16FFB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9CDDAD5">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537</w:t>
            </w:r>
          </w:p>
        </w:tc>
        <w:tc>
          <w:tcPr>
            <w:tcW w:w="720" w:type="dxa"/>
            <w:vMerge w:val="continue"/>
            <w:vAlign w:val="center"/>
          </w:tcPr>
          <w:p w14:paraId="1C82F39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A8A25EB">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1DBF361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75CF62E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服务项目购买</w:t>
            </w:r>
          </w:p>
        </w:tc>
        <w:tc>
          <w:tcPr>
            <w:tcW w:w="4642" w:type="dxa"/>
            <w:vAlign w:val="center"/>
          </w:tcPr>
          <w:p w14:paraId="6B3A716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患者填写服务地址、预约服务时间、相关申请信息并确认查看知情告知书后可进行服务购买；可禁止患者预约时间选择在深夜。</w:t>
            </w:r>
          </w:p>
        </w:tc>
        <w:tc>
          <w:tcPr>
            <w:tcW w:w="733" w:type="dxa"/>
            <w:vMerge w:val="restart"/>
            <w:vAlign w:val="center"/>
          </w:tcPr>
          <w:p w14:paraId="510F8E5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051F62B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5</w:t>
            </w:r>
          </w:p>
        </w:tc>
      </w:tr>
      <w:tr w14:paraId="30773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E58F45E">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538</w:t>
            </w:r>
          </w:p>
        </w:tc>
        <w:tc>
          <w:tcPr>
            <w:tcW w:w="720" w:type="dxa"/>
            <w:vMerge w:val="continue"/>
            <w:vAlign w:val="center"/>
          </w:tcPr>
          <w:p w14:paraId="73A5404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9312828">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646F71D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15C9857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服务订单</w:t>
            </w:r>
          </w:p>
        </w:tc>
        <w:tc>
          <w:tcPr>
            <w:tcW w:w="4642" w:type="dxa"/>
            <w:vAlign w:val="center"/>
          </w:tcPr>
          <w:p w14:paraId="4BBB9A9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服务单详情包括服务对象、服务单信息、服务项目、服务申请信息、备注、服务单跟踪、服务耗材、签字确认、服务评价等信息。</w:t>
            </w:r>
          </w:p>
        </w:tc>
        <w:tc>
          <w:tcPr>
            <w:tcW w:w="733" w:type="dxa"/>
            <w:vMerge w:val="continue"/>
            <w:vAlign w:val="center"/>
          </w:tcPr>
          <w:p w14:paraId="729AE69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EF4B833">
            <w:pPr>
              <w:jc w:val="center"/>
              <w:rPr>
                <w:rFonts w:hint="eastAsia" w:ascii="宋体" w:hAnsi="宋体" w:eastAsia="宋体" w:cs="宋体"/>
                <w:b w:val="0"/>
                <w:bCs w:val="0"/>
                <w:color w:val="auto"/>
                <w:kern w:val="0"/>
                <w:sz w:val="20"/>
                <w:szCs w:val="20"/>
                <w:highlight w:val="none"/>
                <w:lang w:val="en-US" w:eastAsia="zh-CN" w:bidi="ar-SA"/>
              </w:rPr>
            </w:pPr>
          </w:p>
        </w:tc>
      </w:tr>
      <w:tr w14:paraId="4311D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9F47DD6">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539</w:t>
            </w:r>
          </w:p>
        </w:tc>
        <w:tc>
          <w:tcPr>
            <w:tcW w:w="720" w:type="dxa"/>
            <w:vMerge w:val="continue"/>
            <w:vAlign w:val="center"/>
          </w:tcPr>
          <w:p w14:paraId="1F6A9F0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B5DE582">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10B48D2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00A0EBF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线上咨询</w:t>
            </w:r>
          </w:p>
        </w:tc>
        <w:tc>
          <w:tcPr>
            <w:tcW w:w="4642" w:type="dxa"/>
            <w:vAlign w:val="center"/>
          </w:tcPr>
          <w:p w14:paraId="4818FB0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展示开展咨询项目的机构名称、项目名称、服务人员。</w:t>
            </w:r>
          </w:p>
        </w:tc>
        <w:tc>
          <w:tcPr>
            <w:tcW w:w="733" w:type="dxa"/>
            <w:vMerge w:val="continue"/>
            <w:vAlign w:val="center"/>
          </w:tcPr>
          <w:p w14:paraId="7FB7A16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13CF843">
            <w:pPr>
              <w:jc w:val="center"/>
              <w:rPr>
                <w:rFonts w:hint="eastAsia" w:ascii="宋体" w:hAnsi="宋体" w:eastAsia="宋体" w:cs="宋体"/>
                <w:b w:val="0"/>
                <w:bCs w:val="0"/>
                <w:color w:val="auto"/>
                <w:kern w:val="0"/>
                <w:sz w:val="20"/>
                <w:szCs w:val="20"/>
                <w:highlight w:val="none"/>
                <w:lang w:val="en-US" w:eastAsia="zh-CN" w:bidi="ar-SA"/>
              </w:rPr>
            </w:pPr>
          </w:p>
        </w:tc>
      </w:tr>
      <w:tr w14:paraId="7FF84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4D1CF5E">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540</w:t>
            </w:r>
          </w:p>
        </w:tc>
        <w:tc>
          <w:tcPr>
            <w:tcW w:w="720" w:type="dxa"/>
            <w:vMerge w:val="continue"/>
            <w:vAlign w:val="center"/>
          </w:tcPr>
          <w:p w14:paraId="6AD469A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AE1EA6E">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2381102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5559566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常用服务</w:t>
            </w:r>
          </w:p>
        </w:tc>
        <w:tc>
          <w:tcPr>
            <w:tcW w:w="4642" w:type="dxa"/>
            <w:vAlign w:val="center"/>
          </w:tcPr>
          <w:p w14:paraId="1069BA8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根据用户经常购买及浏览的服务项目进行展示。</w:t>
            </w:r>
          </w:p>
        </w:tc>
        <w:tc>
          <w:tcPr>
            <w:tcW w:w="733" w:type="dxa"/>
            <w:vMerge w:val="continue"/>
            <w:vAlign w:val="center"/>
          </w:tcPr>
          <w:p w14:paraId="4F454D1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F131D64">
            <w:pPr>
              <w:jc w:val="center"/>
              <w:rPr>
                <w:rFonts w:hint="eastAsia" w:ascii="宋体" w:hAnsi="宋体" w:eastAsia="宋体" w:cs="宋体"/>
                <w:b w:val="0"/>
                <w:bCs w:val="0"/>
                <w:color w:val="auto"/>
                <w:kern w:val="0"/>
                <w:sz w:val="20"/>
                <w:szCs w:val="20"/>
                <w:highlight w:val="none"/>
                <w:lang w:val="en-US" w:eastAsia="zh-CN" w:bidi="ar-SA"/>
              </w:rPr>
            </w:pPr>
          </w:p>
        </w:tc>
      </w:tr>
      <w:tr w14:paraId="572DE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E210431">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541</w:t>
            </w:r>
          </w:p>
        </w:tc>
        <w:tc>
          <w:tcPr>
            <w:tcW w:w="720" w:type="dxa"/>
            <w:vMerge w:val="continue"/>
            <w:vAlign w:val="center"/>
          </w:tcPr>
          <w:p w14:paraId="61A686B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96BACC6">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2C84C0A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297D17E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客服咨询</w:t>
            </w:r>
          </w:p>
        </w:tc>
        <w:tc>
          <w:tcPr>
            <w:tcW w:w="4642" w:type="dxa"/>
            <w:vAlign w:val="center"/>
          </w:tcPr>
          <w:p w14:paraId="0021B14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显示预设的问题及答案，用户也可呼叫人工进行线上咨询。</w:t>
            </w:r>
          </w:p>
        </w:tc>
        <w:tc>
          <w:tcPr>
            <w:tcW w:w="733" w:type="dxa"/>
            <w:vMerge w:val="continue"/>
            <w:vAlign w:val="center"/>
          </w:tcPr>
          <w:p w14:paraId="6F955C0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39C5C3D">
            <w:pPr>
              <w:jc w:val="center"/>
              <w:rPr>
                <w:rFonts w:hint="eastAsia" w:ascii="宋体" w:hAnsi="宋体" w:eastAsia="宋体" w:cs="宋体"/>
                <w:b w:val="0"/>
                <w:bCs w:val="0"/>
                <w:color w:val="auto"/>
                <w:kern w:val="0"/>
                <w:sz w:val="20"/>
                <w:szCs w:val="20"/>
                <w:highlight w:val="none"/>
                <w:lang w:val="en-US" w:eastAsia="zh-CN" w:bidi="ar-SA"/>
              </w:rPr>
            </w:pPr>
          </w:p>
        </w:tc>
      </w:tr>
      <w:tr w14:paraId="356C0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C2A3E1D">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542</w:t>
            </w:r>
          </w:p>
        </w:tc>
        <w:tc>
          <w:tcPr>
            <w:tcW w:w="720" w:type="dxa"/>
            <w:vMerge w:val="continue"/>
            <w:vAlign w:val="center"/>
          </w:tcPr>
          <w:p w14:paraId="536D84C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3ABE4BB">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restart"/>
            <w:vAlign w:val="center"/>
          </w:tcPr>
          <w:p w14:paraId="6C1F389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护士端</w:t>
            </w:r>
          </w:p>
        </w:tc>
        <w:tc>
          <w:tcPr>
            <w:tcW w:w="1117" w:type="dxa"/>
            <w:vAlign w:val="center"/>
          </w:tcPr>
          <w:p w14:paraId="02D79DE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抢/接单</w:t>
            </w:r>
          </w:p>
        </w:tc>
        <w:tc>
          <w:tcPr>
            <w:tcW w:w="4642" w:type="dxa"/>
            <w:vAlign w:val="center"/>
          </w:tcPr>
          <w:p w14:paraId="763E7A9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支持服务人员对订单进行抢单或者接受管理人员派发的订单。</w:t>
            </w:r>
          </w:p>
        </w:tc>
        <w:tc>
          <w:tcPr>
            <w:tcW w:w="733" w:type="dxa"/>
            <w:vMerge w:val="restart"/>
            <w:vAlign w:val="center"/>
          </w:tcPr>
          <w:p w14:paraId="742D025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41A19409">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10</w:t>
            </w:r>
          </w:p>
        </w:tc>
      </w:tr>
      <w:tr w14:paraId="624BD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3C31579">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543</w:t>
            </w:r>
          </w:p>
        </w:tc>
        <w:tc>
          <w:tcPr>
            <w:tcW w:w="720" w:type="dxa"/>
            <w:vMerge w:val="continue"/>
            <w:vAlign w:val="center"/>
          </w:tcPr>
          <w:p w14:paraId="29CAD1A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73D0934">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01744F4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018CC46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查询</w:t>
            </w:r>
          </w:p>
        </w:tc>
        <w:tc>
          <w:tcPr>
            <w:tcW w:w="4642" w:type="dxa"/>
            <w:vAlign w:val="center"/>
          </w:tcPr>
          <w:p w14:paraId="187FCDE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支持特定时间内的工单查询，如按星期数进行查询</w:t>
            </w:r>
          </w:p>
        </w:tc>
        <w:tc>
          <w:tcPr>
            <w:tcW w:w="733" w:type="dxa"/>
            <w:vMerge w:val="continue"/>
            <w:vAlign w:val="center"/>
          </w:tcPr>
          <w:p w14:paraId="707087C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9D3899A">
            <w:pPr>
              <w:jc w:val="center"/>
              <w:rPr>
                <w:rFonts w:hint="eastAsia" w:ascii="宋体" w:hAnsi="宋体" w:eastAsia="宋体" w:cs="宋体"/>
                <w:b w:val="0"/>
                <w:bCs w:val="0"/>
                <w:color w:val="auto"/>
                <w:kern w:val="0"/>
                <w:sz w:val="20"/>
                <w:szCs w:val="20"/>
                <w:highlight w:val="none"/>
                <w:lang w:val="en-US" w:eastAsia="zh-CN" w:bidi="ar-SA"/>
              </w:rPr>
            </w:pPr>
          </w:p>
        </w:tc>
      </w:tr>
      <w:tr w14:paraId="123C0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7735323">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544</w:t>
            </w:r>
          </w:p>
        </w:tc>
        <w:tc>
          <w:tcPr>
            <w:tcW w:w="720" w:type="dxa"/>
            <w:vMerge w:val="continue"/>
            <w:vAlign w:val="center"/>
          </w:tcPr>
          <w:p w14:paraId="04AD4B2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75DD183">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5C64F2F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3B5E095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服务单详情</w:t>
            </w:r>
          </w:p>
        </w:tc>
        <w:tc>
          <w:tcPr>
            <w:tcW w:w="4642" w:type="dxa"/>
            <w:vAlign w:val="center"/>
          </w:tcPr>
          <w:p w14:paraId="110D260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服务单详情包括服务对象、服务单信息、服务项目、服务申请信息、备注、服务单跟踪、服务耗材、签字确认、服务评价等信息。</w:t>
            </w:r>
          </w:p>
        </w:tc>
        <w:tc>
          <w:tcPr>
            <w:tcW w:w="733" w:type="dxa"/>
            <w:vMerge w:val="continue"/>
            <w:vAlign w:val="center"/>
          </w:tcPr>
          <w:p w14:paraId="3DC5E37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F3C678B">
            <w:pPr>
              <w:jc w:val="center"/>
              <w:rPr>
                <w:rFonts w:hint="eastAsia" w:ascii="宋体" w:hAnsi="宋体" w:eastAsia="宋体" w:cs="宋体"/>
                <w:b w:val="0"/>
                <w:bCs w:val="0"/>
                <w:color w:val="auto"/>
                <w:kern w:val="0"/>
                <w:sz w:val="20"/>
                <w:szCs w:val="20"/>
                <w:highlight w:val="none"/>
                <w:lang w:val="en-US" w:eastAsia="zh-CN" w:bidi="ar-SA"/>
              </w:rPr>
            </w:pPr>
          </w:p>
        </w:tc>
      </w:tr>
      <w:tr w14:paraId="7296C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D61386D">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545</w:t>
            </w:r>
          </w:p>
        </w:tc>
        <w:tc>
          <w:tcPr>
            <w:tcW w:w="720" w:type="dxa"/>
            <w:vMerge w:val="continue"/>
            <w:vAlign w:val="center"/>
          </w:tcPr>
          <w:p w14:paraId="19B4870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9865940">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0F1A7FE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5CF2FA8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一键报警</w:t>
            </w:r>
          </w:p>
        </w:tc>
        <w:tc>
          <w:tcPr>
            <w:tcW w:w="4642" w:type="dxa"/>
            <w:vAlign w:val="center"/>
          </w:tcPr>
          <w:p w14:paraId="3ACABC0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护士可在APP上进行一键报警操作，及时拨打110、120与运营电话</w:t>
            </w:r>
          </w:p>
        </w:tc>
        <w:tc>
          <w:tcPr>
            <w:tcW w:w="733" w:type="dxa"/>
            <w:vMerge w:val="continue"/>
            <w:vAlign w:val="center"/>
          </w:tcPr>
          <w:p w14:paraId="0428627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42679DB">
            <w:pPr>
              <w:jc w:val="center"/>
              <w:rPr>
                <w:rFonts w:hint="eastAsia" w:ascii="宋体" w:hAnsi="宋体" w:eastAsia="宋体" w:cs="宋体"/>
                <w:b w:val="0"/>
                <w:bCs w:val="0"/>
                <w:color w:val="auto"/>
                <w:kern w:val="0"/>
                <w:sz w:val="20"/>
                <w:szCs w:val="20"/>
                <w:highlight w:val="none"/>
                <w:lang w:val="en-US" w:eastAsia="zh-CN" w:bidi="ar-SA"/>
              </w:rPr>
            </w:pPr>
          </w:p>
        </w:tc>
      </w:tr>
      <w:tr w14:paraId="39BAF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2555E0D">
            <w:pPr>
              <w:keepNext w:val="0"/>
              <w:keepLines w:val="0"/>
              <w:widowControl/>
              <w:suppressLineNumbers w:val="0"/>
              <w:jc w:val="center"/>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546</w:t>
            </w:r>
          </w:p>
        </w:tc>
        <w:tc>
          <w:tcPr>
            <w:tcW w:w="720" w:type="dxa"/>
            <w:vMerge w:val="continue"/>
            <w:vAlign w:val="center"/>
          </w:tcPr>
          <w:p w14:paraId="1F64DFB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A1115FB">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43BDCB6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0B58BB3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出门</w:t>
            </w:r>
          </w:p>
        </w:tc>
        <w:tc>
          <w:tcPr>
            <w:tcW w:w="4642" w:type="dxa"/>
            <w:vAlign w:val="center"/>
          </w:tcPr>
          <w:p w14:paraId="1A5C95C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对于已抢工单，在出门服务时可点击出门按钮，系统自动获取护士点击出门至点击开始之间的路程信息。点击出门按钮，保险自动生效，直到完成服务后两小时。</w:t>
            </w:r>
          </w:p>
        </w:tc>
        <w:tc>
          <w:tcPr>
            <w:tcW w:w="733" w:type="dxa"/>
            <w:vMerge w:val="continue"/>
            <w:vAlign w:val="center"/>
          </w:tcPr>
          <w:p w14:paraId="4C887EB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A5F88ED">
            <w:pPr>
              <w:jc w:val="center"/>
              <w:rPr>
                <w:rFonts w:hint="eastAsia" w:ascii="宋体" w:hAnsi="宋体" w:eastAsia="宋体" w:cs="宋体"/>
                <w:b w:val="0"/>
                <w:bCs w:val="0"/>
                <w:color w:val="auto"/>
                <w:kern w:val="0"/>
                <w:sz w:val="20"/>
                <w:szCs w:val="20"/>
                <w:highlight w:val="none"/>
                <w:lang w:val="en-US" w:eastAsia="zh-CN" w:bidi="ar-SA"/>
              </w:rPr>
            </w:pPr>
          </w:p>
        </w:tc>
      </w:tr>
      <w:tr w14:paraId="698F0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ED664E3">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547</w:t>
            </w:r>
          </w:p>
        </w:tc>
        <w:tc>
          <w:tcPr>
            <w:tcW w:w="720" w:type="dxa"/>
            <w:vMerge w:val="continue"/>
            <w:vAlign w:val="center"/>
          </w:tcPr>
          <w:p w14:paraId="5E9D899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9378CD0">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2C0179A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70125D6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服务开始</w:t>
            </w:r>
          </w:p>
        </w:tc>
        <w:tc>
          <w:tcPr>
            <w:tcW w:w="4642" w:type="dxa"/>
            <w:vAlign w:val="center"/>
          </w:tcPr>
          <w:p w14:paraId="2FFDB06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护士到达患者处，点击开始按钮，开始服务。若所处位置与患者下单地址不同，则弹出警告。</w:t>
            </w:r>
          </w:p>
        </w:tc>
        <w:tc>
          <w:tcPr>
            <w:tcW w:w="733" w:type="dxa"/>
            <w:vMerge w:val="continue"/>
            <w:vAlign w:val="center"/>
          </w:tcPr>
          <w:p w14:paraId="0E3938B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07A1DB3">
            <w:pPr>
              <w:jc w:val="center"/>
              <w:rPr>
                <w:rFonts w:hint="eastAsia" w:ascii="宋体" w:hAnsi="宋体" w:eastAsia="宋体" w:cs="宋体"/>
                <w:b w:val="0"/>
                <w:bCs w:val="0"/>
                <w:color w:val="auto"/>
                <w:kern w:val="0"/>
                <w:sz w:val="20"/>
                <w:szCs w:val="20"/>
                <w:highlight w:val="none"/>
                <w:lang w:val="en-US" w:eastAsia="zh-CN" w:bidi="ar-SA"/>
              </w:rPr>
            </w:pPr>
          </w:p>
        </w:tc>
      </w:tr>
      <w:tr w14:paraId="2EB86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D06103A">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548</w:t>
            </w:r>
          </w:p>
        </w:tc>
        <w:tc>
          <w:tcPr>
            <w:tcW w:w="720" w:type="dxa"/>
            <w:vMerge w:val="continue"/>
            <w:vAlign w:val="center"/>
          </w:tcPr>
          <w:p w14:paraId="7481768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713B3B1">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76D39D5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26EBC6E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评估</w:t>
            </w:r>
          </w:p>
        </w:tc>
        <w:tc>
          <w:tcPr>
            <w:tcW w:w="4642" w:type="dxa"/>
            <w:vAlign w:val="center"/>
          </w:tcPr>
          <w:p w14:paraId="357AA2C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护士对需要进行评估的患者进行二次评估，具体评估量表可根据服务项目进行配置。</w:t>
            </w:r>
          </w:p>
        </w:tc>
        <w:tc>
          <w:tcPr>
            <w:tcW w:w="733" w:type="dxa"/>
            <w:vMerge w:val="continue"/>
            <w:vAlign w:val="center"/>
          </w:tcPr>
          <w:p w14:paraId="7C18134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3A132A4">
            <w:pPr>
              <w:jc w:val="center"/>
              <w:rPr>
                <w:rFonts w:hint="eastAsia" w:ascii="宋体" w:hAnsi="宋体" w:eastAsia="宋体" w:cs="宋体"/>
                <w:b w:val="0"/>
                <w:bCs w:val="0"/>
                <w:color w:val="auto"/>
                <w:kern w:val="0"/>
                <w:sz w:val="20"/>
                <w:szCs w:val="20"/>
                <w:highlight w:val="none"/>
                <w:lang w:val="en-US" w:eastAsia="zh-CN" w:bidi="ar-SA"/>
              </w:rPr>
            </w:pPr>
          </w:p>
        </w:tc>
      </w:tr>
      <w:tr w14:paraId="5B6AF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B44A550">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549</w:t>
            </w:r>
          </w:p>
        </w:tc>
        <w:tc>
          <w:tcPr>
            <w:tcW w:w="720" w:type="dxa"/>
            <w:vMerge w:val="continue"/>
            <w:vAlign w:val="center"/>
          </w:tcPr>
          <w:p w14:paraId="046F218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8D37FE0">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15D9FA8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27257C2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服务完成</w:t>
            </w:r>
          </w:p>
        </w:tc>
        <w:tc>
          <w:tcPr>
            <w:tcW w:w="4642" w:type="dxa"/>
            <w:vAlign w:val="center"/>
          </w:tcPr>
          <w:p w14:paraId="0A67D73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护士在完成服务后，可填写使用耗材，生成耗材订单供患者支付，可填写服务记录信息，使医疗服务留痕。在护士手机APP端确认完成服务。</w:t>
            </w:r>
          </w:p>
        </w:tc>
        <w:tc>
          <w:tcPr>
            <w:tcW w:w="733" w:type="dxa"/>
            <w:vMerge w:val="continue"/>
            <w:vAlign w:val="center"/>
          </w:tcPr>
          <w:p w14:paraId="56466B7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3D93A83">
            <w:pPr>
              <w:jc w:val="center"/>
              <w:rPr>
                <w:rFonts w:hint="eastAsia" w:ascii="宋体" w:hAnsi="宋体" w:eastAsia="宋体" w:cs="宋体"/>
                <w:b w:val="0"/>
                <w:bCs w:val="0"/>
                <w:color w:val="auto"/>
                <w:kern w:val="0"/>
                <w:sz w:val="20"/>
                <w:szCs w:val="20"/>
                <w:highlight w:val="none"/>
                <w:lang w:val="en-US" w:eastAsia="zh-CN" w:bidi="ar-SA"/>
              </w:rPr>
            </w:pPr>
          </w:p>
        </w:tc>
      </w:tr>
      <w:tr w14:paraId="17095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E625D3E">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550</w:t>
            </w:r>
          </w:p>
        </w:tc>
        <w:tc>
          <w:tcPr>
            <w:tcW w:w="720" w:type="dxa"/>
            <w:vMerge w:val="continue"/>
            <w:vAlign w:val="center"/>
          </w:tcPr>
          <w:p w14:paraId="516953F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EB0A82F">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139576D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3F9D603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医疗废物处置</w:t>
            </w:r>
          </w:p>
        </w:tc>
        <w:tc>
          <w:tcPr>
            <w:tcW w:w="4642" w:type="dxa"/>
            <w:vAlign w:val="center"/>
          </w:tcPr>
          <w:p w14:paraId="1C7ECE6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订单完成页面，可点击“垃圾投放”按钮，投放医疗废弃物，同时自动记录投放地点和内容。</w:t>
            </w:r>
          </w:p>
        </w:tc>
        <w:tc>
          <w:tcPr>
            <w:tcW w:w="733" w:type="dxa"/>
            <w:vMerge w:val="continue"/>
            <w:vAlign w:val="center"/>
          </w:tcPr>
          <w:p w14:paraId="690EE5A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38766D2">
            <w:pPr>
              <w:jc w:val="center"/>
              <w:rPr>
                <w:rFonts w:hint="eastAsia" w:ascii="宋体" w:hAnsi="宋体" w:eastAsia="宋体" w:cs="宋体"/>
                <w:b w:val="0"/>
                <w:bCs w:val="0"/>
                <w:color w:val="auto"/>
                <w:kern w:val="0"/>
                <w:sz w:val="20"/>
                <w:szCs w:val="20"/>
                <w:highlight w:val="none"/>
                <w:lang w:val="en-US" w:eastAsia="zh-CN" w:bidi="ar-SA"/>
              </w:rPr>
            </w:pPr>
          </w:p>
        </w:tc>
      </w:tr>
      <w:tr w14:paraId="6CC48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53DD0CC">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551</w:t>
            </w:r>
          </w:p>
        </w:tc>
        <w:tc>
          <w:tcPr>
            <w:tcW w:w="720" w:type="dxa"/>
            <w:vMerge w:val="continue"/>
            <w:vAlign w:val="center"/>
          </w:tcPr>
          <w:p w14:paraId="3B6E493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F0D6363">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312B75C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60F5733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咨询项目</w:t>
            </w:r>
          </w:p>
        </w:tc>
        <w:tc>
          <w:tcPr>
            <w:tcW w:w="4642" w:type="dxa"/>
            <w:vAlign w:val="center"/>
          </w:tcPr>
          <w:p w14:paraId="2E20F22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支持服务人员对咨询项目查看、回复信息。</w:t>
            </w:r>
          </w:p>
        </w:tc>
        <w:tc>
          <w:tcPr>
            <w:tcW w:w="733" w:type="dxa"/>
            <w:vMerge w:val="continue"/>
            <w:vAlign w:val="center"/>
          </w:tcPr>
          <w:p w14:paraId="101E8B8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72FB335">
            <w:pPr>
              <w:jc w:val="center"/>
              <w:rPr>
                <w:rFonts w:hint="eastAsia" w:ascii="宋体" w:hAnsi="宋体" w:eastAsia="宋体" w:cs="宋体"/>
                <w:b w:val="0"/>
                <w:bCs w:val="0"/>
                <w:color w:val="auto"/>
                <w:kern w:val="0"/>
                <w:sz w:val="20"/>
                <w:szCs w:val="20"/>
                <w:highlight w:val="none"/>
                <w:lang w:val="en-US" w:eastAsia="zh-CN" w:bidi="ar-SA"/>
              </w:rPr>
            </w:pPr>
          </w:p>
        </w:tc>
      </w:tr>
      <w:tr w14:paraId="270A1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1EAF2E9">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552</w:t>
            </w:r>
          </w:p>
        </w:tc>
        <w:tc>
          <w:tcPr>
            <w:tcW w:w="720" w:type="dxa"/>
            <w:vMerge w:val="continue"/>
            <w:vAlign w:val="center"/>
          </w:tcPr>
          <w:p w14:paraId="499844F0">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23E4898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健康促进服务</w:t>
            </w:r>
          </w:p>
        </w:tc>
        <w:tc>
          <w:tcPr>
            <w:tcW w:w="966" w:type="dxa"/>
            <w:vMerge w:val="restart"/>
            <w:vAlign w:val="center"/>
          </w:tcPr>
          <w:p w14:paraId="3BDDA88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患者端</w:t>
            </w:r>
          </w:p>
        </w:tc>
        <w:tc>
          <w:tcPr>
            <w:tcW w:w="1117" w:type="dxa"/>
            <w:vAlign w:val="center"/>
          </w:tcPr>
          <w:p w14:paraId="39B2964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专属首页</w:t>
            </w:r>
          </w:p>
        </w:tc>
        <w:tc>
          <w:tcPr>
            <w:tcW w:w="4642" w:type="dxa"/>
            <w:vAlign w:val="center"/>
          </w:tcPr>
          <w:p w14:paraId="5DFEDE9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支持根据医院需求，设计互联网医院首页。</w:t>
            </w:r>
          </w:p>
        </w:tc>
        <w:tc>
          <w:tcPr>
            <w:tcW w:w="733" w:type="dxa"/>
            <w:vMerge w:val="restart"/>
            <w:vAlign w:val="center"/>
          </w:tcPr>
          <w:p w14:paraId="610D946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41DDB3B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6</w:t>
            </w:r>
          </w:p>
        </w:tc>
      </w:tr>
      <w:tr w14:paraId="19F10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F0C9556">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553</w:t>
            </w:r>
          </w:p>
        </w:tc>
        <w:tc>
          <w:tcPr>
            <w:tcW w:w="720" w:type="dxa"/>
            <w:vMerge w:val="continue"/>
            <w:vAlign w:val="center"/>
          </w:tcPr>
          <w:p w14:paraId="2D20453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3F4A5F5">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1FE97CB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3798ED5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基础信息</w:t>
            </w:r>
          </w:p>
        </w:tc>
        <w:tc>
          <w:tcPr>
            <w:tcW w:w="4642" w:type="dxa"/>
            <w:vAlign w:val="center"/>
          </w:tcPr>
          <w:p w14:paraId="02C1F5F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支持医院介绍、联系电话、详细地址及来院路线等基本信息的展示。</w:t>
            </w:r>
          </w:p>
        </w:tc>
        <w:tc>
          <w:tcPr>
            <w:tcW w:w="733" w:type="dxa"/>
            <w:vMerge w:val="continue"/>
            <w:vAlign w:val="center"/>
          </w:tcPr>
          <w:p w14:paraId="4F6B460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EA5A7D8">
            <w:pPr>
              <w:jc w:val="center"/>
              <w:rPr>
                <w:rFonts w:hint="eastAsia" w:ascii="宋体" w:hAnsi="宋体" w:eastAsia="宋体" w:cs="宋体"/>
                <w:b w:val="0"/>
                <w:bCs w:val="0"/>
                <w:color w:val="auto"/>
                <w:kern w:val="0"/>
                <w:sz w:val="20"/>
                <w:szCs w:val="20"/>
                <w:highlight w:val="none"/>
                <w:lang w:val="en-US" w:eastAsia="zh-CN" w:bidi="ar-SA"/>
              </w:rPr>
            </w:pPr>
          </w:p>
        </w:tc>
      </w:tr>
      <w:tr w14:paraId="0FC02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934F04E">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554</w:t>
            </w:r>
          </w:p>
        </w:tc>
        <w:tc>
          <w:tcPr>
            <w:tcW w:w="720" w:type="dxa"/>
            <w:vMerge w:val="continue"/>
            <w:vAlign w:val="center"/>
          </w:tcPr>
          <w:p w14:paraId="475BB9D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52AB278">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2678ECA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7ACFE6F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医院公告</w:t>
            </w:r>
          </w:p>
        </w:tc>
        <w:tc>
          <w:tcPr>
            <w:tcW w:w="4642" w:type="dxa"/>
            <w:vAlign w:val="center"/>
          </w:tcPr>
          <w:p w14:paraId="54FC0DD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支持医院公告的展示，患者可以在首页查看医院最新的公告。</w:t>
            </w:r>
          </w:p>
        </w:tc>
        <w:tc>
          <w:tcPr>
            <w:tcW w:w="733" w:type="dxa"/>
            <w:vMerge w:val="continue"/>
            <w:vAlign w:val="center"/>
          </w:tcPr>
          <w:p w14:paraId="1CE2D35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1725940">
            <w:pPr>
              <w:jc w:val="center"/>
              <w:rPr>
                <w:rFonts w:hint="eastAsia" w:ascii="宋体" w:hAnsi="宋体" w:eastAsia="宋体" w:cs="宋体"/>
                <w:b w:val="0"/>
                <w:bCs w:val="0"/>
                <w:color w:val="auto"/>
                <w:kern w:val="0"/>
                <w:sz w:val="20"/>
                <w:szCs w:val="20"/>
                <w:highlight w:val="none"/>
                <w:lang w:val="en-US" w:eastAsia="zh-CN" w:bidi="ar-SA"/>
              </w:rPr>
            </w:pPr>
          </w:p>
        </w:tc>
      </w:tr>
      <w:tr w14:paraId="428FE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8139400">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555</w:t>
            </w:r>
          </w:p>
        </w:tc>
        <w:tc>
          <w:tcPr>
            <w:tcW w:w="720" w:type="dxa"/>
            <w:vMerge w:val="continue"/>
            <w:vAlign w:val="center"/>
          </w:tcPr>
          <w:p w14:paraId="40C55DD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28C8A9D">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4261F21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684BA5B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服务入口</w:t>
            </w:r>
          </w:p>
        </w:tc>
        <w:tc>
          <w:tcPr>
            <w:tcW w:w="4642" w:type="dxa"/>
            <w:vAlign w:val="center"/>
          </w:tcPr>
          <w:p w14:paraId="44F2579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服务入口可以以专科列表、医生列表形式提供服务。包括：在线咨询、在线复诊、移动护理等。</w:t>
            </w:r>
          </w:p>
        </w:tc>
        <w:tc>
          <w:tcPr>
            <w:tcW w:w="733" w:type="dxa"/>
            <w:vMerge w:val="continue"/>
            <w:vAlign w:val="center"/>
          </w:tcPr>
          <w:p w14:paraId="126EF7A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1FA27D7">
            <w:pPr>
              <w:jc w:val="center"/>
              <w:rPr>
                <w:rFonts w:hint="eastAsia" w:ascii="宋体" w:hAnsi="宋体" w:eastAsia="宋体" w:cs="宋体"/>
                <w:b w:val="0"/>
                <w:bCs w:val="0"/>
                <w:color w:val="auto"/>
                <w:kern w:val="0"/>
                <w:sz w:val="20"/>
                <w:szCs w:val="20"/>
                <w:highlight w:val="none"/>
                <w:lang w:val="en-US" w:eastAsia="zh-CN" w:bidi="ar-SA"/>
              </w:rPr>
            </w:pPr>
          </w:p>
        </w:tc>
      </w:tr>
      <w:tr w14:paraId="3A3CE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822FCC9">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556</w:t>
            </w:r>
          </w:p>
        </w:tc>
        <w:tc>
          <w:tcPr>
            <w:tcW w:w="720" w:type="dxa"/>
            <w:vMerge w:val="continue"/>
            <w:vAlign w:val="center"/>
          </w:tcPr>
          <w:p w14:paraId="4A36AA0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D38B295">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155452F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41DBB11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健康资讯</w:t>
            </w:r>
          </w:p>
        </w:tc>
        <w:tc>
          <w:tcPr>
            <w:tcW w:w="4642" w:type="dxa"/>
            <w:vAlign w:val="center"/>
          </w:tcPr>
          <w:p w14:paraId="4F0CCFB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支持以图文形式展示各类健康知识、科普文章等。</w:t>
            </w:r>
          </w:p>
        </w:tc>
        <w:tc>
          <w:tcPr>
            <w:tcW w:w="733" w:type="dxa"/>
            <w:vMerge w:val="continue"/>
            <w:vAlign w:val="center"/>
          </w:tcPr>
          <w:p w14:paraId="6469261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90645AB">
            <w:pPr>
              <w:jc w:val="center"/>
              <w:rPr>
                <w:rFonts w:hint="eastAsia" w:ascii="宋体" w:hAnsi="宋体" w:eastAsia="宋体" w:cs="宋体"/>
                <w:b w:val="0"/>
                <w:bCs w:val="0"/>
                <w:color w:val="auto"/>
                <w:kern w:val="0"/>
                <w:sz w:val="20"/>
                <w:szCs w:val="20"/>
                <w:highlight w:val="none"/>
                <w:lang w:val="en-US" w:eastAsia="zh-CN" w:bidi="ar-SA"/>
              </w:rPr>
            </w:pPr>
          </w:p>
        </w:tc>
      </w:tr>
      <w:tr w14:paraId="33E18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218278F">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557</w:t>
            </w:r>
          </w:p>
        </w:tc>
        <w:tc>
          <w:tcPr>
            <w:tcW w:w="720" w:type="dxa"/>
            <w:vMerge w:val="continue"/>
            <w:vAlign w:val="center"/>
          </w:tcPr>
          <w:p w14:paraId="1C98851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B9F70A2">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restart"/>
            <w:vAlign w:val="center"/>
          </w:tcPr>
          <w:p w14:paraId="4FE8931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医生端</w:t>
            </w:r>
          </w:p>
        </w:tc>
        <w:tc>
          <w:tcPr>
            <w:tcW w:w="1117" w:type="dxa"/>
            <w:vAlign w:val="center"/>
          </w:tcPr>
          <w:p w14:paraId="0D764FF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我的诊室</w:t>
            </w:r>
          </w:p>
        </w:tc>
        <w:tc>
          <w:tcPr>
            <w:tcW w:w="4642" w:type="dxa"/>
            <w:vAlign w:val="center"/>
          </w:tcPr>
          <w:p w14:paraId="4E3D87A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待接诊，展示待接诊患者服务列表。问诊中，展示问诊中患者服务列表。</w:t>
            </w:r>
          </w:p>
        </w:tc>
        <w:tc>
          <w:tcPr>
            <w:tcW w:w="733" w:type="dxa"/>
            <w:vMerge w:val="restart"/>
            <w:vAlign w:val="center"/>
          </w:tcPr>
          <w:p w14:paraId="5F2D294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2894E29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w:t>
            </w:r>
          </w:p>
        </w:tc>
      </w:tr>
      <w:tr w14:paraId="22525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035C2A9">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558</w:t>
            </w:r>
          </w:p>
        </w:tc>
        <w:tc>
          <w:tcPr>
            <w:tcW w:w="720" w:type="dxa"/>
            <w:vMerge w:val="continue"/>
            <w:vAlign w:val="center"/>
          </w:tcPr>
          <w:p w14:paraId="36280E2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8ACB2A6">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77356F5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112CE95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患者列表</w:t>
            </w:r>
          </w:p>
        </w:tc>
        <w:tc>
          <w:tcPr>
            <w:tcW w:w="4642" w:type="dxa"/>
            <w:vAlign w:val="center"/>
          </w:tcPr>
          <w:p w14:paraId="7C08127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患者列表，支持列表形式查看服务患者信息。患者详细资料，支持查看患者的基本信息、健康档案、历史处方等资料。</w:t>
            </w:r>
          </w:p>
        </w:tc>
        <w:tc>
          <w:tcPr>
            <w:tcW w:w="733" w:type="dxa"/>
            <w:vMerge w:val="continue"/>
            <w:vAlign w:val="center"/>
          </w:tcPr>
          <w:p w14:paraId="07281F4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8914C62">
            <w:pPr>
              <w:jc w:val="center"/>
              <w:rPr>
                <w:rFonts w:hint="eastAsia" w:ascii="宋体" w:hAnsi="宋体" w:eastAsia="宋体" w:cs="宋体"/>
                <w:b w:val="0"/>
                <w:bCs w:val="0"/>
                <w:color w:val="auto"/>
                <w:kern w:val="0"/>
                <w:sz w:val="20"/>
                <w:szCs w:val="20"/>
                <w:highlight w:val="none"/>
                <w:lang w:val="en-US" w:eastAsia="zh-CN" w:bidi="ar-SA"/>
              </w:rPr>
            </w:pPr>
          </w:p>
        </w:tc>
      </w:tr>
      <w:tr w14:paraId="096FF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80FEF0C">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559</w:t>
            </w:r>
          </w:p>
        </w:tc>
        <w:tc>
          <w:tcPr>
            <w:tcW w:w="720" w:type="dxa"/>
            <w:vMerge w:val="continue"/>
            <w:vAlign w:val="center"/>
          </w:tcPr>
          <w:p w14:paraId="195EC91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09BE134">
            <w:pPr>
              <w:jc w:val="center"/>
              <w:rPr>
                <w:rFonts w:hint="eastAsia" w:ascii="宋体" w:hAnsi="宋体" w:eastAsia="宋体" w:cs="宋体"/>
                <w:b w:val="0"/>
                <w:bCs w:val="0"/>
                <w:color w:val="auto"/>
                <w:kern w:val="0"/>
                <w:sz w:val="20"/>
                <w:szCs w:val="20"/>
                <w:highlight w:val="none"/>
                <w:lang w:val="en-US" w:eastAsia="zh-CN" w:bidi="ar-SA"/>
              </w:rPr>
            </w:pPr>
          </w:p>
        </w:tc>
        <w:tc>
          <w:tcPr>
            <w:tcW w:w="966" w:type="dxa"/>
            <w:vMerge w:val="continue"/>
            <w:vAlign w:val="center"/>
          </w:tcPr>
          <w:p w14:paraId="3144FE3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1117" w:type="dxa"/>
            <w:vAlign w:val="center"/>
          </w:tcPr>
          <w:p w14:paraId="35839AE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IM问诊服务</w:t>
            </w:r>
          </w:p>
        </w:tc>
        <w:tc>
          <w:tcPr>
            <w:tcW w:w="4642" w:type="dxa"/>
            <w:vAlign w:val="center"/>
          </w:tcPr>
          <w:p w14:paraId="30CC541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图文问诊/咨询，医生可以为患者提供图文咨询或问诊服务；视频问诊/咨询，医生可以为患者提供视频咨询或问诊服务；限制挂号，支持限制患者用户在本院预约挂号。</w:t>
            </w:r>
          </w:p>
        </w:tc>
        <w:tc>
          <w:tcPr>
            <w:tcW w:w="733" w:type="dxa"/>
            <w:vMerge w:val="continue"/>
            <w:vAlign w:val="center"/>
          </w:tcPr>
          <w:p w14:paraId="54F6F72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B2F1840">
            <w:pPr>
              <w:jc w:val="center"/>
              <w:rPr>
                <w:rFonts w:hint="eastAsia" w:ascii="宋体" w:hAnsi="宋体" w:eastAsia="宋体" w:cs="宋体"/>
                <w:b w:val="0"/>
                <w:bCs w:val="0"/>
                <w:color w:val="auto"/>
                <w:kern w:val="0"/>
                <w:sz w:val="20"/>
                <w:szCs w:val="20"/>
                <w:highlight w:val="none"/>
                <w:lang w:val="en-US" w:eastAsia="zh-CN" w:bidi="ar-SA"/>
              </w:rPr>
            </w:pPr>
          </w:p>
        </w:tc>
      </w:tr>
      <w:tr w14:paraId="75F1E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1245D70">
            <w:pPr>
              <w:keepNext w:val="0"/>
              <w:keepLines w:val="0"/>
              <w:widowControl/>
              <w:suppressLineNumbers w:val="0"/>
              <w:jc w:val="center"/>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560</w:t>
            </w:r>
          </w:p>
        </w:tc>
        <w:tc>
          <w:tcPr>
            <w:tcW w:w="720" w:type="dxa"/>
            <w:vMerge w:val="restart"/>
            <w:vAlign w:val="center"/>
          </w:tcPr>
          <w:p w14:paraId="7A22DB48">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数据大屏</w:t>
            </w:r>
          </w:p>
        </w:tc>
        <w:tc>
          <w:tcPr>
            <w:tcW w:w="2958" w:type="dxa"/>
            <w:gridSpan w:val="3"/>
            <w:vMerge w:val="restart"/>
            <w:vAlign w:val="center"/>
          </w:tcPr>
          <w:p w14:paraId="4E1A017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医护调度中心</w:t>
            </w:r>
          </w:p>
        </w:tc>
        <w:tc>
          <w:tcPr>
            <w:tcW w:w="4642" w:type="dxa"/>
            <w:vAlign w:val="center"/>
          </w:tcPr>
          <w:p w14:paraId="32A8BF9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展示在线问诊人次、电子处方开立张数，并可按年度进行筛选</w:t>
            </w:r>
          </w:p>
        </w:tc>
        <w:tc>
          <w:tcPr>
            <w:tcW w:w="733" w:type="dxa"/>
            <w:vMerge w:val="restart"/>
            <w:vAlign w:val="center"/>
          </w:tcPr>
          <w:p w14:paraId="4CA6E6D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4AC4633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10.5</w:t>
            </w:r>
          </w:p>
        </w:tc>
      </w:tr>
      <w:tr w14:paraId="286D7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905B8B8">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561</w:t>
            </w:r>
          </w:p>
        </w:tc>
        <w:tc>
          <w:tcPr>
            <w:tcW w:w="720" w:type="dxa"/>
            <w:vMerge w:val="continue"/>
            <w:vAlign w:val="center"/>
          </w:tcPr>
          <w:p w14:paraId="7AC2E190">
            <w:pPr>
              <w:jc w:val="center"/>
              <w:rPr>
                <w:rFonts w:hint="eastAsia" w:ascii="宋体" w:hAnsi="宋体" w:eastAsia="宋体" w:cs="宋体"/>
                <w:b/>
                <w:color w:val="auto"/>
                <w:sz w:val="24"/>
                <w:szCs w:val="24"/>
                <w:highlight w:val="none"/>
                <w:vertAlign w:val="baseline"/>
                <w:lang w:eastAsia="zh-CN"/>
              </w:rPr>
            </w:pPr>
          </w:p>
        </w:tc>
        <w:tc>
          <w:tcPr>
            <w:tcW w:w="2958" w:type="dxa"/>
            <w:gridSpan w:val="3"/>
            <w:vMerge w:val="continue"/>
            <w:vAlign w:val="center"/>
          </w:tcPr>
          <w:p w14:paraId="25BDF031">
            <w:pPr>
              <w:jc w:val="center"/>
              <w:rPr>
                <w:rFonts w:hint="eastAsia" w:ascii="宋体" w:hAnsi="宋体" w:eastAsia="宋体" w:cs="宋体"/>
                <w:b w:val="0"/>
                <w:bCs w:val="0"/>
                <w:color w:val="auto"/>
                <w:kern w:val="0"/>
                <w:sz w:val="20"/>
                <w:szCs w:val="20"/>
                <w:highlight w:val="none"/>
                <w:lang w:val="en-US" w:eastAsia="zh-CN" w:bidi="ar-SA"/>
              </w:rPr>
            </w:pPr>
          </w:p>
        </w:tc>
        <w:tc>
          <w:tcPr>
            <w:tcW w:w="4642" w:type="dxa"/>
            <w:vAlign w:val="center"/>
          </w:tcPr>
          <w:p w14:paraId="53DBEA2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通过地图展示各地区医护调度服务人次数</w:t>
            </w:r>
          </w:p>
        </w:tc>
        <w:tc>
          <w:tcPr>
            <w:tcW w:w="733" w:type="dxa"/>
            <w:vMerge w:val="continue"/>
            <w:vAlign w:val="center"/>
          </w:tcPr>
          <w:p w14:paraId="1F2DC82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AF2E99B">
            <w:pPr>
              <w:jc w:val="center"/>
              <w:rPr>
                <w:rFonts w:hint="eastAsia" w:ascii="宋体" w:hAnsi="宋体" w:eastAsia="宋体" w:cs="宋体"/>
                <w:b w:val="0"/>
                <w:bCs w:val="0"/>
                <w:color w:val="auto"/>
                <w:kern w:val="0"/>
                <w:sz w:val="20"/>
                <w:szCs w:val="20"/>
                <w:highlight w:val="none"/>
                <w:lang w:val="en-US" w:eastAsia="zh-CN" w:bidi="ar-SA"/>
              </w:rPr>
            </w:pPr>
          </w:p>
        </w:tc>
      </w:tr>
      <w:tr w14:paraId="5BBC9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4779FC7">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562</w:t>
            </w:r>
          </w:p>
        </w:tc>
        <w:tc>
          <w:tcPr>
            <w:tcW w:w="720" w:type="dxa"/>
            <w:vMerge w:val="continue"/>
            <w:vAlign w:val="center"/>
          </w:tcPr>
          <w:p w14:paraId="6AEBBE8B">
            <w:pPr>
              <w:jc w:val="center"/>
              <w:rPr>
                <w:rFonts w:hint="eastAsia" w:ascii="宋体" w:hAnsi="宋体" w:eastAsia="宋体" w:cs="宋体"/>
                <w:b/>
                <w:color w:val="auto"/>
                <w:sz w:val="24"/>
                <w:szCs w:val="24"/>
                <w:highlight w:val="none"/>
                <w:vertAlign w:val="baseline"/>
                <w:lang w:eastAsia="zh-CN"/>
              </w:rPr>
            </w:pPr>
          </w:p>
        </w:tc>
        <w:tc>
          <w:tcPr>
            <w:tcW w:w="2958" w:type="dxa"/>
            <w:gridSpan w:val="3"/>
            <w:vMerge w:val="continue"/>
            <w:vAlign w:val="center"/>
          </w:tcPr>
          <w:p w14:paraId="01931B42">
            <w:pPr>
              <w:jc w:val="center"/>
              <w:rPr>
                <w:rFonts w:hint="eastAsia" w:ascii="宋体" w:hAnsi="宋体" w:eastAsia="宋体" w:cs="宋体"/>
                <w:b w:val="0"/>
                <w:bCs w:val="0"/>
                <w:color w:val="auto"/>
                <w:kern w:val="0"/>
                <w:sz w:val="20"/>
                <w:szCs w:val="20"/>
                <w:highlight w:val="none"/>
                <w:lang w:val="en-US" w:eastAsia="zh-CN" w:bidi="ar-SA"/>
              </w:rPr>
            </w:pPr>
          </w:p>
        </w:tc>
        <w:tc>
          <w:tcPr>
            <w:tcW w:w="4642" w:type="dxa"/>
            <w:vAlign w:val="center"/>
          </w:tcPr>
          <w:p w14:paraId="4E7D2AF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展示区域内注册机构数，并按二级及以上医院、基层医疗机构进行对比</w:t>
            </w:r>
          </w:p>
        </w:tc>
        <w:tc>
          <w:tcPr>
            <w:tcW w:w="733" w:type="dxa"/>
            <w:vMerge w:val="continue"/>
            <w:vAlign w:val="center"/>
          </w:tcPr>
          <w:p w14:paraId="195D15C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A304613">
            <w:pPr>
              <w:jc w:val="center"/>
              <w:rPr>
                <w:rFonts w:hint="eastAsia" w:ascii="宋体" w:hAnsi="宋体" w:eastAsia="宋体" w:cs="宋体"/>
                <w:b w:val="0"/>
                <w:bCs w:val="0"/>
                <w:color w:val="auto"/>
                <w:kern w:val="0"/>
                <w:sz w:val="20"/>
                <w:szCs w:val="20"/>
                <w:highlight w:val="none"/>
                <w:lang w:val="en-US" w:eastAsia="zh-CN" w:bidi="ar-SA"/>
              </w:rPr>
            </w:pPr>
          </w:p>
        </w:tc>
      </w:tr>
      <w:tr w14:paraId="05186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CA490E6">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563</w:t>
            </w:r>
          </w:p>
        </w:tc>
        <w:tc>
          <w:tcPr>
            <w:tcW w:w="720" w:type="dxa"/>
            <w:vMerge w:val="continue"/>
            <w:vAlign w:val="center"/>
          </w:tcPr>
          <w:p w14:paraId="1EC2D1E4">
            <w:pPr>
              <w:jc w:val="center"/>
              <w:rPr>
                <w:rFonts w:hint="eastAsia" w:ascii="宋体" w:hAnsi="宋体" w:eastAsia="宋体" w:cs="宋体"/>
                <w:b/>
                <w:color w:val="auto"/>
                <w:sz w:val="24"/>
                <w:szCs w:val="24"/>
                <w:highlight w:val="none"/>
                <w:vertAlign w:val="baseline"/>
                <w:lang w:eastAsia="zh-CN"/>
              </w:rPr>
            </w:pPr>
          </w:p>
        </w:tc>
        <w:tc>
          <w:tcPr>
            <w:tcW w:w="2958" w:type="dxa"/>
            <w:gridSpan w:val="3"/>
            <w:vMerge w:val="continue"/>
            <w:vAlign w:val="center"/>
          </w:tcPr>
          <w:p w14:paraId="1F90F8C3">
            <w:pPr>
              <w:jc w:val="center"/>
              <w:rPr>
                <w:rFonts w:hint="eastAsia" w:ascii="宋体" w:hAnsi="宋体" w:eastAsia="宋体" w:cs="宋体"/>
                <w:b w:val="0"/>
                <w:bCs w:val="0"/>
                <w:color w:val="auto"/>
                <w:kern w:val="0"/>
                <w:sz w:val="20"/>
                <w:szCs w:val="20"/>
                <w:highlight w:val="none"/>
                <w:lang w:val="en-US" w:eastAsia="zh-CN" w:bidi="ar-SA"/>
              </w:rPr>
            </w:pPr>
          </w:p>
        </w:tc>
        <w:tc>
          <w:tcPr>
            <w:tcW w:w="4642" w:type="dxa"/>
            <w:vAlign w:val="center"/>
          </w:tcPr>
          <w:p w14:paraId="41CEA6D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展示注册医生和护士的总数</w:t>
            </w:r>
          </w:p>
        </w:tc>
        <w:tc>
          <w:tcPr>
            <w:tcW w:w="733" w:type="dxa"/>
            <w:vMerge w:val="continue"/>
            <w:vAlign w:val="center"/>
          </w:tcPr>
          <w:p w14:paraId="5F52A4C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3486398">
            <w:pPr>
              <w:jc w:val="center"/>
              <w:rPr>
                <w:rFonts w:hint="eastAsia" w:ascii="宋体" w:hAnsi="宋体" w:eastAsia="宋体" w:cs="宋体"/>
                <w:b w:val="0"/>
                <w:bCs w:val="0"/>
                <w:color w:val="auto"/>
                <w:kern w:val="0"/>
                <w:sz w:val="20"/>
                <w:szCs w:val="20"/>
                <w:highlight w:val="none"/>
                <w:lang w:val="en-US" w:eastAsia="zh-CN" w:bidi="ar-SA"/>
              </w:rPr>
            </w:pPr>
          </w:p>
        </w:tc>
      </w:tr>
      <w:tr w14:paraId="03809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77F23A8">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564</w:t>
            </w:r>
          </w:p>
        </w:tc>
        <w:tc>
          <w:tcPr>
            <w:tcW w:w="720" w:type="dxa"/>
            <w:vMerge w:val="continue"/>
            <w:vAlign w:val="center"/>
          </w:tcPr>
          <w:p w14:paraId="6008C97E">
            <w:pPr>
              <w:jc w:val="center"/>
              <w:rPr>
                <w:rFonts w:hint="eastAsia" w:ascii="宋体" w:hAnsi="宋体" w:eastAsia="宋体" w:cs="宋体"/>
                <w:b/>
                <w:color w:val="auto"/>
                <w:sz w:val="24"/>
                <w:szCs w:val="24"/>
                <w:highlight w:val="none"/>
                <w:vertAlign w:val="baseline"/>
                <w:lang w:eastAsia="zh-CN"/>
              </w:rPr>
            </w:pPr>
          </w:p>
        </w:tc>
        <w:tc>
          <w:tcPr>
            <w:tcW w:w="2958" w:type="dxa"/>
            <w:gridSpan w:val="3"/>
            <w:vMerge w:val="continue"/>
            <w:vAlign w:val="center"/>
          </w:tcPr>
          <w:p w14:paraId="38522836">
            <w:pPr>
              <w:jc w:val="center"/>
              <w:rPr>
                <w:rFonts w:hint="eastAsia" w:ascii="宋体" w:hAnsi="宋体" w:eastAsia="宋体" w:cs="宋体"/>
                <w:b w:val="0"/>
                <w:bCs w:val="0"/>
                <w:color w:val="auto"/>
                <w:kern w:val="0"/>
                <w:sz w:val="20"/>
                <w:szCs w:val="20"/>
                <w:highlight w:val="none"/>
                <w:lang w:val="en-US" w:eastAsia="zh-CN" w:bidi="ar-SA"/>
              </w:rPr>
            </w:pPr>
          </w:p>
        </w:tc>
        <w:tc>
          <w:tcPr>
            <w:tcW w:w="4642" w:type="dxa"/>
            <w:vAlign w:val="center"/>
          </w:tcPr>
          <w:p w14:paraId="3D16903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对建档率和档案规范管理率进行质控</w:t>
            </w:r>
          </w:p>
        </w:tc>
        <w:tc>
          <w:tcPr>
            <w:tcW w:w="733" w:type="dxa"/>
            <w:vMerge w:val="continue"/>
            <w:vAlign w:val="center"/>
          </w:tcPr>
          <w:p w14:paraId="432D747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D1421CA">
            <w:pPr>
              <w:jc w:val="center"/>
              <w:rPr>
                <w:rFonts w:hint="eastAsia" w:ascii="宋体" w:hAnsi="宋体" w:eastAsia="宋体" w:cs="宋体"/>
                <w:b w:val="0"/>
                <w:bCs w:val="0"/>
                <w:color w:val="auto"/>
                <w:kern w:val="0"/>
                <w:sz w:val="20"/>
                <w:szCs w:val="20"/>
                <w:highlight w:val="none"/>
                <w:lang w:val="en-US" w:eastAsia="zh-CN" w:bidi="ar-SA"/>
              </w:rPr>
            </w:pPr>
          </w:p>
        </w:tc>
      </w:tr>
      <w:tr w14:paraId="29CBF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6CD772F">
            <w:pPr>
              <w:keepNext w:val="0"/>
              <w:keepLines w:val="0"/>
              <w:widowControl/>
              <w:suppressLineNumbers w:val="0"/>
              <w:jc w:val="center"/>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565</w:t>
            </w:r>
          </w:p>
        </w:tc>
        <w:tc>
          <w:tcPr>
            <w:tcW w:w="720" w:type="dxa"/>
            <w:vMerge w:val="continue"/>
            <w:vAlign w:val="center"/>
          </w:tcPr>
          <w:p w14:paraId="0E13A901">
            <w:pPr>
              <w:jc w:val="center"/>
              <w:rPr>
                <w:rFonts w:hint="eastAsia" w:ascii="宋体" w:hAnsi="宋体" w:eastAsia="宋体" w:cs="宋体"/>
                <w:b/>
                <w:color w:val="auto"/>
                <w:sz w:val="24"/>
                <w:szCs w:val="24"/>
                <w:highlight w:val="none"/>
                <w:vertAlign w:val="baseline"/>
                <w:lang w:eastAsia="zh-CN"/>
              </w:rPr>
            </w:pPr>
          </w:p>
        </w:tc>
        <w:tc>
          <w:tcPr>
            <w:tcW w:w="2958" w:type="dxa"/>
            <w:gridSpan w:val="3"/>
            <w:vMerge w:val="continue"/>
            <w:vAlign w:val="center"/>
          </w:tcPr>
          <w:p w14:paraId="402CFF93">
            <w:pPr>
              <w:jc w:val="center"/>
              <w:rPr>
                <w:rFonts w:hint="eastAsia" w:ascii="宋体" w:hAnsi="宋体" w:eastAsia="宋体" w:cs="宋体"/>
                <w:b w:val="0"/>
                <w:bCs w:val="0"/>
                <w:color w:val="auto"/>
                <w:kern w:val="0"/>
                <w:sz w:val="20"/>
                <w:szCs w:val="20"/>
                <w:highlight w:val="none"/>
                <w:lang w:val="en-US" w:eastAsia="zh-CN" w:bidi="ar-SA"/>
              </w:rPr>
            </w:pPr>
          </w:p>
        </w:tc>
        <w:tc>
          <w:tcPr>
            <w:tcW w:w="4642" w:type="dxa"/>
            <w:vAlign w:val="center"/>
          </w:tcPr>
          <w:p w14:paraId="2255E28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对“四送”服务量类别和趋势进行分析</w:t>
            </w:r>
          </w:p>
        </w:tc>
        <w:tc>
          <w:tcPr>
            <w:tcW w:w="733" w:type="dxa"/>
            <w:vMerge w:val="continue"/>
            <w:vAlign w:val="center"/>
          </w:tcPr>
          <w:p w14:paraId="77B45D6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B10F080">
            <w:pPr>
              <w:jc w:val="center"/>
              <w:rPr>
                <w:rFonts w:hint="eastAsia" w:ascii="宋体" w:hAnsi="宋体" w:eastAsia="宋体" w:cs="宋体"/>
                <w:b w:val="0"/>
                <w:bCs w:val="0"/>
                <w:color w:val="auto"/>
                <w:kern w:val="0"/>
                <w:sz w:val="20"/>
                <w:szCs w:val="20"/>
                <w:highlight w:val="none"/>
                <w:lang w:val="en-US" w:eastAsia="zh-CN" w:bidi="ar-SA"/>
              </w:rPr>
            </w:pPr>
          </w:p>
        </w:tc>
      </w:tr>
      <w:tr w14:paraId="7FED4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FEE4A8C">
            <w:pPr>
              <w:keepNext w:val="0"/>
              <w:keepLines w:val="0"/>
              <w:widowControl/>
              <w:suppressLineNumbers w:val="0"/>
              <w:jc w:val="center"/>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566</w:t>
            </w:r>
          </w:p>
        </w:tc>
        <w:tc>
          <w:tcPr>
            <w:tcW w:w="720" w:type="dxa"/>
            <w:vMerge w:val="continue"/>
            <w:vAlign w:val="center"/>
          </w:tcPr>
          <w:p w14:paraId="1356A366">
            <w:pPr>
              <w:jc w:val="center"/>
              <w:rPr>
                <w:rFonts w:hint="eastAsia" w:ascii="宋体" w:hAnsi="宋体" w:eastAsia="宋体" w:cs="宋体"/>
                <w:b/>
                <w:color w:val="auto"/>
                <w:sz w:val="24"/>
                <w:szCs w:val="24"/>
                <w:highlight w:val="none"/>
                <w:vertAlign w:val="baseline"/>
                <w:lang w:eastAsia="zh-CN"/>
              </w:rPr>
            </w:pPr>
          </w:p>
        </w:tc>
        <w:tc>
          <w:tcPr>
            <w:tcW w:w="2958" w:type="dxa"/>
            <w:gridSpan w:val="3"/>
            <w:vMerge w:val="continue"/>
            <w:vAlign w:val="center"/>
          </w:tcPr>
          <w:p w14:paraId="0CADAAD3">
            <w:pPr>
              <w:jc w:val="center"/>
              <w:rPr>
                <w:rFonts w:hint="eastAsia" w:ascii="宋体" w:hAnsi="宋体" w:eastAsia="宋体" w:cs="宋体"/>
                <w:b w:val="0"/>
                <w:bCs w:val="0"/>
                <w:color w:val="auto"/>
                <w:kern w:val="0"/>
                <w:sz w:val="20"/>
                <w:szCs w:val="20"/>
                <w:highlight w:val="none"/>
                <w:lang w:val="en-US" w:eastAsia="zh-CN" w:bidi="ar-SA"/>
              </w:rPr>
            </w:pPr>
          </w:p>
        </w:tc>
        <w:tc>
          <w:tcPr>
            <w:tcW w:w="4642" w:type="dxa"/>
            <w:vAlign w:val="center"/>
          </w:tcPr>
          <w:p w14:paraId="39D8695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按居家医疗服务、护理上门服务、健康促进服务、药学上门分析、家庭医生服务进行分类对比展示</w:t>
            </w:r>
          </w:p>
        </w:tc>
        <w:tc>
          <w:tcPr>
            <w:tcW w:w="733" w:type="dxa"/>
            <w:vMerge w:val="continue"/>
            <w:vAlign w:val="center"/>
          </w:tcPr>
          <w:p w14:paraId="6247658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F5625E2">
            <w:pPr>
              <w:jc w:val="center"/>
              <w:rPr>
                <w:rFonts w:hint="eastAsia" w:ascii="宋体" w:hAnsi="宋体" w:eastAsia="宋体" w:cs="宋体"/>
                <w:b w:val="0"/>
                <w:bCs w:val="0"/>
                <w:color w:val="auto"/>
                <w:kern w:val="0"/>
                <w:sz w:val="20"/>
                <w:szCs w:val="20"/>
                <w:highlight w:val="none"/>
                <w:lang w:val="en-US" w:eastAsia="zh-CN" w:bidi="ar-SA"/>
              </w:rPr>
            </w:pPr>
          </w:p>
        </w:tc>
      </w:tr>
      <w:tr w14:paraId="2CD78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2B63978">
            <w:pPr>
              <w:keepNext w:val="0"/>
              <w:keepLines w:val="0"/>
              <w:widowControl/>
              <w:suppressLineNumbers w:val="0"/>
              <w:jc w:val="center"/>
              <w:textAlignment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567</w:t>
            </w:r>
          </w:p>
        </w:tc>
        <w:tc>
          <w:tcPr>
            <w:tcW w:w="720" w:type="dxa"/>
            <w:vMerge w:val="continue"/>
            <w:vAlign w:val="center"/>
          </w:tcPr>
          <w:p w14:paraId="2C4A5B88">
            <w:pPr>
              <w:jc w:val="center"/>
              <w:rPr>
                <w:rFonts w:hint="eastAsia" w:ascii="宋体" w:hAnsi="宋体" w:eastAsia="宋体" w:cs="宋体"/>
                <w:b/>
                <w:color w:val="auto"/>
                <w:sz w:val="24"/>
                <w:szCs w:val="24"/>
                <w:highlight w:val="none"/>
                <w:vertAlign w:val="baseline"/>
                <w:lang w:eastAsia="zh-CN"/>
              </w:rPr>
            </w:pPr>
          </w:p>
        </w:tc>
        <w:tc>
          <w:tcPr>
            <w:tcW w:w="2958" w:type="dxa"/>
            <w:gridSpan w:val="3"/>
            <w:vAlign w:val="center"/>
          </w:tcPr>
          <w:p w14:paraId="4D6BE52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家医服务中心</w:t>
            </w:r>
          </w:p>
        </w:tc>
        <w:tc>
          <w:tcPr>
            <w:tcW w:w="4642" w:type="dxa"/>
            <w:vAlign w:val="center"/>
          </w:tcPr>
          <w:p w14:paraId="6EB6BFD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展示区域内辖区人数、已签约人数、未签约人数，团队数、人群分布情况、履约情况、未完成任务提醒等功能</w:t>
            </w:r>
          </w:p>
        </w:tc>
        <w:tc>
          <w:tcPr>
            <w:tcW w:w="733" w:type="dxa"/>
            <w:vAlign w:val="center"/>
          </w:tcPr>
          <w:p w14:paraId="63D16DB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04479D6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bl>
    <w:p w14:paraId="74D8C4A7">
      <w:pPr>
        <w:pStyle w:val="2"/>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both"/>
        <w:textAlignment w:val="auto"/>
        <w:rPr>
          <w:rFonts w:hint="eastAsia" w:ascii="宋体" w:hAnsi="宋体" w:eastAsia="宋体" w:cs="宋体"/>
          <w:highlight w:val="yellow"/>
          <w:lang w:val="en-US" w:eastAsia="zh-CN"/>
        </w:rPr>
      </w:pPr>
      <w:r>
        <w:rPr>
          <w:rFonts w:hint="eastAsia" w:ascii="宋体" w:hAnsi="宋体" w:eastAsia="宋体" w:cs="宋体"/>
          <w:highlight w:val="yellow"/>
          <w:lang w:val="en-US" w:eastAsia="zh-CN"/>
        </w:rPr>
        <w:t>（二）-9：药物配送中心</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875"/>
        <w:gridCol w:w="966"/>
        <w:gridCol w:w="5759"/>
        <w:gridCol w:w="733"/>
        <w:gridCol w:w="714"/>
      </w:tblGrid>
      <w:tr w14:paraId="59430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81D28C7">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序号</w:t>
            </w:r>
          </w:p>
        </w:tc>
        <w:tc>
          <w:tcPr>
            <w:tcW w:w="720" w:type="dxa"/>
            <w:vAlign w:val="center"/>
          </w:tcPr>
          <w:p w14:paraId="1C11EF45">
            <w:pPr>
              <w:widowControl/>
              <w:jc w:val="center"/>
              <w:rPr>
                <w:rFonts w:hint="eastAsia" w:ascii="宋体" w:hAnsi="宋体" w:cs="宋体"/>
                <w:b/>
                <w:bCs/>
                <w:color w:val="auto"/>
                <w:kern w:val="0"/>
                <w:sz w:val="20"/>
                <w:szCs w:val="20"/>
                <w:highlight w:val="none"/>
                <w:lang w:eastAsia="zh-CN"/>
              </w:rPr>
            </w:pPr>
            <w:r>
              <w:rPr>
                <w:rFonts w:hint="eastAsia" w:ascii="宋体" w:hAnsi="宋体" w:cs="宋体"/>
                <w:b/>
                <w:bCs/>
                <w:color w:val="auto"/>
                <w:kern w:val="0"/>
                <w:sz w:val="20"/>
                <w:szCs w:val="20"/>
                <w:highlight w:val="none"/>
                <w:lang w:eastAsia="zh-CN"/>
              </w:rPr>
              <w:t>系统名称</w:t>
            </w:r>
          </w:p>
        </w:tc>
        <w:tc>
          <w:tcPr>
            <w:tcW w:w="875" w:type="dxa"/>
            <w:vAlign w:val="center"/>
          </w:tcPr>
          <w:p w14:paraId="64BBFE94">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一级子系统</w:t>
            </w:r>
          </w:p>
        </w:tc>
        <w:tc>
          <w:tcPr>
            <w:tcW w:w="966" w:type="dxa"/>
            <w:vAlign w:val="center"/>
          </w:tcPr>
          <w:p w14:paraId="23F91FD5">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二级子系统</w:t>
            </w:r>
          </w:p>
        </w:tc>
        <w:tc>
          <w:tcPr>
            <w:tcW w:w="5759" w:type="dxa"/>
            <w:vAlign w:val="center"/>
          </w:tcPr>
          <w:p w14:paraId="632C4E5A">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 xml:space="preserve"> </w:t>
            </w: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61421915">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单位</w:t>
            </w:r>
          </w:p>
        </w:tc>
        <w:tc>
          <w:tcPr>
            <w:tcW w:w="714" w:type="dxa"/>
            <w:vAlign w:val="center"/>
          </w:tcPr>
          <w:p w14:paraId="3BCC8B48">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数量</w:t>
            </w:r>
          </w:p>
        </w:tc>
      </w:tr>
      <w:tr w14:paraId="19149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3668B6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568</w:t>
            </w:r>
          </w:p>
        </w:tc>
        <w:tc>
          <w:tcPr>
            <w:tcW w:w="720" w:type="dxa"/>
            <w:vMerge w:val="restart"/>
            <w:vAlign w:val="center"/>
          </w:tcPr>
          <w:p w14:paraId="31B494D4">
            <w:pPr>
              <w:widowControl/>
              <w:jc w:val="center"/>
              <w:rPr>
                <w:rFonts w:hint="eastAsia" w:ascii="宋体" w:hAnsi="宋体" w:cs="宋体"/>
                <w:b/>
                <w:bCs/>
                <w:color w:val="auto"/>
                <w:kern w:val="0"/>
                <w:sz w:val="20"/>
                <w:szCs w:val="20"/>
                <w:highlight w:val="none"/>
                <w:lang w:eastAsia="zh-CN"/>
              </w:rPr>
            </w:pPr>
            <w:r>
              <w:rPr>
                <w:rFonts w:hint="eastAsia" w:ascii="宋体" w:hAnsi="宋体" w:cs="宋体"/>
                <w:b w:val="0"/>
                <w:bCs w:val="0"/>
                <w:color w:val="auto"/>
                <w:kern w:val="0"/>
                <w:sz w:val="20"/>
                <w:szCs w:val="20"/>
                <w:highlight w:val="none"/>
                <w:lang w:eastAsia="zh-CN"/>
              </w:rPr>
              <w:t>药物配送中心系统</w:t>
            </w:r>
          </w:p>
        </w:tc>
        <w:tc>
          <w:tcPr>
            <w:tcW w:w="875" w:type="dxa"/>
            <w:vAlign w:val="center"/>
          </w:tcPr>
          <w:p w14:paraId="7EC67FA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患者端</w:t>
            </w:r>
          </w:p>
        </w:tc>
        <w:tc>
          <w:tcPr>
            <w:tcW w:w="966" w:type="dxa"/>
            <w:vAlign w:val="center"/>
          </w:tcPr>
          <w:p w14:paraId="3E52027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线上处方</w:t>
            </w:r>
          </w:p>
        </w:tc>
        <w:tc>
          <w:tcPr>
            <w:tcW w:w="5759" w:type="dxa"/>
            <w:vAlign w:val="center"/>
          </w:tcPr>
          <w:p w14:paraId="1FDAFC9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提供线上处方功能，包括线上处方支付、线下自取、邮寄申请、药品配送、物流信息查询等</w:t>
            </w:r>
          </w:p>
        </w:tc>
        <w:tc>
          <w:tcPr>
            <w:tcW w:w="733" w:type="dxa"/>
            <w:vAlign w:val="center"/>
          </w:tcPr>
          <w:p w14:paraId="3752866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794AAA03">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0ECD8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219555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569</w:t>
            </w:r>
          </w:p>
        </w:tc>
        <w:tc>
          <w:tcPr>
            <w:tcW w:w="720" w:type="dxa"/>
            <w:vMerge w:val="continue"/>
            <w:vAlign w:val="center"/>
          </w:tcPr>
          <w:p w14:paraId="1278D0AC">
            <w:pPr>
              <w:widowControl/>
              <w:jc w:val="center"/>
              <w:rPr>
                <w:rFonts w:hint="eastAsia" w:ascii="宋体" w:hAnsi="宋体" w:cs="宋体"/>
                <w:b/>
                <w:bCs/>
                <w:color w:val="auto"/>
                <w:kern w:val="0"/>
                <w:sz w:val="20"/>
                <w:szCs w:val="20"/>
                <w:highlight w:val="none"/>
                <w:lang w:eastAsia="zh-CN"/>
              </w:rPr>
            </w:pPr>
          </w:p>
        </w:tc>
        <w:tc>
          <w:tcPr>
            <w:tcW w:w="875" w:type="dxa"/>
            <w:vMerge w:val="restart"/>
            <w:vAlign w:val="center"/>
          </w:tcPr>
          <w:p w14:paraId="4DF5F71F">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val="0"/>
                <w:bCs w:val="0"/>
                <w:color w:val="auto"/>
                <w:kern w:val="0"/>
                <w:sz w:val="20"/>
                <w:szCs w:val="20"/>
                <w:highlight w:val="none"/>
                <w:lang w:val="en-US" w:eastAsia="zh-CN"/>
              </w:rPr>
              <w:t>药师审方端</w:t>
            </w:r>
          </w:p>
        </w:tc>
        <w:tc>
          <w:tcPr>
            <w:tcW w:w="966" w:type="dxa"/>
            <w:vAlign w:val="center"/>
          </w:tcPr>
          <w:p w14:paraId="296E09E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线上处方</w:t>
            </w:r>
          </w:p>
        </w:tc>
        <w:tc>
          <w:tcPr>
            <w:tcW w:w="5759" w:type="dxa"/>
            <w:vAlign w:val="center"/>
          </w:tcPr>
          <w:p w14:paraId="58A69C6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提供医生在线开具网络处方功能，包括常用药箱、合理用药对接、药师审方查询、处方修改、处方双签等，支持对接CA签名</w:t>
            </w:r>
          </w:p>
        </w:tc>
        <w:tc>
          <w:tcPr>
            <w:tcW w:w="733" w:type="dxa"/>
            <w:vAlign w:val="center"/>
          </w:tcPr>
          <w:p w14:paraId="22CF577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2DDB582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6E237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247E2B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570</w:t>
            </w:r>
          </w:p>
        </w:tc>
        <w:tc>
          <w:tcPr>
            <w:tcW w:w="720" w:type="dxa"/>
            <w:vMerge w:val="continue"/>
            <w:vAlign w:val="center"/>
          </w:tcPr>
          <w:p w14:paraId="2017FC40">
            <w:pPr>
              <w:widowControl/>
              <w:jc w:val="center"/>
              <w:rPr>
                <w:rFonts w:hint="eastAsia" w:ascii="宋体" w:hAnsi="宋体" w:cs="宋体"/>
                <w:b/>
                <w:bCs/>
                <w:color w:val="auto"/>
                <w:kern w:val="0"/>
                <w:sz w:val="20"/>
                <w:szCs w:val="20"/>
                <w:highlight w:val="none"/>
                <w:lang w:eastAsia="zh-CN"/>
              </w:rPr>
            </w:pPr>
          </w:p>
        </w:tc>
        <w:tc>
          <w:tcPr>
            <w:tcW w:w="875" w:type="dxa"/>
            <w:vMerge w:val="continue"/>
            <w:vAlign w:val="center"/>
          </w:tcPr>
          <w:p w14:paraId="31C9E93B">
            <w:pPr>
              <w:widowControl/>
              <w:jc w:val="center"/>
              <w:rPr>
                <w:rFonts w:hint="eastAsia" w:ascii="宋体" w:hAnsi="宋体" w:cs="宋体"/>
                <w:b/>
                <w:bCs/>
                <w:color w:val="auto"/>
                <w:kern w:val="0"/>
                <w:sz w:val="20"/>
                <w:szCs w:val="20"/>
                <w:highlight w:val="none"/>
                <w:lang w:val="en-US" w:eastAsia="zh-CN"/>
              </w:rPr>
            </w:pPr>
          </w:p>
        </w:tc>
        <w:tc>
          <w:tcPr>
            <w:tcW w:w="966" w:type="dxa"/>
            <w:vAlign w:val="center"/>
          </w:tcPr>
          <w:p w14:paraId="681839C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审核处方</w:t>
            </w:r>
          </w:p>
        </w:tc>
        <w:tc>
          <w:tcPr>
            <w:tcW w:w="5759" w:type="dxa"/>
            <w:vAlign w:val="center"/>
          </w:tcPr>
          <w:p w14:paraId="257F762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药师可以对处方进行审核，支持“审核通过”、“审核不通过”两种审核结果，不通过药师可以填写理由。</w:t>
            </w:r>
          </w:p>
        </w:tc>
        <w:tc>
          <w:tcPr>
            <w:tcW w:w="733" w:type="dxa"/>
            <w:vAlign w:val="center"/>
          </w:tcPr>
          <w:p w14:paraId="65B71DB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6A640F0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4698E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C536C8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571</w:t>
            </w:r>
          </w:p>
        </w:tc>
        <w:tc>
          <w:tcPr>
            <w:tcW w:w="720" w:type="dxa"/>
            <w:vMerge w:val="continue"/>
            <w:vAlign w:val="center"/>
          </w:tcPr>
          <w:p w14:paraId="7779E0A7">
            <w:pPr>
              <w:widowControl/>
              <w:jc w:val="center"/>
              <w:rPr>
                <w:rFonts w:hint="eastAsia" w:ascii="宋体" w:hAnsi="宋体" w:cs="宋体"/>
                <w:b/>
                <w:bCs/>
                <w:color w:val="auto"/>
                <w:kern w:val="0"/>
                <w:sz w:val="20"/>
                <w:szCs w:val="20"/>
                <w:highlight w:val="none"/>
                <w:lang w:eastAsia="zh-CN"/>
              </w:rPr>
            </w:pPr>
          </w:p>
        </w:tc>
        <w:tc>
          <w:tcPr>
            <w:tcW w:w="875" w:type="dxa"/>
            <w:vMerge w:val="continue"/>
            <w:vAlign w:val="center"/>
          </w:tcPr>
          <w:p w14:paraId="0A55311B">
            <w:pPr>
              <w:widowControl/>
              <w:jc w:val="center"/>
              <w:rPr>
                <w:rFonts w:hint="eastAsia" w:ascii="宋体" w:hAnsi="宋体" w:cs="宋体"/>
                <w:b/>
                <w:bCs/>
                <w:color w:val="auto"/>
                <w:kern w:val="0"/>
                <w:sz w:val="20"/>
                <w:szCs w:val="20"/>
                <w:highlight w:val="none"/>
                <w:lang w:val="en-US" w:eastAsia="zh-CN"/>
              </w:rPr>
            </w:pPr>
          </w:p>
        </w:tc>
        <w:tc>
          <w:tcPr>
            <w:tcW w:w="966" w:type="dxa"/>
            <w:vAlign w:val="center"/>
          </w:tcPr>
          <w:p w14:paraId="4C5ABA7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处方查询</w:t>
            </w:r>
          </w:p>
        </w:tc>
        <w:tc>
          <w:tcPr>
            <w:tcW w:w="5759" w:type="dxa"/>
            <w:vAlign w:val="center"/>
          </w:tcPr>
          <w:p w14:paraId="17C348B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支持查询处方并查看详情。</w:t>
            </w:r>
          </w:p>
        </w:tc>
        <w:tc>
          <w:tcPr>
            <w:tcW w:w="733" w:type="dxa"/>
            <w:vAlign w:val="center"/>
          </w:tcPr>
          <w:p w14:paraId="008CA69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4E2B6A4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0B310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5B5CF8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572</w:t>
            </w:r>
          </w:p>
        </w:tc>
        <w:tc>
          <w:tcPr>
            <w:tcW w:w="720" w:type="dxa"/>
            <w:vMerge w:val="continue"/>
            <w:vAlign w:val="center"/>
          </w:tcPr>
          <w:p w14:paraId="0F4AC5BA">
            <w:pPr>
              <w:widowControl/>
              <w:jc w:val="center"/>
              <w:rPr>
                <w:rFonts w:hint="eastAsia" w:ascii="宋体" w:hAnsi="宋体" w:cs="宋体"/>
                <w:b/>
                <w:bCs/>
                <w:color w:val="auto"/>
                <w:kern w:val="0"/>
                <w:sz w:val="20"/>
                <w:szCs w:val="20"/>
                <w:highlight w:val="none"/>
                <w:lang w:eastAsia="zh-CN"/>
              </w:rPr>
            </w:pPr>
          </w:p>
        </w:tc>
        <w:tc>
          <w:tcPr>
            <w:tcW w:w="875" w:type="dxa"/>
            <w:vMerge w:val="continue"/>
            <w:vAlign w:val="center"/>
          </w:tcPr>
          <w:p w14:paraId="7FC6DA0D">
            <w:pPr>
              <w:widowControl/>
              <w:jc w:val="center"/>
              <w:rPr>
                <w:rFonts w:hint="eastAsia" w:ascii="宋体" w:hAnsi="宋体" w:cs="宋体"/>
                <w:b/>
                <w:bCs/>
                <w:color w:val="auto"/>
                <w:kern w:val="0"/>
                <w:sz w:val="20"/>
                <w:szCs w:val="20"/>
                <w:highlight w:val="none"/>
                <w:lang w:val="en-US" w:eastAsia="zh-CN"/>
              </w:rPr>
            </w:pPr>
          </w:p>
        </w:tc>
        <w:tc>
          <w:tcPr>
            <w:tcW w:w="966" w:type="dxa"/>
            <w:vAlign w:val="center"/>
          </w:tcPr>
          <w:p w14:paraId="022D37D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订单查询</w:t>
            </w:r>
          </w:p>
        </w:tc>
        <w:tc>
          <w:tcPr>
            <w:tcW w:w="5759" w:type="dxa"/>
            <w:vAlign w:val="center"/>
          </w:tcPr>
          <w:p w14:paraId="16CB459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支持订单查询并查看详情。</w:t>
            </w:r>
          </w:p>
        </w:tc>
        <w:tc>
          <w:tcPr>
            <w:tcW w:w="733" w:type="dxa"/>
            <w:vAlign w:val="center"/>
          </w:tcPr>
          <w:p w14:paraId="1F4C824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1B57F2D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305D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2A5A45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573</w:t>
            </w:r>
          </w:p>
        </w:tc>
        <w:tc>
          <w:tcPr>
            <w:tcW w:w="720" w:type="dxa"/>
            <w:vMerge w:val="continue"/>
            <w:vAlign w:val="center"/>
          </w:tcPr>
          <w:p w14:paraId="4BDB2069">
            <w:pPr>
              <w:widowControl/>
              <w:jc w:val="center"/>
              <w:rPr>
                <w:rFonts w:hint="eastAsia" w:ascii="宋体" w:hAnsi="宋体" w:cs="宋体"/>
                <w:b/>
                <w:bCs/>
                <w:color w:val="auto"/>
                <w:kern w:val="0"/>
                <w:sz w:val="20"/>
                <w:szCs w:val="20"/>
                <w:highlight w:val="none"/>
                <w:lang w:eastAsia="zh-CN"/>
              </w:rPr>
            </w:pPr>
          </w:p>
        </w:tc>
        <w:tc>
          <w:tcPr>
            <w:tcW w:w="875" w:type="dxa"/>
            <w:vMerge w:val="restart"/>
            <w:vAlign w:val="center"/>
          </w:tcPr>
          <w:p w14:paraId="46D1E1FA">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val="0"/>
                <w:bCs w:val="0"/>
                <w:color w:val="auto"/>
                <w:kern w:val="0"/>
                <w:sz w:val="20"/>
                <w:szCs w:val="20"/>
                <w:highlight w:val="none"/>
                <w:lang w:val="en-US" w:eastAsia="zh-CN"/>
              </w:rPr>
              <w:t>药房发药端</w:t>
            </w:r>
          </w:p>
        </w:tc>
        <w:tc>
          <w:tcPr>
            <w:tcW w:w="966" w:type="dxa"/>
            <w:vAlign w:val="center"/>
          </w:tcPr>
          <w:p w14:paraId="6F68CB2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自提订单管理</w:t>
            </w:r>
          </w:p>
        </w:tc>
        <w:tc>
          <w:tcPr>
            <w:tcW w:w="5759" w:type="dxa"/>
            <w:vAlign w:val="center"/>
          </w:tcPr>
          <w:p w14:paraId="52E9397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订单查询，支持查询自提患者订单，配货单，支持配货单打印，取药，支持取药状态调整，确认取药，完成购药订单。</w:t>
            </w:r>
          </w:p>
        </w:tc>
        <w:tc>
          <w:tcPr>
            <w:tcW w:w="733" w:type="dxa"/>
            <w:vAlign w:val="center"/>
          </w:tcPr>
          <w:p w14:paraId="29DDF71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3D018FE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5B7EE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394A57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574</w:t>
            </w:r>
          </w:p>
        </w:tc>
        <w:tc>
          <w:tcPr>
            <w:tcW w:w="720" w:type="dxa"/>
            <w:vMerge w:val="continue"/>
            <w:vAlign w:val="center"/>
          </w:tcPr>
          <w:p w14:paraId="46D73DC4">
            <w:pPr>
              <w:widowControl/>
              <w:jc w:val="center"/>
              <w:rPr>
                <w:rFonts w:hint="eastAsia" w:ascii="宋体" w:hAnsi="宋体" w:cs="宋体"/>
                <w:b/>
                <w:bCs/>
                <w:color w:val="auto"/>
                <w:kern w:val="0"/>
                <w:sz w:val="20"/>
                <w:szCs w:val="20"/>
                <w:highlight w:val="none"/>
                <w:lang w:eastAsia="zh-CN"/>
              </w:rPr>
            </w:pPr>
          </w:p>
        </w:tc>
        <w:tc>
          <w:tcPr>
            <w:tcW w:w="875" w:type="dxa"/>
            <w:vMerge w:val="continue"/>
            <w:vAlign w:val="center"/>
          </w:tcPr>
          <w:p w14:paraId="18D215CE">
            <w:pPr>
              <w:widowControl/>
              <w:jc w:val="center"/>
              <w:rPr>
                <w:rFonts w:hint="eastAsia" w:ascii="宋体" w:hAnsi="宋体" w:cs="宋体"/>
                <w:b/>
                <w:bCs/>
                <w:color w:val="auto"/>
                <w:kern w:val="0"/>
                <w:sz w:val="20"/>
                <w:szCs w:val="20"/>
                <w:highlight w:val="none"/>
                <w:lang w:val="en-US" w:eastAsia="zh-CN"/>
              </w:rPr>
            </w:pPr>
          </w:p>
        </w:tc>
        <w:tc>
          <w:tcPr>
            <w:tcW w:w="966" w:type="dxa"/>
            <w:vAlign w:val="center"/>
          </w:tcPr>
          <w:p w14:paraId="4FB8D61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配送订单管理</w:t>
            </w:r>
          </w:p>
        </w:tc>
        <w:tc>
          <w:tcPr>
            <w:tcW w:w="5759" w:type="dxa"/>
            <w:vAlign w:val="center"/>
          </w:tcPr>
          <w:p w14:paraId="3B9896D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订单查询，支持查询待配送订单，配送单，支持订单配送单打印，签收，支持进行签收/拒签操作。</w:t>
            </w:r>
          </w:p>
        </w:tc>
        <w:tc>
          <w:tcPr>
            <w:tcW w:w="733" w:type="dxa"/>
            <w:vAlign w:val="center"/>
          </w:tcPr>
          <w:p w14:paraId="429934B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0361131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2DC0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665F7E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575</w:t>
            </w:r>
          </w:p>
        </w:tc>
        <w:tc>
          <w:tcPr>
            <w:tcW w:w="720" w:type="dxa"/>
            <w:vMerge w:val="continue"/>
            <w:vAlign w:val="center"/>
          </w:tcPr>
          <w:p w14:paraId="40E1767E">
            <w:pPr>
              <w:widowControl/>
              <w:jc w:val="center"/>
              <w:rPr>
                <w:rFonts w:hint="eastAsia" w:ascii="宋体" w:hAnsi="宋体" w:cs="宋体"/>
                <w:b/>
                <w:bCs/>
                <w:color w:val="auto"/>
                <w:kern w:val="0"/>
                <w:sz w:val="20"/>
                <w:szCs w:val="20"/>
                <w:highlight w:val="none"/>
                <w:lang w:eastAsia="zh-CN"/>
              </w:rPr>
            </w:pPr>
          </w:p>
        </w:tc>
        <w:tc>
          <w:tcPr>
            <w:tcW w:w="875" w:type="dxa"/>
            <w:vMerge w:val="continue"/>
            <w:vAlign w:val="center"/>
          </w:tcPr>
          <w:p w14:paraId="63236B2D">
            <w:pPr>
              <w:widowControl/>
              <w:jc w:val="center"/>
              <w:rPr>
                <w:rFonts w:hint="eastAsia" w:ascii="宋体" w:hAnsi="宋体" w:cs="宋体"/>
                <w:b/>
                <w:bCs/>
                <w:color w:val="auto"/>
                <w:kern w:val="0"/>
                <w:sz w:val="20"/>
                <w:szCs w:val="20"/>
                <w:highlight w:val="none"/>
                <w:lang w:val="en-US" w:eastAsia="zh-CN"/>
              </w:rPr>
            </w:pPr>
          </w:p>
        </w:tc>
        <w:tc>
          <w:tcPr>
            <w:tcW w:w="966" w:type="dxa"/>
            <w:vAlign w:val="center"/>
          </w:tcPr>
          <w:p w14:paraId="2923B32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商品维护管理</w:t>
            </w:r>
          </w:p>
        </w:tc>
        <w:tc>
          <w:tcPr>
            <w:tcW w:w="5759" w:type="dxa"/>
            <w:vAlign w:val="center"/>
          </w:tcPr>
          <w:p w14:paraId="5B0BF88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支持西药/中草药药品信息维护，包括修改药品编码、价格等。</w:t>
            </w:r>
          </w:p>
        </w:tc>
        <w:tc>
          <w:tcPr>
            <w:tcW w:w="733" w:type="dxa"/>
            <w:vAlign w:val="center"/>
          </w:tcPr>
          <w:p w14:paraId="08FF019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275470C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520E7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A189CA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576</w:t>
            </w:r>
          </w:p>
        </w:tc>
        <w:tc>
          <w:tcPr>
            <w:tcW w:w="720" w:type="dxa"/>
            <w:vMerge w:val="continue"/>
            <w:vAlign w:val="center"/>
          </w:tcPr>
          <w:p w14:paraId="367C0757">
            <w:pPr>
              <w:widowControl/>
              <w:jc w:val="center"/>
              <w:rPr>
                <w:rFonts w:hint="eastAsia" w:ascii="宋体" w:hAnsi="宋体" w:cs="宋体"/>
                <w:b/>
                <w:bCs/>
                <w:color w:val="auto"/>
                <w:kern w:val="0"/>
                <w:sz w:val="20"/>
                <w:szCs w:val="20"/>
                <w:highlight w:val="none"/>
                <w:lang w:eastAsia="zh-CN"/>
              </w:rPr>
            </w:pPr>
          </w:p>
        </w:tc>
        <w:tc>
          <w:tcPr>
            <w:tcW w:w="875" w:type="dxa"/>
            <w:vMerge w:val="continue"/>
            <w:vAlign w:val="center"/>
          </w:tcPr>
          <w:p w14:paraId="725654B7">
            <w:pPr>
              <w:widowControl/>
              <w:jc w:val="center"/>
              <w:rPr>
                <w:rFonts w:hint="eastAsia" w:ascii="宋体" w:hAnsi="宋体" w:cs="宋体"/>
                <w:b/>
                <w:bCs/>
                <w:color w:val="auto"/>
                <w:kern w:val="0"/>
                <w:sz w:val="20"/>
                <w:szCs w:val="20"/>
                <w:highlight w:val="none"/>
                <w:lang w:val="en-US" w:eastAsia="zh-CN"/>
              </w:rPr>
            </w:pPr>
          </w:p>
        </w:tc>
        <w:tc>
          <w:tcPr>
            <w:tcW w:w="966" w:type="dxa"/>
            <w:vAlign w:val="center"/>
          </w:tcPr>
          <w:p w14:paraId="0FB1329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快递对接</w:t>
            </w:r>
          </w:p>
        </w:tc>
        <w:tc>
          <w:tcPr>
            <w:tcW w:w="5759" w:type="dxa"/>
            <w:vAlign w:val="center"/>
          </w:tcPr>
          <w:p w14:paraId="0435C8C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支持根据快递公司及快递单生效时间进行查询快递单。</w:t>
            </w:r>
          </w:p>
        </w:tc>
        <w:tc>
          <w:tcPr>
            <w:tcW w:w="733" w:type="dxa"/>
            <w:vAlign w:val="center"/>
          </w:tcPr>
          <w:p w14:paraId="099CB59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0034019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1CDAA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67666F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577</w:t>
            </w:r>
          </w:p>
        </w:tc>
        <w:tc>
          <w:tcPr>
            <w:tcW w:w="720" w:type="dxa"/>
            <w:vMerge w:val="continue"/>
            <w:vAlign w:val="center"/>
          </w:tcPr>
          <w:p w14:paraId="25085E0A">
            <w:pPr>
              <w:widowControl/>
              <w:jc w:val="center"/>
              <w:rPr>
                <w:rFonts w:hint="eastAsia" w:ascii="宋体" w:hAnsi="宋体" w:cs="宋体"/>
                <w:b/>
                <w:bCs/>
                <w:color w:val="auto"/>
                <w:kern w:val="0"/>
                <w:sz w:val="20"/>
                <w:szCs w:val="20"/>
                <w:highlight w:val="none"/>
                <w:lang w:eastAsia="zh-CN"/>
              </w:rPr>
            </w:pPr>
          </w:p>
        </w:tc>
        <w:tc>
          <w:tcPr>
            <w:tcW w:w="875" w:type="dxa"/>
            <w:vMerge w:val="continue"/>
            <w:vAlign w:val="center"/>
          </w:tcPr>
          <w:p w14:paraId="58D1240E">
            <w:pPr>
              <w:widowControl/>
              <w:jc w:val="center"/>
              <w:rPr>
                <w:rFonts w:hint="eastAsia" w:ascii="宋体" w:hAnsi="宋体" w:cs="宋体"/>
                <w:b/>
                <w:bCs/>
                <w:color w:val="auto"/>
                <w:kern w:val="0"/>
                <w:sz w:val="20"/>
                <w:szCs w:val="20"/>
                <w:highlight w:val="none"/>
                <w:lang w:val="en-US" w:eastAsia="zh-CN"/>
              </w:rPr>
            </w:pPr>
          </w:p>
        </w:tc>
        <w:tc>
          <w:tcPr>
            <w:tcW w:w="966" w:type="dxa"/>
            <w:vAlign w:val="center"/>
          </w:tcPr>
          <w:p w14:paraId="3B7C529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订单查询</w:t>
            </w:r>
          </w:p>
        </w:tc>
        <w:tc>
          <w:tcPr>
            <w:tcW w:w="5759" w:type="dxa"/>
            <w:vAlign w:val="center"/>
          </w:tcPr>
          <w:p w14:paraId="1033F84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支持查看订单详情、处方详情、打印配送单及查看物流信息。</w:t>
            </w:r>
          </w:p>
        </w:tc>
        <w:tc>
          <w:tcPr>
            <w:tcW w:w="733" w:type="dxa"/>
            <w:vAlign w:val="center"/>
          </w:tcPr>
          <w:p w14:paraId="678EA26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2619867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7D32F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3E8E19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578</w:t>
            </w:r>
          </w:p>
        </w:tc>
        <w:tc>
          <w:tcPr>
            <w:tcW w:w="720" w:type="dxa"/>
            <w:vMerge w:val="continue"/>
            <w:vAlign w:val="center"/>
          </w:tcPr>
          <w:p w14:paraId="3AE5D585">
            <w:pPr>
              <w:widowControl/>
              <w:jc w:val="center"/>
              <w:rPr>
                <w:rFonts w:hint="eastAsia" w:ascii="宋体" w:hAnsi="宋体" w:cs="宋体"/>
                <w:b/>
                <w:bCs/>
                <w:color w:val="auto"/>
                <w:kern w:val="0"/>
                <w:sz w:val="20"/>
                <w:szCs w:val="20"/>
                <w:highlight w:val="none"/>
                <w:lang w:eastAsia="zh-CN"/>
              </w:rPr>
            </w:pPr>
          </w:p>
        </w:tc>
        <w:tc>
          <w:tcPr>
            <w:tcW w:w="875" w:type="dxa"/>
            <w:vMerge w:val="continue"/>
            <w:vAlign w:val="center"/>
          </w:tcPr>
          <w:p w14:paraId="2DA551C3">
            <w:pPr>
              <w:widowControl/>
              <w:jc w:val="center"/>
              <w:rPr>
                <w:rFonts w:hint="eastAsia" w:ascii="宋体" w:hAnsi="宋体" w:cs="宋体"/>
                <w:b/>
                <w:bCs/>
                <w:color w:val="auto"/>
                <w:kern w:val="0"/>
                <w:sz w:val="20"/>
                <w:szCs w:val="20"/>
                <w:highlight w:val="none"/>
                <w:lang w:val="en-US" w:eastAsia="zh-CN"/>
              </w:rPr>
            </w:pPr>
          </w:p>
        </w:tc>
        <w:tc>
          <w:tcPr>
            <w:tcW w:w="966" w:type="dxa"/>
            <w:vAlign w:val="center"/>
          </w:tcPr>
          <w:p w14:paraId="2CD0364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退款管理</w:t>
            </w:r>
          </w:p>
        </w:tc>
        <w:tc>
          <w:tcPr>
            <w:tcW w:w="5759" w:type="dxa"/>
            <w:vAlign w:val="center"/>
          </w:tcPr>
          <w:p w14:paraId="34900A8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支持按照订单申请退款。</w:t>
            </w:r>
          </w:p>
        </w:tc>
        <w:tc>
          <w:tcPr>
            <w:tcW w:w="733" w:type="dxa"/>
            <w:vAlign w:val="center"/>
          </w:tcPr>
          <w:p w14:paraId="7C852F5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7F11853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113CA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09D589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579</w:t>
            </w:r>
          </w:p>
        </w:tc>
        <w:tc>
          <w:tcPr>
            <w:tcW w:w="720" w:type="dxa"/>
            <w:vMerge w:val="continue"/>
            <w:vAlign w:val="center"/>
          </w:tcPr>
          <w:p w14:paraId="45512B76">
            <w:pPr>
              <w:widowControl/>
              <w:jc w:val="center"/>
              <w:rPr>
                <w:rFonts w:hint="eastAsia" w:ascii="宋体" w:hAnsi="宋体" w:cs="宋体"/>
                <w:b/>
                <w:bCs/>
                <w:color w:val="auto"/>
                <w:kern w:val="0"/>
                <w:sz w:val="20"/>
                <w:szCs w:val="20"/>
                <w:highlight w:val="none"/>
                <w:lang w:eastAsia="zh-CN"/>
              </w:rPr>
            </w:pPr>
          </w:p>
        </w:tc>
        <w:tc>
          <w:tcPr>
            <w:tcW w:w="875" w:type="dxa"/>
            <w:vMerge w:val="continue"/>
            <w:vAlign w:val="center"/>
          </w:tcPr>
          <w:p w14:paraId="4A991A55">
            <w:pPr>
              <w:widowControl/>
              <w:jc w:val="center"/>
              <w:rPr>
                <w:rFonts w:hint="eastAsia" w:ascii="宋体" w:hAnsi="宋体" w:cs="宋体"/>
                <w:b/>
                <w:bCs/>
                <w:color w:val="auto"/>
                <w:kern w:val="0"/>
                <w:sz w:val="20"/>
                <w:szCs w:val="20"/>
                <w:highlight w:val="none"/>
                <w:lang w:val="en-US" w:eastAsia="zh-CN"/>
              </w:rPr>
            </w:pPr>
          </w:p>
        </w:tc>
        <w:tc>
          <w:tcPr>
            <w:tcW w:w="966" w:type="dxa"/>
            <w:vAlign w:val="center"/>
          </w:tcPr>
          <w:p w14:paraId="41CF8B4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统计分析</w:t>
            </w:r>
          </w:p>
        </w:tc>
        <w:tc>
          <w:tcPr>
            <w:tcW w:w="5759" w:type="dxa"/>
            <w:vAlign w:val="center"/>
          </w:tcPr>
          <w:p w14:paraId="77923C4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支持药品销售数量、销售金额统计。</w:t>
            </w:r>
          </w:p>
        </w:tc>
        <w:tc>
          <w:tcPr>
            <w:tcW w:w="733" w:type="dxa"/>
            <w:vAlign w:val="center"/>
          </w:tcPr>
          <w:p w14:paraId="200EC94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5FB278D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6FE6A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3" w:type="dxa"/>
            <w:vAlign w:val="center"/>
          </w:tcPr>
          <w:p w14:paraId="1F563C9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580</w:t>
            </w:r>
          </w:p>
        </w:tc>
        <w:tc>
          <w:tcPr>
            <w:tcW w:w="720" w:type="dxa"/>
            <w:vMerge w:val="continue"/>
            <w:vAlign w:val="center"/>
          </w:tcPr>
          <w:p w14:paraId="72AF226D">
            <w:pPr>
              <w:widowControl/>
              <w:jc w:val="center"/>
              <w:rPr>
                <w:rFonts w:hint="eastAsia" w:ascii="宋体" w:hAnsi="宋体" w:cs="宋体"/>
                <w:b/>
                <w:bCs/>
                <w:color w:val="auto"/>
                <w:kern w:val="0"/>
                <w:sz w:val="20"/>
                <w:szCs w:val="20"/>
                <w:highlight w:val="none"/>
                <w:lang w:eastAsia="zh-CN"/>
              </w:rPr>
            </w:pPr>
          </w:p>
        </w:tc>
        <w:tc>
          <w:tcPr>
            <w:tcW w:w="875" w:type="dxa"/>
            <w:vMerge w:val="continue"/>
            <w:vAlign w:val="center"/>
          </w:tcPr>
          <w:p w14:paraId="4728F7EB">
            <w:pPr>
              <w:widowControl/>
              <w:jc w:val="center"/>
              <w:rPr>
                <w:rFonts w:hint="eastAsia" w:ascii="宋体" w:hAnsi="宋体" w:cs="宋体"/>
                <w:b/>
                <w:bCs/>
                <w:color w:val="auto"/>
                <w:kern w:val="0"/>
                <w:sz w:val="20"/>
                <w:szCs w:val="20"/>
                <w:highlight w:val="none"/>
                <w:lang w:val="en-US" w:eastAsia="zh-CN"/>
              </w:rPr>
            </w:pPr>
          </w:p>
        </w:tc>
        <w:tc>
          <w:tcPr>
            <w:tcW w:w="966" w:type="dxa"/>
            <w:vAlign w:val="center"/>
          </w:tcPr>
          <w:p w14:paraId="2D1462D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药师工作量</w:t>
            </w:r>
          </w:p>
        </w:tc>
        <w:tc>
          <w:tcPr>
            <w:tcW w:w="5759" w:type="dxa"/>
            <w:vAlign w:val="center"/>
          </w:tcPr>
          <w:p w14:paraId="427ECD5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支持根据操作时间统计药剂师工作量。</w:t>
            </w:r>
          </w:p>
        </w:tc>
        <w:tc>
          <w:tcPr>
            <w:tcW w:w="733" w:type="dxa"/>
            <w:vAlign w:val="center"/>
          </w:tcPr>
          <w:p w14:paraId="70F9CEB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42BA08D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51331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FABC64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581</w:t>
            </w:r>
          </w:p>
        </w:tc>
        <w:tc>
          <w:tcPr>
            <w:tcW w:w="720" w:type="dxa"/>
            <w:vMerge w:val="restart"/>
            <w:vAlign w:val="center"/>
          </w:tcPr>
          <w:p w14:paraId="73147A9F">
            <w:pPr>
              <w:widowControl/>
              <w:jc w:val="center"/>
              <w:rPr>
                <w:rFonts w:hint="eastAsia" w:ascii="宋体" w:hAnsi="宋体" w:cs="宋体"/>
                <w:b/>
                <w:bCs/>
                <w:color w:val="auto"/>
                <w:kern w:val="0"/>
                <w:sz w:val="20"/>
                <w:szCs w:val="20"/>
                <w:highlight w:val="none"/>
                <w:lang w:eastAsia="zh-CN"/>
              </w:rPr>
            </w:pPr>
            <w:r>
              <w:rPr>
                <w:rFonts w:hint="eastAsia" w:ascii="宋体" w:hAnsi="宋体" w:eastAsia="宋体" w:cs="宋体"/>
                <w:b w:val="0"/>
                <w:bCs w:val="0"/>
                <w:color w:val="auto"/>
                <w:kern w:val="0"/>
                <w:sz w:val="20"/>
                <w:szCs w:val="20"/>
                <w:highlight w:val="none"/>
                <w:lang w:val="en-US" w:eastAsia="zh-CN" w:bidi="ar-SA"/>
              </w:rPr>
              <w:t>数据大屏</w:t>
            </w:r>
          </w:p>
        </w:tc>
        <w:tc>
          <w:tcPr>
            <w:tcW w:w="1841" w:type="dxa"/>
            <w:gridSpan w:val="2"/>
            <w:vMerge w:val="restart"/>
            <w:vAlign w:val="center"/>
          </w:tcPr>
          <w:p w14:paraId="3272C6C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药物配供中心</w:t>
            </w:r>
          </w:p>
        </w:tc>
        <w:tc>
          <w:tcPr>
            <w:tcW w:w="5759" w:type="dxa"/>
            <w:vAlign w:val="center"/>
          </w:tcPr>
          <w:p w14:paraId="05CB6C4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展示区域内处方流转总量、药物配供总次数、配供总金等信息，并可以按年度进行筛选</w:t>
            </w:r>
          </w:p>
        </w:tc>
        <w:tc>
          <w:tcPr>
            <w:tcW w:w="733" w:type="dxa"/>
            <w:vMerge w:val="restart"/>
            <w:vAlign w:val="center"/>
          </w:tcPr>
          <w:p w14:paraId="4BB8A83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3681837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w:t>
            </w:r>
          </w:p>
        </w:tc>
      </w:tr>
      <w:tr w14:paraId="3A79A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CD8345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582</w:t>
            </w:r>
          </w:p>
        </w:tc>
        <w:tc>
          <w:tcPr>
            <w:tcW w:w="720" w:type="dxa"/>
            <w:vMerge w:val="continue"/>
            <w:vAlign w:val="center"/>
          </w:tcPr>
          <w:p w14:paraId="1ED1D223">
            <w:pPr>
              <w:widowControl/>
              <w:jc w:val="center"/>
              <w:rPr>
                <w:rFonts w:hint="eastAsia" w:ascii="宋体" w:hAnsi="宋体" w:cs="宋体"/>
                <w:b/>
                <w:bCs/>
                <w:color w:val="auto"/>
                <w:kern w:val="0"/>
                <w:sz w:val="20"/>
                <w:szCs w:val="20"/>
                <w:highlight w:val="none"/>
                <w:lang w:eastAsia="zh-CN"/>
              </w:rPr>
            </w:pPr>
          </w:p>
        </w:tc>
        <w:tc>
          <w:tcPr>
            <w:tcW w:w="1841" w:type="dxa"/>
            <w:gridSpan w:val="2"/>
            <w:vMerge w:val="continue"/>
            <w:vAlign w:val="center"/>
          </w:tcPr>
          <w:p w14:paraId="212A152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5759" w:type="dxa"/>
            <w:vAlign w:val="center"/>
          </w:tcPr>
          <w:p w14:paraId="7ADC9EC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通过地图展示各区域药物配供次数；对医护调度中心可配送药品数量进行展示，并按药品类别进行对比</w:t>
            </w:r>
          </w:p>
        </w:tc>
        <w:tc>
          <w:tcPr>
            <w:tcW w:w="733" w:type="dxa"/>
            <w:vMerge w:val="continue"/>
            <w:vAlign w:val="center"/>
          </w:tcPr>
          <w:p w14:paraId="12FE526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A65B82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r>
      <w:tr w14:paraId="39D1F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26F44C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583</w:t>
            </w:r>
          </w:p>
        </w:tc>
        <w:tc>
          <w:tcPr>
            <w:tcW w:w="720" w:type="dxa"/>
            <w:vMerge w:val="continue"/>
            <w:vAlign w:val="center"/>
          </w:tcPr>
          <w:p w14:paraId="651A5210">
            <w:pPr>
              <w:widowControl/>
              <w:jc w:val="center"/>
              <w:rPr>
                <w:rFonts w:hint="eastAsia" w:ascii="宋体" w:hAnsi="宋体" w:cs="宋体"/>
                <w:b/>
                <w:bCs/>
                <w:color w:val="auto"/>
                <w:kern w:val="0"/>
                <w:sz w:val="20"/>
                <w:szCs w:val="20"/>
                <w:highlight w:val="none"/>
                <w:lang w:eastAsia="zh-CN"/>
              </w:rPr>
            </w:pPr>
          </w:p>
        </w:tc>
        <w:tc>
          <w:tcPr>
            <w:tcW w:w="1841" w:type="dxa"/>
            <w:gridSpan w:val="2"/>
            <w:vMerge w:val="continue"/>
            <w:vAlign w:val="center"/>
          </w:tcPr>
          <w:p w14:paraId="02C59F9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5759" w:type="dxa"/>
            <w:vAlign w:val="center"/>
          </w:tcPr>
          <w:p w14:paraId="4020531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按配供机构对配供次数进行对比，以及药物配供次数的月度趋势</w:t>
            </w:r>
          </w:p>
        </w:tc>
        <w:tc>
          <w:tcPr>
            <w:tcW w:w="733" w:type="dxa"/>
            <w:vMerge w:val="continue"/>
            <w:vAlign w:val="center"/>
          </w:tcPr>
          <w:p w14:paraId="0456882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273615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r>
      <w:tr w14:paraId="4F2C4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E03341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584</w:t>
            </w:r>
          </w:p>
        </w:tc>
        <w:tc>
          <w:tcPr>
            <w:tcW w:w="720" w:type="dxa"/>
            <w:vMerge w:val="continue"/>
            <w:vAlign w:val="center"/>
          </w:tcPr>
          <w:p w14:paraId="3148FBC3">
            <w:pPr>
              <w:widowControl/>
              <w:jc w:val="center"/>
              <w:rPr>
                <w:rFonts w:hint="eastAsia" w:ascii="宋体" w:hAnsi="宋体" w:cs="宋体"/>
                <w:b/>
                <w:bCs/>
                <w:color w:val="auto"/>
                <w:kern w:val="0"/>
                <w:sz w:val="20"/>
                <w:szCs w:val="20"/>
                <w:highlight w:val="none"/>
                <w:lang w:eastAsia="zh-CN"/>
              </w:rPr>
            </w:pPr>
          </w:p>
        </w:tc>
        <w:tc>
          <w:tcPr>
            <w:tcW w:w="1841" w:type="dxa"/>
            <w:gridSpan w:val="2"/>
            <w:vMerge w:val="continue"/>
            <w:vAlign w:val="center"/>
          </w:tcPr>
          <w:p w14:paraId="629D131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5759" w:type="dxa"/>
            <w:vAlign w:val="center"/>
          </w:tcPr>
          <w:p w14:paraId="21FFE54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统计分析配供药品top5，以及配供药品的类别</w:t>
            </w:r>
          </w:p>
        </w:tc>
        <w:tc>
          <w:tcPr>
            <w:tcW w:w="733" w:type="dxa"/>
            <w:vMerge w:val="continue"/>
            <w:vAlign w:val="center"/>
          </w:tcPr>
          <w:p w14:paraId="40BBBA1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609E68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r>
      <w:tr w14:paraId="6D65B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5DBE57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585</w:t>
            </w:r>
          </w:p>
        </w:tc>
        <w:tc>
          <w:tcPr>
            <w:tcW w:w="720" w:type="dxa"/>
            <w:vMerge w:val="continue"/>
            <w:vAlign w:val="center"/>
          </w:tcPr>
          <w:p w14:paraId="02D0F955">
            <w:pPr>
              <w:widowControl/>
              <w:jc w:val="center"/>
              <w:rPr>
                <w:rFonts w:hint="eastAsia" w:ascii="宋体" w:hAnsi="宋体" w:cs="宋体"/>
                <w:b/>
                <w:bCs/>
                <w:color w:val="auto"/>
                <w:kern w:val="0"/>
                <w:sz w:val="20"/>
                <w:szCs w:val="20"/>
                <w:highlight w:val="none"/>
                <w:lang w:eastAsia="zh-CN"/>
              </w:rPr>
            </w:pPr>
          </w:p>
        </w:tc>
        <w:tc>
          <w:tcPr>
            <w:tcW w:w="1841" w:type="dxa"/>
            <w:gridSpan w:val="2"/>
            <w:vMerge w:val="continue"/>
            <w:vAlign w:val="center"/>
          </w:tcPr>
          <w:p w14:paraId="4598625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5759" w:type="dxa"/>
            <w:vAlign w:val="center"/>
          </w:tcPr>
          <w:p w14:paraId="7BFCB28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对配送等待和实际配送的平均时长进行质控</w:t>
            </w:r>
          </w:p>
        </w:tc>
        <w:tc>
          <w:tcPr>
            <w:tcW w:w="733" w:type="dxa"/>
            <w:vMerge w:val="continue"/>
            <w:vAlign w:val="center"/>
          </w:tcPr>
          <w:p w14:paraId="28469DB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D125D1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r>
    </w:tbl>
    <w:p w14:paraId="62217688">
      <w:pPr>
        <w:pStyle w:val="2"/>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both"/>
        <w:textAlignment w:val="auto"/>
        <w:rPr>
          <w:rFonts w:hint="eastAsia" w:ascii="宋体" w:hAnsi="宋体" w:eastAsia="宋体" w:cs="宋体"/>
          <w:highlight w:val="yellow"/>
          <w:lang w:val="en-US" w:eastAsia="zh-CN"/>
        </w:rPr>
      </w:pPr>
      <w:r>
        <w:rPr>
          <w:rFonts w:hint="eastAsia" w:ascii="宋体" w:hAnsi="宋体" w:eastAsia="宋体" w:cs="宋体"/>
          <w:highlight w:val="yellow"/>
          <w:lang w:val="en-US" w:eastAsia="zh-CN"/>
        </w:rPr>
        <w:t>（二）-10：消毒供应中心</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875"/>
        <w:gridCol w:w="2058"/>
        <w:gridCol w:w="4667"/>
        <w:gridCol w:w="733"/>
        <w:gridCol w:w="714"/>
      </w:tblGrid>
      <w:tr w14:paraId="1294A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E6AC2DB">
            <w:pPr>
              <w:widowControl/>
              <w:jc w:val="center"/>
              <w:rPr>
                <w:rFonts w:hint="eastAsia" w:ascii="仿宋" w:hAnsi="仿宋" w:eastAsia="仿宋" w:cs="宋体"/>
                <w:color w:val="auto"/>
                <w:sz w:val="22"/>
                <w:szCs w:val="22"/>
                <w:highlight w:val="none"/>
                <w:lang w:val="en-US" w:eastAsia="zh-CN"/>
              </w:rPr>
            </w:pPr>
            <w:r>
              <w:rPr>
                <w:rFonts w:hint="eastAsia" w:ascii="宋体" w:hAnsi="宋体" w:cs="宋体"/>
                <w:b/>
                <w:bCs/>
                <w:color w:val="auto"/>
                <w:kern w:val="0"/>
                <w:sz w:val="20"/>
                <w:szCs w:val="20"/>
                <w:highlight w:val="none"/>
              </w:rPr>
              <w:t>序号</w:t>
            </w:r>
          </w:p>
        </w:tc>
        <w:tc>
          <w:tcPr>
            <w:tcW w:w="3653" w:type="dxa"/>
            <w:gridSpan w:val="3"/>
            <w:vAlign w:val="center"/>
          </w:tcPr>
          <w:p w14:paraId="77B7DCA0">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建设内容</w:t>
            </w:r>
          </w:p>
        </w:tc>
        <w:tc>
          <w:tcPr>
            <w:tcW w:w="4667" w:type="dxa"/>
            <w:vAlign w:val="center"/>
          </w:tcPr>
          <w:p w14:paraId="02E07BF1">
            <w:pPr>
              <w:widowControl/>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425136EA">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单位</w:t>
            </w:r>
          </w:p>
        </w:tc>
        <w:tc>
          <w:tcPr>
            <w:tcW w:w="714" w:type="dxa"/>
            <w:vAlign w:val="center"/>
          </w:tcPr>
          <w:p w14:paraId="4B8A1167">
            <w:pPr>
              <w:spacing w:line="240" w:lineRule="exact"/>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Cs w:val="21"/>
                <w:highlight w:val="none"/>
                <w:lang w:eastAsia="zh-CN"/>
              </w:rPr>
              <w:t>数量</w:t>
            </w:r>
          </w:p>
        </w:tc>
      </w:tr>
      <w:tr w14:paraId="028FF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0B3407D">
            <w:pPr>
              <w:keepNext w:val="0"/>
              <w:keepLines w:val="0"/>
              <w:widowControl/>
              <w:suppressLineNumbers w:val="0"/>
              <w:jc w:val="center"/>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586</w:t>
            </w:r>
          </w:p>
        </w:tc>
        <w:tc>
          <w:tcPr>
            <w:tcW w:w="720" w:type="dxa"/>
            <w:vMerge w:val="restart"/>
            <w:vAlign w:val="center"/>
          </w:tcPr>
          <w:p w14:paraId="09F606CF">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消毒供应中心追溯管理系统</w:t>
            </w:r>
          </w:p>
        </w:tc>
        <w:tc>
          <w:tcPr>
            <w:tcW w:w="875" w:type="dxa"/>
            <w:vMerge w:val="restart"/>
            <w:vAlign w:val="center"/>
          </w:tcPr>
          <w:p w14:paraId="2511B41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清洗、消毒、包装、灭菌过程记录</w:t>
            </w:r>
          </w:p>
        </w:tc>
        <w:tc>
          <w:tcPr>
            <w:tcW w:w="2058" w:type="dxa"/>
            <w:vAlign w:val="center"/>
          </w:tcPr>
          <w:p w14:paraId="16E4BFC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清洗过程记录功能</w:t>
            </w:r>
          </w:p>
        </w:tc>
        <w:tc>
          <w:tcPr>
            <w:tcW w:w="4667" w:type="dxa"/>
            <w:vAlign w:val="center"/>
          </w:tcPr>
          <w:p w14:paraId="335613F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记录物品的清洗全过程，包括清洗机和批次、清洗篮网标牌绑定方式、人员和时间。清洗开始、结束时间不能对接时需手动输入，每一清洗审核批次必须和机器清洗码一致</w:t>
            </w:r>
          </w:p>
        </w:tc>
        <w:tc>
          <w:tcPr>
            <w:tcW w:w="733" w:type="dxa"/>
            <w:vMerge w:val="restart"/>
            <w:vAlign w:val="center"/>
          </w:tcPr>
          <w:p w14:paraId="026C22C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20AB4A0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8</w:t>
            </w:r>
          </w:p>
        </w:tc>
      </w:tr>
      <w:tr w14:paraId="630D2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7E7EBA6">
            <w:pPr>
              <w:keepNext w:val="0"/>
              <w:keepLines w:val="0"/>
              <w:widowControl/>
              <w:suppressLineNumbers w:val="0"/>
              <w:jc w:val="center"/>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587</w:t>
            </w:r>
          </w:p>
        </w:tc>
        <w:tc>
          <w:tcPr>
            <w:tcW w:w="720" w:type="dxa"/>
            <w:vMerge w:val="continue"/>
            <w:vAlign w:val="center"/>
          </w:tcPr>
          <w:p w14:paraId="2FB1DAC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5504EB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00D47E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消毒过程记录功能</w:t>
            </w:r>
          </w:p>
        </w:tc>
        <w:tc>
          <w:tcPr>
            <w:tcW w:w="4667" w:type="dxa"/>
            <w:vAlign w:val="center"/>
          </w:tcPr>
          <w:p w14:paraId="5B6897D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消毒物品的发放，可记录发放人员、领用科室信息，发放时系统可自动校对数量和有效日期。</w:t>
            </w:r>
          </w:p>
        </w:tc>
        <w:tc>
          <w:tcPr>
            <w:tcW w:w="733" w:type="dxa"/>
            <w:vMerge w:val="continue"/>
            <w:vAlign w:val="center"/>
          </w:tcPr>
          <w:p w14:paraId="28BE06C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EB2D9DD">
            <w:pPr>
              <w:jc w:val="center"/>
              <w:rPr>
                <w:rFonts w:hint="eastAsia" w:ascii="宋体" w:hAnsi="宋体" w:eastAsia="宋体" w:cs="宋体"/>
                <w:b w:val="0"/>
                <w:bCs w:val="0"/>
                <w:color w:val="auto"/>
                <w:kern w:val="0"/>
                <w:sz w:val="20"/>
                <w:szCs w:val="20"/>
                <w:highlight w:val="none"/>
                <w:lang w:val="en-US" w:eastAsia="zh-CN" w:bidi="ar-SA"/>
              </w:rPr>
            </w:pPr>
          </w:p>
        </w:tc>
      </w:tr>
      <w:tr w14:paraId="03801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10783A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588</w:t>
            </w:r>
          </w:p>
        </w:tc>
        <w:tc>
          <w:tcPr>
            <w:tcW w:w="720" w:type="dxa"/>
            <w:vMerge w:val="continue"/>
            <w:vAlign w:val="center"/>
          </w:tcPr>
          <w:p w14:paraId="05D2005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F4744E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CCF7CC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包装过程记录功能</w:t>
            </w:r>
          </w:p>
        </w:tc>
        <w:tc>
          <w:tcPr>
            <w:tcW w:w="4667" w:type="dxa"/>
            <w:vAlign w:val="center"/>
          </w:tcPr>
          <w:p w14:paraId="4049B0B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实时记录包装人员、包装日期和时间</w:t>
            </w:r>
          </w:p>
        </w:tc>
        <w:tc>
          <w:tcPr>
            <w:tcW w:w="733" w:type="dxa"/>
            <w:vMerge w:val="continue"/>
            <w:vAlign w:val="center"/>
          </w:tcPr>
          <w:p w14:paraId="4BF35DE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01CFF80">
            <w:pPr>
              <w:jc w:val="center"/>
              <w:rPr>
                <w:rFonts w:hint="eastAsia" w:ascii="宋体" w:hAnsi="宋体" w:eastAsia="宋体" w:cs="宋体"/>
                <w:b w:val="0"/>
                <w:bCs w:val="0"/>
                <w:color w:val="auto"/>
                <w:kern w:val="0"/>
                <w:sz w:val="20"/>
                <w:szCs w:val="20"/>
                <w:highlight w:val="none"/>
                <w:lang w:val="en-US" w:eastAsia="zh-CN" w:bidi="ar-SA"/>
              </w:rPr>
            </w:pPr>
          </w:p>
        </w:tc>
      </w:tr>
      <w:tr w14:paraId="6CB0C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362C01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589</w:t>
            </w:r>
          </w:p>
        </w:tc>
        <w:tc>
          <w:tcPr>
            <w:tcW w:w="720" w:type="dxa"/>
            <w:vMerge w:val="continue"/>
            <w:vAlign w:val="center"/>
          </w:tcPr>
          <w:p w14:paraId="6CC88F5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C1EAD9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C07781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灭菌过程记录功能</w:t>
            </w:r>
          </w:p>
        </w:tc>
        <w:tc>
          <w:tcPr>
            <w:tcW w:w="4667" w:type="dxa"/>
            <w:vAlign w:val="center"/>
          </w:tcPr>
          <w:p w14:paraId="507C18C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在硬件设备开放端口前提下，实时记录灭菌时间、灭菌温度、灭菌压力、灭菌人员、治疗包等信息。如不能对接支持手动输入灭菌完成唯一批次号手动输入，每一灭菌审核批次必须和灭菌机唯一生成码一致</w:t>
            </w:r>
          </w:p>
        </w:tc>
        <w:tc>
          <w:tcPr>
            <w:tcW w:w="733" w:type="dxa"/>
            <w:vMerge w:val="continue"/>
            <w:vAlign w:val="center"/>
          </w:tcPr>
          <w:p w14:paraId="189A2D6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9B93821">
            <w:pPr>
              <w:jc w:val="center"/>
              <w:rPr>
                <w:rFonts w:hint="eastAsia" w:ascii="宋体" w:hAnsi="宋体" w:eastAsia="宋体" w:cs="宋体"/>
                <w:b w:val="0"/>
                <w:bCs w:val="0"/>
                <w:color w:val="auto"/>
                <w:kern w:val="0"/>
                <w:sz w:val="20"/>
                <w:szCs w:val="20"/>
                <w:highlight w:val="none"/>
                <w:lang w:val="en-US" w:eastAsia="zh-CN" w:bidi="ar-SA"/>
              </w:rPr>
            </w:pPr>
          </w:p>
        </w:tc>
      </w:tr>
      <w:tr w14:paraId="3933D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31EDF2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590</w:t>
            </w:r>
          </w:p>
        </w:tc>
        <w:tc>
          <w:tcPr>
            <w:tcW w:w="720" w:type="dxa"/>
            <w:vMerge w:val="continue"/>
            <w:vAlign w:val="center"/>
          </w:tcPr>
          <w:p w14:paraId="17000D0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E6A130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CA1584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手工清洗过程的记录</w:t>
            </w:r>
          </w:p>
        </w:tc>
        <w:tc>
          <w:tcPr>
            <w:tcW w:w="4667" w:type="dxa"/>
            <w:vAlign w:val="center"/>
          </w:tcPr>
          <w:p w14:paraId="2371D86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支持手工清洗过程的记录</w:t>
            </w:r>
          </w:p>
        </w:tc>
        <w:tc>
          <w:tcPr>
            <w:tcW w:w="733" w:type="dxa"/>
            <w:vMerge w:val="continue"/>
            <w:vAlign w:val="center"/>
          </w:tcPr>
          <w:p w14:paraId="523E91E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A036894">
            <w:pPr>
              <w:jc w:val="center"/>
              <w:rPr>
                <w:rFonts w:hint="eastAsia" w:ascii="宋体" w:hAnsi="宋体" w:eastAsia="宋体" w:cs="宋体"/>
                <w:b w:val="0"/>
                <w:bCs w:val="0"/>
                <w:color w:val="auto"/>
                <w:kern w:val="0"/>
                <w:sz w:val="20"/>
                <w:szCs w:val="20"/>
                <w:highlight w:val="none"/>
                <w:lang w:val="en-US" w:eastAsia="zh-CN" w:bidi="ar-SA"/>
              </w:rPr>
            </w:pPr>
          </w:p>
        </w:tc>
      </w:tr>
      <w:tr w14:paraId="6E3F1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EAB418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591</w:t>
            </w:r>
          </w:p>
        </w:tc>
        <w:tc>
          <w:tcPr>
            <w:tcW w:w="720" w:type="dxa"/>
            <w:vMerge w:val="continue"/>
            <w:vAlign w:val="center"/>
          </w:tcPr>
          <w:p w14:paraId="5223FE1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7C2AFA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396157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打包物品图片显示</w:t>
            </w:r>
          </w:p>
        </w:tc>
        <w:tc>
          <w:tcPr>
            <w:tcW w:w="4667" w:type="dxa"/>
            <w:vAlign w:val="center"/>
          </w:tcPr>
          <w:p w14:paraId="3D9A670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支持打包物品图片显示：应显示该诊疗包中应包含的物品种类、数量、器械图片</w:t>
            </w:r>
          </w:p>
        </w:tc>
        <w:tc>
          <w:tcPr>
            <w:tcW w:w="733" w:type="dxa"/>
            <w:vMerge w:val="continue"/>
            <w:vAlign w:val="center"/>
          </w:tcPr>
          <w:p w14:paraId="15EACB0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21F301B">
            <w:pPr>
              <w:jc w:val="center"/>
              <w:rPr>
                <w:rFonts w:hint="eastAsia" w:ascii="宋体" w:hAnsi="宋体" w:eastAsia="宋体" w:cs="宋体"/>
                <w:b w:val="0"/>
                <w:bCs w:val="0"/>
                <w:color w:val="auto"/>
                <w:kern w:val="0"/>
                <w:sz w:val="20"/>
                <w:szCs w:val="20"/>
                <w:highlight w:val="none"/>
                <w:lang w:val="en-US" w:eastAsia="zh-CN" w:bidi="ar-SA"/>
              </w:rPr>
            </w:pPr>
          </w:p>
        </w:tc>
      </w:tr>
      <w:tr w14:paraId="3848A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705C6C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592</w:t>
            </w:r>
          </w:p>
        </w:tc>
        <w:tc>
          <w:tcPr>
            <w:tcW w:w="720" w:type="dxa"/>
            <w:vMerge w:val="continue"/>
            <w:vAlign w:val="center"/>
          </w:tcPr>
          <w:p w14:paraId="4A3BAEF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D219F1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62A1D3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自动打印条形码标签</w:t>
            </w:r>
          </w:p>
        </w:tc>
        <w:tc>
          <w:tcPr>
            <w:tcW w:w="4667" w:type="dxa"/>
            <w:vAlign w:val="center"/>
          </w:tcPr>
          <w:p w14:paraId="3A506DD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自动打印条形码标签，包含物品名称规格、包装人员、灭菌日期、有效日期。</w:t>
            </w:r>
          </w:p>
        </w:tc>
        <w:tc>
          <w:tcPr>
            <w:tcW w:w="733" w:type="dxa"/>
            <w:vMerge w:val="continue"/>
            <w:vAlign w:val="center"/>
          </w:tcPr>
          <w:p w14:paraId="338203B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ED62F83">
            <w:pPr>
              <w:jc w:val="center"/>
              <w:rPr>
                <w:rFonts w:hint="eastAsia" w:ascii="宋体" w:hAnsi="宋体" w:eastAsia="宋体" w:cs="宋体"/>
                <w:b w:val="0"/>
                <w:bCs w:val="0"/>
                <w:color w:val="auto"/>
                <w:kern w:val="0"/>
                <w:sz w:val="20"/>
                <w:szCs w:val="20"/>
                <w:highlight w:val="none"/>
                <w:lang w:val="en-US" w:eastAsia="zh-CN" w:bidi="ar-SA"/>
              </w:rPr>
            </w:pPr>
          </w:p>
        </w:tc>
      </w:tr>
      <w:tr w14:paraId="4DB6D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1B397F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593</w:t>
            </w:r>
          </w:p>
        </w:tc>
        <w:tc>
          <w:tcPr>
            <w:tcW w:w="720" w:type="dxa"/>
            <w:vMerge w:val="continue"/>
            <w:vAlign w:val="center"/>
          </w:tcPr>
          <w:p w14:paraId="66EE825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8BADFF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E97599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自动校对数量和有效日期</w:t>
            </w:r>
          </w:p>
        </w:tc>
        <w:tc>
          <w:tcPr>
            <w:tcW w:w="4667" w:type="dxa"/>
            <w:vAlign w:val="center"/>
          </w:tcPr>
          <w:p w14:paraId="16486B1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记录物品回收、清洗、消毒、包装、灭菌、发放全过程，支持每一环节数字化提醒</w:t>
            </w:r>
          </w:p>
        </w:tc>
        <w:tc>
          <w:tcPr>
            <w:tcW w:w="733" w:type="dxa"/>
            <w:vMerge w:val="continue"/>
            <w:vAlign w:val="center"/>
          </w:tcPr>
          <w:p w14:paraId="34CD8F4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798AB16">
            <w:pPr>
              <w:jc w:val="center"/>
              <w:rPr>
                <w:rFonts w:hint="eastAsia" w:ascii="宋体" w:hAnsi="宋体" w:eastAsia="宋体" w:cs="宋体"/>
                <w:b w:val="0"/>
                <w:bCs w:val="0"/>
                <w:color w:val="auto"/>
                <w:kern w:val="0"/>
                <w:sz w:val="20"/>
                <w:szCs w:val="20"/>
                <w:highlight w:val="none"/>
                <w:lang w:val="en-US" w:eastAsia="zh-CN" w:bidi="ar-SA"/>
              </w:rPr>
            </w:pPr>
          </w:p>
        </w:tc>
      </w:tr>
      <w:tr w14:paraId="6CC6E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BEF056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594</w:t>
            </w:r>
          </w:p>
        </w:tc>
        <w:tc>
          <w:tcPr>
            <w:tcW w:w="720" w:type="dxa"/>
            <w:vMerge w:val="continue"/>
            <w:vAlign w:val="center"/>
          </w:tcPr>
          <w:p w14:paraId="0A035A0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72BD3C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52A800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物品包的回收功能</w:t>
            </w:r>
          </w:p>
        </w:tc>
        <w:tc>
          <w:tcPr>
            <w:tcW w:w="4667" w:type="dxa"/>
            <w:vAlign w:val="center"/>
          </w:tcPr>
          <w:p w14:paraId="7F60551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支持物品包的回收，部分贵重器械回收，外来器械的登记，无条码包的回收登记，丢失器械的登记以及回收数据采集。支持回收任务列表展示；支持回收查询。</w:t>
            </w:r>
          </w:p>
        </w:tc>
        <w:tc>
          <w:tcPr>
            <w:tcW w:w="733" w:type="dxa"/>
            <w:vMerge w:val="continue"/>
            <w:vAlign w:val="center"/>
          </w:tcPr>
          <w:p w14:paraId="6216FC7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B53CEEF">
            <w:pPr>
              <w:jc w:val="center"/>
              <w:rPr>
                <w:rFonts w:hint="eastAsia" w:ascii="宋体" w:hAnsi="宋体" w:eastAsia="宋体" w:cs="宋体"/>
                <w:b w:val="0"/>
                <w:bCs w:val="0"/>
                <w:color w:val="auto"/>
                <w:kern w:val="0"/>
                <w:sz w:val="20"/>
                <w:szCs w:val="20"/>
                <w:highlight w:val="none"/>
                <w:lang w:val="en-US" w:eastAsia="zh-CN" w:bidi="ar-SA"/>
              </w:rPr>
            </w:pPr>
          </w:p>
        </w:tc>
      </w:tr>
      <w:tr w14:paraId="23EDB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493323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595</w:t>
            </w:r>
          </w:p>
        </w:tc>
        <w:tc>
          <w:tcPr>
            <w:tcW w:w="720" w:type="dxa"/>
            <w:vMerge w:val="continue"/>
            <w:vAlign w:val="center"/>
          </w:tcPr>
          <w:p w14:paraId="51ADF6AE">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4080B87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FE9ECB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物品请领功能</w:t>
            </w:r>
          </w:p>
        </w:tc>
        <w:tc>
          <w:tcPr>
            <w:tcW w:w="4667" w:type="dxa"/>
            <w:vAlign w:val="center"/>
          </w:tcPr>
          <w:p w14:paraId="7921884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全院各科室请领物品，支持申请模式。实现无纸化申领机制。提供手术器械包申请功能，并可对申请做加急处理。可实现对无菌包发放信息的记录，可按时间段按科室统计发放情况。对加急功能模块、全院功能模块请截图，并告知在使用此模块用户名单</w:t>
            </w:r>
          </w:p>
        </w:tc>
        <w:tc>
          <w:tcPr>
            <w:tcW w:w="733" w:type="dxa"/>
            <w:vMerge w:val="restart"/>
            <w:vAlign w:val="center"/>
          </w:tcPr>
          <w:p w14:paraId="3FD0C10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6BD405C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w:t>
            </w:r>
          </w:p>
        </w:tc>
      </w:tr>
      <w:tr w14:paraId="3FF7B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6D4C26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596</w:t>
            </w:r>
          </w:p>
        </w:tc>
        <w:tc>
          <w:tcPr>
            <w:tcW w:w="720" w:type="dxa"/>
            <w:vMerge w:val="continue"/>
            <w:vAlign w:val="center"/>
          </w:tcPr>
          <w:p w14:paraId="6EBDAE73">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6368F6A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1A46B3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自备物品登记功能</w:t>
            </w:r>
          </w:p>
        </w:tc>
        <w:tc>
          <w:tcPr>
            <w:tcW w:w="4667" w:type="dxa"/>
            <w:vAlign w:val="center"/>
          </w:tcPr>
          <w:p w14:paraId="7E94F4D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自备物品登记，打印条形码码标签，便于记录科室自备物品送供应室灭菌的情况</w:t>
            </w:r>
          </w:p>
        </w:tc>
        <w:tc>
          <w:tcPr>
            <w:tcW w:w="733" w:type="dxa"/>
            <w:vMerge w:val="continue"/>
            <w:vAlign w:val="center"/>
          </w:tcPr>
          <w:p w14:paraId="52946F7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58B1182">
            <w:pPr>
              <w:jc w:val="center"/>
              <w:rPr>
                <w:rFonts w:hint="eastAsia" w:ascii="宋体" w:hAnsi="宋体" w:eastAsia="宋体" w:cs="宋体"/>
                <w:b w:val="0"/>
                <w:bCs w:val="0"/>
                <w:color w:val="auto"/>
                <w:kern w:val="0"/>
                <w:sz w:val="20"/>
                <w:szCs w:val="20"/>
                <w:highlight w:val="none"/>
                <w:lang w:val="en-US" w:eastAsia="zh-CN" w:bidi="ar-SA"/>
              </w:rPr>
            </w:pPr>
          </w:p>
        </w:tc>
      </w:tr>
      <w:tr w14:paraId="36EAC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619D7F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597</w:t>
            </w:r>
          </w:p>
        </w:tc>
        <w:tc>
          <w:tcPr>
            <w:tcW w:w="720" w:type="dxa"/>
            <w:vMerge w:val="continue"/>
            <w:vAlign w:val="center"/>
          </w:tcPr>
          <w:p w14:paraId="72B873BD">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6496AB7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追溯查询统计</w:t>
            </w:r>
          </w:p>
        </w:tc>
        <w:tc>
          <w:tcPr>
            <w:tcW w:w="2058" w:type="dxa"/>
            <w:vAlign w:val="center"/>
          </w:tcPr>
          <w:p w14:paraId="203424F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发放过程中追溯查询统计功能</w:t>
            </w:r>
          </w:p>
        </w:tc>
        <w:tc>
          <w:tcPr>
            <w:tcW w:w="4667" w:type="dxa"/>
            <w:vAlign w:val="center"/>
          </w:tcPr>
          <w:p w14:paraId="688C25C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可完整追溯器械回收、清洗、消毒、包装、灭菌、发放过程中的所有信息。自动生成追溯报表并打印。支持包条码缺失情况下模糊查询。</w:t>
            </w:r>
          </w:p>
        </w:tc>
        <w:tc>
          <w:tcPr>
            <w:tcW w:w="733" w:type="dxa"/>
            <w:vMerge w:val="restart"/>
            <w:vAlign w:val="center"/>
          </w:tcPr>
          <w:p w14:paraId="0F147CC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3B640651">
            <w:pPr>
              <w:keepNext w:val="0"/>
              <w:keepLines w:val="0"/>
              <w:widowControl/>
              <w:suppressLineNumbers w:val="0"/>
              <w:jc w:val="center"/>
              <w:textAlignment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3.5</w:t>
            </w:r>
          </w:p>
        </w:tc>
      </w:tr>
      <w:tr w14:paraId="38F2F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0E836C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598</w:t>
            </w:r>
          </w:p>
        </w:tc>
        <w:tc>
          <w:tcPr>
            <w:tcW w:w="720" w:type="dxa"/>
            <w:vMerge w:val="continue"/>
            <w:vAlign w:val="center"/>
          </w:tcPr>
          <w:p w14:paraId="0C9ED88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B573B6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84F6A5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时追踪治疗包查询</w:t>
            </w:r>
          </w:p>
        </w:tc>
        <w:tc>
          <w:tcPr>
            <w:tcW w:w="4667" w:type="dxa"/>
            <w:vAlign w:val="center"/>
          </w:tcPr>
          <w:p w14:paraId="1F177C6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实时追踪治疗包的当前处理状态，以及历史处理信息</w:t>
            </w:r>
          </w:p>
        </w:tc>
        <w:tc>
          <w:tcPr>
            <w:tcW w:w="733" w:type="dxa"/>
            <w:vMerge w:val="continue"/>
            <w:vAlign w:val="center"/>
          </w:tcPr>
          <w:p w14:paraId="314CC84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E6157E4">
            <w:pPr>
              <w:jc w:val="center"/>
              <w:rPr>
                <w:rFonts w:hint="eastAsia" w:ascii="宋体" w:hAnsi="宋体" w:eastAsia="宋体" w:cs="宋体"/>
                <w:b w:val="0"/>
                <w:bCs w:val="0"/>
                <w:color w:val="auto"/>
                <w:kern w:val="0"/>
                <w:sz w:val="20"/>
                <w:szCs w:val="20"/>
                <w:highlight w:val="none"/>
                <w:lang w:val="en-US" w:eastAsia="zh-CN" w:bidi="ar-SA"/>
              </w:rPr>
            </w:pPr>
          </w:p>
        </w:tc>
      </w:tr>
      <w:tr w14:paraId="4E7B0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D974B9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599</w:t>
            </w:r>
          </w:p>
        </w:tc>
        <w:tc>
          <w:tcPr>
            <w:tcW w:w="720" w:type="dxa"/>
            <w:vMerge w:val="continue"/>
            <w:vAlign w:val="center"/>
          </w:tcPr>
          <w:p w14:paraId="58FD45F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32D2FD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CF6559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洗过程查询</w:t>
            </w:r>
          </w:p>
        </w:tc>
        <w:tc>
          <w:tcPr>
            <w:tcW w:w="4667" w:type="dxa"/>
            <w:vAlign w:val="center"/>
          </w:tcPr>
          <w:p w14:paraId="5FA6A73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清洗过程、灭菌过程查询</w:t>
            </w:r>
          </w:p>
        </w:tc>
        <w:tc>
          <w:tcPr>
            <w:tcW w:w="733" w:type="dxa"/>
            <w:vMerge w:val="continue"/>
            <w:vAlign w:val="center"/>
          </w:tcPr>
          <w:p w14:paraId="76E0CFB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1CA137B">
            <w:pPr>
              <w:jc w:val="center"/>
              <w:rPr>
                <w:rFonts w:hint="eastAsia" w:ascii="宋体" w:hAnsi="宋体" w:eastAsia="宋体" w:cs="宋体"/>
                <w:b w:val="0"/>
                <w:bCs w:val="0"/>
                <w:color w:val="auto"/>
                <w:kern w:val="0"/>
                <w:sz w:val="20"/>
                <w:szCs w:val="20"/>
                <w:highlight w:val="none"/>
                <w:lang w:val="en-US" w:eastAsia="zh-CN" w:bidi="ar-SA"/>
              </w:rPr>
            </w:pPr>
          </w:p>
        </w:tc>
      </w:tr>
      <w:tr w14:paraId="6011A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BE1E28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600</w:t>
            </w:r>
          </w:p>
        </w:tc>
        <w:tc>
          <w:tcPr>
            <w:tcW w:w="720" w:type="dxa"/>
            <w:vMerge w:val="continue"/>
            <w:vAlign w:val="center"/>
          </w:tcPr>
          <w:p w14:paraId="5A95B83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8D834CF">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586ECA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灭菌过程查询</w:t>
            </w:r>
          </w:p>
        </w:tc>
        <w:tc>
          <w:tcPr>
            <w:tcW w:w="4667" w:type="dxa"/>
            <w:vAlign w:val="center"/>
          </w:tcPr>
          <w:p w14:paraId="4D7E624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追溯同一批次灭菌的所有物品所在科室</w:t>
            </w:r>
          </w:p>
        </w:tc>
        <w:tc>
          <w:tcPr>
            <w:tcW w:w="733" w:type="dxa"/>
            <w:vMerge w:val="continue"/>
            <w:vAlign w:val="center"/>
          </w:tcPr>
          <w:p w14:paraId="5289E04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8301AC3">
            <w:pPr>
              <w:jc w:val="center"/>
              <w:rPr>
                <w:rFonts w:hint="eastAsia" w:ascii="宋体" w:hAnsi="宋体" w:eastAsia="宋体" w:cs="宋体"/>
                <w:b w:val="0"/>
                <w:bCs w:val="0"/>
                <w:color w:val="auto"/>
                <w:kern w:val="0"/>
                <w:sz w:val="20"/>
                <w:szCs w:val="20"/>
                <w:highlight w:val="none"/>
                <w:lang w:val="en-US" w:eastAsia="zh-CN" w:bidi="ar-SA"/>
              </w:rPr>
            </w:pPr>
          </w:p>
        </w:tc>
      </w:tr>
      <w:tr w14:paraId="6EBA4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53FE91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601</w:t>
            </w:r>
          </w:p>
        </w:tc>
        <w:tc>
          <w:tcPr>
            <w:tcW w:w="720" w:type="dxa"/>
            <w:vMerge w:val="continue"/>
            <w:vAlign w:val="center"/>
          </w:tcPr>
          <w:p w14:paraId="3E4D4277">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06FC19C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管理、统计模块</w:t>
            </w:r>
          </w:p>
        </w:tc>
        <w:tc>
          <w:tcPr>
            <w:tcW w:w="2058" w:type="dxa"/>
            <w:vAlign w:val="center"/>
          </w:tcPr>
          <w:p w14:paraId="1BC90B1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科室申领单统计</w:t>
            </w:r>
          </w:p>
        </w:tc>
        <w:tc>
          <w:tcPr>
            <w:tcW w:w="4667" w:type="dxa"/>
            <w:vAlign w:val="center"/>
          </w:tcPr>
          <w:p w14:paraId="3DB3B78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科室申领单统计、使用量统计</w:t>
            </w:r>
          </w:p>
        </w:tc>
        <w:tc>
          <w:tcPr>
            <w:tcW w:w="733" w:type="dxa"/>
            <w:vMerge w:val="restart"/>
            <w:vAlign w:val="center"/>
          </w:tcPr>
          <w:p w14:paraId="034C4B9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3B105B7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12.5</w:t>
            </w:r>
          </w:p>
        </w:tc>
      </w:tr>
      <w:tr w14:paraId="1A2FF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C69285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602</w:t>
            </w:r>
          </w:p>
        </w:tc>
        <w:tc>
          <w:tcPr>
            <w:tcW w:w="720" w:type="dxa"/>
            <w:vMerge w:val="continue"/>
            <w:vAlign w:val="center"/>
          </w:tcPr>
          <w:p w14:paraId="585399B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6B21D7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19423D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工作量管理</w:t>
            </w:r>
          </w:p>
        </w:tc>
        <w:tc>
          <w:tcPr>
            <w:tcW w:w="4667" w:type="dxa"/>
            <w:vAlign w:val="center"/>
          </w:tcPr>
          <w:p w14:paraId="68DB916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将工作量统计细化到个人，包括回收、清</w:t>
            </w:r>
            <w:r>
              <w:rPr>
                <w:rFonts w:hint="eastAsia" w:ascii="宋体" w:hAnsi="宋体" w:eastAsia="宋体" w:cs="宋体"/>
                <w:b w:val="0"/>
                <w:bCs w:val="0"/>
                <w:color w:val="auto"/>
                <w:kern w:val="0"/>
                <w:sz w:val="20"/>
                <w:szCs w:val="20"/>
                <w:highlight w:val="none"/>
                <w:lang w:val="en-US" w:eastAsia="zh-CN"/>
              </w:rPr>
              <w:br w:type="textWrapping"/>
            </w:r>
            <w:r>
              <w:rPr>
                <w:rFonts w:hint="eastAsia" w:ascii="宋体" w:hAnsi="宋体" w:eastAsia="宋体" w:cs="宋体"/>
                <w:b w:val="0"/>
                <w:bCs w:val="0"/>
                <w:color w:val="auto"/>
                <w:kern w:val="0"/>
                <w:sz w:val="20"/>
                <w:szCs w:val="20"/>
                <w:highlight w:val="none"/>
                <w:lang w:val="en-US" w:eastAsia="zh-CN"/>
              </w:rPr>
              <w:t>洗、包装、灭菌、发放等环节</w:t>
            </w:r>
          </w:p>
        </w:tc>
        <w:tc>
          <w:tcPr>
            <w:tcW w:w="733" w:type="dxa"/>
            <w:vMerge w:val="continue"/>
            <w:vAlign w:val="center"/>
          </w:tcPr>
          <w:p w14:paraId="45F37EE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F0B30EE">
            <w:pPr>
              <w:jc w:val="center"/>
              <w:rPr>
                <w:rFonts w:hint="eastAsia" w:ascii="宋体" w:hAnsi="宋体" w:eastAsia="宋体" w:cs="宋体"/>
                <w:b w:val="0"/>
                <w:bCs w:val="0"/>
                <w:color w:val="auto"/>
                <w:kern w:val="0"/>
                <w:sz w:val="20"/>
                <w:szCs w:val="20"/>
                <w:highlight w:val="none"/>
                <w:lang w:val="en-US" w:eastAsia="zh-CN" w:bidi="ar-SA"/>
              </w:rPr>
            </w:pPr>
          </w:p>
        </w:tc>
      </w:tr>
      <w:tr w14:paraId="4AB7C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1C6899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603</w:t>
            </w:r>
          </w:p>
        </w:tc>
        <w:tc>
          <w:tcPr>
            <w:tcW w:w="720" w:type="dxa"/>
            <w:vMerge w:val="continue"/>
            <w:vAlign w:val="center"/>
          </w:tcPr>
          <w:p w14:paraId="372B71F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9605F2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F523B7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绩效考核管理</w:t>
            </w:r>
          </w:p>
        </w:tc>
        <w:tc>
          <w:tcPr>
            <w:tcW w:w="4667" w:type="dxa"/>
            <w:vAlign w:val="center"/>
          </w:tcPr>
          <w:p w14:paraId="408AD52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辅以绩效因子，对每个人的工作量进行量化考核。并支持对CSSD总工作量的统计与分析，并提供分析图表</w:t>
            </w:r>
          </w:p>
        </w:tc>
        <w:tc>
          <w:tcPr>
            <w:tcW w:w="733" w:type="dxa"/>
            <w:vMerge w:val="continue"/>
            <w:vAlign w:val="center"/>
          </w:tcPr>
          <w:p w14:paraId="04A47EA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9B83ADB">
            <w:pPr>
              <w:jc w:val="center"/>
              <w:rPr>
                <w:rFonts w:hint="eastAsia" w:ascii="宋体" w:hAnsi="宋体" w:eastAsia="宋体" w:cs="宋体"/>
                <w:b w:val="0"/>
                <w:bCs w:val="0"/>
                <w:color w:val="auto"/>
                <w:kern w:val="0"/>
                <w:sz w:val="20"/>
                <w:szCs w:val="20"/>
                <w:highlight w:val="none"/>
                <w:lang w:val="en-US" w:eastAsia="zh-CN" w:bidi="ar-SA"/>
              </w:rPr>
            </w:pPr>
          </w:p>
        </w:tc>
      </w:tr>
      <w:tr w14:paraId="63732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F0D69B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604</w:t>
            </w:r>
          </w:p>
        </w:tc>
        <w:tc>
          <w:tcPr>
            <w:tcW w:w="720" w:type="dxa"/>
            <w:vMerge w:val="continue"/>
            <w:vAlign w:val="center"/>
          </w:tcPr>
          <w:p w14:paraId="78F5A8C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D06B0E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E33D7C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物品召回管理</w:t>
            </w:r>
          </w:p>
        </w:tc>
        <w:tc>
          <w:tcPr>
            <w:tcW w:w="4667" w:type="dxa"/>
            <w:vAlign w:val="center"/>
          </w:tcPr>
          <w:p w14:paraId="4D3755F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物品包召回及预警对可能存在异常的物品包进行追溯，预警并召回同一批次的无菌包，并对异常流程进行追溯与预警</w:t>
            </w:r>
          </w:p>
        </w:tc>
        <w:tc>
          <w:tcPr>
            <w:tcW w:w="733" w:type="dxa"/>
            <w:vMerge w:val="continue"/>
            <w:vAlign w:val="center"/>
          </w:tcPr>
          <w:p w14:paraId="6C1D20D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B5C78ED">
            <w:pPr>
              <w:jc w:val="center"/>
              <w:rPr>
                <w:rFonts w:hint="eastAsia" w:ascii="宋体" w:hAnsi="宋体" w:eastAsia="宋体" w:cs="宋体"/>
                <w:b w:val="0"/>
                <w:bCs w:val="0"/>
                <w:color w:val="auto"/>
                <w:kern w:val="0"/>
                <w:sz w:val="20"/>
                <w:szCs w:val="20"/>
                <w:highlight w:val="none"/>
                <w:lang w:val="en-US" w:eastAsia="zh-CN" w:bidi="ar-SA"/>
              </w:rPr>
            </w:pPr>
          </w:p>
        </w:tc>
      </w:tr>
      <w:tr w14:paraId="56918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5D26152">
            <w:pPr>
              <w:keepNext w:val="0"/>
              <w:keepLines w:val="0"/>
              <w:widowControl/>
              <w:suppressLineNumbers w:val="0"/>
              <w:jc w:val="center"/>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605</w:t>
            </w:r>
          </w:p>
        </w:tc>
        <w:tc>
          <w:tcPr>
            <w:tcW w:w="720" w:type="dxa"/>
            <w:vMerge w:val="continue"/>
            <w:vAlign w:val="center"/>
          </w:tcPr>
          <w:p w14:paraId="4CE9176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E142710">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928667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成本核算管理</w:t>
            </w:r>
          </w:p>
        </w:tc>
        <w:tc>
          <w:tcPr>
            <w:tcW w:w="4667" w:type="dxa"/>
            <w:vAlign w:val="center"/>
          </w:tcPr>
          <w:p w14:paraId="468B2BC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可以分类计算消毒供应中心内各项作业成本及消耗，并汇总统计。成本核算包含：人力成本；耗材；设备维修和损耗等模块</w:t>
            </w:r>
          </w:p>
        </w:tc>
        <w:tc>
          <w:tcPr>
            <w:tcW w:w="733" w:type="dxa"/>
            <w:vMerge w:val="continue"/>
            <w:vAlign w:val="center"/>
          </w:tcPr>
          <w:p w14:paraId="4CC83FA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9AAD368">
            <w:pPr>
              <w:jc w:val="center"/>
              <w:rPr>
                <w:rFonts w:hint="eastAsia" w:ascii="宋体" w:hAnsi="宋体" w:eastAsia="宋体" w:cs="宋体"/>
                <w:b w:val="0"/>
                <w:bCs w:val="0"/>
                <w:color w:val="auto"/>
                <w:kern w:val="0"/>
                <w:sz w:val="20"/>
                <w:szCs w:val="20"/>
                <w:highlight w:val="none"/>
                <w:lang w:val="en-US" w:eastAsia="zh-CN" w:bidi="ar-SA"/>
              </w:rPr>
            </w:pPr>
          </w:p>
        </w:tc>
      </w:tr>
      <w:tr w14:paraId="19C4A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794DC7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606</w:t>
            </w:r>
          </w:p>
        </w:tc>
        <w:tc>
          <w:tcPr>
            <w:tcW w:w="720" w:type="dxa"/>
            <w:vMerge w:val="continue"/>
            <w:vAlign w:val="center"/>
          </w:tcPr>
          <w:p w14:paraId="2DDB6CF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C24567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82DFE4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人力资源管理</w:t>
            </w:r>
          </w:p>
        </w:tc>
        <w:tc>
          <w:tcPr>
            <w:tcW w:w="4667" w:type="dxa"/>
            <w:vAlign w:val="center"/>
          </w:tcPr>
          <w:p w14:paraId="44E9C37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支持员工档案管理，权限分配</w:t>
            </w:r>
          </w:p>
        </w:tc>
        <w:tc>
          <w:tcPr>
            <w:tcW w:w="733" w:type="dxa"/>
            <w:vMerge w:val="continue"/>
            <w:vAlign w:val="center"/>
          </w:tcPr>
          <w:p w14:paraId="68BDE7E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6B9F267">
            <w:pPr>
              <w:jc w:val="center"/>
              <w:rPr>
                <w:rFonts w:hint="eastAsia" w:ascii="宋体" w:hAnsi="宋体" w:eastAsia="宋体" w:cs="宋体"/>
                <w:b w:val="0"/>
                <w:bCs w:val="0"/>
                <w:color w:val="auto"/>
                <w:kern w:val="0"/>
                <w:sz w:val="20"/>
                <w:szCs w:val="20"/>
                <w:highlight w:val="none"/>
                <w:lang w:val="en-US" w:eastAsia="zh-CN" w:bidi="ar-SA"/>
              </w:rPr>
            </w:pPr>
          </w:p>
        </w:tc>
      </w:tr>
      <w:tr w14:paraId="3175D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267F9D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607</w:t>
            </w:r>
          </w:p>
        </w:tc>
        <w:tc>
          <w:tcPr>
            <w:tcW w:w="720" w:type="dxa"/>
            <w:vMerge w:val="continue"/>
            <w:vAlign w:val="center"/>
          </w:tcPr>
          <w:p w14:paraId="6702745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44159C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7B2257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高温灭菌日常监测记录</w:t>
            </w:r>
          </w:p>
        </w:tc>
        <w:tc>
          <w:tcPr>
            <w:tcW w:w="4667" w:type="dxa"/>
            <w:vAlign w:val="center"/>
          </w:tcPr>
          <w:p w14:paraId="37B77B6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包括物理监测、生物监测</w:t>
            </w:r>
          </w:p>
        </w:tc>
        <w:tc>
          <w:tcPr>
            <w:tcW w:w="733" w:type="dxa"/>
            <w:vMerge w:val="continue"/>
            <w:vAlign w:val="center"/>
          </w:tcPr>
          <w:p w14:paraId="5E190B6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26BBE62">
            <w:pPr>
              <w:jc w:val="center"/>
              <w:rPr>
                <w:rFonts w:hint="eastAsia" w:ascii="宋体" w:hAnsi="宋体" w:eastAsia="宋体" w:cs="宋体"/>
                <w:b w:val="0"/>
                <w:bCs w:val="0"/>
                <w:color w:val="auto"/>
                <w:kern w:val="0"/>
                <w:sz w:val="20"/>
                <w:szCs w:val="20"/>
                <w:highlight w:val="none"/>
                <w:lang w:val="en-US" w:eastAsia="zh-CN" w:bidi="ar-SA"/>
              </w:rPr>
            </w:pPr>
          </w:p>
        </w:tc>
      </w:tr>
      <w:tr w14:paraId="151C0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0E439A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608</w:t>
            </w:r>
          </w:p>
        </w:tc>
        <w:tc>
          <w:tcPr>
            <w:tcW w:w="720" w:type="dxa"/>
            <w:vMerge w:val="continue"/>
            <w:vAlign w:val="center"/>
          </w:tcPr>
          <w:p w14:paraId="02DCCF5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272D5DD">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0EFF2F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低温灭菌监测记录</w:t>
            </w:r>
          </w:p>
        </w:tc>
        <w:tc>
          <w:tcPr>
            <w:tcW w:w="4667" w:type="dxa"/>
            <w:vAlign w:val="center"/>
          </w:tcPr>
          <w:p w14:paraId="5915547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低温灭菌监测记录</w:t>
            </w:r>
          </w:p>
        </w:tc>
        <w:tc>
          <w:tcPr>
            <w:tcW w:w="733" w:type="dxa"/>
            <w:vMerge w:val="continue"/>
            <w:vAlign w:val="center"/>
          </w:tcPr>
          <w:p w14:paraId="1A63EBD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62F3F5A">
            <w:pPr>
              <w:jc w:val="center"/>
              <w:rPr>
                <w:rFonts w:hint="eastAsia" w:ascii="宋体" w:hAnsi="宋体" w:eastAsia="宋体" w:cs="宋体"/>
                <w:b w:val="0"/>
                <w:bCs w:val="0"/>
                <w:color w:val="auto"/>
                <w:kern w:val="0"/>
                <w:sz w:val="20"/>
                <w:szCs w:val="20"/>
                <w:highlight w:val="none"/>
                <w:lang w:val="en-US" w:eastAsia="zh-CN" w:bidi="ar-SA"/>
              </w:rPr>
            </w:pPr>
          </w:p>
        </w:tc>
      </w:tr>
      <w:tr w14:paraId="14873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E57B3A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609</w:t>
            </w:r>
          </w:p>
        </w:tc>
        <w:tc>
          <w:tcPr>
            <w:tcW w:w="720" w:type="dxa"/>
            <w:vMerge w:val="continue"/>
            <w:vAlign w:val="center"/>
          </w:tcPr>
          <w:p w14:paraId="4F2CC5F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85C265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7899EF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清洗质量监测记录管理</w:t>
            </w:r>
          </w:p>
        </w:tc>
        <w:tc>
          <w:tcPr>
            <w:tcW w:w="4667" w:type="dxa"/>
            <w:vAlign w:val="center"/>
          </w:tcPr>
          <w:p w14:paraId="5E822B0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包括记录、查询、打印。监测应覆盖物理监测、生物监测</w:t>
            </w:r>
          </w:p>
        </w:tc>
        <w:tc>
          <w:tcPr>
            <w:tcW w:w="733" w:type="dxa"/>
            <w:vMerge w:val="continue"/>
            <w:vAlign w:val="center"/>
          </w:tcPr>
          <w:p w14:paraId="5314C90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F92B189">
            <w:pPr>
              <w:jc w:val="center"/>
              <w:rPr>
                <w:rFonts w:hint="eastAsia" w:ascii="宋体" w:hAnsi="宋体" w:eastAsia="宋体" w:cs="宋体"/>
                <w:b w:val="0"/>
                <w:bCs w:val="0"/>
                <w:color w:val="auto"/>
                <w:kern w:val="0"/>
                <w:sz w:val="20"/>
                <w:szCs w:val="20"/>
                <w:highlight w:val="none"/>
                <w:lang w:val="en-US" w:eastAsia="zh-CN" w:bidi="ar-SA"/>
              </w:rPr>
            </w:pPr>
          </w:p>
        </w:tc>
      </w:tr>
      <w:tr w14:paraId="7DE19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C356EC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610</w:t>
            </w:r>
          </w:p>
        </w:tc>
        <w:tc>
          <w:tcPr>
            <w:tcW w:w="720" w:type="dxa"/>
            <w:vMerge w:val="continue"/>
            <w:vAlign w:val="center"/>
          </w:tcPr>
          <w:p w14:paraId="0F4FECE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346E72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C3D8D0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消毒质量监测记录管理</w:t>
            </w:r>
          </w:p>
        </w:tc>
        <w:tc>
          <w:tcPr>
            <w:tcW w:w="4667" w:type="dxa"/>
            <w:vAlign w:val="center"/>
          </w:tcPr>
          <w:p w14:paraId="73A2483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包括记录、查询、打印。监测应覆盖物理监测、生物监测</w:t>
            </w:r>
          </w:p>
        </w:tc>
        <w:tc>
          <w:tcPr>
            <w:tcW w:w="733" w:type="dxa"/>
            <w:vMerge w:val="continue"/>
            <w:vAlign w:val="center"/>
          </w:tcPr>
          <w:p w14:paraId="0542CFA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6A90E89">
            <w:pPr>
              <w:jc w:val="center"/>
              <w:rPr>
                <w:rFonts w:hint="eastAsia" w:ascii="宋体" w:hAnsi="宋体" w:eastAsia="宋体" w:cs="宋体"/>
                <w:b w:val="0"/>
                <w:bCs w:val="0"/>
                <w:color w:val="auto"/>
                <w:kern w:val="0"/>
                <w:sz w:val="20"/>
                <w:szCs w:val="20"/>
                <w:highlight w:val="none"/>
                <w:lang w:val="en-US" w:eastAsia="zh-CN" w:bidi="ar-SA"/>
              </w:rPr>
            </w:pPr>
          </w:p>
        </w:tc>
      </w:tr>
      <w:tr w14:paraId="67F69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AE759B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611</w:t>
            </w:r>
          </w:p>
        </w:tc>
        <w:tc>
          <w:tcPr>
            <w:tcW w:w="720" w:type="dxa"/>
            <w:vMerge w:val="continue"/>
            <w:vAlign w:val="center"/>
          </w:tcPr>
          <w:p w14:paraId="3118A31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722CC0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E47F06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灭菌质量监测记录管理</w:t>
            </w:r>
          </w:p>
        </w:tc>
        <w:tc>
          <w:tcPr>
            <w:tcW w:w="4667" w:type="dxa"/>
            <w:vAlign w:val="center"/>
          </w:tcPr>
          <w:p w14:paraId="38E675E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包括记录、查询、打印。监测应覆盖物理监测、生物监测</w:t>
            </w:r>
          </w:p>
        </w:tc>
        <w:tc>
          <w:tcPr>
            <w:tcW w:w="733" w:type="dxa"/>
            <w:vMerge w:val="continue"/>
            <w:vAlign w:val="center"/>
          </w:tcPr>
          <w:p w14:paraId="0B0A6E6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3D55BF5">
            <w:pPr>
              <w:jc w:val="center"/>
              <w:rPr>
                <w:rFonts w:hint="eastAsia" w:ascii="宋体" w:hAnsi="宋体" w:eastAsia="宋体" w:cs="宋体"/>
                <w:b w:val="0"/>
                <w:bCs w:val="0"/>
                <w:color w:val="auto"/>
                <w:kern w:val="0"/>
                <w:sz w:val="20"/>
                <w:szCs w:val="20"/>
                <w:highlight w:val="none"/>
                <w:lang w:val="en-US" w:eastAsia="zh-CN" w:bidi="ar-SA"/>
              </w:rPr>
            </w:pPr>
          </w:p>
        </w:tc>
      </w:tr>
      <w:tr w14:paraId="4C7E9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528A35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612</w:t>
            </w:r>
          </w:p>
        </w:tc>
        <w:tc>
          <w:tcPr>
            <w:tcW w:w="720" w:type="dxa"/>
            <w:vMerge w:val="continue"/>
            <w:vAlign w:val="center"/>
          </w:tcPr>
          <w:p w14:paraId="3E4EE90A">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3983557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采集实施服务</w:t>
            </w:r>
          </w:p>
        </w:tc>
        <w:tc>
          <w:tcPr>
            <w:tcW w:w="2058" w:type="dxa"/>
            <w:vAlign w:val="center"/>
          </w:tcPr>
          <w:p w14:paraId="7FC1541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区域平台对接调试</w:t>
            </w:r>
          </w:p>
        </w:tc>
        <w:tc>
          <w:tcPr>
            <w:tcW w:w="4667" w:type="dxa"/>
            <w:vAlign w:val="center"/>
          </w:tcPr>
          <w:p w14:paraId="4FD70E5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区域平台相关接口对接</w:t>
            </w:r>
          </w:p>
        </w:tc>
        <w:tc>
          <w:tcPr>
            <w:tcW w:w="733" w:type="dxa"/>
            <w:vAlign w:val="center"/>
          </w:tcPr>
          <w:p w14:paraId="3A150C2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6CA6EA4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3</w:t>
            </w:r>
          </w:p>
        </w:tc>
      </w:tr>
      <w:tr w14:paraId="6A710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9E9387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613</w:t>
            </w:r>
          </w:p>
        </w:tc>
        <w:tc>
          <w:tcPr>
            <w:tcW w:w="720" w:type="dxa"/>
            <w:vMerge w:val="restart"/>
            <w:vAlign w:val="center"/>
          </w:tcPr>
          <w:p w14:paraId="4054655D">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数据大屏</w:t>
            </w:r>
          </w:p>
        </w:tc>
        <w:tc>
          <w:tcPr>
            <w:tcW w:w="2933" w:type="dxa"/>
            <w:gridSpan w:val="2"/>
            <w:vMerge w:val="restart"/>
            <w:vAlign w:val="center"/>
          </w:tcPr>
          <w:p w14:paraId="4112D98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消毒供应中心</w:t>
            </w:r>
          </w:p>
        </w:tc>
        <w:tc>
          <w:tcPr>
            <w:tcW w:w="4667" w:type="dxa"/>
            <w:vAlign w:val="center"/>
          </w:tcPr>
          <w:p w14:paraId="1166D7B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展示区域内基层机构对无菌物品的申请总量、发送总量、回收总量信息，并可按年度进行筛选</w:t>
            </w:r>
          </w:p>
        </w:tc>
        <w:tc>
          <w:tcPr>
            <w:tcW w:w="733" w:type="dxa"/>
            <w:vMerge w:val="restart"/>
            <w:vAlign w:val="center"/>
          </w:tcPr>
          <w:p w14:paraId="5953E8D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50EC27D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4</w:t>
            </w:r>
          </w:p>
        </w:tc>
      </w:tr>
      <w:tr w14:paraId="554FA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384372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614</w:t>
            </w:r>
          </w:p>
        </w:tc>
        <w:tc>
          <w:tcPr>
            <w:tcW w:w="720" w:type="dxa"/>
            <w:vMerge w:val="continue"/>
            <w:vAlign w:val="center"/>
          </w:tcPr>
          <w:p w14:paraId="755174A4">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28F77954">
            <w:pPr>
              <w:jc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6217872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通过地图展示各机构对无菌物品的申请、发送量</w:t>
            </w:r>
          </w:p>
        </w:tc>
        <w:tc>
          <w:tcPr>
            <w:tcW w:w="733" w:type="dxa"/>
            <w:vMerge w:val="continue"/>
            <w:vAlign w:val="center"/>
          </w:tcPr>
          <w:p w14:paraId="7A5AAF2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0921D92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r w14:paraId="377C8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49DE1B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615</w:t>
            </w:r>
          </w:p>
        </w:tc>
        <w:tc>
          <w:tcPr>
            <w:tcW w:w="720" w:type="dxa"/>
            <w:vMerge w:val="continue"/>
            <w:vAlign w:val="center"/>
          </w:tcPr>
          <w:p w14:paraId="3DC26E2A">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0ADFE0CE">
            <w:pPr>
              <w:jc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7F70E4B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展示中心人力资源和设备设施信息，并按设备类别进行对比</w:t>
            </w:r>
          </w:p>
        </w:tc>
        <w:tc>
          <w:tcPr>
            <w:tcW w:w="733" w:type="dxa"/>
            <w:vMerge w:val="continue"/>
            <w:vAlign w:val="center"/>
          </w:tcPr>
          <w:p w14:paraId="206DA1C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1468D18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r w14:paraId="7BACD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F397DE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616</w:t>
            </w:r>
          </w:p>
        </w:tc>
        <w:tc>
          <w:tcPr>
            <w:tcW w:w="720" w:type="dxa"/>
            <w:vMerge w:val="continue"/>
            <w:vAlign w:val="center"/>
          </w:tcPr>
          <w:p w14:paraId="4BCE5E3C">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37C46243">
            <w:pPr>
              <w:jc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439308F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对无菌物品的使用按类别和近一周趋势进行分析</w:t>
            </w:r>
          </w:p>
        </w:tc>
        <w:tc>
          <w:tcPr>
            <w:tcW w:w="733" w:type="dxa"/>
            <w:vMerge w:val="continue"/>
            <w:vAlign w:val="center"/>
          </w:tcPr>
          <w:p w14:paraId="62913F0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2B0872C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r w14:paraId="31F50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FC7E09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617</w:t>
            </w:r>
          </w:p>
        </w:tc>
        <w:tc>
          <w:tcPr>
            <w:tcW w:w="720" w:type="dxa"/>
            <w:vMerge w:val="continue"/>
            <w:vAlign w:val="center"/>
          </w:tcPr>
          <w:p w14:paraId="60A14343">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375DDD7B">
            <w:pPr>
              <w:jc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721A83C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对消毒、供应闭环流程的效率进行质控；统计中心工作人员的工作量，进行排名展示</w:t>
            </w:r>
          </w:p>
        </w:tc>
        <w:tc>
          <w:tcPr>
            <w:tcW w:w="733" w:type="dxa"/>
            <w:vMerge w:val="continue"/>
            <w:vAlign w:val="center"/>
          </w:tcPr>
          <w:p w14:paraId="637FCDB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34F56A9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r w14:paraId="47DF1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6735C3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618</w:t>
            </w:r>
          </w:p>
        </w:tc>
        <w:tc>
          <w:tcPr>
            <w:tcW w:w="720" w:type="dxa"/>
            <w:vMerge w:val="continue"/>
            <w:vAlign w:val="center"/>
          </w:tcPr>
          <w:p w14:paraId="3C9477C7">
            <w:pPr>
              <w:jc w:val="center"/>
              <w:rPr>
                <w:rFonts w:hint="eastAsia" w:ascii="宋体" w:hAnsi="宋体" w:eastAsia="宋体" w:cs="宋体"/>
                <w:b/>
                <w:color w:val="auto"/>
                <w:sz w:val="24"/>
                <w:szCs w:val="24"/>
                <w:highlight w:val="none"/>
                <w:vertAlign w:val="baseline"/>
                <w:lang w:eastAsia="zh-CN"/>
              </w:rPr>
            </w:pPr>
          </w:p>
        </w:tc>
        <w:tc>
          <w:tcPr>
            <w:tcW w:w="2933" w:type="dxa"/>
            <w:gridSpan w:val="2"/>
            <w:vMerge w:val="continue"/>
            <w:vAlign w:val="center"/>
          </w:tcPr>
          <w:p w14:paraId="2BB78EE7">
            <w:pPr>
              <w:jc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16E8DC0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分析消毒物品的top5，进行表格展示；对各机构当日无菌物品申请数量进行对比</w:t>
            </w:r>
          </w:p>
        </w:tc>
        <w:tc>
          <w:tcPr>
            <w:tcW w:w="733" w:type="dxa"/>
            <w:vMerge w:val="continue"/>
            <w:vAlign w:val="center"/>
          </w:tcPr>
          <w:p w14:paraId="297ED11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c>
          <w:tcPr>
            <w:tcW w:w="714" w:type="dxa"/>
            <w:vMerge w:val="continue"/>
            <w:vAlign w:val="center"/>
          </w:tcPr>
          <w:p w14:paraId="769241F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rPr>
            </w:pPr>
          </w:p>
        </w:tc>
      </w:tr>
    </w:tbl>
    <w:p w14:paraId="6C15FA8A">
      <w:pPr>
        <w:pStyle w:val="2"/>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both"/>
        <w:textAlignment w:val="auto"/>
        <w:rPr>
          <w:rFonts w:hint="eastAsia" w:ascii="宋体" w:hAnsi="宋体" w:eastAsia="宋体" w:cs="宋体"/>
          <w:highlight w:val="yellow"/>
          <w:lang w:val="en-US" w:eastAsia="zh-CN"/>
        </w:rPr>
      </w:pPr>
      <w:r>
        <w:rPr>
          <w:rFonts w:hint="eastAsia" w:ascii="宋体" w:hAnsi="宋体" w:eastAsia="宋体" w:cs="宋体"/>
          <w:highlight w:val="yellow"/>
          <w:lang w:val="en-US" w:eastAsia="zh-CN"/>
        </w:rPr>
        <w:t>（二）-11：医疗质控中心</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875"/>
        <w:gridCol w:w="2058"/>
        <w:gridCol w:w="4667"/>
        <w:gridCol w:w="733"/>
        <w:gridCol w:w="714"/>
      </w:tblGrid>
      <w:tr w14:paraId="736C6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56E47F9">
            <w:pPr>
              <w:widowControl/>
              <w:jc w:val="center"/>
              <w:rPr>
                <w:rFonts w:hint="eastAsia" w:ascii="仿宋" w:hAnsi="仿宋" w:eastAsia="仿宋" w:cs="宋体"/>
                <w:color w:val="auto"/>
                <w:sz w:val="22"/>
                <w:szCs w:val="22"/>
                <w:highlight w:val="none"/>
                <w:lang w:val="en-US" w:eastAsia="zh-CN"/>
              </w:rPr>
            </w:pPr>
            <w:r>
              <w:rPr>
                <w:rFonts w:hint="eastAsia" w:ascii="宋体" w:hAnsi="宋体" w:cs="宋体"/>
                <w:b/>
                <w:bCs/>
                <w:color w:val="auto"/>
                <w:kern w:val="0"/>
                <w:sz w:val="20"/>
                <w:szCs w:val="20"/>
                <w:highlight w:val="none"/>
              </w:rPr>
              <w:t>序号</w:t>
            </w:r>
          </w:p>
        </w:tc>
        <w:tc>
          <w:tcPr>
            <w:tcW w:w="3653" w:type="dxa"/>
            <w:gridSpan w:val="3"/>
            <w:vAlign w:val="center"/>
          </w:tcPr>
          <w:p w14:paraId="2C62CD85">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建设内容</w:t>
            </w:r>
          </w:p>
        </w:tc>
        <w:tc>
          <w:tcPr>
            <w:tcW w:w="4667" w:type="dxa"/>
            <w:vAlign w:val="center"/>
          </w:tcPr>
          <w:p w14:paraId="3424508B">
            <w:pPr>
              <w:widowControl/>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06CC1DB8">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单位</w:t>
            </w:r>
          </w:p>
        </w:tc>
        <w:tc>
          <w:tcPr>
            <w:tcW w:w="714" w:type="dxa"/>
            <w:vAlign w:val="center"/>
          </w:tcPr>
          <w:p w14:paraId="271E952D">
            <w:pPr>
              <w:spacing w:line="240" w:lineRule="exact"/>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Cs w:val="21"/>
                <w:highlight w:val="none"/>
                <w:lang w:eastAsia="zh-CN"/>
              </w:rPr>
              <w:t>数量</w:t>
            </w:r>
          </w:p>
        </w:tc>
      </w:tr>
      <w:tr w14:paraId="2B806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51365F6">
            <w:pPr>
              <w:numPr>
                <w:ilvl w:val="0"/>
                <w:numId w:val="12"/>
              </w:numPr>
              <w:spacing w:line="300" w:lineRule="exact"/>
              <w:ind w:left="454" w:leftChars="0" w:hanging="454" w:firstLineChars="0"/>
              <w:jc w:val="center"/>
              <w:rPr>
                <w:rFonts w:hint="default" w:ascii="仿宋" w:hAnsi="仿宋" w:eastAsia="仿宋" w:cs="宋体"/>
                <w:color w:val="auto"/>
                <w:sz w:val="22"/>
                <w:szCs w:val="22"/>
                <w:highlight w:val="none"/>
                <w:lang w:val="en-US" w:eastAsia="zh-CN"/>
              </w:rPr>
            </w:pPr>
          </w:p>
        </w:tc>
        <w:tc>
          <w:tcPr>
            <w:tcW w:w="720" w:type="dxa"/>
            <w:vMerge w:val="restart"/>
            <w:vAlign w:val="center"/>
          </w:tcPr>
          <w:p w14:paraId="162E2E8B">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医疗服务质量监控系统</w:t>
            </w:r>
          </w:p>
        </w:tc>
        <w:tc>
          <w:tcPr>
            <w:tcW w:w="875" w:type="dxa"/>
            <w:vAlign w:val="center"/>
          </w:tcPr>
          <w:p w14:paraId="7CAB575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数据采集</w:t>
            </w:r>
          </w:p>
        </w:tc>
        <w:tc>
          <w:tcPr>
            <w:tcW w:w="2058" w:type="dxa"/>
            <w:vAlign w:val="center"/>
          </w:tcPr>
          <w:p w14:paraId="487F87E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医疗机构数据采集</w:t>
            </w:r>
          </w:p>
        </w:tc>
        <w:tc>
          <w:tcPr>
            <w:tcW w:w="4667" w:type="dxa"/>
            <w:vAlign w:val="center"/>
          </w:tcPr>
          <w:p w14:paraId="35F3455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ETL可视化图形配置主，指定数据源，对危急值和医技效率数据进行采集汇聚。通过数据智能采集提供实时、非实时以及增量数据的自动数据采集。形成危急值和医技效率专题库，为医疗质量监控提供数据支撑。</w:t>
            </w:r>
          </w:p>
        </w:tc>
        <w:tc>
          <w:tcPr>
            <w:tcW w:w="733" w:type="dxa"/>
            <w:vAlign w:val="center"/>
          </w:tcPr>
          <w:p w14:paraId="151F463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089BCED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3</w:t>
            </w:r>
          </w:p>
        </w:tc>
      </w:tr>
      <w:tr w14:paraId="2F14C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583" w:type="dxa"/>
            <w:vAlign w:val="center"/>
          </w:tcPr>
          <w:p w14:paraId="570BC8F5">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720" w:type="dxa"/>
            <w:vMerge w:val="continue"/>
            <w:vAlign w:val="center"/>
          </w:tcPr>
          <w:p w14:paraId="260531A0">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5B9C955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医技闭环效率监控</w:t>
            </w:r>
          </w:p>
        </w:tc>
        <w:tc>
          <w:tcPr>
            <w:tcW w:w="2058" w:type="dxa"/>
            <w:vAlign w:val="center"/>
          </w:tcPr>
          <w:p w14:paraId="65EFE1D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检验消息数据管理</w:t>
            </w:r>
          </w:p>
        </w:tc>
        <w:tc>
          <w:tcPr>
            <w:tcW w:w="4667" w:type="dxa"/>
            <w:vAlign w:val="center"/>
          </w:tcPr>
          <w:p w14:paraId="56A0F53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支持对接ESB获取检验申请和检验报告XML消息，并解析为关系型数据。</w:t>
            </w:r>
          </w:p>
        </w:tc>
        <w:tc>
          <w:tcPr>
            <w:tcW w:w="733" w:type="dxa"/>
            <w:vMerge w:val="restart"/>
            <w:vAlign w:val="center"/>
          </w:tcPr>
          <w:p w14:paraId="435B169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人月</w:t>
            </w:r>
          </w:p>
        </w:tc>
        <w:tc>
          <w:tcPr>
            <w:tcW w:w="714" w:type="dxa"/>
            <w:vMerge w:val="restart"/>
            <w:vAlign w:val="center"/>
          </w:tcPr>
          <w:p w14:paraId="74292975">
            <w:pPr>
              <w:keepNext w:val="0"/>
              <w:keepLines w:val="0"/>
              <w:widowControl/>
              <w:suppressLineNumbers w:val="0"/>
              <w:jc w:val="center"/>
              <w:textAlignment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12.5</w:t>
            </w:r>
          </w:p>
        </w:tc>
      </w:tr>
      <w:tr w14:paraId="7B68C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FD5CCA5">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720" w:type="dxa"/>
            <w:vMerge w:val="continue"/>
            <w:vAlign w:val="center"/>
          </w:tcPr>
          <w:p w14:paraId="367864C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9BBD98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3881DD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检查消息数据管理</w:t>
            </w:r>
          </w:p>
        </w:tc>
        <w:tc>
          <w:tcPr>
            <w:tcW w:w="4667" w:type="dxa"/>
            <w:vAlign w:val="center"/>
          </w:tcPr>
          <w:p w14:paraId="5890F62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支持对接ESB获取检查申请和检查报告XML消息，并解析为关系型数据。</w:t>
            </w:r>
          </w:p>
        </w:tc>
        <w:tc>
          <w:tcPr>
            <w:tcW w:w="733" w:type="dxa"/>
            <w:vMerge w:val="continue"/>
            <w:vAlign w:val="center"/>
          </w:tcPr>
          <w:p w14:paraId="635185A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A7BC4AE">
            <w:pPr>
              <w:jc w:val="center"/>
              <w:rPr>
                <w:rFonts w:hint="eastAsia" w:ascii="宋体" w:hAnsi="宋体" w:eastAsia="宋体" w:cs="宋体"/>
                <w:b w:val="0"/>
                <w:bCs w:val="0"/>
                <w:color w:val="auto"/>
                <w:kern w:val="0"/>
                <w:sz w:val="20"/>
                <w:szCs w:val="20"/>
                <w:highlight w:val="none"/>
                <w:lang w:val="en-US" w:eastAsia="zh-CN" w:bidi="ar-SA"/>
              </w:rPr>
            </w:pPr>
          </w:p>
        </w:tc>
      </w:tr>
      <w:tr w14:paraId="0F32F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A60E609">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720" w:type="dxa"/>
            <w:vMerge w:val="continue"/>
            <w:vAlign w:val="center"/>
          </w:tcPr>
          <w:p w14:paraId="30ED842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E711F6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C22AB5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检验闭环数据查询</w:t>
            </w:r>
          </w:p>
        </w:tc>
        <w:tc>
          <w:tcPr>
            <w:tcW w:w="4667" w:type="dxa"/>
            <w:vMerge w:val="restart"/>
            <w:vAlign w:val="center"/>
          </w:tcPr>
          <w:p w14:paraId="2865C14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通过检验数据建模，将多个消息合并为一条闭环数据，直观查看患者在医院就诊过程中各个环节等待的时间，同时针对该患者存在的有申请无报告、报告超时等异常状态进行颜色标注，辅助医师自己以及医院管理者快速识别医技运行情况，整体提升服务效率。</w:t>
            </w:r>
          </w:p>
        </w:tc>
        <w:tc>
          <w:tcPr>
            <w:tcW w:w="733" w:type="dxa"/>
            <w:vMerge w:val="continue"/>
            <w:vAlign w:val="center"/>
          </w:tcPr>
          <w:p w14:paraId="7B710A1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A57E2A3">
            <w:pPr>
              <w:jc w:val="center"/>
              <w:rPr>
                <w:rFonts w:hint="eastAsia" w:ascii="宋体" w:hAnsi="宋体" w:eastAsia="宋体" w:cs="宋体"/>
                <w:b w:val="0"/>
                <w:bCs w:val="0"/>
                <w:color w:val="auto"/>
                <w:kern w:val="0"/>
                <w:sz w:val="20"/>
                <w:szCs w:val="20"/>
                <w:highlight w:val="none"/>
                <w:lang w:val="en-US" w:eastAsia="zh-CN" w:bidi="ar-SA"/>
              </w:rPr>
            </w:pPr>
          </w:p>
        </w:tc>
      </w:tr>
      <w:tr w14:paraId="22530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2065989">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720" w:type="dxa"/>
            <w:vMerge w:val="continue"/>
            <w:vAlign w:val="center"/>
          </w:tcPr>
          <w:p w14:paraId="3E4D449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F8823A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643707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检查闭环数据查询</w:t>
            </w:r>
          </w:p>
        </w:tc>
        <w:tc>
          <w:tcPr>
            <w:tcW w:w="4667" w:type="dxa"/>
            <w:vMerge w:val="continue"/>
            <w:vAlign w:val="center"/>
          </w:tcPr>
          <w:p w14:paraId="203CA91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p>
        </w:tc>
        <w:tc>
          <w:tcPr>
            <w:tcW w:w="733" w:type="dxa"/>
            <w:vMerge w:val="continue"/>
            <w:vAlign w:val="center"/>
          </w:tcPr>
          <w:p w14:paraId="4ECAB36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C2DBDE4">
            <w:pPr>
              <w:jc w:val="center"/>
              <w:rPr>
                <w:rFonts w:hint="eastAsia" w:ascii="宋体" w:hAnsi="宋体" w:eastAsia="宋体" w:cs="宋体"/>
                <w:b w:val="0"/>
                <w:bCs w:val="0"/>
                <w:color w:val="auto"/>
                <w:kern w:val="0"/>
                <w:sz w:val="20"/>
                <w:szCs w:val="20"/>
                <w:highlight w:val="none"/>
                <w:lang w:val="en-US" w:eastAsia="zh-CN" w:bidi="ar-SA"/>
              </w:rPr>
            </w:pPr>
          </w:p>
        </w:tc>
      </w:tr>
      <w:tr w14:paraId="77730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C7FA555">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720" w:type="dxa"/>
            <w:vMerge w:val="continue"/>
            <w:vAlign w:val="center"/>
          </w:tcPr>
          <w:p w14:paraId="5985BB7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F0A9D0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3CF18E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转诊闭环数据查询</w:t>
            </w:r>
          </w:p>
        </w:tc>
        <w:tc>
          <w:tcPr>
            <w:tcW w:w="4667" w:type="dxa"/>
            <w:vMerge w:val="continue"/>
            <w:vAlign w:val="center"/>
          </w:tcPr>
          <w:p w14:paraId="5FBA432B">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p>
        </w:tc>
        <w:tc>
          <w:tcPr>
            <w:tcW w:w="733" w:type="dxa"/>
            <w:vMerge w:val="continue"/>
            <w:vAlign w:val="center"/>
          </w:tcPr>
          <w:p w14:paraId="3F61436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623B9A1">
            <w:pPr>
              <w:jc w:val="center"/>
              <w:rPr>
                <w:rFonts w:hint="eastAsia" w:ascii="宋体" w:hAnsi="宋体" w:eastAsia="宋体" w:cs="宋体"/>
                <w:b w:val="0"/>
                <w:bCs w:val="0"/>
                <w:color w:val="auto"/>
                <w:kern w:val="0"/>
                <w:sz w:val="20"/>
                <w:szCs w:val="20"/>
                <w:highlight w:val="none"/>
                <w:lang w:val="en-US" w:eastAsia="zh-CN" w:bidi="ar-SA"/>
              </w:rPr>
            </w:pPr>
          </w:p>
        </w:tc>
      </w:tr>
      <w:tr w14:paraId="118B4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2A36AA4">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720" w:type="dxa"/>
            <w:vMerge w:val="continue"/>
            <w:vAlign w:val="center"/>
          </w:tcPr>
          <w:p w14:paraId="76C24F2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2D3FEF1">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70D9B6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检验数据闭环效率</w:t>
            </w:r>
          </w:p>
        </w:tc>
        <w:tc>
          <w:tcPr>
            <w:tcW w:w="4667" w:type="dxa"/>
            <w:vMerge w:val="restart"/>
            <w:vAlign w:val="center"/>
          </w:tcPr>
          <w:p w14:paraId="40DF532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为更加便于医师自己以及医院管理者直观了解医技整体运行效率，将海量医技闭环数据进行分析统计，便于直观解读数据含义辅助管理。同时基于科室、设备、检查部位等多个维度垂直钻取，辅助医师识别耗时部位，针对性的完善该部位的检查流程，一点一滴的完善服务质量。</w:t>
            </w:r>
          </w:p>
        </w:tc>
        <w:tc>
          <w:tcPr>
            <w:tcW w:w="733" w:type="dxa"/>
            <w:vMerge w:val="continue"/>
            <w:vAlign w:val="center"/>
          </w:tcPr>
          <w:p w14:paraId="2BC47A7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954DA2E">
            <w:pPr>
              <w:jc w:val="center"/>
              <w:rPr>
                <w:rFonts w:hint="eastAsia" w:ascii="宋体" w:hAnsi="宋体" w:eastAsia="宋体" w:cs="宋体"/>
                <w:b w:val="0"/>
                <w:bCs w:val="0"/>
                <w:color w:val="auto"/>
                <w:kern w:val="0"/>
                <w:sz w:val="20"/>
                <w:szCs w:val="20"/>
                <w:highlight w:val="none"/>
                <w:lang w:val="en-US" w:eastAsia="zh-CN" w:bidi="ar-SA"/>
              </w:rPr>
            </w:pPr>
          </w:p>
        </w:tc>
      </w:tr>
      <w:tr w14:paraId="5B153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D11E87C">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720" w:type="dxa"/>
            <w:vMerge w:val="continue"/>
            <w:vAlign w:val="center"/>
          </w:tcPr>
          <w:p w14:paraId="057C043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07AE48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5B3E8C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检查数据闭环效率</w:t>
            </w:r>
          </w:p>
        </w:tc>
        <w:tc>
          <w:tcPr>
            <w:tcW w:w="4667" w:type="dxa"/>
            <w:vMerge w:val="continue"/>
            <w:vAlign w:val="center"/>
          </w:tcPr>
          <w:p w14:paraId="508CBA8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p>
        </w:tc>
        <w:tc>
          <w:tcPr>
            <w:tcW w:w="733" w:type="dxa"/>
            <w:vMerge w:val="continue"/>
            <w:vAlign w:val="center"/>
          </w:tcPr>
          <w:p w14:paraId="0163473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A4C4CB0">
            <w:pPr>
              <w:jc w:val="center"/>
              <w:rPr>
                <w:rFonts w:hint="eastAsia" w:ascii="宋体" w:hAnsi="宋体" w:eastAsia="宋体" w:cs="宋体"/>
                <w:b w:val="0"/>
                <w:bCs w:val="0"/>
                <w:color w:val="auto"/>
                <w:kern w:val="0"/>
                <w:sz w:val="20"/>
                <w:szCs w:val="20"/>
                <w:highlight w:val="none"/>
                <w:lang w:val="en-US" w:eastAsia="zh-CN" w:bidi="ar-SA"/>
              </w:rPr>
            </w:pPr>
          </w:p>
        </w:tc>
      </w:tr>
      <w:tr w14:paraId="45D74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40FC84C">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720" w:type="dxa"/>
            <w:vMerge w:val="continue"/>
            <w:vAlign w:val="center"/>
          </w:tcPr>
          <w:p w14:paraId="0961828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A142EB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D9FEDD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科室维度散点图</w:t>
            </w:r>
          </w:p>
        </w:tc>
        <w:tc>
          <w:tcPr>
            <w:tcW w:w="4667" w:type="dxa"/>
            <w:vMerge w:val="continue"/>
            <w:vAlign w:val="center"/>
          </w:tcPr>
          <w:p w14:paraId="34569E1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p>
        </w:tc>
        <w:tc>
          <w:tcPr>
            <w:tcW w:w="733" w:type="dxa"/>
            <w:vMerge w:val="continue"/>
            <w:vAlign w:val="center"/>
          </w:tcPr>
          <w:p w14:paraId="0A43280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FB21448">
            <w:pPr>
              <w:jc w:val="center"/>
              <w:rPr>
                <w:rFonts w:hint="eastAsia" w:ascii="宋体" w:hAnsi="宋体" w:eastAsia="宋体" w:cs="宋体"/>
                <w:b w:val="0"/>
                <w:bCs w:val="0"/>
                <w:color w:val="auto"/>
                <w:kern w:val="0"/>
                <w:sz w:val="20"/>
                <w:szCs w:val="20"/>
                <w:highlight w:val="none"/>
                <w:lang w:val="en-US" w:eastAsia="zh-CN" w:bidi="ar-SA"/>
              </w:rPr>
            </w:pPr>
          </w:p>
        </w:tc>
      </w:tr>
      <w:tr w14:paraId="71FCE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27F402A">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720" w:type="dxa"/>
            <w:vMerge w:val="continue"/>
            <w:vAlign w:val="center"/>
          </w:tcPr>
          <w:p w14:paraId="5467191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1E10D4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91DED4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患者维度散点图</w:t>
            </w:r>
          </w:p>
        </w:tc>
        <w:tc>
          <w:tcPr>
            <w:tcW w:w="4667" w:type="dxa"/>
            <w:vMerge w:val="continue"/>
            <w:vAlign w:val="center"/>
          </w:tcPr>
          <w:p w14:paraId="2C46A3E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p>
        </w:tc>
        <w:tc>
          <w:tcPr>
            <w:tcW w:w="733" w:type="dxa"/>
            <w:vMerge w:val="continue"/>
            <w:vAlign w:val="center"/>
          </w:tcPr>
          <w:p w14:paraId="05A012A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2A544F3">
            <w:pPr>
              <w:jc w:val="center"/>
              <w:rPr>
                <w:rFonts w:hint="eastAsia" w:ascii="宋体" w:hAnsi="宋体" w:eastAsia="宋体" w:cs="宋体"/>
                <w:b w:val="0"/>
                <w:bCs w:val="0"/>
                <w:color w:val="auto"/>
                <w:kern w:val="0"/>
                <w:sz w:val="20"/>
                <w:szCs w:val="20"/>
                <w:highlight w:val="none"/>
                <w:lang w:val="en-US" w:eastAsia="zh-CN" w:bidi="ar-SA"/>
              </w:rPr>
            </w:pPr>
          </w:p>
        </w:tc>
      </w:tr>
      <w:tr w14:paraId="33D40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5698333">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720" w:type="dxa"/>
            <w:vMerge w:val="continue"/>
            <w:vAlign w:val="center"/>
          </w:tcPr>
          <w:p w14:paraId="6C863BC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62A8B0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3DCBC7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机构件闭环对比</w:t>
            </w:r>
          </w:p>
        </w:tc>
        <w:tc>
          <w:tcPr>
            <w:tcW w:w="4667" w:type="dxa"/>
            <w:vMerge w:val="continue"/>
            <w:vAlign w:val="center"/>
          </w:tcPr>
          <w:p w14:paraId="27D74C4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p>
        </w:tc>
        <w:tc>
          <w:tcPr>
            <w:tcW w:w="733" w:type="dxa"/>
            <w:vMerge w:val="continue"/>
            <w:vAlign w:val="center"/>
          </w:tcPr>
          <w:p w14:paraId="76FA1C1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8CE1004">
            <w:pPr>
              <w:jc w:val="center"/>
              <w:rPr>
                <w:rFonts w:hint="eastAsia" w:ascii="宋体" w:hAnsi="宋体" w:eastAsia="宋体" w:cs="宋体"/>
                <w:b w:val="0"/>
                <w:bCs w:val="0"/>
                <w:color w:val="auto"/>
                <w:kern w:val="0"/>
                <w:sz w:val="20"/>
                <w:szCs w:val="20"/>
                <w:highlight w:val="none"/>
                <w:lang w:val="en-US" w:eastAsia="zh-CN" w:bidi="ar-SA"/>
              </w:rPr>
            </w:pPr>
          </w:p>
        </w:tc>
      </w:tr>
      <w:tr w14:paraId="05059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8D4444D">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720" w:type="dxa"/>
            <w:vMerge w:val="continue"/>
            <w:vAlign w:val="center"/>
          </w:tcPr>
          <w:p w14:paraId="35323887">
            <w:pPr>
              <w:jc w:val="center"/>
              <w:rPr>
                <w:rFonts w:hint="eastAsia" w:ascii="宋体" w:hAnsi="宋体" w:eastAsia="宋体" w:cs="宋体"/>
                <w:b/>
                <w:color w:val="auto"/>
                <w:sz w:val="24"/>
                <w:szCs w:val="24"/>
                <w:highlight w:val="none"/>
                <w:vertAlign w:val="baseline"/>
                <w:lang w:eastAsia="zh-CN"/>
              </w:rPr>
            </w:pPr>
          </w:p>
        </w:tc>
        <w:tc>
          <w:tcPr>
            <w:tcW w:w="2933" w:type="dxa"/>
            <w:gridSpan w:val="2"/>
            <w:vAlign w:val="center"/>
          </w:tcPr>
          <w:p w14:paraId="0203BE2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病案质量监控</w:t>
            </w:r>
          </w:p>
        </w:tc>
        <w:tc>
          <w:tcPr>
            <w:tcW w:w="4667" w:type="dxa"/>
            <w:vAlign w:val="center"/>
          </w:tcPr>
          <w:p w14:paraId="7BB3831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对基层医疗机构以上报HQMS平台的提交数据为基础，分析病案数据，关注数据质量。提供病案质量监控引擎库，针对数据完整性、逻辑性进行校验。</w:t>
            </w:r>
          </w:p>
        </w:tc>
        <w:tc>
          <w:tcPr>
            <w:tcW w:w="733" w:type="dxa"/>
            <w:vAlign w:val="center"/>
          </w:tcPr>
          <w:p w14:paraId="43DDD45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486F1E2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13.5</w:t>
            </w:r>
          </w:p>
        </w:tc>
      </w:tr>
      <w:tr w14:paraId="5E35B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2B893B2">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720" w:type="dxa"/>
            <w:vMerge w:val="continue"/>
            <w:vAlign w:val="center"/>
          </w:tcPr>
          <w:p w14:paraId="294A822E">
            <w:pPr>
              <w:jc w:val="center"/>
              <w:rPr>
                <w:rFonts w:hint="eastAsia" w:ascii="宋体" w:hAnsi="宋体" w:eastAsia="宋体" w:cs="宋体"/>
                <w:b/>
                <w:color w:val="auto"/>
                <w:sz w:val="24"/>
                <w:szCs w:val="24"/>
                <w:highlight w:val="none"/>
                <w:vertAlign w:val="baseline"/>
                <w:lang w:eastAsia="zh-CN"/>
              </w:rPr>
            </w:pPr>
          </w:p>
        </w:tc>
        <w:tc>
          <w:tcPr>
            <w:tcW w:w="2933" w:type="dxa"/>
            <w:gridSpan w:val="2"/>
            <w:vAlign w:val="center"/>
          </w:tcPr>
          <w:p w14:paraId="0D3E330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病历质量监控</w:t>
            </w:r>
          </w:p>
        </w:tc>
        <w:tc>
          <w:tcPr>
            <w:tcW w:w="4667" w:type="dxa"/>
            <w:vAlign w:val="center"/>
          </w:tcPr>
          <w:p w14:paraId="5DE7100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根据《电子病历共享文档规范》编写要求，汇聚全院的电子病历数据，基于CDA校验电子病历质量。</w:t>
            </w:r>
          </w:p>
        </w:tc>
        <w:tc>
          <w:tcPr>
            <w:tcW w:w="733" w:type="dxa"/>
            <w:vAlign w:val="center"/>
          </w:tcPr>
          <w:p w14:paraId="5E22F7E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人月</w:t>
            </w:r>
          </w:p>
        </w:tc>
        <w:tc>
          <w:tcPr>
            <w:tcW w:w="714" w:type="dxa"/>
            <w:vAlign w:val="center"/>
          </w:tcPr>
          <w:p w14:paraId="02A04C0D">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06C6D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5BC0C92">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1595" w:type="dxa"/>
            <w:gridSpan w:val="2"/>
            <w:vMerge w:val="restart"/>
            <w:vAlign w:val="center"/>
          </w:tcPr>
          <w:p w14:paraId="044833B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实施对接</w:t>
            </w:r>
          </w:p>
        </w:tc>
        <w:tc>
          <w:tcPr>
            <w:tcW w:w="2058" w:type="dxa"/>
            <w:vAlign w:val="center"/>
          </w:tcPr>
          <w:p w14:paraId="3C95B5D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区域平台对接调试</w:t>
            </w:r>
          </w:p>
        </w:tc>
        <w:tc>
          <w:tcPr>
            <w:tcW w:w="4667" w:type="dxa"/>
            <w:vAlign w:val="center"/>
          </w:tcPr>
          <w:p w14:paraId="50CAC705">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区域平台相关接口对接</w:t>
            </w:r>
          </w:p>
        </w:tc>
        <w:tc>
          <w:tcPr>
            <w:tcW w:w="733" w:type="dxa"/>
            <w:vAlign w:val="center"/>
          </w:tcPr>
          <w:p w14:paraId="1A85E37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154FE09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31E91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69585F7">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1595" w:type="dxa"/>
            <w:gridSpan w:val="2"/>
            <w:vMerge w:val="continue"/>
            <w:vAlign w:val="center"/>
          </w:tcPr>
          <w:p w14:paraId="497C024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623072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对接区域检验中心</w:t>
            </w:r>
          </w:p>
        </w:tc>
        <w:tc>
          <w:tcPr>
            <w:tcW w:w="4667" w:type="dxa"/>
            <w:vAlign w:val="center"/>
          </w:tcPr>
          <w:p w14:paraId="3E0E6A2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对接区域检验中心相关接口</w:t>
            </w:r>
          </w:p>
        </w:tc>
        <w:tc>
          <w:tcPr>
            <w:tcW w:w="733" w:type="dxa"/>
            <w:vAlign w:val="center"/>
          </w:tcPr>
          <w:p w14:paraId="1ECAAD0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22CAD58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2.5</w:t>
            </w:r>
          </w:p>
        </w:tc>
      </w:tr>
      <w:tr w14:paraId="77977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9CFD5A6">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1595" w:type="dxa"/>
            <w:gridSpan w:val="2"/>
            <w:vMerge w:val="continue"/>
            <w:vAlign w:val="center"/>
          </w:tcPr>
          <w:p w14:paraId="2255A84B">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8835C3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对接影像云诊中心</w:t>
            </w:r>
          </w:p>
        </w:tc>
        <w:tc>
          <w:tcPr>
            <w:tcW w:w="4667" w:type="dxa"/>
            <w:vAlign w:val="center"/>
          </w:tcPr>
          <w:p w14:paraId="0163B80B">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对接影像云诊中心相关接口</w:t>
            </w:r>
          </w:p>
        </w:tc>
        <w:tc>
          <w:tcPr>
            <w:tcW w:w="733" w:type="dxa"/>
            <w:vAlign w:val="center"/>
          </w:tcPr>
          <w:p w14:paraId="2E2BEFB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45A1365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3BF3A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330AC9B">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1595" w:type="dxa"/>
            <w:gridSpan w:val="2"/>
            <w:vMerge w:val="continue"/>
            <w:vAlign w:val="center"/>
          </w:tcPr>
          <w:p w14:paraId="0F773EC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8D4128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对接网络心电中心</w:t>
            </w:r>
          </w:p>
        </w:tc>
        <w:tc>
          <w:tcPr>
            <w:tcW w:w="4667" w:type="dxa"/>
            <w:vAlign w:val="center"/>
          </w:tcPr>
          <w:p w14:paraId="771D0D8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对接网络心电中心相关接口</w:t>
            </w:r>
          </w:p>
        </w:tc>
        <w:tc>
          <w:tcPr>
            <w:tcW w:w="733" w:type="dxa"/>
            <w:vAlign w:val="center"/>
          </w:tcPr>
          <w:p w14:paraId="6BA65EA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1ACA4DF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w:t>
            </w:r>
          </w:p>
        </w:tc>
      </w:tr>
      <w:tr w14:paraId="13DAA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D165F55">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1595" w:type="dxa"/>
            <w:gridSpan w:val="2"/>
            <w:vMerge w:val="restart"/>
            <w:vAlign w:val="center"/>
          </w:tcPr>
          <w:p w14:paraId="2DBDDCA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数据大屏</w:t>
            </w:r>
          </w:p>
        </w:tc>
        <w:tc>
          <w:tcPr>
            <w:tcW w:w="2058" w:type="dxa"/>
            <w:vMerge w:val="restart"/>
            <w:vAlign w:val="center"/>
          </w:tcPr>
          <w:p w14:paraId="26B8388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医疗质控中心</w:t>
            </w:r>
          </w:p>
        </w:tc>
        <w:tc>
          <w:tcPr>
            <w:tcW w:w="4667" w:type="dxa"/>
            <w:vAlign w:val="center"/>
          </w:tcPr>
          <w:p w14:paraId="5FB2868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医疗质控中心，展示病案质量数据。</w:t>
            </w:r>
          </w:p>
        </w:tc>
        <w:tc>
          <w:tcPr>
            <w:tcW w:w="733" w:type="dxa"/>
            <w:vMerge w:val="restart"/>
            <w:vAlign w:val="center"/>
          </w:tcPr>
          <w:p w14:paraId="6C8672A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75A20BCC">
            <w:pPr>
              <w:keepNext w:val="0"/>
              <w:keepLines w:val="0"/>
              <w:widowControl/>
              <w:suppressLineNumbers w:val="0"/>
              <w:jc w:val="center"/>
              <w:textAlignment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064E4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CAE47DB">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1595" w:type="dxa"/>
            <w:gridSpan w:val="2"/>
            <w:vMerge w:val="continue"/>
            <w:vAlign w:val="center"/>
          </w:tcPr>
          <w:p w14:paraId="795B743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1FF8E67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64720B1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将排队时间、报告出具时间、服务数量作为三个维度，通过散点图的形式直观分析各个科室工作量与患者等待时间之间的关系，辅助医院管理者直观分析捕捉医技运行负荷</w:t>
            </w:r>
          </w:p>
        </w:tc>
        <w:tc>
          <w:tcPr>
            <w:tcW w:w="733" w:type="dxa"/>
            <w:vMerge w:val="continue"/>
            <w:vAlign w:val="center"/>
          </w:tcPr>
          <w:p w14:paraId="46D119C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B3B5A2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r>
      <w:tr w14:paraId="05366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9C9857B">
            <w:pPr>
              <w:numPr>
                <w:ilvl w:val="0"/>
                <w:numId w:val="12"/>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1595" w:type="dxa"/>
            <w:gridSpan w:val="2"/>
            <w:vMerge w:val="continue"/>
            <w:vAlign w:val="center"/>
          </w:tcPr>
          <w:p w14:paraId="135AD09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Merge w:val="continue"/>
            <w:vAlign w:val="center"/>
          </w:tcPr>
          <w:p w14:paraId="45E8903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72D9F28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将一个时间范围的内容全部患者数据以排队时间、报告出具时间的维度，统一展现在时间轴上，辅助医院管理者直观感受海量患者等待的时长，体会患者感受，从而更有针对性的提升患者体验，完善服务质量。</w:t>
            </w:r>
          </w:p>
        </w:tc>
        <w:tc>
          <w:tcPr>
            <w:tcW w:w="733" w:type="dxa"/>
            <w:vMerge w:val="continue"/>
            <w:vAlign w:val="center"/>
          </w:tcPr>
          <w:p w14:paraId="325E0D7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C08263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r>
    </w:tbl>
    <w:p w14:paraId="0E5C2866">
      <w:pPr>
        <w:pStyle w:val="2"/>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both"/>
        <w:textAlignment w:val="auto"/>
        <w:rPr>
          <w:rFonts w:hint="eastAsia" w:ascii="宋体" w:hAnsi="宋体" w:eastAsia="宋体" w:cs="宋体"/>
          <w:highlight w:val="yellow"/>
          <w:lang w:val="en-US" w:eastAsia="zh-CN"/>
        </w:rPr>
      </w:pPr>
      <w:r>
        <w:rPr>
          <w:rFonts w:hint="eastAsia" w:ascii="宋体" w:hAnsi="宋体" w:eastAsia="宋体" w:cs="宋体"/>
          <w:highlight w:val="yellow"/>
          <w:lang w:val="en-US" w:eastAsia="zh-CN"/>
        </w:rPr>
        <w:t>（二）-12：运维监管中心</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875"/>
        <w:gridCol w:w="2058"/>
        <w:gridCol w:w="4667"/>
        <w:gridCol w:w="733"/>
        <w:gridCol w:w="714"/>
      </w:tblGrid>
      <w:tr w14:paraId="570E0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155B3F7">
            <w:pPr>
              <w:widowControl/>
              <w:jc w:val="center"/>
              <w:rPr>
                <w:rFonts w:hint="eastAsia" w:ascii="仿宋" w:hAnsi="仿宋" w:eastAsia="仿宋" w:cs="宋体"/>
                <w:color w:val="auto"/>
                <w:sz w:val="22"/>
                <w:szCs w:val="22"/>
                <w:highlight w:val="none"/>
                <w:lang w:val="en-US" w:eastAsia="zh-CN"/>
              </w:rPr>
            </w:pPr>
            <w:r>
              <w:rPr>
                <w:rFonts w:hint="eastAsia" w:ascii="宋体" w:hAnsi="宋体" w:cs="宋体"/>
                <w:b/>
                <w:bCs/>
                <w:color w:val="auto"/>
                <w:kern w:val="0"/>
                <w:sz w:val="20"/>
                <w:szCs w:val="20"/>
                <w:highlight w:val="none"/>
              </w:rPr>
              <w:t>序号</w:t>
            </w:r>
          </w:p>
        </w:tc>
        <w:tc>
          <w:tcPr>
            <w:tcW w:w="3653" w:type="dxa"/>
            <w:gridSpan w:val="3"/>
            <w:vAlign w:val="center"/>
          </w:tcPr>
          <w:p w14:paraId="1B1DDBFA">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建设内容</w:t>
            </w:r>
          </w:p>
        </w:tc>
        <w:tc>
          <w:tcPr>
            <w:tcW w:w="4667" w:type="dxa"/>
            <w:vAlign w:val="center"/>
          </w:tcPr>
          <w:p w14:paraId="171F98C4">
            <w:pPr>
              <w:widowControl/>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3E3C89DB">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单位</w:t>
            </w:r>
          </w:p>
        </w:tc>
        <w:tc>
          <w:tcPr>
            <w:tcW w:w="714" w:type="dxa"/>
            <w:vAlign w:val="center"/>
          </w:tcPr>
          <w:p w14:paraId="42AEECFE">
            <w:pPr>
              <w:spacing w:line="240" w:lineRule="exact"/>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Cs w:val="21"/>
                <w:highlight w:val="none"/>
                <w:lang w:eastAsia="zh-CN"/>
              </w:rPr>
              <w:t>数量</w:t>
            </w:r>
          </w:p>
        </w:tc>
      </w:tr>
      <w:tr w14:paraId="0B2EE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10F0C01">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639</w:t>
            </w:r>
          </w:p>
        </w:tc>
        <w:tc>
          <w:tcPr>
            <w:tcW w:w="720" w:type="dxa"/>
            <w:vMerge w:val="restart"/>
            <w:vAlign w:val="center"/>
          </w:tcPr>
          <w:p w14:paraId="7BF3B77C">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自动化运维监控软件</w:t>
            </w:r>
          </w:p>
        </w:tc>
        <w:tc>
          <w:tcPr>
            <w:tcW w:w="875" w:type="dxa"/>
            <w:vMerge w:val="restart"/>
            <w:vAlign w:val="center"/>
          </w:tcPr>
          <w:p w14:paraId="1EE1C2F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系统平台基本功能</w:t>
            </w:r>
          </w:p>
        </w:tc>
        <w:tc>
          <w:tcPr>
            <w:tcW w:w="2058" w:type="dxa"/>
            <w:vAlign w:val="center"/>
          </w:tcPr>
          <w:p w14:paraId="6086644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B/S架构</w:t>
            </w:r>
          </w:p>
        </w:tc>
        <w:tc>
          <w:tcPr>
            <w:tcW w:w="4667" w:type="dxa"/>
            <w:vAlign w:val="center"/>
          </w:tcPr>
          <w:p w14:paraId="375A370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要求全中文界面，纯B/S架构；支持多种浏览器（如：IE、chrome、firefox、360浏览器、腾讯浏览器等）访问和管理；</w:t>
            </w:r>
          </w:p>
        </w:tc>
        <w:tc>
          <w:tcPr>
            <w:tcW w:w="733" w:type="dxa"/>
            <w:vMerge w:val="restart"/>
            <w:vAlign w:val="center"/>
          </w:tcPr>
          <w:p w14:paraId="10DBF92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1589095C">
            <w:pPr>
              <w:keepNext w:val="0"/>
              <w:keepLines w:val="0"/>
              <w:widowControl/>
              <w:suppressLineNumbers w:val="0"/>
              <w:jc w:val="center"/>
              <w:textAlignment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5.5</w:t>
            </w:r>
          </w:p>
        </w:tc>
      </w:tr>
      <w:tr w14:paraId="23840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4213D8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640</w:t>
            </w:r>
          </w:p>
        </w:tc>
        <w:tc>
          <w:tcPr>
            <w:tcW w:w="720" w:type="dxa"/>
            <w:vMerge w:val="continue"/>
            <w:vAlign w:val="center"/>
          </w:tcPr>
          <w:p w14:paraId="6A8B0B7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D60A46F">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580C8C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分布式部署</w:t>
            </w:r>
          </w:p>
        </w:tc>
        <w:tc>
          <w:tcPr>
            <w:tcW w:w="4667" w:type="dxa"/>
            <w:vAlign w:val="center"/>
          </w:tcPr>
          <w:p w14:paraId="7E3C271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支持分布式部署，即数据库、采集代理和管理中心可部署在不同的主机上。需支持分布式数据采集，分布式管理，可实现跨区域的集中管理展现。</w:t>
            </w:r>
          </w:p>
        </w:tc>
        <w:tc>
          <w:tcPr>
            <w:tcW w:w="733" w:type="dxa"/>
            <w:vMerge w:val="continue"/>
            <w:vAlign w:val="center"/>
          </w:tcPr>
          <w:p w14:paraId="70FE40E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1162BE3">
            <w:pPr>
              <w:jc w:val="center"/>
              <w:rPr>
                <w:rFonts w:hint="eastAsia" w:ascii="宋体" w:hAnsi="宋体" w:eastAsia="宋体" w:cs="宋体"/>
                <w:b w:val="0"/>
                <w:bCs w:val="0"/>
                <w:color w:val="auto"/>
                <w:kern w:val="0"/>
                <w:sz w:val="20"/>
                <w:szCs w:val="20"/>
                <w:highlight w:val="none"/>
                <w:lang w:val="en-US" w:eastAsia="zh-CN" w:bidi="ar-SA"/>
              </w:rPr>
            </w:pPr>
          </w:p>
        </w:tc>
      </w:tr>
      <w:tr w14:paraId="309C3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DE8DB8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641</w:t>
            </w:r>
          </w:p>
        </w:tc>
        <w:tc>
          <w:tcPr>
            <w:tcW w:w="720" w:type="dxa"/>
            <w:vMerge w:val="continue"/>
            <w:vAlign w:val="center"/>
          </w:tcPr>
          <w:p w14:paraId="55B9B6C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BDAC70F">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184222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平台可切换</w:t>
            </w:r>
          </w:p>
        </w:tc>
        <w:tc>
          <w:tcPr>
            <w:tcW w:w="4667" w:type="dxa"/>
            <w:vAlign w:val="center"/>
          </w:tcPr>
          <w:p w14:paraId="4FB2383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必须支持64位系统部署系统，可部署到windows、unix、linux等主流操作系统平台上，系统自带数据库，也可使用多种主流关系型数据库，如Oracle、SQLServer、DB2、PostgreSQL等。</w:t>
            </w:r>
          </w:p>
        </w:tc>
        <w:tc>
          <w:tcPr>
            <w:tcW w:w="733" w:type="dxa"/>
            <w:vMerge w:val="continue"/>
            <w:vAlign w:val="center"/>
          </w:tcPr>
          <w:p w14:paraId="6A6C9B1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92194EE">
            <w:pPr>
              <w:jc w:val="center"/>
              <w:rPr>
                <w:rFonts w:hint="eastAsia" w:ascii="宋体" w:hAnsi="宋体" w:eastAsia="宋体" w:cs="宋体"/>
                <w:b w:val="0"/>
                <w:bCs w:val="0"/>
                <w:color w:val="auto"/>
                <w:kern w:val="0"/>
                <w:sz w:val="20"/>
                <w:szCs w:val="20"/>
                <w:highlight w:val="none"/>
                <w:lang w:val="en-US" w:eastAsia="zh-CN" w:bidi="ar-SA"/>
              </w:rPr>
            </w:pPr>
          </w:p>
        </w:tc>
      </w:tr>
      <w:tr w14:paraId="2809C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C35673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642</w:t>
            </w:r>
          </w:p>
        </w:tc>
        <w:tc>
          <w:tcPr>
            <w:tcW w:w="720" w:type="dxa"/>
            <w:vMerge w:val="continue"/>
            <w:vAlign w:val="center"/>
          </w:tcPr>
          <w:p w14:paraId="0747B33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CCA86F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E061E5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UI可调整</w:t>
            </w:r>
          </w:p>
        </w:tc>
        <w:tc>
          <w:tcPr>
            <w:tcW w:w="4667" w:type="dxa"/>
            <w:vAlign w:val="center"/>
          </w:tcPr>
          <w:p w14:paraId="31F4801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为了实现个性化，支持用户对软件皮肤的修改及调整，展现面板的布局能灵活定制，并能随意调整布局位置，支持界面自适应，全屏、分屏展现等。</w:t>
            </w:r>
          </w:p>
        </w:tc>
        <w:tc>
          <w:tcPr>
            <w:tcW w:w="733" w:type="dxa"/>
            <w:vMerge w:val="continue"/>
            <w:vAlign w:val="center"/>
          </w:tcPr>
          <w:p w14:paraId="31EA9E5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DD5AB39">
            <w:pPr>
              <w:jc w:val="center"/>
              <w:rPr>
                <w:rFonts w:hint="eastAsia" w:ascii="宋体" w:hAnsi="宋体" w:eastAsia="宋体" w:cs="宋体"/>
                <w:b w:val="0"/>
                <w:bCs w:val="0"/>
                <w:color w:val="auto"/>
                <w:kern w:val="0"/>
                <w:sz w:val="20"/>
                <w:szCs w:val="20"/>
                <w:highlight w:val="none"/>
                <w:lang w:val="en-US" w:eastAsia="zh-CN" w:bidi="ar-SA"/>
              </w:rPr>
            </w:pPr>
          </w:p>
        </w:tc>
      </w:tr>
      <w:tr w14:paraId="5FAEE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A74EEC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643</w:t>
            </w:r>
          </w:p>
        </w:tc>
        <w:tc>
          <w:tcPr>
            <w:tcW w:w="720" w:type="dxa"/>
            <w:vMerge w:val="continue"/>
            <w:vAlign w:val="center"/>
          </w:tcPr>
          <w:p w14:paraId="33E98D3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A2D30B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282191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整体运维一览</w:t>
            </w:r>
          </w:p>
        </w:tc>
        <w:tc>
          <w:tcPr>
            <w:tcW w:w="4667" w:type="dxa"/>
            <w:vAlign w:val="center"/>
          </w:tcPr>
          <w:p w14:paraId="3666E2A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能够实现整体运维一览，能根据用户需要把所有关键性能数据集中展现，支持用户定制展现内容。大屏展示支持幻灯片形式切换展示多个页面。展示幻灯片的数量、切换的间隔、各个页面的地址，都支持灵活配置。</w:t>
            </w:r>
          </w:p>
        </w:tc>
        <w:tc>
          <w:tcPr>
            <w:tcW w:w="733" w:type="dxa"/>
            <w:vMerge w:val="continue"/>
            <w:vAlign w:val="center"/>
          </w:tcPr>
          <w:p w14:paraId="3F73BE5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A8283C3">
            <w:pPr>
              <w:jc w:val="center"/>
              <w:rPr>
                <w:rFonts w:hint="eastAsia" w:ascii="宋体" w:hAnsi="宋体" w:eastAsia="宋体" w:cs="宋体"/>
                <w:b w:val="0"/>
                <w:bCs w:val="0"/>
                <w:color w:val="auto"/>
                <w:kern w:val="0"/>
                <w:sz w:val="20"/>
                <w:szCs w:val="20"/>
                <w:highlight w:val="none"/>
                <w:lang w:val="en-US" w:eastAsia="zh-CN" w:bidi="ar-SA"/>
              </w:rPr>
            </w:pPr>
          </w:p>
        </w:tc>
      </w:tr>
      <w:tr w14:paraId="0B678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2AF2B4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644</w:t>
            </w:r>
          </w:p>
        </w:tc>
        <w:tc>
          <w:tcPr>
            <w:tcW w:w="720" w:type="dxa"/>
            <w:vMerge w:val="continue"/>
            <w:vAlign w:val="center"/>
          </w:tcPr>
          <w:p w14:paraId="0A5E8B5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C2D6EF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52E891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多组展示</w:t>
            </w:r>
          </w:p>
        </w:tc>
        <w:tc>
          <w:tcPr>
            <w:tcW w:w="4667" w:type="dxa"/>
            <w:vAlign w:val="center"/>
          </w:tcPr>
          <w:p w14:paraId="14B23A7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支持按不同人员，不同业务需要的多组展示（每个人员可根据需要自己进行定制，不同人员间，展示数据可以不一样），同时支持权限控制。</w:t>
            </w:r>
          </w:p>
        </w:tc>
        <w:tc>
          <w:tcPr>
            <w:tcW w:w="733" w:type="dxa"/>
            <w:vMerge w:val="continue"/>
            <w:vAlign w:val="center"/>
          </w:tcPr>
          <w:p w14:paraId="3F277F0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FCEB2D7">
            <w:pPr>
              <w:jc w:val="center"/>
              <w:rPr>
                <w:rFonts w:hint="eastAsia" w:ascii="宋体" w:hAnsi="宋体" w:eastAsia="宋体" w:cs="宋体"/>
                <w:b w:val="0"/>
                <w:bCs w:val="0"/>
                <w:color w:val="auto"/>
                <w:kern w:val="0"/>
                <w:sz w:val="20"/>
                <w:szCs w:val="20"/>
                <w:highlight w:val="none"/>
                <w:lang w:val="en-US" w:eastAsia="zh-CN" w:bidi="ar-SA"/>
              </w:rPr>
            </w:pPr>
          </w:p>
        </w:tc>
      </w:tr>
      <w:tr w14:paraId="6AAE9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2BF8D3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645</w:t>
            </w:r>
          </w:p>
        </w:tc>
        <w:tc>
          <w:tcPr>
            <w:tcW w:w="720" w:type="dxa"/>
            <w:vMerge w:val="continue"/>
            <w:vAlign w:val="center"/>
          </w:tcPr>
          <w:p w14:paraId="1C6D3A6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E163D5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B77048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拓扑视图</w:t>
            </w:r>
          </w:p>
        </w:tc>
        <w:tc>
          <w:tcPr>
            <w:tcW w:w="4667" w:type="dxa"/>
            <w:vAlign w:val="center"/>
          </w:tcPr>
          <w:p w14:paraId="066A86A5">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支持网络拓扑视图和模拟真实3D机房视图的联动展现，平滑从拓扑视图定位到3D机房或从3D机房定位到拓扑视图。</w:t>
            </w:r>
          </w:p>
        </w:tc>
        <w:tc>
          <w:tcPr>
            <w:tcW w:w="733" w:type="dxa"/>
            <w:vMerge w:val="continue"/>
            <w:vAlign w:val="center"/>
          </w:tcPr>
          <w:p w14:paraId="010D5F9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2B11F33">
            <w:pPr>
              <w:jc w:val="center"/>
              <w:rPr>
                <w:rFonts w:hint="eastAsia" w:ascii="宋体" w:hAnsi="宋体" w:eastAsia="宋体" w:cs="宋体"/>
                <w:b w:val="0"/>
                <w:bCs w:val="0"/>
                <w:color w:val="auto"/>
                <w:kern w:val="0"/>
                <w:sz w:val="20"/>
                <w:szCs w:val="20"/>
                <w:highlight w:val="none"/>
                <w:lang w:val="en-US" w:eastAsia="zh-CN" w:bidi="ar-SA"/>
              </w:rPr>
            </w:pPr>
          </w:p>
        </w:tc>
      </w:tr>
      <w:tr w14:paraId="03D65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97D615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646</w:t>
            </w:r>
          </w:p>
        </w:tc>
        <w:tc>
          <w:tcPr>
            <w:tcW w:w="720" w:type="dxa"/>
            <w:vMerge w:val="continue"/>
            <w:vAlign w:val="center"/>
          </w:tcPr>
          <w:p w14:paraId="42B79A6C">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048B612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拓扑管理</w:t>
            </w:r>
          </w:p>
        </w:tc>
        <w:tc>
          <w:tcPr>
            <w:tcW w:w="2058" w:type="dxa"/>
            <w:vAlign w:val="center"/>
          </w:tcPr>
          <w:p w14:paraId="6363BD6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SNMP协议网络节点管理</w:t>
            </w:r>
          </w:p>
        </w:tc>
        <w:tc>
          <w:tcPr>
            <w:tcW w:w="4667" w:type="dxa"/>
            <w:vAlign w:val="center"/>
          </w:tcPr>
          <w:p w14:paraId="5D95BBA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支持自动发现、管理所有支持SNMP协议(包括SNMPv3)的网络节点，支持共同体名自动寻找、匹配，自动辩识各生产厂商，支持多种拓扑算法包括针对思科设备的CDP算法。</w:t>
            </w:r>
          </w:p>
        </w:tc>
        <w:tc>
          <w:tcPr>
            <w:tcW w:w="733" w:type="dxa"/>
            <w:vMerge w:val="restart"/>
            <w:vAlign w:val="center"/>
          </w:tcPr>
          <w:p w14:paraId="2F1A5DD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1C9624E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5.5</w:t>
            </w:r>
          </w:p>
        </w:tc>
      </w:tr>
      <w:tr w14:paraId="2F37D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3A9D96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647</w:t>
            </w:r>
          </w:p>
        </w:tc>
        <w:tc>
          <w:tcPr>
            <w:tcW w:w="720" w:type="dxa"/>
            <w:vMerge w:val="continue"/>
            <w:vAlign w:val="center"/>
          </w:tcPr>
          <w:p w14:paraId="66F6F88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10398F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AC940E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分层扩扑管理</w:t>
            </w:r>
          </w:p>
        </w:tc>
        <w:tc>
          <w:tcPr>
            <w:tcW w:w="4667" w:type="dxa"/>
            <w:vAlign w:val="center"/>
          </w:tcPr>
          <w:p w14:paraId="1FCCD7C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支持物理拓扑发现,拓扑管理支持分层管理、子图缩略管理，自动生成整个网络的物理拓扑结构图，包括设备间的冗余连接、备份连接、均衡负载连接。</w:t>
            </w:r>
          </w:p>
        </w:tc>
        <w:tc>
          <w:tcPr>
            <w:tcW w:w="733" w:type="dxa"/>
            <w:vMerge w:val="continue"/>
            <w:vAlign w:val="center"/>
          </w:tcPr>
          <w:p w14:paraId="26C7021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D795393">
            <w:pPr>
              <w:jc w:val="center"/>
              <w:rPr>
                <w:rFonts w:hint="eastAsia" w:ascii="宋体" w:hAnsi="宋体" w:eastAsia="宋体" w:cs="宋体"/>
                <w:b w:val="0"/>
                <w:bCs w:val="0"/>
                <w:color w:val="auto"/>
                <w:kern w:val="0"/>
                <w:sz w:val="20"/>
                <w:szCs w:val="20"/>
                <w:highlight w:val="none"/>
                <w:lang w:val="en-US" w:eastAsia="zh-CN" w:bidi="ar-SA"/>
              </w:rPr>
            </w:pPr>
          </w:p>
        </w:tc>
      </w:tr>
      <w:tr w14:paraId="17138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DE74F8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648</w:t>
            </w:r>
          </w:p>
        </w:tc>
        <w:tc>
          <w:tcPr>
            <w:tcW w:w="720" w:type="dxa"/>
            <w:vMerge w:val="continue"/>
            <w:vAlign w:val="center"/>
          </w:tcPr>
          <w:p w14:paraId="2BF1919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673ABE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EE983C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拓扑算法管理</w:t>
            </w:r>
          </w:p>
        </w:tc>
        <w:tc>
          <w:tcPr>
            <w:tcW w:w="4667" w:type="dxa"/>
            <w:vAlign w:val="center"/>
          </w:tcPr>
          <w:p w14:paraId="1D8ED4F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支持拓扑添加算法，支持滤除无须管理的SNMP网络节点，可以实现自定义线路粗线和颜色，拓扑图可打印，可导出</w:t>
            </w:r>
          </w:p>
        </w:tc>
        <w:tc>
          <w:tcPr>
            <w:tcW w:w="733" w:type="dxa"/>
            <w:vMerge w:val="continue"/>
            <w:vAlign w:val="center"/>
          </w:tcPr>
          <w:p w14:paraId="0EB662C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EAE4D95">
            <w:pPr>
              <w:jc w:val="center"/>
              <w:rPr>
                <w:rFonts w:hint="eastAsia" w:ascii="宋体" w:hAnsi="宋体" w:eastAsia="宋体" w:cs="宋体"/>
                <w:b w:val="0"/>
                <w:bCs w:val="0"/>
                <w:color w:val="auto"/>
                <w:kern w:val="0"/>
                <w:sz w:val="20"/>
                <w:szCs w:val="20"/>
                <w:highlight w:val="none"/>
                <w:lang w:val="en-US" w:eastAsia="zh-CN" w:bidi="ar-SA"/>
              </w:rPr>
            </w:pPr>
          </w:p>
        </w:tc>
      </w:tr>
      <w:tr w14:paraId="503C3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D2E743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649</w:t>
            </w:r>
          </w:p>
        </w:tc>
        <w:tc>
          <w:tcPr>
            <w:tcW w:w="720" w:type="dxa"/>
            <w:vMerge w:val="continue"/>
            <w:vAlign w:val="center"/>
          </w:tcPr>
          <w:p w14:paraId="5B7464A3">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6F13B96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安全管理</w:t>
            </w:r>
          </w:p>
        </w:tc>
        <w:tc>
          <w:tcPr>
            <w:tcW w:w="2058" w:type="dxa"/>
            <w:vAlign w:val="center"/>
          </w:tcPr>
          <w:p w14:paraId="5519668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密码账号安全管理</w:t>
            </w:r>
          </w:p>
        </w:tc>
        <w:tc>
          <w:tcPr>
            <w:tcW w:w="4667" w:type="dxa"/>
            <w:vAlign w:val="center"/>
          </w:tcPr>
          <w:p w14:paraId="3CB667B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系统要求普通用户输入错误3次密码后，该用户名自动锁死，无法登陆，只有通过管理员解锁。需支持人脸识别登录功能。</w:t>
            </w:r>
          </w:p>
        </w:tc>
        <w:tc>
          <w:tcPr>
            <w:tcW w:w="733" w:type="dxa"/>
            <w:vMerge w:val="restart"/>
            <w:vAlign w:val="center"/>
          </w:tcPr>
          <w:p w14:paraId="6DF215F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6633CF1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5FC5A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C9FD84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650</w:t>
            </w:r>
          </w:p>
        </w:tc>
        <w:tc>
          <w:tcPr>
            <w:tcW w:w="720" w:type="dxa"/>
            <w:vMerge w:val="continue"/>
            <w:vAlign w:val="center"/>
          </w:tcPr>
          <w:p w14:paraId="650F555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F02E6E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A22538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MD5加密管理</w:t>
            </w:r>
          </w:p>
        </w:tc>
        <w:tc>
          <w:tcPr>
            <w:tcW w:w="4667" w:type="dxa"/>
            <w:vAlign w:val="center"/>
          </w:tcPr>
          <w:p w14:paraId="7541FD5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对数据库中的用户名、密码等敏感信息，全部采用不可反解的MD5加密存储。</w:t>
            </w:r>
          </w:p>
        </w:tc>
        <w:tc>
          <w:tcPr>
            <w:tcW w:w="733" w:type="dxa"/>
            <w:vMerge w:val="continue"/>
            <w:vAlign w:val="center"/>
          </w:tcPr>
          <w:p w14:paraId="3CE3CE0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C06FBD7">
            <w:pPr>
              <w:jc w:val="center"/>
              <w:rPr>
                <w:rFonts w:hint="eastAsia" w:ascii="宋体" w:hAnsi="宋体" w:eastAsia="宋体" w:cs="宋体"/>
                <w:b w:val="0"/>
                <w:bCs w:val="0"/>
                <w:color w:val="auto"/>
                <w:kern w:val="0"/>
                <w:sz w:val="20"/>
                <w:szCs w:val="20"/>
                <w:highlight w:val="none"/>
                <w:lang w:val="en-US" w:eastAsia="zh-CN" w:bidi="ar-SA"/>
              </w:rPr>
            </w:pPr>
          </w:p>
        </w:tc>
      </w:tr>
      <w:tr w14:paraId="685AC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B99E4F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651</w:t>
            </w:r>
          </w:p>
        </w:tc>
        <w:tc>
          <w:tcPr>
            <w:tcW w:w="720" w:type="dxa"/>
            <w:vMerge w:val="continue"/>
            <w:vAlign w:val="center"/>
          </w:tcPr>
          <w:p w14:paraId="4659F2DC">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5254BBF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基础故障管理</w:t>
            </w:r>
          </w:p>
        </w:tc>
        <w:tc>
          <w:tcPr>
            <w:tcW w:w="2058" w:type="dxa"/>
            <w:vAlign w:val="center"/>
          </w:tcPr>
          <w:p w14:paraId="5E3A4FA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故障管理</w:t>
            </w:r>
          </w:p>
        </w:tc>
        <w:tc>
          <w:tcPr>
            <w:tcW w:w="4667" w:type="dxa"/>
            <w:vAlign w:val="center"/>
          </w:tcPr>
          <w:p w14:paraId="2559285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系统支持路由协议层（RIP、OSPF、BGP、EIGRP、ISIS路由协议）的监控与告警；能监测网络设备的相关参数：连通性，网络带宽，端口状态和流量等信息。</w:t>
            </w:r>
          </w:p>
        </w:tc>
        <w:tc>
          <w:tcPr>
            <w:tcW w:w="733" w:type="dxa"/>
            <w:vMerge w:val="restart"/>
            <w:vAlign w:val="center"/>
          </w:tcPr>
          <w:p w14:paraId="5A9BD41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35E839A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30100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A1041A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652</w:t>
            </w:r>
          </w:p>
        </w:tc>
        <w:tc>
          <w:tcPr>
            <w:tcW w:w="720" w:type="dxa"/>
            <w:vMerge w:val="continue"/>
            <w:vAlign w:val="center"/>
          </w:tcPr>
          <w:p w14:paraId="3EC5D0B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12A7C0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CC7E77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基线告警管理功能</w:t>
            </w:r>
          </w:p>
        </w:tc>
        <w:tc>
          <w:tcPr>
            <w:tcW w:w="4667" w:type="dxa"/>
            <w:vAlign w:val="center"/>
          </w:tcPr>
          <w:p w14:paraId="0165393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提供基线告警管理功能</w:t>
            </w:r>
          </w:p>
        </w:tc>
        <w:tc>
          <w:tcPr>
            <w:tcW w:w="733" w:type="dxa"/>
            <w:vMerge w:val="continue"/>
            <w:vAlign w:val="center"/>
          </w:tcPr>
          <w:p w14:paraId="4CAD07C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48117EC">
            <w:pPr>
              <w:jc w:val="center"/>
              <w:rPr>
                <w:rFonts w:hint="eastAsia" w:ascii="宋体" w:hAnsi="宋体" w:eastAsia="宋体" w:cs="宋体"/>
                <w:b w:val="0"/>
                <w:bCs w:val="0"/>
                <w:color w:val="auto"/>
                <w:kern w:val="0"/>
                <w:sz w:val="20"/>
                <w:szCs w:val="20"/>
                <w:highlight w:val="none"/>
                <w:lang w:val="en-US" w:eastAsia="zh-CN" w:bidi="ar-SA"/>
              </w:rPr>
            </w:pPr>
          </w:p>
        </w:tc>
      </w:tr>
      <w:tr w14:paraId="791A9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436132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653</w:t>
            </w:r>
          </w:p>
        </w:tc>
        <w:tc>
          <w:tcPr>
            <w:tcW w:w="720" w:type="dxa"/>
            <w:vMerge w:val="continue"/>
            <w:vAlign w:val="center"/>
          </w:tcPr>
          <w:p w14:paraId="73919B75">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0416250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网络管理</w:t>
            </w:r>
          </w:p>
        </w:tc>
        <w:tc>
          <w:tcPr>
            <w:tcW w:w="2058" w:type="dxa"/>
            <w:vAlign w:val="center"/>
          </w:tcPr>
          <w:p w14:paraId="274CAF8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设备内部性能参数的查询</w:t>
            </w:r>
          </w:p>
        </w:tc>
        <w:tc>
          <w:tcPr>
            <w:tcW w:w="4667" w:type="dxa"/>
            <w:vAlign w:val="center"/>
          </w:tcPr>
          <w:p w14:paraId="06A39C82">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提供设备内部性能参数的查询，包括设备属性、端口状态、TCP、UDP、CDP、Mac、Arp等信息查询和检索。</w:t>
            </w:r>
          </w:p>
        </w:tc>
        <w:tc>
          <w:tcPr>
            <w:tcW w:w="733" w:type="dxa"/>
            <w:vMerge w:val="restart"/>
            <w:vAlign w:val="center"/>
          </w:tcPr>
          <w:p w14:paraId="5480DDA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5E8623E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4.5</w:t>
            </w:r>
          </w:p>
        </w:tc>
      </w:tr>
      <w:tr w14:paraId="69490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0F588A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654</w:t>
            </w:r>
          </w:p>
        </w:tc>
        <w:tc>
          <w:tcPr>
            <w:tcW w:w="720" w:type="dxa"/>
            <w:vMerge w:val="continue"/>
            <w:vAlign w:val="center"/>
          </w:tcPr>
          <w:p w14:paraId="4FE24AA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D44B02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E0A82A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备性能监控管理</w:t>
            </w:r>
          </w:p>
        </w:tc>
        <w:tc>
          <w:tcPr>
            <w:tcW w:w="4667" w:type="dxa"/>
            <w:vAlign w:val="center"/>
          </w:tcPr>
          <w:p w14:paraId="69881DE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路由协议监控管理、支持对设备remote_ping等常用工具管理。</w:t>
            </w:r>
          </w:p>
        </w:tc>
        <w:tc>
          <w:tcPr>
            <w:tcW w:w="733" w:type="dxa"/>
            <w:vMerge w:val="continue"/>
            <w:vAlign w:val="center"/>
          </w:tcPr>
          <w:p w14:paraId="177F1FE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BBBB506">
            <w:pPr>
              <w:jc w:val="center"/>
              <w:rPr>
                <w:rFonts w:hint="eastAsia" w:ascii="宋体" w:hAnsi="宋体" w:eastAsia="宋体" w:cs="宋体"/>
                <w:b w:val="0"/>
                <w:bCs w:val="0"/>
                <w:color w:val="auto"/>
                <w:kern w:val="0"/>
                <w:sz w:val="20"/>
                <w:szCs w:val="20"/>
                <w:highlight w:val="none"/>
                <w:lang w:val="en-US" w:eastAsia="zh-CN" w:bidi="ar-SA"/>
              </w:rPr>
            </w:pPr>
          </w:p>
        </w:tc>
      </w:tr>
      <w:tr w14:paraId="0B662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90A685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655</w:t>
            </w:r>
          </w:p>
        </w:tc>
        <w:tc>
          <w:tcPr>
            <w:tcW w:w="720" w:type="dxa"/>
            <w:vMerge w:val="continue"/>
            <w:vAlign w:val="center"/>
          </w:tcPr>
          <w:p w14:paraId="13ED50A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C7BCD8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47990A1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设备的硬件监控管理</w:t>
            </w:r>
          </w:p>
        </w:tc>
        <w:tc>
          <w:tcPr>
            <w:tcW w:w="4667" w:type="dxa"/>
            <w:vAlign w:val="center"/>
          </w:tcPr>
          <w:p w14:paraId="1BB1BDC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路由协议监控管理、支持对设备remote_ping等常用工具管理。</w:t>
            </w:r>
          </w:p>
        </w:tc>
        <w:tc>
          <w:tcPr>
            <w:tcW w:w="733" w:type="dxa"/>
            <w:vMerge w:val="continue"/>
            <w:vAlign w:val="center"/>
          </w:tcPr>
          <w:p w14:paraId="18D2C80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D627B59">
            <w:pPr>
              <w:jc w:val="center"/>
              <w:rPr>
                <w:rFonts w:hint="eastAsia" w:ascii="宋体" w:hAnsi="宋体" w:eastAsia="宋体" w:cs="宋体"/>
                <w:b w:val="0"/>
                <w:bCs w:val="0"/>
                <w:color w:val="auto"/>
                <w:kern w:val="0"/>
                <w:sz w:val="20"/>
                <w:szCs w:val="20"/>
                <w:highlight w:val="none"/>
                <w:lang w:val="en-US" w:eastAsia="zh-CN" w:bidi="ar-SA"/>
              </w:rPr>
            </w:pPr>
          </w:p>
        </w:tc>
      </w:tr>
      <w:tr w14:paraId="4245C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385689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656</w:t>
            </w:r>
          </w:p>
        </w:tc>
        <w:tc>
          <w:tcPr>
            <w:tcW w:w="720" w:type="dxa"/>
            <w:vMerge w:val="continue"/>
            <w:vAlign w:val="center"/>
          </w:tcPr>
          <w:p w14:paraId="3A050E6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747D4B9">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266FA4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设备的多CPU监控管理</w:t>
            </w:r>
          </w:p>
        </w:tc>
        <w:tc>
          <w:tcPr>
            <w:tcW w:w="4667" w:type="dxa"/>
            <w:vAlign w:val="center"/>
          </w:tcPr>
          <w:p w14:paraId="7AE239B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路由协议监控管理、支持对设备remote_ping等常用工具管理。</w:t>
            </w:r>
          </w:p>
        </w:tc>
        <w:tc>
          <w:tcPr>
            <w:tcW w:w="733" w:type="dxa"/>
            <w:vMerge w:val="continue"/>
            <w:vAlign w:val="center"/>
          </w:tcPr>
          <w:p w14:paraId="6567003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65D31EF">
            <w:pPr>
              <w:jc w:val="center"/>
              <w:rPr>
                <w:rFonts w:hint="eastAsia" w:ascii="宋体" w:hAnsi="宋体" w:eastAsia="宋体" w:cs="宋体"/>
                <w:b w:val="0"/>
                <w:bCs w:val="0"/>
                <w:color w:val="auto"/>
                <w:kern w:val="0"/>
                <w:sz w:val="20"/>
                <w:szCs w:val="20"/>
                <w:highlight w:val="none"/>
                <w:lang w:val="en-US" w:eastAsia="zh-CN" w:bidi="ar-SA"/>
              </w:rPr>
            </w:pPr>
          </w:p>
        </w:tc>
      </w:tr>
      <w:tr w14:paraId="405C9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F8EDE0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657</w:t>
            </w:r>
          </w:p>
        </w:tc>
        <w:tc>
          <w:tcPr>
            <w:tcW w:w="720" w:type="dxa"/>
            <w:vMerge w:val="continue"/>
            <w:vAlign w:val="center"/>
          </w:tcPr>
          <w:p w14:paraId="372B56A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679E51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6EA32EE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设备配置管理</w:t>
            </w:r>
          </w:p>
        </w:tc>
        <w:tc>
          <w:tcPr>
            <w:tcW w:w="4667" w:type="dxa"/>
            <w:vAlign w:val="center"/>
          </w:tcPr>
          <w:p w14:paraId="4D7FB57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路由协议监控管理、支持对设备remote_ping等常用工具管理。</w:t>
            </w:r>
          </w:p>
        </w:tc>
        <w:tc>
          <w:tcPr>
            <w:tcW w:w="733" w:type="dxa"/>
            <w:vMerge w:val="continue"/>
            <w:vAlign w:val="center"/>
          </w:tcPr>
          <w:p w14:paraId="257CDE4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7AA0199">
            <w:pPr>
              <w:jc w:val="center"/>
              <w:rPr>
                <w:rFonts w:hint="eastAsia" w:ascii="宋体" w:hAnsi="宋体" w:eastAsia="宋体" w:cs="宋体"/>
                <w:b w:val="0"/>
                <w:bCs w:val="0"/>
                <w:color w:val="auto"/>
                <w:kern w:val="0"/>
                <w:sz w:val="20"/>
                <w:szCs w:val="20"/>
                <w:highlight w:val="none"/>
                <w:lang w:val="en-US" w:eastAsia="zh-CN" w:bidi="ar-SA"/>
              </w:rPr>
            </w:pPr>
          </w:p>
        </w:tc>
      </w:tr>
      <w:tr w14:paraId="5998B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05DB80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658</w:t>
            </w:r>
          </w:p>
        </w:tc>
        <w:tc>
          <w:tcPr>
            <w:tcW w:w="720" w:type="dxa"/>
            <w:vMerge w:val="continue"/>
            <w:vAlign w:val="center"/>
          </w:tcPr>
          <w:p w14:paraId="7D71F18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FB34D7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188402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应用流量统计分析功能</w:t>
            </w:r>
          </w:p>
        </w:tc>
        <w:tc>
          <w:tcPr>
            <w:tcW w:w="4667" w:type="dxa"/>
            <w:vAlign w:val="center"/>
          </w:tcPr>
          <w:p w14:paraId="425D7B7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对于监控指标的历史数据支持保存一年以上、支持以月为单位数据进行大数据统计分析、支持对设备日志文件的远程分析并进行关键字匹配告警、支持手动和自动刷新设备。</w:t>
            </w:r>
          </w:p>
        </w:tc>
        <w:tc>
          <w:tcPr>
            <w:tcW w:w="733" w:type="dxa"/>
            <w:vMerge w:val="continue"/>
            <w:vAlign w:val="center"/>
          </w:tcPr>
          <w:p w14:paraId="363B1F8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90C996A">
            <w:pPr>
              <w:jc w:val="center"/>
              <w:rPr>
                <w:rFonts w:hint="eastAsia" w:ascii="宋体" w:hAnsi="宋体" w:eastAsia="宋体" w:cs="宋体"/>
                <w:b w:val="0"/>
                <w:bCs w:val="0"/>
                <w:color w:val="auto"/>
                <w:kern w:val="0"/>
                <w:sz w:val="20"/>
                <w:szCs w:val="20"/>
                <w:highlight w:val="none"/>
                <w:lang w:val="en-US" w:eastAsia="zh-CN" w:bidi="ar-SA"/>
              </w:rPr>
            </w:pPr>
          </w:p>
        </w:tc>
      </w:tr>
      <w:tr w14:paraId="6A3F2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65D9B0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659</w:t>
            </w:r>
          </w:p>
        </w:tc>
        <w:tc>
          <w:tcPr>
            <w:tcW w:w="720" w:type="dxa"/>
            <w:vMerge w:val="continue"/>
            <w:vAlign w:val="center"/>
          </w:tcPr>
          <w:p w14:paraId="3304D18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F414943">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A1BA2F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告警、巡检、操作数据统计</w:t>
            </w:r>
          </w:p>
        </w:tc>
        <w:tc>
          <w:tcPr>
            <w:tcW w:w="4667" w:type="dxa"/>
            <w:vAlign w:val="center"/>
          </w:tcPr>
          <w:p w14:paraId="05456F25">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对于监控指标的历史数据支持保存一年以上、支持以月为单位数据进行大数据统计分析、支持对设备日志文件的远程分析并进行关键字匹配告警、支持手动和自动刷新设备。</w:t>
            </w:r>
          </w:p>
        </w:tc>
        <w:tc>
          <w:tcPr>
            <w:tcW w:w="733" w:type="dxa"/>
            <w:vMerge w:val="continue"/>
            <w:vAlign w:val="center"/>
          </w:tcPr>
          <w:p w14:paraId="0BD1681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0AFD378">
            <w:pPr>
              <w:jc w:val="center"/>
              <w:rPr>
                <w:rFonts w:hint="eastAsia" w:ascii="宋体" w:hAnsi="宋体" w:eastAsia="宋体" w:cs="宋体"/>
                <w:b w:val="0"/>
                <w:bCs w:val="0"/>
                <w:color w:val="auto"/>
                <w:kern w:val="0"/>
                <w:sz w:val="20"/>
                <w:szCs w:val="20"/>
                <w:highlight w:val="none"/>
                <w:lang w:val="en-US" w:eastAsia="zh-CN" w:bidi="ar-SA"/>
              </w:rPr>
            </w:pPr>
          </w:p>
        </w:tc>
      </w:tr>
      <w:tr w14:paraId="3ED98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7878F3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660</w:t>
            </w:r>
          </w:p>
        </w:tc>
        <w:tc>
          <w:tcPr>
            <w:tcW w:w="720" w:type="dxa"/>
            <w:vMerge w:val="continue"/>
            <w:vAlign w:val="center"/>
          </w:tcPr>
          <w:p w14:paraId="6DD36B89">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05EF3BD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IP地址管理</w:t>
            </w:r>
          </w:p>
        </w:tc>
        <w:tc>
          <w:tcPr>
            <w:tcW w:w="2058" w:type="dxa"/>
            <w:vAlign w:val="center"/>
          </w:tcPr>
          <w:p w14:paraId="7A27B1E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IP地址管理</w:t>
            </w:r>
          </w:p>
        </w:tc>
        <w:tc>
          <w:tcPr>
            <w:tcW w:w="4667" w:type="dxa"/>
            <w:vAlign w:val="center"/>
          </w:tcPr>
          <w:p w14:paraId="695A14E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跨地域网段的IP地址管理，自动、动态、完整提供全网所有活动用户的网络连接位置信息。自动识别主机的操作系统,自动监测设备开放端口,自动识别IP地址活动状态。</w:t>
            </w:r>
          </w:p>
        </w:tc>
        <w:tc>
          <w:tcPr>
            <w:tcW w:w="733" w:type="dxa"/>
            <w:vAlign w:val="center"/>
          </w:tcPr>
          <w:p w14:paraId="29B7AA2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4C17CE0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21299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F1E279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661</w:t>
            </w:r>
          </w:p>
        </w:tc>
        <w:tc>
          <w:tcPr>
            <w:tcW w:w="720" w:type="dxa"/>
            <w:vMerge w:val="continue"/>
            <w:vAlign w:val="center"/>
          </w:tcPr>
          <w:p w14:paraId="4EBB618F">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0528430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服务器管理</w:t>
            </w:r>
          </w:p>
        </w:tc>
        <w:tc>
          <w:tcPr>
            <w:tcW w:w="2058" w:type="dxa"/>
            <w:vAlign w:val="center"/>
          </w:tcPr>
          <w:p w14:paraId="34DEDE8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服务器管理</w:t>
            </w:r>
          </w:p>
        </w:tc>
        <w:tc>
          <w:tcPr>
            <w:tcW w:w="4667" w:type="dxa"/>
            <w:vAlign w:val="center"/>
          </w:tcPr>
          <w:p w14:paraId="4AD3A52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要支持对Windows、UNIX、Linux等多种操作系统管理和监视，对服务器操作系统的运行状态和性能数据，包括服务器的CPU负载、内存利用率、应用进程、文件系统、文件体积等信息的分析与监视。管理和监视服务器上各应用服务的运行状态和性能数据，包括Email、HTTP、FTP、数据库、DNS、DHCP服务以及各中间件等。</w:t>
            </w:r>
          </w:p>
        </w:tc>
        <w:tc>
          <w:tcPr>
            <w:tcW w:w="733" w:type="dxa"/>
            <w:vMerge w:val="restart"/>
            <w:vAlign w:val="center"/>
          </w:tcPr>
          <w:p w14:paraId="49AE8DF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4D8388F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w:t>
            </w:r>
          </w:p>
        </w:tc>
      </w:tr>
      <w:tr w14:paraId="46200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876C02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662</w:t>
            </w:r>
          </w:p>
        </w:tc>
        <w:tc>
          <w:tcPr>
            <w:tcW w:w="720" w:type="dxa"/>
            <w:vMerge w:val="continue"/>
            <w:vAlign w:val="center"/>
          </w:tcPr>
          <w:p w14:paraId="2FF4B97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F12744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1B85C9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CPU负载信息查询</w:t>
            </w:r>
          </w:p>
        </w:tc>
        <w:tc>
          <w:tcPr>
            <w:tcW w:w="4667" w:type="dxa"/>
            <w:vAlign w:val="center"/>
          </w:tcPr>
          <w:p w14:paraId="4540C1B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支持动态数据流转图，以多种形式实时展示主机服务器的软硬件配置信息。</w:t>
            </w:r>
          </w:p>
        </w:tc>
        <w:tc>
          <w:tcPr>
            <w:tcW w:w="733" w:type="dxa"/>
            <w:vMerge w:val="continue"/>
            <w:vAlign w:val="center"/>
          </w:tcPr>
          <w:p w14:paraId="31F5DA4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A3D4F0B">
            <w:pPr>
              <w:jc w:val="center"/>
              <w:rPr>
                <w:rFonts w:hint="eastAsia" w:ascii="宋体" w:hAnsi="宋体" w:eastAsia="宋体" w:cs="宋体"/>
                <w:b w:val="0"/>
                <w:bCs w:val="0"/>
                <w:color w:val="auto"/>
                <w:kern w:val="0"/>
                <w:sz w:val="20"/>
                <w:szCs w:val="20"/>
                <w:highlight w:val="none"/>
                <w:lang w:val="en-US" w:eastAsia="zh-CN" w:bidi="ar-SA"/>
              </w:rPr>
            </w:pPr>
          </w:p>
        </w:tc>
      </w:tr>
      <w:tr w14:paraId="73E72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514C1C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663</w:t>
            </w:r>
          </w:p>
        </w:tc>
        <w:tc>
          <w:tcPr>
            <w:tcW w:w="720" w:type="dxa"/>
            <w:vMerge w:val="continue"/>
            <w:vAlign w:val="center"/>
          </w:tcPr>
          <w:p w14:paraId="3200C9C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138B558">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4E8E75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内存使用率信息查询</w:t>
            </w:r>
          </w:p>
        </w:tc>
        <w:tc>
          <w:tcPr>
            <w:tcW w:w="4667" w:type="dxa"/>
            <w:vAlign w:val="center"/>
          </w:tcPr>
          <w:p w14:paraId="0374445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支持动态数据流转图，以多种形式实时展示主机服务器的软硬件配置信息。</w:t>
            </w:r>
          </w:p>
        </w:tc>
        <w:tc>
          <w:tcPr>
            <w:tcW w:w="733" w:type="dxa"/>
            <w:vMerge w:val="continue"/>
            <w:vAlign w:val="center"/>
          </w:tcPr>
          <w:p w14:paraId="1DE8C12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957DC26">
            <w:pPr>
              <w:jc w:val="center"/>
              <w:rPr>
                <w:rFonts w:hint="eastAsia" w:ascii="宋体" w:hAnsi="宋体" w:eastAsia="宋体" w:cs="宋体"/>
                <w:b w:val="0"/>
                <w:bCs w:val="0"/>
                <w:color w:val="auto"/>
                <w:kern w:val="0"/>
                <w:sz w:val="20"/>
                <w:szCs w:val="20"/>
                <w:highlight w:val="none"/>
                <w:lang w:val="en-US" w:eastAsia="zh-CN" w:bidi="ar-SA"/>
              </w:rPr>
            </w:pPr>
          </w:p>
        </w:tc>
      </w:tr>
      <w:tr w14:paraId="60E02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23CB1B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664</w:t>
            </w:r>
          </w:p>
        </w:tc>
        <w:tc>
          <w:tcPr>
            <w:tcW w:w="720" w:type="dxa"/>
            <w:vMerge w:val="continue"/>
            <w:vAlign w:val="center"/>
          </w:tcPr>
          <w:p w14:paraId="171721F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6730F62">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5F489F1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硬盘容量信息查询</w:t>
            </w:r>
          </w:p>
        </w:tc>
        <w:tc>
          <w:tcPr>
            <w:tcW w:w="4667" w:type="dxa"/>
            <w:vAlign w:val="center"/>
          </w:tcPr>
          <w:p w14:paraId="4D88346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支持动态数据流转图，以多种形式实时展示主机服务器的软硬件配置信息。</w:t>
            </w:r>
          </w:p>
        </w:tc>
        <w:tc>
          <w:tcPr>
            <w:tcW w:w="733" w:type="dxa"/>
            <w:vMerge w:val="continue"/>
            <w:vAlign w:val="center"/>
          </w:tcPr>
          <w:p w14:paraId="5D27381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53CEDFB">
            <w:pPr>
              <w:jc w:val="center"/>
              <w:rPr>
                <w:rFonts w:hint="eastAsia" w:ascii="宋体" w:hAnsi="宋体" w:eastAsia="宋体" w:cs="宋体"/>
                <w:b w:val="0"/>
                <w:bCs w:val="0"/>
                <w:color w:val="auto"/>
                <w:kern w:val="0"/>
                <w:sz w:val="20"/>
                <w:szCs w:val="20"/>
                <w:highlight w:val="none"/>
                <w:lang w:val="en-US" w:eastAsia="zh-CN" w:bidi="ar-SA"/>
              </w:rPr>
            </w:pPr>
          </w:p>
        </w:tc>
      </w:tr>
      <w:tr w14:paraId="728D4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2CFDE6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665</w:t>
            </w:r>
          </w:p>
        </w:tc>
        <w:tc>
          <w:tcPr>
            <w:tcW w:w="720" w:type="dxa"/>
            <w:vMerge w:val="continue"/>
            <w:vAlign w:val="center"/>
          </w:tcPr>
          <w:p w14:paraId="79CF200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BA6A737">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A388B3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应用进程信息查询</w:t>
            </w:r>
          </w:p>
        </w:tc>
        <w:tc>
          <w:tcPr>
            <w:tcW w:w="4667" w:type="dxa"/>
            <w:vAlign w:val="center"/>
          </w:tcPr>
          <w:p w14:paraId="568B3F1C">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支持动态数据流转图，以多种形式实时展示主机服务器的软硬件配置信息。</w:t>
            </w:r>
          </w:p>
        </w:tc>
        <w:tc>
          <w:tcPr>
            <w:tcW w:w="733" w:type="dxa"/>
            <w:vMerge w:val="continue"/>
            <w:vAlign w:val="center"/>
          </w:tcPr>
          <w:p w14:paraId="74A87BE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0594578">
            <w:pPr>
              <w:jc w:val="center"/>
              <w:rPr>
                <w:rFonts w:hint="eastAsia" w:ascii="宋体" w:hAnsi="宋体" w:eastAsia="宋体" w:cs="宋体"/>
                <w:b w:val="0"/>
                <w:bCs w:val="0"/>
                <w:color w:val="auto"/>
                <w:kern w:val="0"/>
                <w:sz w:val="20"/>
                <w:szCs w:val="20"/>
                <w:highlight w:val="none"/>
                <w:lang w:val="en-US" w:eastAsia="zh-CN" w:bidi="ar-SA"/>
              </w:rPr>
            </w:pPr>
          </w:p>
        </w:tc>
      </w:tr>
      <w:tr w14:paraId="22663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DF4B5B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666</w:t>
            </w:r>
          </w:p>
        </w:tc>
        <w:tc>
          <w:tcPr>
            <w:tcW w:w="720" w:type="dxa"/>
            <w:vMerge w:val="continue"/>
            <w:vAlign w:val="center"/>
          </w:tcPr>
          <w:p w14:paraId="6E70ADD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2FABB5C">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076FCF9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文件占用空间信息查询</w:t>
            </w:r>
          </w:p>
        </w:tc>
        <w:tc>
          <w:tcPr>
            <w:tcW w:w="4667" w:type="dxa"/>
            <w:vAlign w:val="center"/>
          </w:tcPr>
          <w:p w14:paraId="0D77EF3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支持动态数据流转图，以多种形式实时展示主机服务器的软硬件配置信息。</w:t>
            </w:r>
          </w:p>
        </w:tc>
        <w:tc>
          <w:tcPr>
            <w:tcW w:w="733" w:type="dxa"/>
            <w:vMerge w:val="continue"/>
            <w:vAlign w:val="center"/>
          </w:tcPr>
          <w:p w14:paraId="31C403E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FFA4A7B">
            <w:pPr>
              <w:jc w:val="center"/>
              <w:rPr>
                <w:rFonts w:hint="eastAsia" w:ascii="宋体" w:hAnsi="宋体" w:eastAsia="宋体" w:cs="宋体"/>
                <w:b w:val="0"/>
                <w:bCs w:val="0"/>
                <w:color w:val="auto"/>
                <w:kern w:val="0"/>
                <w:sz w:val="20"/>
                <w:szCs w:val="20"/>
                <w:highlight w:val="none"/>
                <w:lang w:val="en-US" w:eastAsia="zh-CN" w:bidi="ar-SA"/>
              </w:rPr>
            </w:pPr>
          </w:p>
        </w:tc>
      </w:tr>
      <w:tr w14:paraId="46CC4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6BF749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667</w:t>
            </w:r>
          </w:p>
        </w:tc>
        <w:tc>
          <w:tcPr>
            <w:tcW w:w="720" w:type="dxa"/>
            <w:vMerge w:val="continue"/>
            <w:vAlign w:val="center"/>
          </w:tcPr>
          <w:p w14:paraId="6915DB3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B027F7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361022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网络流量信息查询</w:t>
            </w:r>
          </w:p>
        </w:tc>
        <w:tc>
          <w:tcPr>
            <w:tcW w:w="4667" w:type="dxa"/>
            <w:vAlign w:val="center"/>
          </w:tcPr>
          <w:p w14:paraId="5EB70A1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支持动态数据流转图，以多种形式实时展示主机服务器的软硬件配置信息。</w:t>
            </w:r>
          </w:p>
        </w:tc>
        <w:tc>
          <w:tcPr>
            <w:tcW w:w="733" w:type="dxa"/>
            <w:vMerge w:val="continue"/>
            <w:vAlign w:val="center"/>
          </w:tcPr>
          <w:p w14:paraId="538E80C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EB4D506">
            <w:pPr>
              <w:jc w:val="center"/>
              <w:rPr>
                <w:rFonts w:hint="eastAsia" w:ascii="宋体" w:hAnsi="宋体" w:eastAsia="宋体" w:cs="宋体"/>
                <w:b w:val="0"/>
                <w:bCs w:val="0"/>
                <w:color w:val="auto"/>
                <w:kern w:val="0"/>
                <w:sz w:val="20"/>
                <w:szCs w:val="20"/>
                <w:highlight w:val="none"/>
                <w:lang w:val="en-US" w:eastAsia="zh-CN" w:bidi="ar-SA"/>
              </w:rPr>
            </w:pPr>
          </w:p>
        </w:tc>
      </w:tr>
      <w:tr w14:paraId="1DBF5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89403D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668</w:t>
            </w:r>
          </w:p>
        </w:tc>
        <w:tc>
          <w:tcPr>
            <w:tcW w:w="720" w:type="dxa"/>
            <w:vMerge w:val="continue"/>
            <w:vAlign w:val="center"/>
          </w:tcPr>
          <w:p w14:paraId="23A3767E">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20D15D04">
            <w:pPr>
              <w:tabs>
                <w:tab w:val="left" w:pos="450"/>
              </w:tabs>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数据库监控</w:t>
            </w:r>
          </w:p>
        </w:tc>
        <w:tc>
          <w:tcPr>
            <w:tcW w:w="2058" w:type="dxa"/>
            <w:vAlign w:val="center"/>
          </w:tcPr>
          <w:p w14:paraId="1A61D60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数据库运行监控</w:t>
            </w:r>
          </w:p>
        </w:tc>
        <w:tc>
          <w:tcPr>
            <w:tcW w:w="4667" w:type="dxa"/>
            <w:vAlign w:val="center"/>
          </w:tcPr>
          <w:p w14:paraId="44623E5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系统支持Oracle、Microsoft SQL Server、MySQL、DB2、Informix、PostgreSQL、金仓和达梦等国产数据库等主流数据库的监控，系统能对核心业务系统的数据库进行有效的监控和管理。</w:t>
            </w:r>
          </w:p>
        </w:tc>
        <w:tc>
          <w:tcPr>
            <w:tcW w:w="733" w:type="dxa"/>
            <w:vMerge w:val="restart"/>
            <w:vAlign w:val="center"/>
          </w:tcPr>
          <w:p w14:paraId="4477246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32939FE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w:t>
            </w:r>
          </w:p>
        </w:tc>
      </w:tr>
      <w:tr w14:paraId="7B4EB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5E0BD6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669</w:t>
            </w:r>
          </w:p>
        </w:tc>
        <w:tc>
          <w:tcPr>
            <w:tcW w:w="720" w:type="dxa"/>
            <w:vMerge w:val="continue"/>
            <w:vAlign w:val="center"/>
          </w:tcPr>
          <w:p w14:paraId="27426DB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FFF6DA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A58096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数据库连接失败报警</w:t>
            </w:r>
          </w:p>
        </w:tc>
        <w:tc>
          <w:tcPr>
            <w:tcW w:w="4667" w:type="dxa"/>
            <w:vAlign w:val="center"/>
          </w:tcPr>
          <w:p w14:paraId="1966D3A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数据库监视器对越界产生报警事件</w:t>
            </w:r>
          </w:p>
        </w:tc>
        <w:tc>
          <w:tcPr>
            <w:tcW w:w="733" w:type="dxa"/>
            <w:vMerge w:val="continue"/>
            <w:vAlign w:val="center"/>
          </w:tcPr>
          <w:p w14:paraId="637F530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0B622F3">
            <w:pPr>
              <w:jc w:val="center"/>
              <w:rPr>
                <w:rFonts w:hint="eastAsia" w:ascii="宋体" w:hAnsi="宋体" w:eastAsia="宋体" w:cs="宋体"/>
                <w:b w:val="0"/>
                <w:bCs w:val="0"/>
                <w:color w:val="auto"/>
                <w:kern w:val="0"/>
                <w:sz w:val="20"/>
                <w:szCs w:val="20"/>
                <w:highlight w:val="none"/>
                <w:lang w:val="en-US" w:eastAsia="zh-CN" w:bidi="ar-SA"/>
              </w:rPr>
            </w:pPr>
          </w:p>
        </w:tc>
      </w:tr>
      <w:tr w14:paraId="0CB3D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6F660F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670</w:t>
            </w:r>
          </w:p>
        </w:tc>
        <w:tc>
          <w:tcPr>
            <w:tcW w:w="720" w:type="dxa"/>
            <w:vMerge w:val="continue"/>
            <w:vAlign w:val="center"/>
          </w:tcPr>
          <w:p w14:paraId="0577A59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E0004C4">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29C44D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执行语句失败报警</w:t>
            </w:r>
          </w:p>
        </w:tc>
        <w:tc>
          <w:tcPr>
            <w:tcW w:w="4667" w:type="dxa"/>
            <w:vAlign w:val="center"/>
          </w:tcPr>
          <w:p w14:paraId="4750486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数据库监视器对越界产生报警事件</w:t>
            </w:r>
          </w:p>
        </w:tc>
        <w:tc>
          <w:tcPr>
            <w:tcW w:w="733" w:type="dxa"/>
            <w:vMerge w:val="continue"/>
            <w:vAlign w:val="center"/>
          </w:tcPr>
          <w:p w14:paraId="496C4AA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F6C52AA">
            <w:pPr>
              <w:jc w:val="center"/>
              <w:rPr>
                <w:rFonts w:hint="eastAsia" w:ascii="宋体" w:hAnsi="宋体" w:eastAsia="宋体" w:cs="宋体"/>
                <w:b w:val="0"/>
                <w:bCs w:val="0"/>
                <w:color w:val="auto"/>
                <w:kern w:val="0"/>
                <w:sz w:val="20"/>
                <w:szCs w:val="20"/>
                <w:highlight w:val="none"/>
                <w:lang w:val="en-US" w:eastAsia="zh-CN" w:bidi="ar-SA"/>
              </w:rPr>
            </w:pPr>
          </w:p>
        </w:tc>
      </w:tr>
      <w:tr w14:paraId="7F32B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1F7DC5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671</w:t>
            </w:r>
          </w:p>
        </w:tc>
        <w:tc>
          <w:tcPr>
            <w:tcW w:w="720" w:type="dxa"/>
            <w:vMerge w:val="continue"/>
            <w:vAlign w:val="center"/>
          </w:tcPr>
          <w:p w14:paraId="1C03B8A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9170866">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125044E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性能阀值越界报警</w:t>
            </w:r>
          </w:p>
        </w:tc>
        <w:tc>
          <w:tcPr>
            <w:tcW w:w="4667" w:type="dxa"/>
            <w:vAlign w:val="center"/>
          </w:tcPr>
          <w:p w14:paraId="554D2713">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数据库监视器对越界产生报警事件</w:t>
            </w:r>
          </w:p>
        </w:tc>
        <w:tc>
          <w:tcPr>
            <w:tcW w:w="733" w:type="dxa"/>
            <w:vMerge w:val="continue"/>
            <w:vAlign w:val="center"/>
          </w:tcPr>
          <w:p w14:paraId="1E0951B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1E515CC">
            <w:pPr>
              <w:jc w:val="center"/>
              <w:rPr>
                <w:rFonts w:hint="eastAsia" w:ascii="宋体" w:hAnsi="宋体" w:eastAsia="宋体" w:cs="宋体"/>
                <w:b w:val="0"/>
                <w:bCs w:val="0"/>
                <w:color w:val="auto"/>
                <w:kern w:val="0"/>
                <w:sz w:val="20"/>
                <w:szCs w:val="20"/>
                <w:highlight w:val="none"/>
                <w:lang w:val="en-US" w:eastAsia="zh-CN" w:bidi="ar-SA"/>
              </w:rPr>
            </w:pPr>
          </w:p>
        </w:tc>
      </w:tr>
      <w:tr w14:paraId="7B392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1ACAE8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672</w:t>
            </w:r>
          </w:p>
        </w:tc>
        <w:tc>
          <w:tcPr>
            <w:tcW w:w="720" w:type="dxa"/>
            <w:vMerge w:val="continue"/>
            <w:vAlign w:val="center"/>
          </w:tcPr>
          <w:p w14:paraId="79CEBDAC">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7E49BC8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报表管理</w:t>
            </w:r>
          </w:p>
        </w:tc>
        <w:tc>
          <w:tcPr>
            <w:tcW w:w="2058" w:type="dxa"/>
            <w:vAlign w:val="center"/>
          </w:tcPr>
          <w:p w14:paraId="66567A1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基础报表查看模块</w:t>
            </w:r>
          </w:p>
        </w:tc>
        <w:tc>
          <w:tcPr>
            <w:tcW w:w="4667" w:type="dxa"/>
            <w:vAlign w:val="center"/>
          </w:tcPr>
          <w:p w14:paraId="01AE2A21">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系统应支持数据的历史记录与查看；支持按日报、周报、月报、年报、自定义周期等方式对生成报表。供线性图、直方图、饼图、柱状图、数据列表等多种报表风格。</w:t>
            </w:r>
          </w:p>
        </w:tc>
        <w:tc>
          <w:tcPr>
            <w:tcW w:w="733" w:type="dxa"/>
            <w:vMerge w:val="restart"/>
            <w:vAlign w:val="center"/>
          </w:tcPr>
          <w:p w14:paraId="2CE82D2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4AF928F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243B1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B37F3E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673</w:t>
            </w:r>
          </w:p>
        </w:tc>
        <w:tc>
          <w:tcPr>
            <w:tcW w:w="720" w:type="dxa"/>
            <w:vMerge w:val="continue"/>
            <w:vAlign w:val="center"/>
          </w:tcPr>
          <w:p w14:paraId="6967766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D44CDAE">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2ECECB7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计划报表模块</w:t>
            </w:r>
          </w:p>
        </w:tc>
        <w:tc>
          <w:tcPr>
            <w:tcW w:w="4667" w:type="dxa"/>
            <w:vAlign w:val="center"/>
          </w:tcPr>
          <w:p w14:paraId="0383A49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报表包括监控资源的TOPN性能报表、可用性报表、资源清单报表等类别，可自定义报表内容、周期、发送时间等，以邮件附件或链接的方式发送计划报表。报告可以导出到不同的终端，包括打印机、Web文件等。</w:t>
            </w:r>
          </w:p>
        </w:tc>
        <w:tc>
          <w:tcPr>
            <w:tcW w:w="733" w:type="dxa"/>
            <w:vMerge w:val="continue"/>
            <w:vAlign w:val="center"/>
          </w:tcPr>
          <w:p w14:paraId="08BE3AF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EF151B7">
            <w:pPr>
              <w:jc w:val="center"/>
              <w:rPr>
                <w:rFonts w:hint="eastAsia" w:ascii="宋体" w:hAnsi="宋体" w:eastAsia="宋体" w:cs="宋体"/>
                <w:b w:val="0"/>
                <w:bCs w:val="0"/>
                <w:color w:val="auto"/>
                <w:kern w:val="0"/>
                <w:sz w:val="20"/>
                <w:szCs w:val="20"/>
                <w:highlight w:val="none"/>
                <w:lang w:val="en-US" w:eastAsia="zh-CN" w:bidi="ar-SA"/>
              </w:rPr>
            </w:pPr>
          </w:p>
        </w:tc>
      </w:tr>
      <w:tr w14:paraId="3428A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27999B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674</w:t>
            </w:r>
          </w:p>
        </w:tc>
        <w:tc>
          <w:tcPr>
            <w:tcW w:w="720" w:type="dxa"/>
            <w:vMerge w:val="continue"/>
            <w:vAlign w:val="center"/>
          </w:tcPr>
          <w:p w14:paraId="475E5D7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12B99CA">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79E75C6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自定义报表功能模块</w:t>
            </w:r>
          </w:p>
        </w:tc>
        <w:tc>
          <w:tcPr>
            <w:tcW w:w="4667" w:type="dxa"/>
            <w:vAlign w:val="center"/>
          </w:tcPr>
          <w:p w14:paraId="568C505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支持自定义报表的设计开发功能。</w:t>
            </w:r>
          </w:p>
        </w:tc>
        <w:tc>
          <w:tcPr>
            <w:tcW w:w="733" w:type="dxa"/>
            <w:vMerge w:val="continue"/>
            <w:vAlign w:val="center"/>
          </w:tcPr>
          <w:p w14:paraId="4AF9EC2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41AB3CD">
            <w:pPr>
              <w:jc w:val="center"/>
              <w:rPr>
                <w:rFonts w:hint="eastAsia" w:ascii="宋体" w:hAnsi="宋体" w:eastAsia="宋体" w:cs="宋体"/>
                <w:b w:val="0"/>
                <w:bCs w:val="0"/>
                <w:color w:val="auto"/>
                <w:kern w:val="0"/>
                <w:sz w:val="20"/>
                <w:szCs w:val="20"/>
                <w:highlight w:val="none"/>
                <w:lang w:val="en-US" w:eastAsia="zh-CN" w:bidi="ar-SA"/>
              </w:rPr>
            </w:pPr>
          </w:p>
        </w:tc>
      </w:tr>
      <w:tr w14:paraId="1422B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2BF2A0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675</w:t>
            </w:r>
          </w:p>
        </w:tc>
        <w:tc>
          <w:tcPr>
            <w:tcW w:w="720" w:type="dxa"/>
            <w:vMerge w:val="continue"/>
            <w:vAlign w:val="center"/>
          </w:tcPr>
          <w:p w14:paraId="2A6D8576">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0954621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标准接口</w:t>
            </w:r>
          </w:p>
        </w:tc>
        <w:tc>
          <w:tcPr>
            <w:tcW w:w="2058" w:type="dxa"/>
            <w:vAlign w:val="center"/>
          </w:tcPr>
          <w:p w14:paraId="45E0FA9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基础标准接口调用模块</w:t>
            </w:r>
          </w:p>
        </w:tc>
        <w:tc>
          <w:tcPr>
            <w:tcW w:w="4667" w:type="dxa"/>
            <w:vAlign w:val="center"/>
          </w:tcPr>
          <w:p w14:paraId="5EB5C68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要求提供标准的WebService接口给第三方调用，如HTTP、XML、SOAP、WSDL等</w:t>
            </w:r>
          </w:p>
        </w:tc>
        <w:tc>
          <w:tcPr>
            <w:tcW w:w="733" w:type="dxa"/>
            <w:vAlign w:val="center"/>
          </w:tcPr>
          <w:p w14:paraId="3D0840F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7D6E7D7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20470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E291DCA">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676</w:t>
            </w:r>
          </w:p>
        </w:tc>
        <w:tc>
          <w:tcPr>
            <w:tcW w:w="720" w:type="dxa"/>
            <w:vMerge w:val="continue"/>
            <w:vAlign w:val="center"/>
          </w:tcPr>
          <w:p w14:paraId="344055F8">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6C7F267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双机备份</w:t>
            </w:r>
          </w:p>
        </w:tc>
        <w:tc>
          <w:tcPr>
            <w:tcW w:w="2058" w:type="dxa"/>
            <w:vAlign w:val="center"/>
          </w:tcPr>
          <w:p w14:paraId="729DFB5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双机热备模块</w:t>
            </w:r>
          </w:p>
        </w:tc>
        <w:tc>
          <w:tcPr>
            <w:tcW w:w="4667" w:type="dxa"/>
            <w:vAlign w:val="center"/>
          </w:tcPr>
          <w:p w14:paraId="79AE182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系统支持双机热备，当主服务器发生故障时，系统可以快速切换到备份机上。</w:t>
            </w:r>
          </w:p>
        </w:tc>
        <w:tc>
          <w:tcPr>
            <w:tcW w:w="733" w:type="dxa"/>
            <w:vAlign w:val="center"/>
          </w:tcPr>
          <w:p w14:paraId="62DDED2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5A3E825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68F30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5DC2FEC">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677</w:t>
            </w:r>
          </w:p>
        </w:tc>
        <w:tc>
          <w:tcPr>
            <w:tcW w:w="720" w:type="dxa"/>
            <w:vAlign w:val="center"/>
          </w:tcPr>
          <w:p w14:paraId="6A76885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实施对接</w:t>
            </w:r>
          </w:p>
        </w:tc>
        <w:tc>
          <w:tcPr>
            <w:tcW w:w="875" w:type="dxa"/>
            <w:vAlign w:val="center"/>
          </w:tcPr>
          <w:p w14:paraId="4C4C46D5">
            <w:pPr>
              <w:jc w:val="center"/>
              <w:rPr>
                <w:rFonts w:hint="eastAsia" w:ascii="宋体" w:hAnsi="宋体" w:eastAsia="宋体" w:cs="宋体"/>
                <w:b w:val="0"/>
                <w:bCs w:val="0"/>
                <w:color w:val="auto"/>
                <w:kern w:val="0"/>
                <w:sz w:val="20"/>
                <w:szCs w:val="20"/>
                <w:highlight w:val="none"/>
                <w:lang w:val="en-US" w:eastAsia="zh-CN" w:bidi="ar-SA"/>
              </w:rPr>
            </w:pPr>
          </w:p>
        </w:tc>
        <w:tc>
          <w:tcPr>
            <w:tcW w:w="2058" w:type="dxa"/>
            <w:vAlign w:val="center"/>
          </w:tcPr>
          <w:p w14:paraId="3C7E54C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项目实施资产梳理</w:t>
            </w:r>
          </w:p>
        </w:tc>
        <w:tc>
          <w:tcPr>
            <w:tcW w:w="4667" w:type="dxa"/>
            <w:vAlign w:val="center"/>
          </w:tcPr>
          <w:p w14:paraId="094AB52E">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项目所需要的网络设备，业务系统</w:t>
            </w:r>
          </w:p>
        </w:tc>
        <w:tc>
          <w:tcPr>
            <w:tcW w:w="733" w:type="dxa"/>
            <w:vAlign w:val="center"/>
          </w:tcPr>
          <w:p w14:paraId="345F128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05CDA5C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5131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7485FE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678</w:t>
            </w:r>
          </w:p>
        </w:tc>
        <w:tc>
          <w:tcPr>
            <w:tcW w:w="720" w:type="dxa"/>
            <w:vMerge w:val="restart"/>
            <w:vAlign w:val="center"/>
          </w:tcPr>
          <w:p w14:paraId="110145A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数据大屏</w:t>
            </w:r>
          </w:p>
        </w:tc>
        <w:tc>
          <w:tcPr>
            <w:tcW w:w="2933" w:type="dxa"/>
            <w:gridSpan w:val="2"/>
            <w:vMerge w:val="restart"/>
            <w:vAlign w:val="center"/>
          </w:tcPr>
          <w:p w14:paraId="5D812BF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运维监管中心</w:t>
            </w:r>
          </w:p>
        </w:tc>
        <w:tc>
          <w:tcPr>
            <w:tcW w:w="4667" w:type="dxa"/>
            <w:vAlign w:val="center"/>
          </w:tcPr>
          <w:p w14:paraId="7148707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建设运维监管中心，信息基础架构各方面（从网络设备到服务的物理载体—服务器，再到各种应用程序）进行分层透明化的监视</w:t>
            </w:r>
          </w:p>
        </w:tc>
        <w:tc>
          <w:tcPr>
            <w:tcW w:w="733" w:type="dxa"/>
            <w:vMerge w:val="restart"/>
            <w:vAlign w:val="center"/>
          </w:tcPr>
          <w:p w14:paraId="04E2905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5750E7E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73ABA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1E786E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679</w:t>
            </w:r>
          </w:p>
        </w:tc>
        <w:tc>
          <w:tcPr>
            <w:tcW w:w="720" w:type="dxa"/>
            <w:vMerge w:val="continue"/>
            <w:vAlign w:val="center"/>
          </w:tcPr>
          <w:p w14:paraId="00AA0EA0">
            <w:pPr>
              <w:jc w:val="center"/>
              <w:rPr>
                <w:rFonts w:hint="eastAsia" w:ascii="宋体" w:hAnsi="宋体" w:eastAsia="宋体" w:cs="宋体"/>
                <w:b w:val="0"/>
                <w:bCs w:val="0"/>
                <w:color w:val="auto"/>
                <w:kern w:val="0"/>
                <w:sz w:val="20"/>
                <w:szCs w:val="20"/>
                <w:highlight w:val="none"/>
                <w:lang w:val="en-US" w:eastAsia="zh-CN" w:bidi="ar-SA"/>
              </w:rPr>
            </w:pPr>
          </w:p>
        </w:tc>
        <w:tc>
          <w:tcPr>
            <w:tcW w:w="2933" w:type="dxa"/>
            <w:gridSpan w:val="2"/>
            <w:vMerge w:val="continue"/>
            <w:vAlign w:val="center"/>
          </w:tcPr>
          <w:p w14:paraId="6DB8C4C5">
            <w:pPr>
              <w:jc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6F0B1096">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全面覆盖数字化信息系统的数据交换平台（网络）、主机系统、应用服务等数字化信息基础架构的各个层面</w:t>
            </w:r>
          </w:p>
        </w:tc>
        <w:tc>
          <w:tcPr>
            <w:tcW w:w="733" w:type="dxa"/>
            <w:vMerge w:val="continue"/>
            <w:vAlign w:val="center"/>
          </w:tcPr>
          <w:p w14:paraId="0017C46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D277D04">
            <w:pPr>
              <w:jc w:val="center"/>
              <w:rPr>
                <w:rFonts w:hint="eastAsia" w:ascii="宋体" w:hAnsi="宋体" w:eastAsia="宋体" w:cs="宋体"/>
                <w:b w:val="0"/>
                <w:bCs w:val="0"/>
                <w:color w:val="auto"/>
                <w:kern w:val="0"/>
                <w:sz w:val="20"/>
                <w:szCs w:val="20"/>
                <w:highlight w:val="none"/>
                <w:lang w:val="en-US" w:eastAsia="zh-CN" w:bidi="ar-SA"/>
              </w:rPr>
            </w:pPr>
          </w:p>
        </w:tc>
      </w:tr>
      <w:tr w14:paraId="58ED4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E8C976F">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680</w:t>
            </w:r>
          </w:p>
        </w:tc>
        <w:tc>
          <w:tcPr>
            <w:tcW w:w="720" w:type="dxa"/>
            <w:vMerge w:val="continue"/>
            <w:vAlign w:val="center"/>
          </w:tcPr>
          <w:p w14:paraId="7756067A">
            <w:pPr>
              <w:jc w:val="center"/>
              <w:rPr>
                <w:rFonts w:hint="eastAsia" w:ascii="宋体" w:hAnsi="宋体" w:eastAsia="宋体" w:cs="宋体"/>
                <w:b w:val="0"/>
                <w:bCs w:val="0"/>
                <w:color w:val="auto"/>
                <w:kern w:val="0"/>
                <w:sz w:val="20"/>
                <w:szCs w:val="20"/>
                <w:highlight w:val="none"/>
                <w:lang w:val="en-US" w:eastAsia="zh-CN" w:bidi="ar-SA"/>
              </w:rPr>
            </w:pPr>
          </w:p>
        </w:tc>
        <w:tc>
          <w:tcPr>
            <w:tcW w:w="2933" w:type="dxa"/>
            <w:gridSpan w:val="2"/>
            <w:vMerge w:val="continue"/>
            <w:vAlign w:val="center"/>
          </w:tcPr>
          <w:p w14:paraId="110E65A8">
            <w:pPr>
              <w:jc w:val="center"/>
              <w:rPr>
                <w:rFonts w:hint="eastAsia" w:ascii="宋体" w:hAnsi="宋体" w:eastAsia="宋体" w:cs="宋体"/>
                <w:b w:val="0"/>
                <w:bCs w:val="0"/>
                <w:color w:val="auto"/>
                <w:kern w:val="0"/>
                <w:sz w:val="20"/>
                <w:szCs w:val="20"/>
                <w:highlight w:val="none"/>
                <w:lang w:val="en-US" w:eastAsia="zh-CN" w:bidi="ar-SA"/>
              </w:rPr>
            </w:pPr>
          </w:p>
        </w:tc>
        <w:tc>
          <w:tcPr>
            <w:tcW w:w="4667" w:type="dxa"/>
            <w:vAlign w:val="center"/>
          </w:tcPr>
          <w:p w14:paraId="246FD0C0">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对包括环境、资源、安全等各个环节在内关键要素的管理，对它们实行一体化综合管理</w:t>
            </w:r>
          </w:p>
        </w:tc>
        <w:tc>
          <w:tcPr>
            <w:tcW w:w="733" w:type="dxa"/>
            <w:vMerge w:val="continue"/>
            <w:vAlign w:val="center"/>
          </w:tcPr>
          <w:p w14:paraId="51D41F3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CAB3C8A">
            <w:pPr>
              <w:jc w:val="center"/>
              <w:rPr>
                <w:rFonts w:hint="eastAsia" w:ascii="宋体" w:hAnsi="宋体" w:eastAsia="宋体" w:cs="宋体"/>
                <w:b w:val="0"/>
                <w:bCs w:val="0"/>
                <w:color w:val="auto"/>
                <w:kern w:val="0"/>
                <w:sz w:val="20"/>
                <w:szCs w:val="20"/>
                <w:highlight w:val="none"/>
                <w:lang w:val="en-US" w:eastAsia="zh-CN" w:bidi="ar-SA"/>
              </w:rPr>
            </w:pPr>
          </w:p>
        </w:tc>
      </w:tr>
    </w:tbl>
    <w:p w14:paraId="3923B1FE">
      <w:pPr>
        <w:pStyle w:val="2"/>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both"/>
        <w:textAlignment w:val="auto"/>
        <w:rPr>
          <w:rFonts w:hint="eastAsia" w:ascii="宋体" w:hAnsi="宋体" w:eastAsia="宋体" w:cs="宋体"/>
          <w:highlight w:val="yellow"/>
          <w:lang w:val="en-US" w:eastAsia="zh-CN"/>
        </w:rPr>
      </w:pPr>
      <w:r>
        <w:rPr>
          <w:rFonts w:hint="eastAsia" w:ascii="宋体" w:hAnsi="宋体" w:eastAsia="宋体" w:cs="宋体"/>
          <w:highlight w:val="yellow"/>
          <w:lang w:val="en-US" w:eastAsia="zh-CN"/>
        </w:rPr>
        <w:t>（二）-13：</w:t>
      </w:r>
      <w:r>
        <w:rPr>
          <w:rFonts w:hint="eastAsia" w:ascii="宋体" w:hAnsi="宋体" w:eastAsia="宋体" w:cs="宋体"/>
          <w:b w:val="0"/>
          <w:bCs w:val="0"/>
          <w:highlight w:val="yellow"/>
          <w:lang w:val="en-US" w:eastAsia="zh-CN"/>
        </w:rPr>
        <w:t>数据分析与共享</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300"/>
        <w:gridCol w:w="1824"/>
        <w:gridCol w:w="5476"/>
        <w:gridCol w:w="733"/>
        <w:gridCol w:w="714"/>
      </w:tblGrid>
      <w:tr w14:paraId="31A57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362EE25">
            <w:pPr>
              <w:widowControl/>
              <w:jc w:val="center"/>
              <w:rPr>
                <w:rFonts w:hint="eastAsia" w:ascii="仿宋" w:hAnsi="仿宋" w:eastAsia="仿宋" w:cs="宋体"/>
                <w:color w:val="auto"/>
                <w:sz w:val="22"/>
                <w:szCs w:val="22"/>
                <w:highlight w:val="none"/>
                <w:lang w:val="en-US" w:eastAsia="zh-CN"/>
              </w:rPr>
            </w:pPr>
            <w:r>
              <w:rPr>
                <w:rFonts w:hint="eastAsia" w:ascii="宋体" w:hAnsi="宋体" w:cs="宋体"/>
                <w:b/>
                <w:bCs/>
                <w:color w:val="auto"/>
                <w:kern w:val="0"/>
                <w:sz w:val="20"/>
                <w:szCs w:val="20"/>
                <w:highlight w:val="none"/>
              </w:rPr>
              <w:t>序号</w:t>
            </w:r>
          </w:p>
        </w:tc>
        <w:tc>
          <w:tcPr>
            <w:tcW w:w="2844" w:type="dxa"/>
            <w:gridSpan w:val="3"/>
            <w:vAlign w:val="center"/>
          </w:tcPr>
          <w:p w14:paraId="63BCF8C6">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建设内容</w:t>
            </w:r>
          </w:p>
        </w:tc>
        <w:tc>
          <w:tcPr>
            <w:tcW w:w="5476" w:type="dxa"/>
            <w:vAlign w:val="center"/>
          </w:tcPr>
          <w:p w14:paraId="039BCF0B">
            <w:pPr>
              <w:widowControl/>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0E96D3D0">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单位</w:t>
            </w:r>
          </w:p>
        </w:tc>
        <w:tc>
          <w:tcPr>
            <w:tcW w:w="714" w:type="dxa"/>
            <w:vAlign w:val="center"/>
          </w:tcPr>
          <w:p w14:paraId="302AE16D">
            <w:pPr>
              <w:spacing w:line="240" w:lineRule="exact"/>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Cs w:val="21"/>
                <w:highlight w:val="none"/>
                <w:lang w:eastAsia="zh-CN"/>
              </w:rPr>
              <w:t>数量</w:t>
            </w:r>
          </w:p>
        </w:tc>
      </w:tr>
      <w:tr w14:paraId="5741E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ED664B0">
            <w:pPr>
              <w:numPr>
                <w:ilvl w:val="0"/>
                <w:numId w:val="13"/>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720" w:type="dxa"/>
            <w:vMerge w:val="restart"/>
            <w:vAlign w:val="center"/>
          </w:tcPr>
          <w:p w14:paraId="37A23438">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分析展示</w:t>
            </w:r>
          </w:p>
        </w:tc>
        <w:tc>
          <w:tcPr>
            <w:tcW w:w="2124" w:type="dxa"/>
            <w:gridSpan w:val="2"/>
            <w:vAlign w:val="center"/>
          </w:tcPr>
          <w:p w14:paraId="7333685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驾驶舱门户</w:t>
            </w:r>
          </w:p>
        </w:tc>
        <w:tc>
          <w:tcPr>
            <w:tcW w:w="5476" w:type="dxa"/>
            <w:vAlign w:val="center"/>
          </w:tcPr>
          <w:p w14:paraId="1EA29CA9">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对驾驶舱系统进行统一管理，可以通过门户系统进行不同系统间访问</w:t>
            </w:r>
          </w:p>
        </w:tc>
        <w:tc>
          <w:tcPr>
            <w:tcW w:w="733" w:type="dxa"/>
            <w:vAlign w:val="center"/>
          </w:tcPr>
          <w:p w14:paraId="49883CC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2592D8A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625C1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62D44F9">
            <w:pPr>
              <w:numPr>
                <w:ilvl w:val="0"/>
                <w:numId w:val="13"/>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720" w:type="dxa"/>
            <w:vMerge w:val="continue"/>
            <w:vAlign w:val="center"/>
          </w:tcPr>
          <w:p w14:paraId="32E09362">
            <w:pPr>
              <w:jc w:val="center"/>
              <w:rPr>
                <w:rFonts w:hint="eastAsia" w:ascii="宋体" w:hAnsi="宋体" w:eastAsia="宋体" w:cs="宋体"/>
                <w:b/>
                <w:color w:val="auto"/>
                <w:sz w:val="24"/>
                <w:szCs w:val="24"/>
                <w:highlight w:val="none"/>
                <w:vertAlign w:val="baseline"/>
                <w:lang w:eastAsia="zh-CN"/>
              </w:rPr>
            </w:pPr>
          </w:p>
        </w:tc>
        <w:tc>
          <w:tcPr>
            <w:tcW w:w="2124" w:type="dxa"/>
            <w:gridSpan w:val="2"/>
            <w:vAlign w:val="center"/>
          </w:tcPr>
          <w:p w14:paraId="521AE59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大屏尺寸适配</w:t>
            </w:r>
          </w:p>
        </w:tc>
        <w:tc>
          <w:tcPr>
            <w:tcW w:w="5476" w:type="dxa"/>
            <w:vAlign w:val="center"/>
          </w:tcPr>
          <w:p w14:paraId="0D2B94CD">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看板组件可以根据当前屏幕分辨率进行自动调整，适配满屏展示</w:t>
            </w:r>
          </w:p>
        </w:tc>
        <w:tc>
          <w:tcPr>
            <w:tcW w:w="733" w:type="dxa"/>
            <w:vAlign w:val="center"/>
          </w:tcPr>
          <w:p w14:paraId="13E1D62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3BB5830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F2F3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EA7F664">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restart"/>
            <w:vAlign w:val="center"/>
          </w:tcPr>
          <w:p w14:paraId="4FB0056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监测评价分析展示</w:t>
            </w:r>
          </w:p>
        </w:tc>
        <w:tc>
          <w:tcPr>
            <w:tcW w:w="1824" w:type="dxa"/>
            <w:vAlign w:val="center"/>
          </w:tcPr>
          <w:p w14:paraId="379147B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绩效数据分析试算引擎</w:t>
            </w:r>
          </w:p>
        </w:tc>
        <w:tc>
          <w:tcPr>
            <w:tcW w:w="5476" w:type="dxa"/>
            <w:vAlign w:val="center"/>
          </w:tcPr>
          <w:p w14:paraId="7A040ACB">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三级公立医院绩效考核操作手册和二级公立医院绩效考核操作手册指定数据分析引擎并试算数据。</w:t>
            </w:r>
          </w:p>
        </w:tc>
        <w:tc>
          <w:tcPr>
            <w:tcW w:w="733" w:type="dxa"/>
            <w:vMerge w:val="restart"/>
            <w:vAlign w:val="center"/>
          </w:tcPr>
          <w:p w14:paraId="14BEE22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3759F641">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29</w:t>
            </w:r>
          </w:p>
        </w:tc>
      </w:tr>
      <w:tr w14:paraId="0842E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7F9BEB5">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23B3C45A">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1B2699B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医院历史排名分析页</w:t>
            </w:r>
          </w:p>
        </w:tc>
        <w:tc>
          <w:tcPr>
            <w:tcW w:w="5476" w:type="dxa"/>
            <w:vAlign w:val="center"/>
          </w:tcPr>
          <w:p w14:paraId="6926FD0D">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将国家反馈的历年数据进行图表展示，直观反映了得分、排名、指标的变化情况</w:t>
            </w:r>
          </w:p>
        </w:tc>
        <w:tc>
          <w:tcPr>
            <w:tcW w:w="733" w:type="dxa"/>
            <w:vMerge w:val="continue"/>
            <w:vAlign w:val="center"/>
          </w:tcPr>
          <w:p w14:paraId="05A8972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0394E54">
            <w:pPr>
              <w:jc w:val="center"/>
              <w:rPr>
                <w:rFonts w:hint="eastAsia" w:ascii="宋体" w:hAnsi="宋体" w:eastAsia="宋体" w:cs="宋体"/>
                <w:b w:val="0"/>
                <w:bCs w:val="0"/>
                <w:color w:val="auto"/>
                <w:kern w:val="0"/>
                <w:sz w:val="20"/>
                <w:szCs w:val="20"/>
                <w:highlight w:val="none"/>
                <w:lang w:val="en-US" w:eastAsia="zh-CN" w:bidi="ar-SA"/>
              </w:rPr>
            </w:pPr>
          </w:p>
        </w:tc>
      </w:tr>
      <w:tr w14:paraId="701A1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C90E4D2">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3FA013E8">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1B068E1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全国排名、得分分析页</w:t>
            </w:r>
          </w:p>
        </w:tc>
        <w:tc>
          <w:tcPr>
            <w:tcW w:w="5476" w:type="dxa"/>
            <w:vAlign w:val="center"/>
          </w:tcPr>
          <w:p w14:paraId="0124627E">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以分段形式反映医院所处的排名位次，对出医院距离下一分段的到达情况进行分析</w:t>
            </w:r>
          </w:p>
        </w:tc>
        <w:tc>
          <w:tcPr>
            <w:tcW w:w="733" w:type="dxa"/>
            <w:vMerge w:val="continue"/>
            <w:vAlign w:val="center"/>
          </w:tcPr>
          <w:p w14:paraId="1F1C2A7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4A485AD">
            <w:pPr>
              <w:jc w:val="center"/>
              <w:rPr>
                <w:rFonts w:hint="eastAsia" w:ascii="宋体" w:hAnsi="宋体" w:eastAsia="宋体" w:cs="宋体"/>
                <w:b w:val="0"/>
                <w:bCs w:val="0"/>
                <w:color w:val="auto"/>
                <w:kern w:val="0"/>
                <w:sz w:val="20"/>
                <w:szCs w:val="20"/>
                <w:highlight w:val="none"/>
                <w:lang w:val="en-US" w:eastAsia="zh-CN" w:bidi="ar-SA"/>
              </w:rPr>
            </w:pPr>
          </w:p>
        </w:tc>
      </w:tr>
      <w:tr w14:paraId="24CE8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8F16869">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31CE95DE">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4152AAB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全国详细排名分析页</w:t>
            </w:r>
          </w:p>
        </w:tc>
        <w:tc>
          <w:tcPr>
            <w:tcW w:w="5476" w:type="dxa"/>
            <w:vAlign w:val="center"/>
          </w:tcPr>
          <w:p w14:paraId="5C425688">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收集了历年全国医院公开分数及排名信息，结合各医院的得分排名，横向对比变化情况</w:t>
            </w:r>
          </w:p>
        </w:tc>
        <w:tc>
          <w:tcPr>
            <w:tcW w:w="733" w:type="dxa"/>
            <w:vMerge w:val="continue"/>
            <w:vAlign w:val="center"/>
          </w:tcPr>
          <w:p w14:paraId="2562A44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76FE9D0">
            <w:pPr>
              <w:jc w:val="center"/>
              <w:rPr>
                <w:rFonts w:hint="eastAsia" w:ascii="宋体" w:hAnsi="宋体" w:eastAsia="宋体" w:cs="宋体"/>
                <w:b w:val="0"/>
                <w:bCs w:val="0"/>
                <w:color w:val="auto"/>
                <w:kern w:val="0"/>
                <w:sz w:val="20"/>
                <w:szCs w:val="20"/>
                <w:highlight w:val="none"/>
                <w:lang w:val="en-US" w:eastAsia="zh-CN" w:bidi="ar-SA"/>
              </w:rPr>
            </w:pPr>
          </w:p>
        </w:tc>
      </w:tr>
      <w:tr w14:paraId="51ADB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60A1BAE">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202AEF4A">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74BA237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测算数据分析页（得分、值、扣分）</w:t>
            </w:r>
          </w:p>
        </w:tc>
        <w:tc>
          <w:tcPr>
            <w:tcW w:w="5476" w:type="dxa"/>
            <w:vAlign w:val="center"/>
          </w:tcPr>
          <w:p w14:paraId="275BB140">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对参与得分计算的各个指标进行基于不同系数下的得分变化情况展示</w:t>
            </w:r>
          </w:p>
        </w:tc>
        <w:tc>
          <w:tcPr>
            <w:tcW w:w="733" w:type="dxa"/>
            <w:vMerge w:val="continue"/>
            <w:vAlign w:val="center"/>
          </w:tcPr>
          <w:p w14:paraId="60E4D5D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E1E58C7">
            <w:pPr>
              <w:jc w:val="center"/>
              <w:rPr>
                <w:rFonts w:hint="eastAsia" w:ascii="宋体" w:hAnsi="宋体" w:eastAsia="宋体" w:cs="宋体"/>
                <w:b w:val="0"/>
                <w:bCs w:val="0"/>
                <w:color w:val="auto"/>
                <w:kern w:val="0"/>
                <w:sz w:val="20"/>
                <w:szCs w:val="20"/>
                <w:highlight w:val="none"/>
                <w:lang w:val="en-US" w:eastAsia="zh-CN" w:bidi="ar-SA"/>
              </w:rPr>
            </w:pPr>
          </w:p>
        </w:tc>
      </w:tr>
      <w:tr w14:paraId="2C694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A6DDC1D">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70A3705F">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738F776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出院患者手术占比分析页</w:t>
            </w:r>
          </w:p>
        </w:tc>
        <w:tc>
          <w:tcPr>
            <w:tcW w:w="5476" w:type="dxa"/>
            <w:vAlign w:val="center"/>
          </w:tcPr>
          <w:p w14:paraId="43C6AFA8">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对出院患者手术占比的历年数据进行展示，对试算结果基于不同系数影响下的变化情况进行分析</w:t>
            </w:r>
          </w:p>
        </w:tc>
        <w:tc>
          <w:tcPr>
            <w:tcW w:w="733" w:type="dxa"/>
            <w:vMerge w:val="continue"/>
            <w:vAlign w:val="center"/>
          </w:tcPr>
          <w:p w14:paraId="2E9F49A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DDDBF08">
            <w:pPr>
              <w:jc w:val="center"/>
              <w:rPr>
                <w:rFonts w:hint="eastAsia" w:ascii="宋体" w:hAnsi="宋体" w:eastAsia="宋体" w:cs="宋体"/>
                <w:b w:val="0"/>
                <w:bCs w:val="0"/>
                <w:color w:val="auto"/>
                <w:kern w:val="0"/>
                <w:sz w:val="20"/>
                <w:szCs w:val="20"/>
                <w:highlight w:val="none"/>
                <w:lang w:val="en-US" w:eastAsia="zh-CN" w:bidi="ar-SA"/>
              </w:rPr>
            </w:pPr>
          </w:p>
        </w:tc>
      </w:tr>
      <w:tr w14:paraId="0DBCC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7A50BC1">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0563AB48">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28AA8B0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出院患者微创手术占比</w:t>
            </w:r>
          </w:p>
        </w:tc>
        <w:tc>
          <w:tcPr>
            <w:tcW w:w="5476" w:type="dxa"/>
            <w:vAlign w:val="center"/>
          </w:tcPr>
          <w:p w14:paraId="5699BBC8">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对出院患者微创手术占比的历年数据进行展示，对试算结果基于不同系数影响下的变化情况进行分析</w:t>
            </w:r>
          </w:p>
        </w:tc>
        <w:tc>
          <w:tcPr>
            <w:tcW w:w="733" w:type="dxa"/>
            <w:vMerge w:val="continue"/>
            <w:vAlign w:val="center"/>
          </w:tcPr>
          <w:p w14:paraId="4F9C834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928FA22">
            <w:pPr>
              <w:jc w:val="center"/>
              <w:rPr>
                <w:rFonts w:hint="eastAsia" w:ascii="宋体" w:hAnsi="宋体" w:eastAsia="宋体" w:cs="宋体"/>
                <w:b w:val="0"/>
                <w:bCs w:val="0"/>
                <w:color w:val="auto"/>
                <w:kern w:val="0"/>
                <w:sz w:val="20"/>
                <w:szCs w:val="20"/>
                <w:highlight w:val="none"/>
                <w:lang w:val="en-US" w:eastAsia="zh-CN" w:bidi="ar-SA"/>
              </w:rPr>
            </w:pPr>
          </w:p>
        </w:tc>
      </w:tr>
      <w:tr w14:paraId="5B87D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BE23582">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52498B5D">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320CEE9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出院患者四级手术比例</w:t>
            </w:r>
          </w:p>
        </w:tc>
        <w:tc>
          <w:tcPr>
            <w:tcW w:w="5476" w:type="dxa"/>
            <w:vAlign w:val="center"/>
          </w:tcPr>
          <w:p w14:paraId="143A80D3">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对出院患者四级手术比例的历年数据进行展示，对试算结果基于不同系数影响下的变化情况进行分析</w:t>
            </w:r>
          </w:p>
        </w:tc>
        <w:tc>
          <w:tcPr>
            <w:tcW w:w="733" w:type="dxa"/>
            <w:vMerge w:val="continue"/>
            <w:vAlign w:val="center"/>
          </w:tcPr>
          <w:p w14:paraId="72DABF7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85EA77C">
            <w:pPr>
              <w:jc w:val="center"/>
              <w:rPr>
                <w:rFonts w:hint="eastAsia" w:ascii="宋体" w:hAnsi="宋体" w:eastAsia="宋体" w:cs="宋体"/>
                <w:b w:val="0"/>
                <w:bCs w:val="0"/>
                <w:color w:val="auto"/>
                <w:kern w:val="0"/>
                <w:sz w:val="20"/>
                <w:szCs w:val="20"/>
                <w:highlight w:val="none"/>
                <w:lang w:val="en-US" w:eastAsia="zh-CN" w:bidi="ar-SA"/>
              </w:rPr>
            </w:pPr>
          </w:p>
        </w:tc>
      </w:tr>
      <w:tr w14:paraId="70C9C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C10343E">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6873E875">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6D203D9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手术患者并发症发生率</w:t>
            </w:r>
          </w:p>
        </w:tc>
        <w:tc>
          <w:tcPr>
            <w:tcW w:w="5476" w:type="dxa"/>
            <w:vAlign w:val="center"/>
          </w:tcPr>
          <w:p w14:paraId="60CB3A74">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对手术患者并发症的历年数据进行展示，对试算结果基于不同系数影响下的变化情况进行分析</w:t>
            </w:r>
          </w:p>
        </w:tc>
        <w:tc>
          <w:tcPr>
            <w:tcW w:w="733" w:type="dxa"/>
            <w:vMerge w:val="continue"/>
            <w:vAlign w:val="center"/>
          </w:tcPr>
          <w:p w14:paraId="36F72DE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20D52D3">
            <w:pPr>
              <w:jc w:val="center"/>
              <w:rPr>
                <w:rFonts w:hint="eastAsia" w:ascii="宋体" w:hAnsi="宋体" w:eastAsia="宋体" w:cs="宋体"/>
                <w:b w:val="0"/>
                <w:bCs w:val="0"/>
                <w:color w:val="auto"/>
                <w:kern w:val="0"/>
                <w:sz w:val="20"/>
                <w:szCs w:val="20"/>
                <w:highlight w:val="none"/>
                <w:lang w:val="en-US" w:eastAsia="zh-CN" w:bidi="ar-SA"/>
              </w:rPr>
            </w:pPr>
          </w:p>
        </w:tc>
      </w:tr>
      <w:tr w14:paraId="435BF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D622102">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6964EC17">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2676EAA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I类切口手术部位感染率</w:t>
            </w:r>
          </w:p>
        </w:tc>
        <w:tc>
          <w:tcPr>
            <w:tcW w:w="5476" w:type="dxa"/>
            <w:vAlign w:val="center"/>
          </w:tcPr>
          <w:p w14:paraId="7268E041">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对I类切口手术部位感染率的历年数据进行展示，对试算结果基于不同系数影响下的变化情况进行分析</w:t>
            </w:r>
          </w:p>
        </w:tc>
        <w:tc>
          <w:tcPr>
            <w:tcW w:w="733" w:type="dxa"/>
            <w:vMerge w:val="continue"/>
            <w:vAlign w:val="center"/>
          </w:tcPr>
          <w:p w14:paraId="53EA6E5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5CA9A65">
            <w:pPr>
              <w:jc w:val="center"/>
              <w:rPr>
                <w:rFonts w:hint="eastAsia" w:ascii="宋体" w:hAnsi="宋体" w:eastAsia="宋体" w:cs="宋体"/>
                <w:b w:val="0"/>
                <w:bCs w:val="0"/>
                <w:color w:val="auto"/>
                <w:kern w:val="0"/>
                <w:sz w:val="20"/>
                <w:szCs w:val="20"/>
                <w:highlight w:val="none"/>
                <w:lang w:val="en-US" w:eastAsia="zh-CN" w:bidi="ar-SA"/>
              </w:rPr>
            </w:pPr>
          </w:p>
        </w:tc>
      </w:tr>
      <w:tr w14:paraId="74A81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C81B7CA">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1BE610E2">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1916CEF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单病种质控分析页</w:t>
            </w:r>
          </w:p>
        </w:tc>
        <w:tc>
          <w:tcPr>
            <w:tcW w:w="5476" w:type="dxa"/>
            <w:vAlign w:val="center"/>
          </w:tcPr>
          <w:p w14:paraId="5B2218F3">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对单病种的汇总情况的历年数据进行展示，对试算结果基于不同系数影响下的变化情况进行分析</w:t>
            </w:r>
          </w:p>
        </w:tc>
        <w:tc>
          <w:tcPr>
            <w:tcW w:w="733" w:type="dxa"/>
            <w:vMerge w:val="continue"/>
            <w:vAlign w:val="center"/>
          </w:tcPr>
          <w:p w14:paraId="03FBF82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7111699">
            <w:pPr>
              <w:jc w:val="center"/>
              <w:rPr>
                <w:rFonts w:hint="eastAsia" w:ascii="宋体" w:hAnsi="宋体" w:eastAsia="宋体" w:cs="宋体"/>
                <w:b w:val="0"/>
                <w:bCs w:val="0"/>
                <w:color w:val="auto"/>
                <w:kern w:val="0"/>
                <w:sz w:val="20"/>
                <w:szCs w:val="20"/>
                <w:highlight w:val="none"/>
                <w:lang w:val="en-US" w:eastAsia="zh-CN" w:bidi="ar-SA"/>
              </w:rPr>
            </w:pPr>
          </w:p>
        </w:tc>
      </w:tr>
      <w:tr w14:paraId="1E0D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7D76385">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179CF881">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5A10E5E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十个单病种明细分析页</w:t>
            </w:r>
          </w:p>
        </w:tc>
        <w:tc>
          <w:tcPr>
            <w:tcW w:w="5476" w:type="dxa"/>
            <w:vAlign w:val="center"/>
          </w:tcPr>
          <w:p w14:paraId="6D600DE6">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对十个单病种明细的历年数据进行展示，对试算结果基于不同系数影响下的变化情况进行分析</w:t>
            </w:r>
          </w:p>
        </w:tc>
        <w:tc>
          <w:tcPr>
            <w:tcW w:w="733" w:type="dxa"/>
            <w:vMerge w:val="continue"/>
            <w:vAlign w:val="center"/>
          </w:tcPr>
          <w:p w14:paraId="74453CB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32695C7">
            <w:pPr>
              <w:jc w:val="center"/>
              <w:rPr>
                <w:rFonts w:hint="eastAsia" w:ascii="宋体" w:hAnsi="宋体" w:eastAsia="宋体" w:cs="宋体"/>
                <w:b w:val="0"/>
                <w:bCs w:val="0"/>
                <w:color w:val="auto"/>
                <w:kern w:val="0"/>
                <w:sz w:val="20"/>
                <w:szCs w:val="20"/>
                <w:highlight w:val="none"/>
                <w:lang w:val="en-US" w:eastAsia="zh-CN" w:bidi="ar-SA"/>
              </w:rPr>
            </w:pPr>
          </w:p>
        </w:tc>
      </w:tr>
      <w:tr w14:paraId="664EE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33322D6">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57D49D3A">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43EDB12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通过国家室间质量评价分析页</w:t>
            </w:r>
          </w:p>
        </w:tc>
        <w:tc>
          <w:tcPr>
            <w:tcW w:w="5476" w:type="dxa"/>
            <w:vAlign w:val="center"/>
          </w:tcPr>
          <w:p w14:paraId="0D577A82">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对通过国家室间质量评价的历年数据进行展示，对试算结果基于不同系数影响下的变化情况进行分析</w:t>
            </w:r>
          </w:p>
        </w:tc>
        <w:tc>
          <w:tcPr>
            <w:tcW w:w="733" w:type="dxa"/>
            <w:vMerge w:val="continue"/>
            <w:vAlign w:val="center"/>
          </w:tcPr>
          <w:p w14:paraId="0978605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7F9EBFB">
            <w:pPr>
              <w:jc w:val="center"/>
              <w:rPr>
                <w:rFonts w:hint="eastAsia" w:ascii="宋体" w:hAnsi="宋体" w:eastAsia="宋体" w:cs="宋体"/>
                <w:b w:val="0"/>
                <w:bCs w:val="0"/>
                <w:color w:val="auto"/>
                <w:kern w:val="0"/>
                <w:sz w:val="20"/>
                <w:szCs w:val="20"/>
                <w:highlight w:val="none"/>
                <w:lang w:val="en-US" w:eastAsia="zh-CN" w:bidi="ar-SA"/>
              </w:rPr>
            </w:pPr>
          </w:p>
        </w:tc>
      </w:tr>
      <w:tr w14:paraId="1B96B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B45CED3">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0DFD0853">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39435B1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低风险组病例死亡率分析页</w:t>
            </w:r>
          </w:p>
        </w:tc>
        <w:tc>
          <w:tcPr>
            <w:tcW w:w="5476" w:type="dxa"/>
            <w:vAlign w:val="center"/>
          </w:tcPr>
          <w:p w14:paraId="4D75DBE6">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对低风险组病例死亡率的历年数据进行展示，对试算结果基于不同系数影响下的变化情况进行分析</w:t>
            </w:r>
          </w:p>
        </w:tc>
        <w:tc>
          <w:tcPr>
            <w:tcW w:w="733" w:type="dxa"/>
            <w:vMerge w:val="continue"/>
            <w:vAlign w:val="center"/>
          </w:tcPr>
          <w:p w14:paraId="68F55A3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9EEC481">
            <w:pPr>
              <w:jc w:val="center"/>
              <w:rPr>
                <w:rFonts w:hint="eastAsia" w:ascii="宋体" w:hAnsi="宋体" w:eastAsia="宋体" w:cs="宋体"/>
                <w:b w:val="0"/>
                <w:bCs w:val="0"/>
                <w:color w:val="auto"/>
                <w:kern w:val="0"/>
                <w:sz w:val="20"/>
                <w:szCs w:val="20"/>
                <w:highlight w:val="none"/>
                <w:lang w:val="en-US" w:eastAsia="zh-CN" w:bidi="ar-SA"/>
              </w:rPr>
            </w:pPr>
          </w:p>
        </w:tc>
      </w:tr>
      <w:tr w14:paraId="093B0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BE3DB5A">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072DEBB2">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29B30DD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抗菌药物使用强度分析页</w:t>
            </w:r>
          </w:p>
        </w:tc>
        <w:tc>
          <w:tcPr>
            <w:tcW w:w="5476" w:type="dxa"/>
            <w:vAlign w:val="center"/>
          </w:tcPr>
          <w:p w14:paraId="46E46BF5">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对抗菌药物使用强度的历年数据进行展示，对试算结果基于不同系数影响下的变化情况进行分析</w:t>
            </w:r>
          </w:p>
        </w:tc>
        <w:tc>
          <w:tcPr>
            <w:tcW w:w="733" w:type="dxa"/>
            <w:vMerge w:val="continue"/>
            <w:vAlign w:val="center"/>
          </w:tcPr>
          <w:p w14:paraId="598DE28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3B65723">
            <w:pPr>
              <w:jc w:val="center"/>
              <w:rPr>
                <w:rFonts w:hint="eastAsia" w:ascii="宋体" w:hAnsi="宋体" w:eastAsia="宋体" w:cs="宋体"/>
                <w:b w:val="0"/>
                <w:bCs w:val="0"/>
                <w:color w:val="auto"/>
                <w:kern w:val="0"/>
                <w:sz w:val="20"/>
                <w:szCs w:val="20"/>
                <w:highlight w:val="none"/>
                <w:lang w:val="en-US" w:eastAsia="zh-CN" w:bidi="ar-SA"/>
              </w:rPr>
            </w:pPr>
          </w:p>
        </w:tc>
      </w:tr>
      <w:tr w14:paraId="3B9BD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C80708B">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6D0C4D3E">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5B601B9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电子病历应用功能水平分级分析页</w:t>
            </w:r>
          </w:p>
        </w:tc>
        <w:tc>
          <w:tcPr>
            <w:tcW w:w="5476" w:type="dxa"/>
            <w:vAlign w:val="center"/>
          </w:tcPr>
          <w:p w14:paraId="04F10313">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对电子病历应用功能水平分级的历年数据进行展示，对试算结果基于不同系数影响下的变化情况进行分析</w:t>
            </w:r>
          </w:p>
        </w:tc>
        <w:tc>
          <w:tcPr>
            <w:tcW w:w="733" w:type="dxa"/>
            <w:vMerge w:val="continue"/>
            <w:vAlign w:val="center"/>
          </w:tcPr>
          <w:p w14:paraId="47A5C6A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AD30EF4">
            <w:pPr>
              <w:jc w:val="center"/>
              <w:rPr>
                <w:rFonts w:hint="eastAsia" w:ascii="宋体" w:hAnsi="宋体" w:eastAsia="宋体" w:cs="宋体"/>
                <w:b w:val="0"/>
                <w:bCs w:val="0"/>
                <w:color w:val="auto"/>
                <w:kern w:val="0"/>
                <w:sz w:val="20"/>
                <w:szCs w:val="20"/>
                <w:highlight w:val="none"/>
                <w:lang w:val="en-US" w:eastAsia="zh-CN" w:bidi="ar-SA"/>
              </w:rPr>
            </w:pPr>
          </w:p>
        </w:tc>
      </w:tr>
      <w:tr w14:paraId="79F42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BA9C69A">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03EE9059">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03FDDAB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医疗服务收入占医疗收入比例分析页</w:t>
            </w:r>
          </w:p>
        </w:tc>
        <w:tc>
          <w:tcPr>
            <w:tcW w:w="5476" w:type="dxa"/>
            <w:vAlign w:val="center"/>
          </w:tcPr>
          <w:p w14:paraId="3A628D1D">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对医疗服务收入占医疗收入比例的历年数据进行展示，对试算结果基于不同系数影响下的变化情况进行分析</w:t>
            </w:r>
          </w:p>
        </w:tc>
        <w:tc>
          <w:tcPr>
            <w:tcW w:w="733" w:type="dxa"/>
            <w:vMerge w:val="continue"/>
            <w:vAlign w:val="center"/>
          </w:tcPr>
          <w:p w14:paraId="278F15D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DC03F84">
            <w:pPr>
              <w:jc w:val="center"/>
              <w:rPr>
                <w:rFonts w:hint="eastAsia" w:ascii="宋体" w:hAnsi="宋体" w:eastAsia="宋体" w:cs="宋体"/>
                <w:b w:val="0"/>
                <w:bCs w:val="0"/>
                <w:color w:val="auto"/>
                <w:kern w:val="0"/>
                <w:sz w:val="20"/>
                <w:szCs w:val="20"/>
                <w:highlight w:val="none"/>
                <w:lang w:val="en-US" w:eastAsia="zh-CN" w:bidi="ar-SA"/>
              </w:rPr>
            </w:pPr>
          </w:p>
        </w:tc>
      </w:tr>
      <w:tr w14:paraId="56195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F4587D4">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0DD000FA">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55AFA59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人员支出占业务支出比重分析页</w:t>
            </w:r>
          </w:p>
        </w:tc>
        <w:tc>
          <w:tcPr>
            <w:tcW w:w="5476" w:type="dxa"/>
            <w:vAlign w:val="center"/>
          </w:tcPr>
          <w:p w14:paraId="781FB94F">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对人员支出占业务支出比的历年数据进行展示，对试算结果基于不同系数影响下的变化情况进行分析</w:t>
            </w:r>
          </w:p>
        </w:tc>
        <w:tc>
          <w:tcPr>
            <w:tcW w:w="733" w:type="dxa"/>
            <w:vMerge w:val="continue"/>
            <w:vAlign w:val="center"/>
          </w:tcPr>
          <w:p w14:paraId="40604D5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521755C">
            <w:pPr>
              <w:jc w:val="center"/>
              <w:rPr>
                <w:rFonts w:hint="eastAsia" w:ascii="宋体" w:hAnsi="宋体" w:eastAsia="宋体" w:cs="宋体"/>
                <w:b w:val="0"/>
                <w:bCs w:val="0"/>
                <w:color w:val="auto"/>
                <w:kern w:val="0"/>
                <w:sz w:val="20"/>
                <w:szCs w:val="20"/>
                <w:highlight w:val="none"/>
                <w:lang w:val="en-US" w:eastAsia="zh-CN" w:bidi="ar-SA"/>
              </w:rPr>
            </w:pPr>
          </w:p>
        </w:tc>
      </w:tr>
      <w:tr w14:paraId="49A3A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D0041E1">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5B8DBA5C">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319C94A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万元收入能耗支出分析页</w:t>
            </w:r>
          </w:p>
        </w:tc>
        <w:tc>
          <w:tcPr>
            <w:tcW w:w="5476" w:type="dxa"/>
            <w:vAlign w:val="center"/>
          </w:tcPr>
          <w:p w14:paraId="76D77EB7">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对万元收入能耗支出的历年数据进行展示，对试算结果基于不同系数影响下的变化情况进行分析</w:t>
            </w:r>
          </w:p>
        </w:tc>
        <w:tc>
          <w:tcPr>
            <w:tcW w:w="733" w:type="dxa"/>
            <w:vMerge w:val="continue"/>
            <w:vAlign w:val="center"/>
          </w:tcPr>
          <w:p w14:paraId="518815C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A4CEFA6">
            <w:pPr>
              <w:jc w:val="center"/>
              <w:rPr>
                <w:rFonts w:hint="eastAsia" w:ascii="宋体" w:hAnsi="宋体" w:eastAsia="宋体" w:cs="宋体"/>
                <w:b w:val="0"/>
                <w:bCs w:val="0"/>
                <w:color w:val="auto"/>
                <w:kern w:val="0"/>
                <w:sz w:val="20"/>
                <w:szCs w:val="20"/>
                <w:highlight w:val="none"/>
                <w:lang w:val="en-US" w:eastAsia="zh-CN" w:bidi="ar-SA"/>
              </w:rPr>
            </w:pPr>
          </w:p>
        </w:tc>
      </w:tr>
      <w:tr w14:paraId="2B498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7FD215C">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5D940B72">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362FDBC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收支结余分析页</w:t>
            </w:r>
          </w:p>
        </w:tc>
        <w:tc>
          <w:tcPr>
            <w:tcW w:w="5476" w:type="dxa"/>
            <w:vAlign w:val="center"/>
          </w:tcPr>
          <w:p w14:paraId="7F0BE42B">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对收支结余的历年数据进行展示，对试算结果基于不同系数影响下的变化情况进行分析</w:t>
            </w:r>
          </w:p>
        </w:tc>
        <w:tc>
          <w:tcPr>
            <w:tcW w:w="733" w:type="dxa"/>
            <w:vMerge w:val="continue"/>
            <w:vAlign w:val="center"/>
          </w:tcPr>
          <w:p w14:paraId="71421E4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20E20A5">
            <w:pPr>
              <w:jc w:val="center"/>
              <w:rPr>
                <w:rFonts w:hint="eastAsia" w:ascii="宋体" w:hAnsi="宋体" w:eastAsia="宋体" w:cs="宋体"/>
                <w:b w:val="0"/>
                <w:bCs w:val="0"/>
                <w:color w:val="auto"/>
                <w:kern w:val="0"/>
                <w:sz w:val="20"/>
                <w:szCs w:val="20"/>
                <w:highlight w:val="none"/>
                <w:lang w:val="en-US" w:eastAsia="zh-CN" w:bidi="ar-SA"/>
              </w:rPr>
            </w:pPr>
          </w:p>
        </w:tc>
      </w:tr>
      <w:tr w14:paraId="39B16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6433080">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13777A97">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198D700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资产负债率分析页</w:t>
            </w:r>
          </w:p>
        </w:tc>
        <w:tc>
          <w:tcPr>
            <w:tcW w:w="5476" w:type="dxa"/>
            <w:vAlign w:val="center"/>
          </w:tcPr>
          <w:p w14:paraId="21F5DF99">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对资产负债率的历年数据进行展示，对试算结果基于不同系数影响下的变化情况进行分析</w:t>
            </w:r>
          </w:p>
        </w:tc>
        <w:tc>
          <w:tcPr>
            <w:tcW w:w="733" w:type="dxa"/>
            <w:vMerge w:val="continue"/>
            <w:vAlign w:val="center"/>
          </w:tcPr>
          <w:p w14:paraId="4BB577E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C5E2F56">
            <w:pPr>
              <w:jc w:val="center"/>
              <w:rPr>
                <w:rFonts w:hint="eastAsia" w:ascii="宋体" w:hAnsi="宋体" w:eastAsia="宋体" w:cs="宋体"/>
                <w:b w:val="0"/>
                <w:bCs w:val="0"/>
                <w:color w:val="auto"/>
                <w:kern w:val="0"/>
                <w:sz w:val="20"/>
                <w:szCs w:val="20"/>
                <w:highlight w:val="none"/>
                <w:lang w:val="en-US" w:eastAsia="zh-CN" w:bidi="ar-SA"/>
              </w:rPr>
            </w:pPr>
          </w:p>
        </w:tc>
      </w:tr>
      <w:tr w14:paraId="73F4F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9B4D211">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0A75B66D">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0D048BB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门诊次均费用增幅分析页</w:t>
            </w:r>
          </w:p>
        </w:tc>
        <w:tc>
          <w:tcPr>
            <w:tcW w:w="5476" w:type="dxa"/>
            <w:vAlign w:val="center"/>
          </w:tcPr>
          <w:p w14:paraId="5F2D3762">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对门诊次均费用增幅的历年数据进行展示，对试算结果基于不同系数影响下的变化情况进行分析</w:t>
            </w:r>
          </w:p>
        </w:tc>
        <w:tc>
          <w:tcPr>
            <w:tcW w:w="733" w:type="dxa"/>
            <w:vMerge w:val="continue"/>
            <w:vAlign w:val="center"/>
          </w:tcPr>
          <w:p w14:paraId="074321D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7D1647C">
            <w:pPr>
              <w:jc w:val="center"/>
              <w:rPr>
                <w:rFonts w:hint="eastAsia" w:ascii="宋体" w:hAnsi="宋体" w:eastAsia="宋体" w:cs="宋体"/>
                <w:b w:val="0"/>
                <w:bCs w:val="0"/>
                <w:color w:val="auto"/>
                <w:kern w:val="0"/>
                <w:sz w:val="20"/>
                <w:szCs w:val="20"/>
                <w:highlight w:val="none"/>
                <w:lang w:val="en-US" w:eastAsia="zh-CN" w:bidi="ar-SA"/>
              </w:rPr>
            </w:pPr>
          </w:p>
        </w:tc>
      </w:tr>
      <w:tr w14:paraId="14310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3A0763E">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193D5069">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61F9AEE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门诊次均药品费用增幅分析页</w:t>
            </w:r>
          </w:p>
        </w:tc>
        <w:tc>
          <w:tcPr>
            <w:tcW w:w="5476" w:type="dxa"/>
            <w:vAlign w:val="center"/>
          </w:tcPr>
          <w:p w14:paraId="3FC355E1">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对门诊次均药品费用增幅的历年数据进行展示，对试算结果基于不同系数影响下的变化情况进行分析</w:t>
            </w:r>
          </w:p>
        </w:tc>
        <w:tc>
          <w:tcPr>
            <w:tcW w:w="733" w:type="dxa"/>
            <w:vMerge w:val="continue"/>
            <w:vAlign w:val="center"/>
          </w:tcPr>
          <w:p w14:paraId="37A0EB0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5F9885C">
            <w:pPr>
              <w:jc w:val="center"/>
              <w:rPr>
                <w:rFonts w:hint="eastAsia" w:ascii="宋体" w:hAnsi="宋体" w:eastAsia="宋体" w:cs="宋体"/>
                <w:b w:val="0"/>
                <w:bCs w:val="0"/>
                <w:color w:val="auto"/>
                <w:kern w:val="0"/>
                <w:sz w:val="20"/>
                <w:szCs w:val="20"/>
                <w:highlight w:val="none"/>
                <w:lang w:val="en-US" w:eastAsia="zh-CN" w:bidi="ar-SA"/>
              </w:rPr>
            </w:pPr>
          </w:p>
        </w:tc>
      </w:tr>
      <w:tr w14:paraId="0E510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DC8CB6A">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06E40A18">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52CF753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住院次均费用增幅分析页</w:t>
            </w:r>
          </w:p>
        </w:tc>
        <w:tc>
          <w:tcPr>
            <w:tcW w:w="5476" w:type="dxa"/>
            <w:vAlign w:val="center"/>
          </w:tcPr>
          <w:p w14:paraId="484BC707">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对住院次均费用增幅的历年数据进行展示，对试算结果基于不同系数影响下的变化情况进行分析</w:t>
            </w:r>
          </w:p>
        </w:tc>
        <w:tc>
          <w:tcPr>
            <w:tcW w:w="733" w:type="dxa"/>
            <w:vMerge w:val="continue"/>
            <w:vAlign w:val="center"/>
          </w:tcPr>
          <w:p w14:paraId="266FDE8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69FF869">
            <w:pPr>
              <w:jc w:val="center"/>
              <w:rPr>
                <w:rFonts w:hint="eastAsia" w:ascii="宋体" w:hAnsi="宋体" w:eastAsia="宋体" w:cs="宋体"/>
                <w:b w:val="0"/>
                <w:bCs w:val="0"/>
                <w:color w:val="auto"/>
                <w:kern w:val="0"/>
                <w:sz w:val="20"/>
                <w:szCs w:val="20"/>
                <w:highlight w:val="none"/>
                <w:lang w:val="en-US" w:eastAsia="zh-CN" w:bidi="ar-SA"/>
              </w:rPr>
            </w:pPr>
          </w:p>
        </w:tc>
      </w:tr>
      <w:tr w14:paraId="76D5D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8CE9222">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2CC374C5">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6DEBBA8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住院次均药品费用增幅分析页</w:t>
            </w:r>
          </w:p>
        </w:tc>
        <w:tc>
          <w:tcPr>
            <w:tcW w:w="5476" w:type="dxa"/>
            <w:vAlign w:val="center"/>
          </w:tcPr>
          <w:p w14:paraId="2E0375CE">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对住院次均药品费用增幅的历年数据进行展示，对试算结果基于不同系数影响下的变化情况进行分析</w:t>
            </w:r>
          </w:p>
        </w:tc>
        <w:tc>
          <w:tcPr>
            <w:tcW w:w="733" w:type="dxa"/>
            <w:vMerge w:val="continue"/>
            <w:vAlign w:val="center"/>
          </w:tcPr>
          <w:p w14:paraId="774B7CD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48DA62C">
            <w:pPr>
              <w:jc w:val="center"/>
              <w:rPr>
                <w:rFonts w:hint="eastAsia" w:ascii="宋体" w:hAnsi="宋体" w:eastAsia="宋体" w:cs="宋体"/>
                <w:b w:val="0"/>
                <w:bCs w:val="0"/>
                <w:color w:val="auto"/>
                <w:kern w:val="0"/>
                <w:sz w:val="20"/>
                <w:szCs w:val="20"/>
                <w:highlight w:val="none"/>
                <w:lang w:val="en-US" w:eastAsia="zh-CN" w:bidi="ar-SA"/>
              </w:rPr>
            </w:pPr>
          </w:p>
        </w:tc>
      </w:tr>
      <w:tr w14:paraId="359D5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F551C93">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53F6313A">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3119EDA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医师占比分析页</w:t>
            </w:r>
          </w:p>
        </w:tc>
        <w:tc>
          <w:tcPr>
            <w:tcW w:w="5476" w:type="dxa"/>
            <w:vAlign w:val="center"/>
          </w:tcPr>
          <w:p w14:paraId="0B78EADA">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对医师占比比的历年数据进行展示，对试算结果基于不同系数影响下的变化情况进行分析</w:t>
            </w:r>
          </w:p>
        </w:tc>
        <w:tc>
          <w:tcPr>
            <w:tcW w:w="733" w:type="dxa"/>
            <w:vMerge w:val="continue"/>
            <w:vAlign w:val="center"/>
          </w:tcPr>
          <w:p w14:paraId="36F1CF1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E15880F">
            <w:pPr>
              <w:jc w:val="center"/>
              <w:rPr>
                <w:rFonts w:hint="eastAsia" w:ascii="宋体" w:hAnsi="宋体" w:eastAsia="宋体" w:cs="宋体"/>
                <w:b w:val="0"/>
                <w:bCs w:val="0"/>
                <w:color w:val="auto"/>
                <w:kern w:val="0"/>
                <w:sz w:val="20"/>
                <w:szCs w:val="20"/>
                <w:highlight w:val="none"/>
                <w:lang w:val="en-US" w:eastAsia="zh-CN" w:bidi="ar-SA"/>
              </w:rPr>
            </w:pPr>
          </w:p>
        </w:tc>
      </w:tr>
      <w:tr w14:paraId="7C60A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B7CAFD6">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5F216D28">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217AA98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医护比分析页</w:t>
            </w:r>
          </w:p>
        </w:tc>
        <w:tc>
          <w:tcPr>
            <w:tcW w:w="5476" w:type="dxa"/>
            <w:vAlign w:val="center"/>
          </w:tcPr>
          <w:p w14:paraId="2744003A">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对医护比分的历年数据进行展示，对试算结果基于不同系数影响下的变化情况进行分析</w:t>
            </w:r>
          </w:p>
        </w:tc>
        <w:tc>
          <w:tcPr>
            <w:tcW w:w="733" w:type="dxa"/>
            <w:vMerge w:val="continue"/>
            <w:vAlign w:val="center"/>
          </w:tcPr>
          <w:p w14:paraId="133A51E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03BAFDD">
            <w:pPr>
              <w:jc w:val="center"/>
              <w:rPr>
                <w:rFonts w:hint="eastAsia" w:ascii="宋体" w:hAnsi="宋体" w:eastAsia="宋体" w:cs="宋体"/>
                <w:b w:val="0"/>
                <w:bCs w:val="0"/>
                <w:color w:val="auto"/>
                <w:kern w:val="0"/>
                <w:sz w:val="20"/>
                <w:szCs w:val="20"/>
                <w:highlight w:val="none"/>
                <w:lang w:val="en-US" w:eastAsia="zh-CN" w:bidi="ar-SA"/>
              </w:rPr>
            </w:pPr>
          </w:p>
        </w:tc>
      </w:tr>
      <w:tr w14:paraId="34849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DD7332B">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2090DED9">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7FE4BAD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医师资格考试通过率分析议</w:t>
            </w:r>
          </w:p>
        </w:tc>
        <w:tc>
          <w:tcPr>
            <w:tcW w:w="5476" w:type="dxa"/>
            <w:vAlign w:val="center"/>
          </w:tcPr>
          <w:p w14:paraId="49F41F92">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对医师资格考试通过率的历年数据进行展示，对试算结果基于不同系数影响下的变化情况进行分析</w:t>
            </w:r>
          </w:p>
        </w:tc>
        <w:tc>
          <w:tcPr>
            <w:tcW w:w="733" w:type="dxa"/>
            <w:vMerge w:val="continue"/>
            <w:vAlign w:val="center"/>
          </w:tcPr>
          <w:p w14:paraId="28EF42A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60AD2D0">
            <w:pPr>
              <w:jc w:val="center"/>
              <w:rPr>
                <w:rFonts w:hint="eastAsia" w:ascii="宋体" w:hAnsi="宋体" w:eastAsia="宋体" w:cs="宋体"/>
                <w:b w:val="0"/>
                <w:bCs w:val="0"/>
                <w:color w:val="auto"/>
                <w:kern w:val="0"/>
                <w:sz w:val="20"/>
                <w:szCs w:val="20"/>
                <w:highlight w:val="none"/>
                <w:lang w:val="en-US" w:eastAsia="zh-CN" w:bidi="ar-SA"/>
              </w:rPr>
            </w:pPr>
          </w:p>
        </w:tc>
      </w:tr>
      <w:tr w14:paraId="382E3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980245A">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7C7A5BAE">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5F5D1B3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每百名卫生技术人员科研项目经费分析页</w:t>
            </w:r>
          </w:p>
        </w:tc>
        <w:tc>
          <w:tcPr>
            <w:tcW w:w="5476" w:type="dxa"/>
            <w:vAlign w:val="center"/>
          </w:tcPr>
          <w:p w14:paraId="55ED5F2C">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对每百名卫生技术人员科研项目经费的历年数据进行展示，对试算结果基于不同系数影响下的变化情况进行分析</w:t>
            </w:r>
          </w:p>
        </w:tc>
        <w:tc>
          <w:tcPr>
            <w:tcW w:w="733" w:type="dxa"/>
            <w:vMerge w:val="continue"/>
            <w:vAlign w:val="center"/>
          </w:tcPr>
          <w:p w14:paraId="4ADC0B7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FD84095">
            <w:pPr>
              <w:jc w:val="center"/>
              <w:rPr>
                <w:rFonts w:hint="eastAsia" w:ascii="宋体" w:hAnsi="宋体" w:eastAsia="宋体" w:cs="宋体"/>
                <w:b w:val="0"/>
                <w:bCs w:val="0"/>
                <w:color w:val="auto"/>
                <w:kern w:val="0"/>
                <w:sz w:val="20"/>
                <w:szCs w:val="20"/>
                <w:highlight w:val="none"/>
                <w:lang w:val="en-US" w:eastAsia="zh-CN" w:bidi="ar-SA"/>
              </w:rPr>
            </w:pPr>
          </w:p>
        </w:tc>
      </w:tr>
      <w:tr w14:paraId="3CEF6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196EF59">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64114C3C">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1213D28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门诊患者满意度分析页</w:t>
            </w:r>
          </w:p>
        </w:tc>
        <w:tc>
          <w:tcPr>
            <w:tcW w:w="5476" w:type="dxa"/>
            <w:vAlign w:val="center"/>
          </w:tcPr>
          <w:p w14:paraId="707525CA">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对门诊患者满意度的历年数据进行展示，对试算结果基于不同系数影响下的变化情况进行分析</w:t>
            </w:r>
          </w:p>
        </w:tc>
        <w:tc>
          <w:tcPr>
            <w:tcW w:w="733" w:type="dxa"/>
            <w:vMerge w:val="continue"/>
            <w:vAlign w:val="center"/>
          </w:tcPr>
          <w:p w14:paraId="6B343CA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8C99CBC">
            <w:pPr>
              <w:jc w:val="center"/>
              <w:rPr>
                <w:rFonts w:hint="eastAsia" w:ascii="宋体" w:hAnsi="宋体" w:eastAsia="宋体" w:cs="宋体"/>
                <w:b w:val="0"/>
                <w:bCs w:val="0"/>
                <w:color w:val="auto"/>
                <w:kern w:val="0"/>
                <w:sz w:val="20"/>
                <w:szCs w:val="20"/>
                <w:highlight w:val="none"/>
                <w:lang w:val="en-US" w:eastAsia="zh-CN" w:bidi="ar-SA"/>
              </w:rPr>
            </w:pPr>
          </w:p>
        </w:tc>
      </w:tr>
      <w:tr w14:paraId="15622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0B717BF">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08CCBC7D">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5584905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住院患者满意度分析页</w:t>
            </w:r>
          </w:p>
        </w:tc>
        <w:tc>
          <w:tcPr>
            <w:tcW w:w="5476" w:type="dxa"/>
            <w:vAlign w:val="center"/>
          </w:tcPr>
          <w:p w14:paraId="18C51258">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对住院患者满意度的历年数据进行展示，对试算结果基于不同系数影响下的变化情况进行分析</w:t>
            </w:r>
          </w:p>
        </w:tc>
        <w:tc>
          <w:tcPr>
            <w:tcW w:w="733" w:type="dxa"/>
            <w:vMerge w:val="continue"/>
            <w:vAlign w:val="center"/>
          </w:tcPr>
          <w:p w14:paraId="43FD653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DF5B52A">
            <w:pPr>
              <w:jc w:val="center"/>
              <w:rPr>
                <w:rFonts w:hint="eastAsia" w:ascii="宋体" w:hAnsi="宋体" w:eastAsia="宋体" w:cs="宋体"/>
                <w:b w:val="0"/>
                <w:bCs w:val="0"/>
                <w:color w:val="auto"/>
                <w:kern w:val="0"/>
                <w:sz w:val="20"/>
                <w:szCs w:val="20"/>
                <w:highlight w:val="none"/>
                <w:lang w:val="en-US" w:eastAsia="zh-CN" w:bidi="ar-SA"/>
              </w:rPr>
            </w:pPr>
          </w:p>
        </w:tc>
      </w:tr>
      <w:tr w14:paraId="220C5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6D2821C">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3BC5467D">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4F43DD2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医务人员满意度分析页</w:t>
            </w:r>
          </w:p>
        </w:tc>
        <w:tc>
          <w:tcPr>
            <w:tcW w:w="5476" w:type="dxa"/>
            <w:vAlign w:val="center"/>
          </w:tcPr>
          <w:p w14:paraId="299A353D">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对医务人员满意度的历年数据进行展示，对试算结果基于不同系数影响下的变化情况进行分析</w:t>
            </w:r>
          </w:p>
        </w:tc>
        <w:tc>
          <w:tcPr>
            <w:tcW w:w="733" w:type="dxa"/>
            <w:vMerge w:val="continue"/>
            <w:vAlign w:val="center"/>
          </w:tcPr>
          <w:p w14:paraId="6EBD097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0F2BB80">
            <w:pPr>
              <w:jc w:val="center"/>
              <w:rPr>
                <w:rFonts w:hint="eastAsia" w:ascii="宋体" w:hAnsi="宋体" w:eastAsia="宋体" w:cs="宋体"/>
                <w:b w:val="0"/>
                <w:bCs w:val="0"/>
                <w:color w:val="auto"/>
                <w:kern w:val="0"/>
                <w:sz w:val="20"/>
                <w:szCs w:val="20"/>
                <w:highlight w:val="none"/>
                <w:lang w:val="en-US" w:eastAsia="zh-CN" w:bidi="ar-SA"/>
              </w:rPr>
            </w:pPr>
          </w:p>
        </w:tc>
      </w:tr>
      <w:tr w14:paraId="23B85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6DC818B">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restart"/>
            <w:vAlign w:val="center"/>
          </w:tcPr>
          <w:p w14:paraId="38B173F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居民健康视图</w:t>
            </w:r>
          </w:p>
        </w:tc>
        <w:tc>
          <w:tcPr>
            <w:tcW w:w="1824" w:type="dxa"/>
            <w:vAlign w:val="center"/>
          </w:tcPr>
          <w:p w14:paraId="781A190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患者主索引引擎</w:t>
            </w:r>
          </w:p>
        </w:tc>
        <w:tc>
          <w:tcPr>
            <w:tcW w:w="5476" w:type="dxa"/>
            <w:vAlign w:val="center"/>
          </w:tcPr>
          <w:p w14:paraId="16E0607E">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显示患者在医院的逐次看诊过程汇总信息</w:t>
            </w:r>
          </w:p>
        </w:tc>
        <w:tc>
          <w:tcPr>
            <w:tcW w:w="733" w:type="dxa"/>
            <w:vMerge w:val="restart"/>
            <w:vAlign w:val="center"/>
          </w:tcPr>
          <w:p w14:paraId="173E9E9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5930A580">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w:t>
            </w:r>
          </w:p>
        </w:tc>
      </w:tr>
      <w:tr w14:paraId="0798C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B61117B">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40FADB84">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7EF15FF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患者个人画像</w:t>
            </w:r>
          </w:p>
        </w:tc>
        <w:tc>
          <w:tcPr>
            <w:tcW w:w="5476" w:type="dxa"/>
            <w:vAlign w:val="center"/>
          </w:tcPr>
          <w:p w14:paraId="0126496F">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以患者纬度建立主索引，为各个信息调阅建立入口</w:t>
            </w:r>
          </w:p>
        </w:tc>
        <w:tc>
          <w:tcPr>
            <w:tcW w:w="733" w:type="dxa"/>
            <w:vMerge w:val="continue"/>
            <w:vAlign w:val="center"/>
          </w:tcPr>
          <w:p w14:paraId="3351CAC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CFBDB08">
            <w:pPr>
              <w:jc w:val="center"/>
              <w:rPr>
                <w:rFonts w:hint="eastAsia" w:ascii="宋体" w:hAnsi="宋体" w:eastAsia="宋体" w:cs="宋体"/>
                <w:b w:val="0"/>
                <w:bCs w:val="0"/>
                <w:color w:val="auto"/>
                <w:kern w:val="0"/>
                <w:sz w:val="20"/>
                <w:szCs w:val="20"/>
                <w:highlight w:val="none"/>
                <w:lang w:val="en-US" w:eastAsia="zh-CN" w:bidi="ar-SA"/>
              </w:rPr>
            </w:pPr>
          </w:p>
        </w:tc>
      </w:tr>
      <w:tr w14:paraId="74551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72247B8">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62BC4576">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10CF0E4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患者门诊电子病历</w:t>
            </w:r>
          </w:p>
        </w:tc>
        <w:tc>
          <w:tcPr>
            <w:tcW w:w="5476" w:type="dxa"/>
            <w:vAlign w:val="center"/>
          </w:tcPr>
          <w:p w14:paraId="17F43D53">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对接his系统，对门诊电子病历记录进行调阅</w:t>
            </w:r>
          </w:p>
        </w:tc>
        <w:tc>
          <w:tcPr>
            <w:tcW w:w="733" w:type="dxa"/>
            <w:vMerge w:val="continue"/>
            <w:vAlign w:val="center"/>
          </w:tcPr>
          <w:p w14:paraId="5EE86D5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5ADF891">
            <w:pPr>
              <w:jc w:val="center"/>
              <w:rPr>
                <w:rFonts w:hint="eastAsia" w:ascii="宋体" w:hAnsi="宋体" w:eastAsia="宋体" w:cs="宋体"/>
                <w:b w:val="0"/>
                <w:bCs w:val="0"/>
                <w:color w:val="auto"/>
                <w:kern w:val="0"/>
                <w:sz w:val="20"/>
                <w:szCs w:val="20"/>
                <w:highlight w:val="none"/>
                <w:lang w:val="en-US" w:eastAsia="zh-CN" w:bidi="ar-SA"/>
              </w:rPr>
            </w:pPr>
          </w:p>
        </w:tc>
      </w:tr>
      <w:tr w14:paraId="2F996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574AD93">
            <w:pPr>
              <w:numPr>
                <w:ilvl w:val="0"/>
                <w:numId w:val="13"/>
              </w:numPr>
              <w:spacing w:line="300" w:lineRule="exact"/>
              <w:ind w:left="454" w:leftChars="0" w:hanging="454" w:firstLineChars="0"/>
              <w:jc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20659932">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7965D9C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患者病案</w:t>
            </w:r>
          </w:p>
        </w:tc>
        <w:tc>
          <w:tcPr>
            <w:tcW w:w="5476" w:type="dxa"/>
            <w:vAlign w:val="center"/>
          </w:tcPr>
          <w:p w14:paraId="3496D8D5">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对接his系统，对病案记录进行调阅</w:t>
            </w:r>
          </w:p>
        </w:tc>
        <w:tc>
          <w:tcPr>
            <w:tcW w:w="733" w:type="dxa"/>
            <w:vMerge w:val="continue"/>
            <w:vAlign w:val="center"/>
          </w:tcPr>
          <w:p w14:paraId="689AF01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F08FEE7">
            <w:pPr>
              <w:jc w:val="center"/>
              <w:rPr>
                <w:rFonts w:hint="eastAsia" w:ascii="宋体" w:hAnsi="宋体" w:eastAsia="宋体" w:cs="宋体"/>
                <w:b w:val="0"/>
                <w:bCs w:val="0"/>
                <w:color w:val="auto"/>
                <w:kern w:val="0"/>
                <w:sz w:val="20"/>
                <w:szCs w:val="20"/>
                <w:highlight w:val="none"/>
                <w:lang w:val="en-US" w:eastAsia="zh-CN" w:bidi="ar-SA"/>
              </w:rPr>
            </w:pPr>
          </w:p>
        </w:tc>
      </w:tr>
      <w:tr w14:paraId="6E6D9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9B4C379">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6C4E6F65">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48FCAFA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患者检验报告</w:t>
            </w:r>
          </w:p>
        </w:tc>
        <w:tc>
          <w:tcPr>
            <w:tcW w:w="5476" w:type="dxa"/>
            <w:vAlign w:val="center"/>
          </w:tcPr>
          <w:p w14:paraId="60D660F2">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对接his系统，对检验记录进行调阅</w:t>
            </w:r>
          </w:p>
        </w:tc>
        <w:tc>
          <w:tcPr>
            <w:tcW w:w="733" w:type="dxa"/>
            <w:vMerge w:val="continue"/>
            <w:vAlign w:val="center"/>
          </w:tcPr>
          <w:p w14:paraId="057E83B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02A0BCD">
            <w:pPr>
              <w:jc w:val="center"/>
              <w:rPr>
                <w:rFonts w:hint="eastAsia" w:ascii="宋体" w:hAnsi="宋体" w:eastAsia="宋体" w:cs="宋体"/>
                <w:b w:val="0"/>
                <w:bCs w:val="0"/>
                <w:color w:val="auto"/>
                <w:kern w:val="0"/>
                <w:sz w:val="20"/>
                <w:szCs w:val="20"/>
                <w:highlight w:val="none"/>
                <w:lang w:val="en-US" w:eastAsia="zh-CN" w:bidi="ar-SA"/>
              </w:rPr>
            </w:pPr>
          </w:p>
        </w:tc>
      </w:tr>
      <w:tr w14:paraId="3AE55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3F314F8">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1C19EB3C">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7283B4A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患者检查报告</w:t>
            </w:r>
          </w:p>
        </w:tc>
        <w:tc>
          <w:tcPr>
            <w:tcW w:w="5476" w:type="dxa"/>
            <w:vAlign w:val="center"/>
          </w:tcPr>
          <w:p w14:paraId="290FE4F1">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对接his系统，对检查记录进行调阅</w:t>
            </w:r>
          </w:p>
        </w:tc>
        <w:tc>
          <w:tcPr>
            <w:tcW w:w="733" w:type="dxa"/>
            <w:vMerge w:val="continue"/>
            <w:vAlign w:val="center"/>
          </w:tcPr>
          <w:p w14:paraId="3766FDA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BECC1BC">
            <w:pPr>
              <w:jc w:val="center"/>
              <w:rPr>
                <w:rFonts w:hint="eastAsia" w:ascii="宋体" w:hAnsi="宋体" w:eastAsia="宋体" w:cs="宋体"/>
                <w:b w:val="0"/>
                <w:bCs w:val="0"/>
                <w:color w:val="auto"/>
                <w:kern w:val="0"/>
                <w:sz w:val="20"/>
                <w:szCs w:val="20"/>
                <w:highlight w:val="none"/>
                <w:lang w:val="en-US" w:eastAsia="zh-CN" w:bidi="ar-SA"/>
              </w:rPr>
            </w:pPr>
          </w:p>
        </w:tc>
      </w:tr>
      <w:tr w14:paraId="29522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E3FE8DE">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49922CF8">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653422B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居民健康档案</w:t>
            </w:r>
          </w:p>
        </w:tc>
        <w:tc>
          <w:tcPr>
            <w:tcW w:w="5476" w:type="dxa"/>
            <w:vAlign w:val="center"/>
          </w:tcPr>
          <w:p w14:paraId="70A531E7">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对接公卫系统，对健康档案记录进行调阅</w:t>
            </w:r>
          </w:p>
        </w:tc>
        <w:tc>
          <w:tcPr>
            <w:tcW w:w="733" w:type="dxa"/>
            <w:vMerge w:val="continue"/>
            <w:vAlign w:val="center"/>
          </w:tcPr>
          <w:p w14:paraId="613876D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1C6D929">
            <w:pPr>
              <w:jc w:val="center"/>
              <w:rPr>
                <w:rFonts w:hint="eastAsia" w:ascii="宋体" w:hAnsi="宋体" w:eastAsia="宋体" w:cs="宋体"/>
                <w:b w:val="0"/>
                <w:bCs w:val="0"/>
                <w:color w:val="auto"/>
                <w:kern w:val="0"/>
                <w:sz w:val="20"/>
                <w:szCs w:val="20"/>
                <w:highlight w:val="none"/>
                <w:lang w:val="en-US" w:eastAsia="zh-CN" w:bidi="ar-SA"/>
              </w:rPr>
            </w:pPr>
          </w:p>
        </w:tc>
      </w:tr>
      <w:tr w14:paraId="40AF8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FA0F7E2">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3891EEA8">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5659B12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健康体检</w:t>
            </w:r>
          </w:p>
        </w:tc>
        <w:tc>
          <w:tcPr>
            <w:tcW w:w="5476" w:type="dxa"/>
            <w:vAlign w:val="center"/>
          </w:tcPr>
          <w:p w14:paraId="1327B92A">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对接慢病随访系统，对体检记录进行调阅</w:t>
            </w:r>
          </w:p>
        </w:tc>
        <w:tc>
          <w:tcPr>
            <w:tcW w:w="733" w:type="dxa"/>
            <w:vMerge w:val="continue"/>
            <w:vAlign w:val="center"/>
          </w:tcPr>
          <w:p w14:paraId="7B255B0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303E68B">
            <w:pPr>
              <w:jc w:val="center"/>
              <w:rPr>
                <w:rFonts w:hint="eastAsia" w:ascii="宋体" w:hAnsi="宋体" w:eastAsia="宋体" w:cs="宋体"/>
                <w:b w:val="0"/>
                <w:bCs w:val="0"/>
                <w:color w:val="auto"/>
                <w:kern w:val="0"/>
                <w:sz w:val="20"/>
                <w:szCs w:val="20"/>
                <w:highlight w:val="none"/>
                <w:lang w:val="en-US" w:eastAsia="zh-CN" w:bidi="ar-SA"/>
              </w:rPr>
            </w:pPr>
          </w:p>
        </w:tc>
      </w:tr>
      <w:tr w14:paraId="6DCDB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95F6803">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0B1A981F">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7EFBC59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高血压随访</w:t>
            </w:r>
          </w:p>
        </w:tc>
        <w:tc>
          <w:tcPr>
            <w:tcW w:w="5476" w:type="dxa"/>
            <w:vAlign w:val="center"/>
          </w:tcPr>
          <w:p w14:paraId="7C7963F5">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对接慢病随访系统，对高血压随访记录进行调阅</w:t>
            </w:r>
          </w:p>
        </w:tc>
        <w:tc>
          <w:tcPr>
            <w:tcW w:w="733" w:type="dxa"/>
            <w:vMerge w:val="continue"/>
            <w:vAlign w:val="center"/>
          </w:tcPr>
          <w:p w14:paraId="5FF6CDE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6B14B35">
            <w:pPr>
              <w:jc w:val="center"/>
              <w:rPr>
                <w:rFonts w:hint="eastAsia" w:ascii="宋体" w:hAnsi="宋体" w:eastAsia="宋体" w:cs="宋体"/>
                <w:b w:val="0"/>
                <w:bCs w:val="0"/>
                <w:color w:val="auto"/>
                <w:kern w:val="0"/>
                <w:sz w:val="20"/>
                <w:szCs w:val="20"/>
                <w:highlight w:val="none"/>
                <w:lang w:val="en-US" w:eastAsia="zh-CN" w:bidi="ar-SA"/>
              </w:rPr>
            </w:pPr>
          </w:p>
        </w:tc>
      </w:tr>
      <w:tr w14:paraId="4C388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24BE76E">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248D4E01">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65956A9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糖尿病随访</w:t>
            </w:r>
          </w:p>
        </w:tc>
        <w:tc>
          <w:tcPr>
            <w:tcW w:w="5476" w:type="dxa"/>
            <w:vAlign w:val="center"/>
          </w:tcPr>
          <w:p w14:paraId="2013405C">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对接慢病随访系统，对糖尿病随访记录进行调阅</w:t>
            </w:r>
          </w:p>
        </w:tc>
        <w:tc>
          <w:tcPr>
            <w:tcW w:w="733" w:type="dxa"/>
            <w:vMerge w:val="continue"/>
            <w:vAlign w:val="center"/>
          </w:tcPr>
          <w:p w14:paraId="1B75D54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FEC0F74">
            <w:pPr>
              <w:jc w:val="center"/>
              <w:rPr>
                <w:rFonts w:hint="eastAsia" w:ascii="宋体" w:hAnsi="宋体" w:eastAsia="宋体" w:cs="宋体"/>
                <w:b w:val="0"/>
                <w:bCs w:val="0"/>
                <w:color w:val="auto"/>
                <w:kern w:val="0"/>
                <w:sz w:val="20"/>
                <w:szCs w:val="20"/>
                <w:highlight w:val="none"/>
                <w:lang w:val="en-US" w:eastAsia="zh-CN" w:bidi="ar-SA"/>
              </w:rPr>
            </w:pPr>
          </w:p>
        </w:tc>
      </w:tr>
      <w:tr w14:paraId="28E3A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5B5FAD4">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216B8D08">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7C57845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妇幼保健记录</w:t>
            </w:r>
          </w:p>
        </w:tc>
        <w:tc>
          <w:tcPr>
            <w:tcW w:w="5476" w:type="dxa"/>
            <w:vAlign w:val="center"/>
          </w:tcPr>
          <w:p w14:paraId="67C95A32">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对接妇幼系统，对保健记录进行调阅</w:t>
            </w:r>
          </w:p>
        </w:tc>
        <w:tc>
          <w:tcPr>
            <w:tcW w:w="733" w:type="dxa"/>
            <w:vMerge w:val="continue"/>
            <w:vAlign w:val="center"/>
          </w:tcPr>
          <w:p w14:paraId="2385261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55BCB13">
            <w:pPr>
              <w:jc w:val="center"/>
              <w:rPr>
                <w:rFonts w:hint="eastAsia" w:ascii="宋体" w:hAnsi="宋体" w:eastAsia="宋体" w:cs="宋体"/>
                <w:b w:val="0"/>
                <w:bCs w:val="0"/>
                <w:color w:val="auto"/>
                <w:kern w:val="0"/>
                <w:sz w:val="20"/>
                <w:szCs w:val="20"/>
                <w:highlight w:val="none"/>
                <w:lang w:val="en-US" w:eastAsia="zh-CN" w:bidi="ar-SA"/>
              </w:rPr>
            </w:pPr>
          </w:p>
        </w:tc>
      </w:tr>
      <w:tr w14:paraId="73472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0ABDD2D">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06A3F31E">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4DDC4D3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转诊记录</w:t>
            </w:r>
          </w:p>
        </w:tc>
        <w:tc>
          <w:tcPr>
            <w:tcW w:w="5476" w:type="dxa"/>
            <w:vAlign w:val="center"/>
          </w:tcPr>
          <w:p w14:paraId="3F777F93">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对接转诊系统，将上下级医院的诊疗情况进行整合，为多次就诊提供历史病情查询</w:t>
            </w:r>
          </w:p>
        </w:tc>
        <w:tc>
          <w:tcPr>
            <w:tcW w:w="733" w:type="dxa"/>
            <w:vMerge w:val="continue"/>
            <w:vAlign w:val="center"/>
          </w:tcPr>
          <w:p w14:paraId="3EFE0D7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5C53DFF">
            <w:pPr>
              <w:jc w:val="center"/>
              <w:rPr>
                <w:rFonts w:hint="eastAsia" w:ascii="宋体" w:hAnsi="宋体" w:eastAsia="宋体" w:cs="宋体"/>
                <w:b w:val="0"/>
                <w:bCs w:val="0"/>
                <w:color w:val="auto"/>
                <w:kern w:val="0"/>
                <w:sz w:val="20"/>
                <w:szCs w:val="20"/>
                <w:highlight w:val="none"/>
                <w:lang w:val="en-US" w:eastAsia="zh-CN" w:bidi="ar-SA"/>
              </w:rPr>
            </w:pPr>
          </w:p>
        </w:tc>
      </w:tr>
      <w:tr w14:paraId="49D1C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C31CC9E">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18AD5298">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6922EB9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会诊记录</w:t>
            </w:r>
          </w:p>
        </w:tc>
        <w:tc>
          <w:tcPr>
            <w:tcW w:w="5476" w:type="dxa"/>
            <w:vAlign w:val="center"/>
          </w:tcPr>
          <w:p w14:paraId="1479CCDD">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对接会诊系统，将会诊记录进行调阅展示，实现多院诊察结果互认</w:t>
            </w:r>
          </w:p>
        </w:tc>
        <w:tc>
          <w:tcPr>
            <w:tcW w:w="733" w:type="dxa"/>
            <w:vMerge w:val="continue"/>
            <w:vAlign w:val="center"/>
          </w:tcPr>
          <w:p w14:paraId="3D64462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CC581FB">
            <w:pPr>
              <w:jc w:val="center"/>
              <w:rPr>
                <w:rFonts w:hint="eastAsia" w:ascii="宋体" w:hAnsi="宋体" w:eastAsia="宋体" w:cs="宋体"/>
                <w:b w:val="0"/>
                <w:bCs w:val="0"/>
                <w:color w:val="auto"/>
                <w:kern w:val="0"/>
                <w:sz w:val="20"/>
                <w:szCs w:val="20"/>
                <w:highlight w:val="none"/>
                <w:lang w:val="en-US" w:eastAsia="zh-CN" w:bidi="ar-SA"/>
              </w:rPr>
            </w:pPr>
          </w:p>
        </w:tc>
      </w:tr>
      <w:tr w14:paraId="55811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A14C518">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restart"/>
            <w:vAlign w:val="center"/>
          </w:tcPr>
          <w:p w14:paraId="4329ACF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共享服务系统</w:t>
            </w:r>
          </w:p>
        </w:tc>
        <w:tc>
          <w:tcPr>
            <w:tcW w:w="1824" w:type="dxa"/>
            <w:vAlign w:val="center"/>
          </w:tcPr>
          <w:p w14:paraId="27DE710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共享服务在线编辑</w:t>
            </w:r>
          </w:p>
        </w:tc>
        <w:tc>
          <w:tcPr>
            <w:tcW w:w="5476" w:type="dxa"/>
            <w:vAlign w:val="center"/>
          </w:tcPr>
          <w:p w14:paraId="68878F61">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将数据打包成对外服务，通过支持不同接口调阅</w:t>
            </w:r>
          </w:p>
        </w:tc>
        <w:tc>
          <w:tcPr>
            <w:tcW w:w="733" w:type="dxa"/>
            <w:vMerge w:val="restart"/>
            <w:vAlign w:val="center"/>
          </w:tcPr>
          <w:p w14:paraId="559A015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749F820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9</w:t>
            </w:r>
          </w:p>
        </w:tc>
      </w:tr>
      <w:tr w14:paraId="79FA7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4AEF4E3">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570931A6">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3E21007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共享SQL在线测试</w:t>
            </w:r>
          </w:p>
        </w:tc>
        <w:tc>
          <w:tcPr>
            <w:tcW w:w="5476" w:type="dxa"/>
            <w:vAlign w:val="center"/>
          </w:tcPr>
          <w:p w14:paraId="20CC1DB3">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在打包数据的时候，可以将查询sql进行线上测试，预览查询结果</w:t>
            </w:r>
          </w:p>
        </w:tc>
        <w:tc>
          <w:tcPr>
            <w:tcW w:w="733" w:type="dxa"/>
            <w:vMerge w:val="continue"/>
            <w:vAlign w:val="center"/>
          </w:tcPr>
          <w:p w14:paraId="3B5EDCB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372C0C3">
            <w:pPr>
              <w:jc w:val="center"/>
              <w:rPr>
                <w:rFonts w:hint="eastAsia" w:ascii="宋体" w:hAnsi="宋体" w:eastAsia="宋体" w:cs="宋体"/>
                <w:b w:val="0"/>
                <w:bCs w:val="0"/>
                <w:color w:val="auto"/>
                <w:kern w:val="0"/>
                <w:sz w:val="20"/>
                <w:szCs w:val="20"/>
                <w:highlight w:val="none"/>
                <w:lang w:val="en-US" w:eastAsia="zh-CN" w:bidi="ar-SA"/>
              </w:rPr>
            </w:pPr>
          </w:p>
        </w:tc>
      </w:tr>
      <w:tr w14:paraId="2BFDD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434499C">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3435A72C">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2424840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共享服务热发布</w:t>
            </w:r>
          </w:p>
        </w:tc>
        <w:tc>
          <w:tcPr>
            <w:tcW w:w="5476" w:type="dxa"/>
            <w:vAlign w:val="center"/>
          </w:tcPr>
          <w:p w14:paraId="009402A7">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支持数据服务创建后直接调用，解决传统的服务发布还得程序重启的问题</w:t>
            </w:r>
          </w:p>
        </w:tc>
        <w:tc>
          <w:tcPr>
            <w:tcW w:w="733" w:type="dxa"/>
            <w:vMerge w:val="continue"/>
            <w:vAlign w:val="center"/>
          </w:tcPr>
          <w:p w14:paraId="4ADA8BB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D1AF4F4">
            <w:pPr>
              <w:jc w:val="center"/>
              <w:rPr>
                <w:rFonts w:hint="eastAsia" w:ascii="宋体" w:hAnsi="宋体" w:eastAsia="宋体" w:cs="宋体"/>
                <w:b w:val="0"/>
                <w:bCs w:val="0"/>
                <w:color w:val="auto"/>
                <w:kern w:val="0"/>
                <w:sz w:val="20"/>
                <w:szCs w:val="20"/>
                <w:highlight w:val="none"/>
                <w:lang w:val="en-US" w:eastAsia="zh-CN" w:bidi="ar-SA"/>
              </w:rPr>
            </w:pPr>
          </w:p>
        </w:tc>
      </w:tr>
      <w:tr w14:paraId="7704E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8F4425F">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3431D29F">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4E9944A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服务目录管理</w:t>
            </w:r>
          </w:p>
        </w:tc>
        <w:tc>
          <w:tcPr>
            <w:tcW w:w="5476" w:type="dxa"/>
            <w:vAlign w:val="center"/>
          </w:tcPr>
          <w:p w14:paraId="0E202439">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可以通过目录管理服务接口，适配不同人群调阅</w:t>
            </w:r>
          </w:p>
        </w:tc>
        <w:tc>
          <w:tcPr>
            <w:tcW w:w="733" w:type="dxa"/>
            <w:vMerge w:val="continue"/>
            <w:vAlign w:val="center"/>
          </w:tcPr>
          <w:p w14:paraId="7CFBF42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FBF4578">
            <w:pPr>
              <w:jc w:val="center"/>
              <w:rPr>
                <w:rFonts w:hint="eastAsia" w:ascii="宋体" w:hAnsi="宋体" w:eastAsia="宋体" w:cs="宋体"/>
                <w:b w:val="0"/>
                <w:bCs w:val="0"/>
                <w:color w:val="auto"/>
                <w:kern w:val="0"/>
                <w:sz w:val="20"/>
                <w:szCs w:val="20"/>
                <w:highlight w:val="none"/>
                <w:lang w:val="en-US" w:eastAsia="zh-CN" w:bidi="ar-SA"/>
              </w:rPr>
            </w:pPr>
          </w:p>
        </w:tc>
      </w:tr>
      <w:tr w14:paraId="30758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5900389">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0F79D3F5">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220E730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服务开发说明</w:t>
            </w:r>
          </w:p>
        </w:tc>
        <w:tc>
          <w:tcPr>
            <w:tcW w:w="5476" w:type="dxa"/>
            <w:vAlign w:val="center"/>
          </w:tcPr>
          <w:p w14:paraId="18019185">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对服务接口调用提供API手册，方便开发人员快速对接</w:t>
            </w:r>
          </w:p>
        </w:tc>
        <w:tc>
          <w:tcPr>
            <w:tcW w:w="733" w:type="dxa"/>
            <w:vMerge w:val="continue"/>
            <w:vAlign w:val="center"/>
          </w:tcPr>
          <w:p w14:paraId="7CA0158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6466A31">
            <w:pPr>
              <w:jc w:val="center"/>
              <w:rPr>
                <w:rFonts w:hint="eastAsia" w:ascii="宋体" w:hAnsi="宋体" w:eastAsia="宋体" w:cs="宋体"/>
                <w:b w:val="0"/>
                <w:bCs w:val="0"/>
                <w:color w:val="auto"/>
                <w:kern w:val="0"/>
                <w:sz w:val="20"/>
                <w:szCs w:val="20"/>
                <w:highlight w:val="none"/>
                <w:lang w:val="en-US" w:eastAsia="zh-CN" w:bidi="ar-SA"/>
              </w:rPr>
            </w:pPr>
          </w:p>
        </w:tc>
      </w:tr>
      <w:tr w14:paraId="0C159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45BDD7A">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6F22C346">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216A8FC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服务文档元数据管理</w:t>
            </w:r>
          </w:p>
        </w:tc>
        <w:tc>
          <w:tcPr>
            <w:tcW w:w="5476" w:type="dxa"/>
            <w:vAlign w:val="center"/>
          </w:tcPr>
          <w:p w14:paraId="2391BC78">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对数据源进行统一管理，可以形成管理文档</w:t>
            </w:r>
          </w:p>
        </w:tc>
        <w:tc>
          <w:tcPr>
            <w:tcW w:w="733" w:type="dxa"/>
            <w:vMerge w:val="continue"/>
            <w:vAlign w:val="center"/>
          </w:tcPr>
          <w:p w14:paraId="6FC2BF1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BCF47E4">
            <w:pPr>
              <w:jc w:val="center"/>
              <w:rPr>
                <w:rFonts w:hint="eastAsia" w:ascii="宋体" w:hAnsi="宋体" w:eastAsia="宋体" w:cs="宋体"/>
                <w:b w:val="0"/>
                <w:bCs w:val="0"/>
                <w:color w:val="auto"/>
                <w:kern w:val="0"/>
                <w:sz w:val="20"/>
                <w:szCs w:val="20"/>
                <w:highlight w:val="none"/>
                <w:lang w:val="en-US" w:eastAsia="zh-CN" w:bidi="ar-SA"/>
              </w:rPr>
            </w:pPr>
          </w:p>
        </w:tc>
      </w:tr>
      <w:tr w14:paraId="1A7BC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890A5BF">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restart"/>
            <w:vAlign w:val="center"/>
          </w:tcPr>
          <w:p w14:paraId="42AB0F1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BI分析系统</w:t>
            </w:r>
          </w:p>
        </w:tc>
        <w:tc>
          <w:tcPr>
            <w:tcW w:w="1824" w:type="dxa"/>
            <w:vAlign w:val="center"/>
          </w:tcPr>
          <w:p w14:paraId="5970CB4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目录管理</w:t>
            </w:r>
          </w:p>
        </w:tc>
        <w:tc>
          <w:tcPr>
            <w:tcW w:w="5476" w:type="dxa"/>
            <w:vAlign w:val="center"/>
          </w:tcPr>
          <w:p w14:paraId="29CE70E2">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对平台的目录树进行增加、删除、修改等操作，目录可以自由调整位置</w:t>
            </w:r>
          </w:p>
        </w:tc>
        <w:tc>
          <w:tcPr>
            <w:tcW w:w="733" w:type="dxa"/>
            <w:vMerge w:val="restart"/>
            <w:vAlign w:val="center"/>
          </w:tcPr>
          <w:p w14:paraId="156EB8E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7CFAF6D4">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30</w:t>
            </w:r>
          </w:p>
        </w:tc>
      </w:tr>
      <w:tr w14:paraId="4B49F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A63B791">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66882563">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3DA8D3F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权限管理</w:t>
            </w:r>
          </w:p>
        </w:tc>
        <w:tc>
          <w:tcPr>
            <w:tcW w:w="5476" w:type="dxa"/>
            <w:vAlign w:val="center"/>
          </w:tcPr>
          <w:p w14:paraId="19CED020">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可以对本系统内的功能及数据进行授权管理</w:t>
            </w:r>
          </w:p>
        </w:tc>
        <w:tc>
          <w:tcPr>
            <w:tcW w:w="733" w:type="dxa"/>
            <w:vMerge w:val="continue"/>
            <w:vAlign w:val="center"/>
          </w:tcPr>
          <w:p w14:paraId="4F07986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5AFD244">
            <w:pPr>
              <w:jc w:val="center"/>
              <w:rPr>
                <w:rFonts w:hint="eastAsia" w:ascii="宋体" w:hAnsi="宋体" w:eastAsia="宋体" w:cs="宋体"/>
                <w:b w:val="0"/>
                <w:bCs w:val="0"/>
                <w:color w:val="auto"/>
                <w:kern w:val="0"/>
                <w:sz w:val="20"/>
                <w:szCs w:val="20"/>
                <w:highlight w:val="none"/>
                <w:lang w:val="en-US" w:eastAsia="zh-CN" w:bidi="ar-SA"/>
              </w:rPr>
            </w:pPr>
          </w:p>
        </w:tc>
      </w:tr>
      <w:tr w14:paraId="5DEEA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A52BD93">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0E07FB67">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3B92A1A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数据连接管理</w:t>
            </w:r>
          </w:p>
        </w:tc>
        <w:tc>
          <w:tcPr>
            <w:tcW w:w="5476" w:type="dxa"/>
            <w:vAlign w:val="center"/>
          </w:tcPr>
          <w:p w14:paraId="2B354A25">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进行数据分析的第一步即获取数据，获取数据的第一步即定义数据来源</w:t>
            </w:r>
          </w:p>
        </w:tc>
        <w:tc>
          <w:tcPr>
            <w:tcW w:w="733" w:type="dxa"/>
            <w:vMerge w:val="continue"/>
            <w:vAlign w:val="center"/>
          </w:tcPr>
          <w:p w14:paraId="4D5C7D9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B8CDE23">
            <w:pPr>
              <w:jc w:val="center"/>
              <w:rPr>
                <w:rFonts w:hint="eastAsia" w:ascii="宋体" w:hAnsi="宋体" w:eastAsia="宋体" w:cs="宋体"/>
                <w:b w:val="0"/>
                <w:bCs w:val="0"/>
                <w:color w:val="auto"/>
                <w:kern w:val="0"/>
                <w:sz w:val="20"/>
                <w:szCs w:val="20"/>
                <w:highlight w:val="none"/>
                <w:lang w:val="en-US" w:eastAsia="zh-CN" w:bidi="ar-SA"/>
              </w:rPr>
            </w:pPr>
          </w:p>
        </w:tc>
      </w:tr>
      <w:tr w14:paraId="249E8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CF2B042">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3CE45DED">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6CEBDD5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定时调度管理</w:t>
            </w:r>
          </w:p>
        </w:tc>
        <w:tc>
          <w:tcPr>
            <w:tcW w:w="5476" w:type="dxa"/>
            <w:vAlign w:val="center"/>
          </w:tcPr>
          <w:p w14:paraId="6B033FE4">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支持用户方便快捷的设置日报、月报、季报、年报等任务。无需额外工作，设置定时调度任务后，服务器便会在指定的时间自动完成设定的任务</w:t>
            </w:r>
          </w:p>
        </w:tc>
        <w:tc>
          <w:tcPr>
            <w:tcW w:w="733" w:type="dxa"/>
            <w:vMerge w:val="continue"/>
            <w:vAlign w:val="center"/>
          </w:tcPr>
          <w:p w14:paraId="3EC9881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DD357C3">
            <w:pPr>
              <w:jc w:val="center"/>
              <w:rPr>
                <w:rFonts w:hint="eastAsia" w:ascii="宋体" w:hAnsi="宋体" w:eastAsia="宋体" w:cs="宋体"/>
                <w:b w:val="0"/>
                <w:bCs w:val="0"/>
                <w:color w:val="auto"/>
                <w:kern w:val="0"/>
                <w:sz w:val="20"/>
                <w:szCs w:val="20"/>
                <w:highlight w:val="none"/>
                <w:lang w:val="en-US" w:eastAsia="zh-CN" w:bidi="ar-SA"/>
              </w:rPr>
            </w:pPr>
          </w:p>
        </w:tc>
      </w:tr>
      <w:tr w14:paraId="70CB5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B7D6BA2">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5FBFCADD">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088CA4C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数据管理</w:t>
            </w:r>
          </w:p>
        </w:tc>
        <w:tc>
          <w:tcPr>
            <w:tcW w:w="5476" w:type="dxa"/>
            <w:vAlign w:val="center"/>
          </w:tcPr>
          <w:p w14:paraId="7EB53F99">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方便管理员对公共数据进行管理操作，包括：取消发布、停止更新、删除表等</w:t>
            </w:r>
          </w:p>
        </w:tc>
        <w:tc>
          <w:tcPr>
            <w:tcW w:w="733" w:type="dxa"/>
            <w:vMerge w:val="continue"/>
            <w:vAlign w:val="center"/>
          </w:tcPr>
          <w:p w14:paraId="3F0E2DF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00C3F44">
            <w:pPr>
              <w:jc w:val="center"/>
              <w:rPr>
                <w:rFonts w:hint="eastAsia" w:ascii="宋体" w:hAnsi="宋体" w:eastAsia="宋体" w:cs="宋体"/>
                <w:b w:val="0"/>
                <w:bCs w:val="0"/>
                <w:color w:val="auto"/>
                <w:kern w:val="0"/>
                <w:sz w:val="20"/>
                <w:szCs w:val="20"/>
                <w:highlight w:val="none"/>
                <w:lang w:val="en-US" w:eastAsia="zh-CN" w:bidi="ar-SA"/>
              </w:rPr>
            </w:pPr>
          </w:p>
        </w:tc>
      </w:tr>
      <w:tr w14:paraId="376E9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A96E5EB">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27D16624">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2BECD12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行列管理</w:t>
            </w:r>
          </w:p>
        </w:tc>
        <w:tc>
          <w:tcPr>
            <w:tcW w:w="5476" w:type="dxa"/>
            <w:vAlign w:val="center"/>
          </w:tcPr>
          <w:p w14:paraId="460C499A">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可以通过设置行列权限来实现不同用户查看不同的数据</w:t>
            </w:r>
          </w:p>
        </w:tc>
        <w:tc>
          <w:tcPr>
            <w:tcW w:w="733" w:type="dxa"/>
            <w:vMerge w:val="continue"/>
            <w:vAlign w:val="center"/>
          </w:tcPr>
          <w:p w14:paraId="3EC408B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BCA0FFF">
            <w:pPr>
              <w:jc w:val="center"/>
              <w:rPr>
                <w:rFonts w:hint="eastAsia" w:ascii="宋体" w:hAnsi="宋体" w:eastAsia="宋体" w:cs="宋体"/>
                <w:b w:val="0"/>
                <w:bCs w:val="0"/>
                <w:color w:val="auto"/>
                <w:kern w:val="0"/>
                <w:sz w:val="20"/>
                <w:szCs w:val="20"/>
                <w:highlight w:val="none"/>
                <w:lang w:val="en-US" w:eastAsia="zh-CN" w:bidi="ar-SA"/>
              </w:rPr>
            </w:pPr>
          </w:p>
        </w:tc>
      </w:tr>
      <w:tr w14:paraId="5B711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430D60B">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29D063BC">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055DAF7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发布管理</w:t>
            </w:r>
          </w:p>
        </w:tc>
        <w:tc>
          <w:tcPr>
            <w:tcW w:w="5476" w:type="dxa"/>
            <w:vAlign w:val="center"/>
          </w:tcPr>
          <w:p w14:paraId="62819BA2">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可以查看权限范围内设计用户申请发布/已发布的仪表板和数据集</w:t>
            </w:r>
          </w:p>
        </w:tc>
        <w:tc>
          <w:tcPr>
            <w:tcW w:w="733" w:type="dxa"/>
            <w:vMerge w:val="continue"/>
            <w:vAlign w:val="center"/>
          </w:tcPr>
          <w:p w14:paraId="3A18FE0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49B2F21">
            <w:pPr>
              <w:jc w:val="center"/>
              <w:rPr>
                <w:rFonts w:hint="eastAsia" w:ascii="宋体" w:hAnsi="宋体" w:eastAsia="宋体" w:cs="宋体"/>
                <w:b w:val="0"/>
                <w:bCs w:val="0"/>
                <w:color w:val="auto"/>
                <w:kern w:val="0"/>
                <w:sz w:val="20"/>
                <w:szCs w:val="20"/>
                <w:highlight w:val="none"/>
                <w:lang w:val="en-US" w:eastAsia="zh-CN" w:bidi="ar-SA"/>
              </w:rPr>
            </w:pPr>
          </w:p>
        </w:tc>
      </w:tr>
      <w:tr w14:paraId="131B9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AFA67A0">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34FC4843">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36D9142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外观管理</w:t>
            </w:r>
          </w:p>
        </w:tc>
        <w:tc>
          <w:tcPr>
            <w:tcW w:w="5476" w:type="dxa"/>
            <w:vAlign w:val="center"/>
          </w:tcPr>
          <w:p w14:paraId="7DE23F51">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在使用BI系统时，可以按照统一风格管理登录界面、平台系统风格等，最大程度的支持用户个性化设置</w:t>
            </w:r>
          </w:p>
        </w:tc>
        <w:tc>
          <w:tcPr>
            <w:tcW w:w="733" w:type="dxa"/>
            <w:vMerge w:val="continue"/>
            <w:vAlign w:val="center"/>
          </w:tcPr>
          <w:p w14:paraId="40CEABE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4E64C14">
            <w:pPr>
              <w:jc w:val="center"/>
              <w:rPr>
                <w:rFonts w:hint="eastAsia" w:ascii="宋体" w:hAnsi="宋体" w:eastAsia="宋体" w:cs="宋体"/>
                <w:b w:val="0"/>
                <w:bCs w:val="0"/>
                <w:color w:val="auto"/>
                <w:kern w:val="0"/>
                <w:sz w:val="20"/>
                <w:szCs w:val="20"/>
                <w:highlight w:val="none"/>
                <w:lang w:val="en-US" w:eastAsia="zh-CN" w:bidi="ar-SA"/>
              </w:rPr>
            </w:pPr>
          </w:p>
        </w:tc>
      </w:tr>
      <w:tr w14:paraId="22AFC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56E02AE">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56A0D22B">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397C07F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插件管理</w:t>
            </w:r>
          </w:p>
        </w:tc>
        <w:tc>
          <w:tcPr>
            <w:tcW w:w="5476" w:type="dxa"/>
            <w:vAlign w:val="center"/>
          </w:tcPr>
          <w:p w14:paraId="277DCD59">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插件管理器对插件进行管理，支持批量管理插件。</w:t>
            </w:r>
          </w:p>
        </w:tc>
        <w:tc>
          <w:tcPr>
            <w:tcW w:w="733" w:type="dxa"/>
            <w:vMerge w:val="continue"/>
            <w:vAlign w:val="center"/>
          </w:tcPr>
          <w:p w14:paraId="7A86279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8B6FDDE">
            <w:pPr>
              <w:jc w:val="center"/>
              <w:rPr>
                <w:rFonts w:hint="eastAsia" w:ascii="宋体" w:hAnsi="宋体" w:eastAsia="宋体" w:cs="宋体"/>
                <w:b w:val="0"/>
                <w:bCs w:val="0"/>
                <w:color w:val="auto"/>
                <w:kern w:val="0"/>
                <w:sz w:val="20"/>
                <w:szCs w:val="20"/>
                <w:highlight w:val="none"/>
                <w:lang w:val="en-US" w:eastAsia="zh-CN" w:bidi="ar-SA"/>
              </w:rPr>
            </w:pPr>
          </w:p>
        </w:tc>
      </w:tr>
      <w:tr w14:paraId="45D69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0F69133">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48A9BB32">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1B585B8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模板管理</w:t>
            </w:r>
          </w:p>
        </w:tc>
        <w:tc>
          <w:tcPr>
            <w:tcW w:w="5476" w:type="dxa"/>
            <w:vAlign w:val="center"/>
          </w:tcPr>
          <w:p w14:paraId="3A621077">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对于多次构建的组件可以设置成模板，再次使用的时候根据模板进行快速构建</w:t>
            </w:r>
          </w:p>
        </w:tc>
        <w:tc>
          <w:tcPr>
            <w:tcW w:w="733" w:type="dxa"/>
            <w:vMerge w:val="continue"/>
            <w:vAlign w:val="center"/>
          </w:tcPr>
          <w:p w14:paraId="2DE614D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3706E45">
            <w:pPr>
              <w:jc w:val="center"/>
              <w:rPr>
                <w:rFonts w:hint="eastAsia" w:ascii="宋体" w:hAnsi="宋体" w:eastAsia="宋体" w:cs="宋体"/>
                <w:b w:val="0"/>
                <w:bCs w:val="0"/>
                <w:color w:val="auto"/>
                <w:kern w:val="0"/>
                <w:sz w:val="20"/>
                <w:szCs w:val="20"/>
                <w:highlight w:val="none"/>
                <w:lang w:val="en-US" w:eastAsia="zh-CN" w:bidi="ar-SA"/>
              </w:rPr>
            </w:pPr>
          </w:p>
        </w:tc>
      </w:tr>
      <w:tr w14:paraId="153CA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9D3BF9E">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304F30E8">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0FECC49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可视化组件编辑器</w:t>
            </w:r>
          </w:p>
        </w:tc>
        <w:tc>
          <w:tcPr>
            <w:tcW w:w="5476" w:type="dxa"/>
            <w:vAlign w:val="center"/>
          </w:tcPr>
          <w:p w14:paraId="6E37191D">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在分析主题中点击组件，进入组件编辑界面，即可直接编辑组件</w:t>
            </w:r>
          </w:p>
        </w:tc>
        <w:tc>
          <w:tcPr>
            <w:tcW w:w="733" w:type="dxa"/>
            <w:vMerge w:val="continue"/>
            <w:vAlign w:val="center"/>
          </w:tcPr>
          <w:p w14:paraId="1CF8681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4AE047F">
            <w:pPr>
              <w:jc w:val="center"/>
              <w:rPr>
                <w:rFonts w:hint="eastAsia" w:ascii="宋体" w:hAnsi="宋体" w:eastAsia="宋体" w:cs="宋体"/>
                <w:b w:val="0"/>
                <w:bCs w:val="0"/>
                <w:color w:val="auto"/>
                <w:kern w:val="0"/>
                <w:sz w:val="20"/>
                <w:szCs w:val="20"/>
                <w:highlight w:val="none"/>
                <w:lang w:val="en-US" w:eastAsia="zh-CN" w:bidi="ar-SA"/>
              </w:rPr>
            </w:pPr>
          </w:p>
        </w:tc>
      </w:tr>
      <w:tr w14:paraId="510CE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BD41360">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30C63638">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22ED071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仪表盘编辑器</w:t>
            </w:r>
          </w:p>
        </w:tc>
        <w:tc>
          <w:tcPr>
            <w:tcW w:w="5476" w:type="dxa"/>
            <w:vAlign w:val="center"/>
          </w:tcPr>
          <w:p w14:paraId="1D1D2AF7">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将以构建组件进行组合展示</w:t>
            </w:r>
          </w:p>
        </w:tc>
        <w:tc>
          <w:tcPr>
            <w:tcW w:w="733" w:type="dxa"/>
            <w:vMerge w:val="continue"/>
            <w:vAlign w:val="center"/>
          </w:tcPr>
          <w:p w14:paraId="1067E0F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C03360F">
            <w:pPr>
              <w:jc w:val="center"/>
              <w:rPr>
                <w:rFonts w:hint="eastAsia" w:ascii="宋体" w:hAnsi="宋体" w:eastAsia="宋体" w:cs="宋体"/>
                <w:b w:val="0"/>
                <w:bCs w:val="0"/>
                <w:color w:val="auto"/>
                <w:kern w:val="0"/>
                <w:sz w:val="20"/>
                <w:szCs w:val="20"/>
                <w:highlight w:val="none"/>
                <w:lang w:val="en-US" w:eastAsia="zh-CN" w:bidi="ar-SA"/>
              </w:rPr>
            </w:pPr>
          </w:p>
        </w:tc>
      </w:tr>
      <w:tr w14:paraId="39520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8945CF4">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576188E4">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4048C08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系统加速设置</w:t>
            </w:r>
          </w:p>
        </w:tc>
        <w:tc>
          <w:tcPr>
            <w:tcW w:w="5476" w:type="dxa"/>
            <w:vAlign w:val="center"/>
          </w:tcPr>
          <w:p w14:paraId="67BFA2EE">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在直连数据模式下，加速引擎可以提高大数据场景下数据应用的效率，实现更高的性能和满足大规模数据处理的需求</w:t>
            </w:r>
          </w:p>
        </w:tc>
        <w:tc>
          <w:tcPr>
            <w:tcW w:w="733" w:type="dxa"/>
            <w:vMerge w:val="continue"/>
            <w:vAlign w:val="center"/>
          </w:tcPr>
          <w:p w14:paraId="3FAAE31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F034369">
            <w:pPr>
              <w:jc w:val="center"/>
              <w:rPr>
                <w:rFonts w:hint="eastAsia" w:ascii="宋体" w:hAnsi="宋体" w:eastAsia="宋体" w:cs="宋体"/>
                <w:b w:val="0"/>
                <w:bCs w:val="0"/>
                <w:color w:val="auto"/>
                <w:kern w:val="0"/>
                <w:sz w:val="20"/>
                <w:szCs w:val="20"/>
                <w:highlight w:val="none"/>
                <w:lang w:val="en-US" w:eastAsia="zh-CN" w:bidi="ar-SA"/>
              </w:rPr>
            </w:pPr>
          </w:p>
        </w:tc>
      </w:tr>
      <w:tr w14:paraId="39489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0B71522">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0A02918C">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16540F2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BI日志</w:t>
            </w:r>
          </w:p>
        </w:tc>
        <w:tc>
          <w:tcPr>
            <w:tcW w:w="5476" w:type="dxa"/>
            <w:vAlign w:val="center"/>
          </w:tcPr>
          <w:p w14:paraId="56874F48">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系统情况是对系统运行的各项情况进行监控分析，通过此功能可以查看到系统运行状态的各种指标</w:t>
            </w:r>
          </w:p>
        </w:tc>
        <w:tc>
          <w:tcPr>
            <w:tcW w:w="733" w:type="dxa"/>
            <w:vMerge w:val="continue"/>
            <w:vAlign w:val="center"/>
          </w:tcPr>
          <w:p w14:paraId="646DE97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A105440">
            <w:pPr>
              <w:jc w:val="center"/>
              <w:rPr>
                <w:rFonts w:hint="eastAsia" w:ascii="宋体" w:hAnsi="宋体" w:eastAsia="宋体" w:cs="宋体"/>
                <w:b w:val="0"/>
                <w:bCs w:val="0"/>
                <w:color w:val="auto"/>
                <w:kern w:val="0"/>
                <w:sz w:val="20"/>
                <w:szCs w:val="20"/>
                <w:highlight w:val="none"/>
                <w:lang w:val="en-US" w:eastAsia="zh-CN" w:bidi="ar-SA"/>
              </w:rPr>
            </w:pPr>
          </w:p>
        </w:tc>
      </w:tr>
      <w:tr w14:paraId="48C0D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08C4EAC">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5A613C79">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1D0BCD0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安全管理</w:t>
            </w:r>
          </w:p>
        </w:tc>
        <w:tc>
          <w:tcPr>
            <w:tcW w:w="5476" w:type="dxa"/>
            <w:vAlign w:val="center"/>
          </w:tcPr>
          <w:p w14:paraId="0B59CE46">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通过安全防护、访问控制、SQL 防注入、全局水印方式，以修补漏洞和主动防御两个方面去提升应用安全</w:t>
            </w:r>
          </w:p>
        </w:tc>
        <w:tc>
          <w:tcPr>
            <w:tcW w:w="733" w:type="dxa"/>
            <w:vMerge w:val="continue"/>
            <w:vAlign w:val="center"/>
          </w:tcPr>
          <w:p w14:paraId="679A76E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9051924">
            <w:pPr>
              <w:jc w:val="center"/>
              <w:rPr>
                <w:rFonts w:hint="eastAsia" w:ascii="宋体" w:hAnsi="宋体" w:eastAsia="宋体" w:cs="宋体"/>
                <w:b w:val="0"/>
                <w:bCs w:val="0"/>
                <w:color w:val="auto"/>
                <w:kern w:val="0"/>
                <w:sz w:val="20"/>
                <w:szCs w:val="20"/>
                <w:highlight w:val="none"/>
                <w:lang w:val="en-US" w:eastAsia="zh-CN" w:bidi="ar-SA"/>
              </w:rPr>
            </w:pPr>
          </w:p>
        </w:tc>
      </w:tr>
      <w:tr w14:paraId="6E50D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C2A316B">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00198AFE">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61BE571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水印设置</w:t>
            </w:r>
          </w:p>
        </w:tc>
        <w:tc>
          <w:tcPr>
            <w:tcW w:w="5476" w:type="dxa"/>
            <w:vAlign w:val="center"/>
          </w:tcPr>
          <w:p w14:paraId="6D62B048">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通过水印设置防护系统内数据泄露</w:t>
            </w:r>
          </w:p>
        </w:tc>
        <w:tc>
          <w:tcPr>
            <w:tcW w:w="733" w:type="dxa"/>
            <w:vMerge w:val="continue"/>
            <w:vAlign w:val="center"/>
          </w:tcPr>
          <w:p w14:paraId="2FB092F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EA5FE47">
            <w:pPr>
              <w:jc w:val="center"/>
              <w:rPr>
                <w:rFonts w:hint="eastAsia" w:ascii="宋体" w:hAnsi="宋体" w:eastAsia="宋体" w:cs="宋体"/>
                <w:b w:val="0"/>
                <w:bCs w:val="0"/>
                <w:color w:val="auto"/>
                <w:kern w:val="0"/>
                <w:sz w:val="20"/>
                <w:szCs w:val="20"/>
                <w:highlight w:val="none"/>
                <w:lang w:val="en-US" w:eastAsia="zh-CN" w:bidi="ar-SA"/>
              </w:rPr>
            </w:pPr>
          </w:p>
        </w:tc>
      </w:tr>
      <w:tr w14:paraId="60674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A484B65">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57DC0139">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37EC6B7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磁盘管理</w:t>
            </w:r>
          </w:p>
        </w:tc>
        <w:tc>
          <w:tcPr>
            <w:tcW w:w="5476" w:type="dxa"/>
            <w:vAlign w:val="center"/>
          </w:tcPr>
          <w:p w14:paraId="709C680C">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是对磁盘常用目录的增减情况进行监控，用于做磁盘异常预警</w:t>
            </w:r>
          </w:p>
        </w:tc>
        <w:tc>
          <w:tcPr>
            <w:tcW w:w="733" w:type="dxa"/>
            <w:vMerge w:val="continue"/>
            <w:vAlign w:val="center"/>
          </w:tcPr>
          <w:p w14:paraId="145FD94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866ABE1">
            <w:pPr>
              <w:jc w:val="center"/>
              <w:rPr>
                <w:rFonts w:hint="eastAsia" w:ascii="宋体" w:hAnsi="宋体" w:eastAsia="宋体" w:cs="宋体"/>
                <w:b w:val="0"/>
                <w:bCs w:val="0"/>
                <w:color w:val="auto"/>
                <w:kern w:val="0"/>
                <w:sz w:val="20"/>
                <w:szCs w:val="20"/>
                <w:highlight w:val="none"/>
                <w:lang w:val="en-US" w:eastAsia="zh-CN" w:bidi="ar-SA"/>
              </w:rPr>
            </w:pPr>
          </w:p>
        </w:tc>
      </w:tr>
      <w:tr w14:paraId="3CE4B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DD9BC60">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restart"/>
            <w:vAlign w:val="center"/>
          </w:tcPr>
          <w:p w14:paraId="3CCCDA4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实施对接</w:t>
            </w:r>
          </w:p>
        </w:tc>
        <w:tc>
          <w:tcPr>
            <w:tcW w:w="1824" w:type="dxa"/>
            <w:vAlign w:val="center"/>
          </w:tcPr>
          <w:p w14:paraId="3D00831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电子病历数据对接</w:t>
            </w:r>
          </w:p>
        </w:tc>
        <w:tc>
          <w:tcPr>
            <w:tcW w:w="5476" w:type="dxa"/>
            <w:vAlign w:val="center"/>
          </w:tcPr>
          <w:p w14:paraId="27987A08">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提供多种方式与电子病历进行对接，可通过数据库对接或接口方式对接</w:t>
            </w:r>
          </w:p>
        </w:tc>
        <w:tc>
          <w:tcPr>
            <w:tcW w:w="733" w:type="dxa"/>
            <w:vMerge w:val="restart"/>
            <w:vAlign w:val="center"/>
          </w:tcPr>
          <w:p w14:paraId="285851A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67840266">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27.5</w:t>
            </w:r>
          </w:p>
        </w:tc>
      </w:tr>
      <w:tr w14:paraId="3AE55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AC67171">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65DD1A58">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1CEDDE5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健康档案数据对接</w:t>
            </w:r>
          </w:p>
        </w:tc>
        <w:tc>
          <w:tcPr>
            <w:tcW w:w="5476" w:type="dxa"/>
            <w:vAlign w:val="center"/>
          </w:tcPr>
          <w:p w14:paraId="735799A9">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提供多种方式与健康档案进行对接，可通过数据库对接或接口方式对接</w:t>
            </w:r>
          </w:p>
        </w:tc>
        <w:tc>
          <w:tcPr>
            <w:tcW w:w="733" w:type="dxa"/>
            <w:vMerge w:val="continue"/>
            <w:vAlign w:val="center"/>
          </w:tcPr>
          <w:p w14:paraId="780B1F1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5521B02">
            <w:pPr>
              <w:jc w:val="center"/>
              <w:rPr>
                <w:rFonts w:hint="eastAsia" w:ascii="宋体" w:hAnsi="宋体" w:eastAsia="宋体" w:cs="宋体"/>
                <w:b w:val="0"/>
                <w:bCs w:val="0"/>
                <w:color w:val="auto"/>
                <w:kern w:val="0"/>
                <w:sz w:val="20"/>
                <w:szCs w:val="20"/>
                <w:highlight w:val="none"/>
                <w:lang w:val="en-US" w:eastAsia="zh-CN" w:bidi="ar-SA"/>
              </w:rPr>
            </w:pPr>
          </w:p>
        </w:tc>
      </w:tr>
      <w:tr w14:paraId="22C11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72E0E22">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7F2491A5">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5C8A8F6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区域检验中心</w:t>
            </w:r>
          </w:p>
        </w:tc>
        <w:tc>
          <w:tcPr>
            <w:tcW w:w="5476" w:type="dxa"/>
            <w:vAlign w:val="center"/>
          </w:tcPr>
          <w:p w14:paraId="0961472D">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对接区域检验中心数据与接口</w:t>
            </w:r>
          </w:p>
        </w:tc>
        <w:tc>
          <w:tcPr>
            <w:tcW w:w="733" w:type="dxa"/>
            <w:vMerge w:val="continue"/>
            <w:vAlign w:val="center"/>
          </w:tcPr>
          <w:p w14:paraId="6298661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07BA920">
            <w:pPr>
              <w:jc w:val="center"/>
              <w:rPr>
                <w:rFonts w:hint="eastAsia" w:ascii="宋体" w:hAnsi="宋体" w:eastAsia="宋体" w:cs="宋体"/>
                <w:b w:val="0"/>
                <w:bCs w:val="0"/>
                <w:color w:val="auto"/>
                <w:kern w:val="0"/>
                <w:sz w:val="20"/>
                <w:szCs w:val="20"/>
                <w:highlight w:val="none"/>
                <w:lang w:val="en-US" w:eastAsia="zh-CN" w:bidi="ar-SA"/>
              </w:rPr>
            </w:pPr>
          </w:p>
        </w:tc>
      </w:tr>
      <w:tr w14:paraId="79626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F63870A">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6776D98A">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33BB6EF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网络心电中心</w:t>
            </w:r>
          </w:p>
        </w:tc>
        <w:tc>
          <w:tcPr>
            <w:tcW w:w="5476" w:type="dxa"/>
            <w:vAlign w:val="center"/>
          </w:tcPr>
          <w:p w14:paraId="6EFAC55A">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对接网络心电中心数据与接口</w:t>
            </w:r>
          </w:p>
        </w:tc>
        <w:tc>
          <w:tcPr>
            <w:tcW w:w="733" w:type="dxa"/>
            <w:vMerge w:val="continue"/>
            <w:vAlign w:val="center"/>
          </w:tcPr>
          <w:p w14:paraId="2A93CD1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BE447F6">
            <w:pPr>
              <w:jc w:val="center"/>
              <w:rPr>
                <w:rFonts w:hint="eastAsia" w:ascii="宋体" w:hAnsi="宋体" w:eastAsia="宋体" w:cs="宋体"/>
                <w:b w:val="0"/>
                <w:bCs w:val="0"/>
                <w:color w:val="auto"/>
                <w:kern w:val="0"/>
                <w:sz w:val="20"/>
                <w:szCs w:val="20"/>
                <w:highlight w:val="none"/>
                <w:lang w:val="en-US" w:eastAsia="zh-CN" w:bidi="ar-SA"/>
              </w:rPr>
            </w:pPr>
          </w:p>
        </w:tc>
      </w:tr>
      <w:tr w14:paraId="71032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F19FA1D">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26BDA3EC">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47409A8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影像云诊中心</w:t>
            </w:r>
          </w:p>
        </w:tc>
        <w:tc>
          <w:tcPr>
            <w:tcW w:w="5476" w:type="dxa"/>
            <w:vAlign w:val="center"/>
          </w:tcPr>
          <w:p w14:paraId="47C3D02A">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对接影像云诊中心数据与接口</w:t>
            </w:r>
          </w:p>
        </w:tc>
        <w:tc>
          <w:tcPr>
            <w:tcW w:w="733" w:type="dxa"/>
            <w:vMerge w:val="continue"/>
            <w:vAlign w:val="center"/>
          </w:tcPr>
          <w:p w14:paraId="377018D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7F20436">
            <w:pPr>
              <w:jc w:val="center"/>
              <w:rPr>
                <w:rFonts w:hint="eastAsia" w:ascii="宋体" w:hAnsi="宋体" w:eastAsia="宋体" w:cs="宋体"/>
                <w:b w:val="0"/>
                <w:bCs w:val="0"/>
                <w:color w:val="auto"/>
                <w:kern w:val="0"/>
                <w:sz w:val="20"/>
                <w:szCs w:val="20"/>
                <w:highlight w:val="none"/>
                <w:lang w:val="en-US" w:eastAsia="zh-CN" w:bidi="ar-SA"/>
              </w:rPr>
            </w:pPr>
          </w:p>
        </w:tc>
      </w:tr>
      <w:tr w14:paraId="6D6F6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97EA882">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5F892854">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60CD8B6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智慧急救中心</w:t>
            </w:r>
          </w:p>
        </w:tc>
        <w:tc>
          <w:tcPr>
            <w:tcW w:w="5476" w:type="dxa"/>
            <w:vAlign w:val="center"/>
          </w:tcPr>
          <w:p w14:paraId="52C6D64C">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对接智慧急救中心数据与接口</w:t>
            </w:r>
          </w:p>
        </w:tc>
        <w:tc>
          <w:tcPr>
            <w:tcW w:w="733" w:type="dxa"/>
            <w:vMerge w:val="continue"/>
            <w:vAlign w:val="center"/>
          </w:tcPr>
          <w:p w14:paraId="5FC06DB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48EB559">
            <w:pPr>
              <w:jc w:val="center"/>
              <w:rPr>
                <w:rFonts w:hint="eastAsia" w:ascii="宋体" w:hAnsi="宋体" w:eastAsia="宋体" w:cs="宋体"/>
                <w:b w:val="0"/>
                <w:bCs w:val="0"/>
                <w:color w:val="auto"/>
                <w:kern w:val="0"/>
                <w:sz w:val="20"/>
                <w:szCs w:val="20"/>
                <w:highlight w:val="none"/>
                <w:lang w:val="en-US" w:eastAsia="zh-CN" w:bidi="ar-SA"/>
              </w:rPr>
            </w:pPr>
          </w:p>
        </w:tc>
      </w:tr>
      <w:tr w14:paraId="2959F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78B37FB">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4D48376C">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4B9EE68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远程会诊中心</w:t>
            </w:r>
          </w:p>
        </w:tc>
        <w:tc>
          <w:tcPr>
            <w:tcW w:w="5476" w:type="dxa"/>
            <w:vAlign w:val="center"/>
          </w:tcPr>
          <w:p w14:paraId="3721CDA2">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对接远程会诊中心数据与接口</w:t>
            </w:r>
          </w:p>
        </w:tc>
        <w:tc>
          <w:tcPr>
            <w:tcW w:w="733" w:type="dxa"/>
            <w:vMerge w:val="continue"/>
            <w:vAlign w:val="center"/>
          </w:tcPr>
          <w:p w14:paraId="234F0ED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85FB59E">
            <w:pPr>
              <w:jc w:val="center"/>
              <w:rPr>
                <w:rFonts w:hint="eastAsia" w:ascii="宋体" w:hAnsi="宋体" w:eastAsia="宋体" w:cs="宋体"/>
                <w:b w:val="0"/>
                <w:bCs w:val="0"/>
                <w:color w:val="auto"/>
                <w:kern w:val="0"/>
                <w:sz w:val="20"/>
                <w:szCs w:val="20"/>
                <w:highlight w:val="none"/>
                <w:lang w:val="en-US" w:eastAsia="zh-CN" w:bidi="ar-SA"/>
              </w:rPr>
            </w:pPr>
          </w:p>
        </w:tc>
      </w:tr>
      <w:tr w14:paraId="59899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9E3F264">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2FBDEC45">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6600F0F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集中审方中心</w:t>
            </w:r>
          </w:p>
        </w:tc>
        <w:tc>
          <w:tcPr>
            <w:tcW w:w="5476" w:type="dxa"/>
            <w:vAlign w:val="center"/>
          </w:tcPr>
          <w:p w14:paraId="22A0F22A">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对接集中审方中心数据与接口</w:t>
            </w:r>
          </w:p>
        </w:tc>
        <w:tc>
          <w:tcPr>
            <w:tcW w:w="733" w:type="dxa"/>
            <w:vMerge w:val="continue"/>
            <w:vAlign w:val="center"/>
          </w:tcPr>
          <w:p w14:paraId="72CA5CA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54D93CB">
            <w:pPr>
              <w:jc w:val="center"/>
              <w:rPr>
                <w:rFonts w:hint="eastAsia" w:ascii="宋体" w:hAnsi="宋体" w:eastAsia="宋体" w:cs="宋体"/>
                <w:b w:val="0"/>
                <w:bCs w:val="0"/>
                <w:color w:val="auto"/>
                <w:kern w:val="0"/>
                <w:sz w:val="20"/>
                <w:szCs w:val="20"/>
                <w:highlight w:val="none"/>
                <w:lang w:val="en-US" w:eastAsia="zh-CN" w:bidi="ar-SA"/>
              </w:rPr>
            </w:pPr>
          </w:p>
        </w:tc>
      </w:tr>
      <w:tr w14:paraId="5E080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6CBE3F2">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5335F62C">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7C347E2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健康随访中心</w:t>
            </w:r>
          </w:p>
        </w:tc>
        <w:tc>
          <w:tcPr>
            <w:tcW w:w="5476" w:type="dxa"/>
            <w:vAlign w:val="center"/>
          </w:tcPr>
          <w:p w14:paraId="374DD805">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对接健康随访中心数据与接口</w:t>
            </w:r>
          </w:p>
        </w:tc>
        <w:tc>
          <w:tcPr>
            <w:tcW w:w="733" w:type="dxa"/>
            <w:vMerge w:val="continue"/>
            <w:vAlign w:val="center"/>
          </w:tcPr>
          <w:p w14:paraId="2B60E6D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9D54324">
            <w:pPr>
              <w:jc w:val="center"/>
              <w:rPr>
                <w:rFonts w:hint="eastAsia" w:ascii="宋体" w:hAnsi="宋体" w:eastAsia="宋体" w:cs="宋体"/>
                <w:b w:val="0"/>
                <w:bCs w:val="0"/>
                <w:color w:val="auto"/>
                <w:kern w:val="0"/>
                <w:sz w:val="20"/>
                <w:szCs w:val="20"/>
                <w:highlight w:val="none"/>
                <w:lang w:val="en-US" w:eastAsia="zh-CN" w:bidi="ar-SA"/>
              </w:rPr>
            </w:pPr>
          </w:p>
        </w:tc>
      </w:tr>
      <w:tr w14:paraId="38A2A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7036896">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12F90EAE">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29B1C42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医护调度中心</w:t>
            </w:r>
          </w:p>
        </w:tc>
        <w:tc>
          <w:tcPr>
            <w:tcW w:w="5476" w:type="dxa"/>
            <w:vAlign w:val="center"/>
          </w:tcPr>
          <w:p w14:paraId="563F7827">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对接医护调度中心数据与接口</w:t>
            </w:r>
          </w:p>
        </w:tc>
        <w:tc>
          <w:tcPr>
            <w:tcW w:w="733" w:type="dxa"/>
            <w:vMerge w:val="continue"/>
            <w:vAlign w:val="center"/>
          </w:tcPr>
          <w:p w14:paraId="0954685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253E2A7">
            <w:pPr>
              <w:jc w:val="center"/>
              <w:rPr>
                <w:rFonts w:hint="eastAsia" w:ascii="宋体" w:hAnsi="宋体" w:eastAsia="宋体" w:cs="宋体"/>
                <w:b w:val="0"/>
                <w:bCs w:val="0"/>
                <w:color w:val="auto"/>
                <w:kern w:val="0"/>
                <w:sz w:val="20"/>
                <w:szCs w:val="20"/>
                <w:highlight w:val="none"/>
                <w:lang w:val="en-US" w:eastAsia="zh-CN" w:bidi="ar-SA"/>
              </w:rPr>
            </w:pPr>
          </w:p>
        </w:tc>
      </w:tr>
      <w:tr w14:paraId="12971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6B31D87">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352E6652">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7C724FD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药物配供中心</w:t>
            </w:r>
          </w:p>
        </w:tc>
        <w:tc>
          <w:tcPr>
            <w:tcW w:w="5476" w:type="dxa"/>
            <w:vAlign w:val="center"/>
          </w:tcPr>
          <w:p w14:paraId="077967B5">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对接药物配供中心数据与接口</w:t>
            </w:r>
          </w:p>
        </w:tc>
        <w:tc>
          <w:tcPr>
            <w:tcW w:w="733" w:type="dxa"/>
            <w:vMerge w:val="continue"/>
            <w:vAlign w:val="center"/>
          </w:tcPr>
          <w:p w14:paraId="2A0E0F3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7ED34D1">
            <w:pPr>
              <w:jc w:val="center"/>
              <w:rPr>
                <w:rFonts w:hint="eastAsia" w:ascii="宋体" w:hAnsi="宋体" w:eastAsia="宋体" w:cs="宋体"/>
                <w:b w:val="0"/>
                <w:bCs w:val="0"/>
                <w:color w:val="auto"/>
                <w:kern w:val="0"/>
                <w:sz w:val="20"/>
                <w:szCs w:val="20"/>
                <w:highlight w:val="none"/>
                <w:lang w:val="en-US" w:eastAsia="zh-CN" w:bidi="ar-SA"/>
              </w:rPr>
            </w:pPr>
          </w:p>
        </w:tc>
      </w:tr>
      <w:tr w14:paraId="65EAD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5F25723">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1D0C8E65">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0A552DE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消毒供应中心</w:t>
            </w:r>
          </w:p>
        </w:tc>
        <w:tc>
          <w:tcPr>
            <w:tcW w:w="5476" w:type="dxa"/>
            <w:vAlign w:val="center"/>
          </w:tcPr>
          <w:p w14:paraId="2FD6E577">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对接消毒供应中心数据与接口</w:t>
            </w:r>
          </w:p>
        </w:tc>
        <w:tc>
          <w:tcPr>
            <w:tcW w:w="733" w:type="dxa"/>
            <w:vMerge w:val="continue"/>
            <w:vAlign w:val="center"/>
          </w:tcPr>
          <w:p w14:paraId="7BF4C41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10479BA">
            <w:pPr>
              <w:jc w:val="center"/>
              <w:rPr>
                <w:rFonts w:hint="eastAsia" w:ascii="宋体" w:hAnsi="宋体" w:eastAsia="宋体" w:cs="宋体"/>
                <w:b w:val="0"/>
                <w:bCs w:val="0"/>
                <w:color w:val="auto"/>
                <w:kern w:val="0"/>
                <w:sz w:val="20"/>
                <w:szCs w:val="20"/>
                <w:highlight w:val="none"/>
                <w:lang w:val="en-US" w:eastAsia="zh-CN" w:bidi="ar-SA"/>
              </w:rPr>
            </w:pPr>
          </w:p>
        </w:tc>
      </w:tr>
      <w:tr w14:paraId="7F063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238E210">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6A941159">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24BFEF8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家医服务中心</w:t>
            </w:r>
          </w:p>
        </w:tc>
        <w:tc>
          <w:tcPr>
            <w:tcW w:w="5476" w:type="dxa"/>
            <w:vAlign w:val="center"/>
          </w:tcPr>
          <w:p w14:paraId="65D5EAAE">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对接家医服务中心数据与接口</w:t>
            </w:r>
          </w:p>
        </w:tc>
        <w:tc>
          <w:tcPr>
            <w:tcW w:w="733" w:type="dxa"/>
            <w:vMerge w:val="continue"/>
            <w:vAlign w:val="center"/>
          </w:tcPr>
          <w:p w14:paraId="4600079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BFFD78A">
            <w:pPr>
              <w:jc w:val="center"/>
              <w:rPr>
                <w:rFonts w:hint="eastAsia" w:ascii="宋体" w:hAnsi="宋体" w:eastAsia="宋体" w:cs="宋体"/>
                <w:b w:val="0"/>
                <w:bCs w:val="0"/>
                <w:color w:val="auto"/>
                <w:kern w:val="0"/>
                <w:sz w:val="20"/>
                <w:szCs w:val="20"/>
                <w:highlight w:val="none"/>
                <w:lang w:val="en-US" w:eastAsia="zh-CN" w:bidi="ar-SA"/>
              </w:rPr>
            </w:pPr>
          </w:p>
        </w:tc>
      </w:tr>
      <w:tr w14:paraId="0BBE9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FC4BED9">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7B2B2287">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6D9DEE2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医疗质控中心</w:t>
            </w:r>
          </w:p>
        </w:tc>
        <w:tc>
          <w:tcPr>
            <w:tcW w:w="5476" w:type="dxa"/>
            <w:vAlign w:val="center"/>
          </w:tcPr>
          <w:p w14:paraId="2811A71E">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对接医疗质控中心数据与接口</w:t>
            </w:r>
          </w:p>
        </w:tc>
        <w:tc>
          <w:tcPr>
            <w:tcW w:w="733" w:type="dxa"/>
            <w:vMerge w:val="continue"/>
            <w:vAlign w:val="center"/>
          </w:tcPr>
          <w:p w14:paraId="39FFDB2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508C956">
            <w:pPr>
              <w:jc w:val="center"/>
              <w:rPr>
                <w:rFonts w:hint="eastAsia" w:ascii="宋体" w:hAnsi="宋体" w:eastAsia="宋体" w:cs="宋体"/>
                <w:b w:val="0"/>
                <w:bCs w:val="0"/>
                <w:color w:val="auto"/>
                <w:kern w:val="0"/>
                <w:sz w:val="20"/>
                <w:szCs w:val="20"/>
                <w:highlight w:val="none"/>
                <w:lang w:val="en-US" w:eastAsia="zh-CN" w:bidi="ar-SA"/>
              </w:rPr>
            </w:pPr>
          </w:p>
        </w:tc>
      </w:tr>
      <w:tr w14:paraId="2667F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A2853FF">
            <w:pPr>
              <w:keepNext w:val="0"/>
              <w:keepLines w:val="0"/>
              <w:widowControl/>
              <w:numPr>
                <w:ilvl w:val="0"/>
                <w:numId w:val="13"/>
              </w:numPr>
              <w:suppressLineNumbers w:val="0"/>
              <w:ind w:left="454" w:leftChars="0" w:hanging="454" w:firstLineChars="0"/>
              <w:jc w:val="right"/>
              <w:textAlignment w:val="center"/>
              <w:rPr>
                <w:rFonts w:hint="eastAsia" w:ascii="仿宋" w:hAnsi="仿宋" w:eastAsia="仿宋" w:cs="宋体"/>
                <w:color w:val="auto"/>
                <w:sz w:val="22"/>
                <w:szCs w:val="22"/>
                <w:highlight w:val="none"/>
                <w:lang w:val="en-US" w:eastAsia="zh-CN"/>
              </w:rPr>
            </w:pPr>
          </w:p>
        </w:tc>
        <w:tc>
          <w:tcPr>
            <w:tcW w:w="1020" w:type="dxa"/>
            <w:gridSpan w:val="2"/>
            <w:vMerge w:val="continue"/>
            <w:vAlign w:val="center"/>
          </w:tcPr>
          <w:p w14:paraId="75D66017">
            <w:pPr>
              <w:jc w:val="center"/>
              <w:rPr>
                <w:rFonts w:hint="eastAsia" w:ascii="宋体" w:hAnsi="宋体" w:eastAsia="宋体" w:cs="宋体"/>
                <w:b w:val="0"/>
                <w:bCs w:val="0"/>
                <w:color w:val="auto"/>
                <w:kern w:val="0"/>
                <w:sz w:val="20"/>
                <w:szCs w:val="20"/>
                <w:highlight w:val="none"/>
                <w:lang w:val="en-US" w:eastAsia="zh-CN" w:bidi="ar-SA"/>
              </w:rPr>
            </w:pPr>
          </w:p>
        </w:tc>
        <w:tc>
          <w:tcPr>
            <w:tcW w:w="1824" w:type="dxa"/>
            <w:vAlign w:val="center"/>
          </w:tcPr>
          <w:p w14:paraId="55B07F4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运维监管中心</w:t>
            </w:r>
          </w:p>
        </w:tc>
        <w:tc>
          <w:tcPr>
            <w:tcW w:w="5476" w:type="dxa"/>
            <w:vAlign w:val="center"/>
          </w:tcPr>
          <w:p w14:paraId="407B4E86">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对接运维监管中心数据与接口</w:t>
            </w:r>
          </w:p>
        </w:tc>
        <w:tc>
          <w:tcPr>
            <w:tcW w:w="733" w:type="dxa"/>
            <w:vMerge w:val="continue"/>
            <w:vAlign w:val="center"/>
          </w:tcPr>
          <w:p w14:paraId="0ACCB46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BAAC747">
            <w:pPr>
              <w:jc w:val="center"/>
              <w:rPr>
                <w:rFonts w:hint="eastAsia" w:ascii="宋体" w:hAnsi="宋体" w:eastAsia="宋体" w:cs="宋体"/>
                <w:b w:val="0"/>
                <w:bCs w:val="0"/>
                <w:color w:val="auto"/>
                <w:kern w:val="0"/>
                <w:sz w:val="20"/>
                <w:szCs w:val="20"/>
                <w:highlight w:val="none"/>
                <w:lang w:val="en-US" w:eastAsia="zh-CN" w:bidi="ar-SA"/>
              </w:rPr>
            </w:pPr>
          </w:p>
        </w:tc>
      </w:tr>
    </w:tbl>
    <w:p w14:paraId="50DC6D85">
      <w:pPr>
        <w:pStyle w:val="2"/>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both"/>
        <w:textAlignment w:val="auto"/>
        <w:rPr>
          <w:rFonts w:hint="eastAsia" w:ascii="宋体" w:hAnsi="宋体" w:eastAsia="宋体" w:cs="宋体"/>
          <w:highlight w:val="yellow"/>
          <w:lang w:val="en-US" w:eastAsia="zh-CN"/>
        </w:rPr>
      </w:pPr>
      <w:r>
        <w:rPr>
          <w:rFonts w:hint="eastAsia" w:ascii="宋体" w:hAnsi="宋体" w:eastAsia="宋体" w:cs="宋体"/>
          <w:highlight w:val="yellow"/>
          <w:lang w:val="en-US" w:eastAsia="zh-CN"/>
        </w:rPr>
        <w:t>（二）-14：智慧急救中心（硬件）</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1378"/>
        <w:gridCol w:w="1400"/>
        <w:gridCol w:w="5542"/>
        <w:gridCol w:w="733"/>
        <w:gridCol w:w="714"/>
      </w:tblGrid>
      <w:tr w14:paraId="75743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F82454A">
            <w:pPr>
              <w:widowControl/>
              <w:jc w:val="center"/>
              <w:rPr>
                <w:rFonts w:hint="eastAsia" w:ascii="仿宋" w:hAnsi="仿宋" w:eastAsia="仿宋" w:cs="宋体"/>
                <w:color w:val="auto"/>
                <w:sz w:val="22"/>
                <w:szCs w:val="22"/>
                <w:highlight w:val="none"/>
                <w:lang w:val="en-US" w:eastAsia="zh-CN"/>
              </w:rPr>
            </w:pPr>
            <w:r>
              <w:rPr>
                <w:rFonts w:hint="eastAsia" w:ascii="宋体" w:hAnsi="宋体" w:cs="宋体"/>
                <w:b/>
                <w:bCs/>
                <w:color w:val="auto"/>
                <w:kern w:val="0"/>
                <w:sz w:val="20"/>
                <w:szCs w:val="20"/>
                <w:highlight w:val="none"/>
              </w:rPr>
              <w:t>序号</w:t>
            </w:r>
          </w:p>
        </w:tc>
        <w:tc>
          <w:tcPr>
            <w:tcW w:w="1378" w:type="dxa"/>
            <w:vAlign w:val="center"/>
          </w:tcPr>
          <w:p w14:paraId="589E4A33">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产品名称</w:t>
            </w:r>
          </w:p>
        </w:tc>
        <w:tc>
          <w:tcPr>
            <w:tcW w:w="1400" w:type="dxa"/>
            <w:vAlign w:val="center"/>
          </w:tcPr>
          <w:p w14:paraId="06C5089C">
            <w:pPr>
              <w:widowControl/>
              <w:jc w:val="center"/>
              <w:rPr>
                <w:rFonts w:hint="eastAsia" w:ascii="宋体" w:hAnsi="宋体" w:cs="宋体"/>
                <w:b/>
                <w:bCs/>
                <w:color w:val="auto"/>
                <w:kern w:val="0"/>
                <w:sz w:val="20"/>
                <w:szCs w:val="20"/>
                <w:highlight w:val="none"/>
                <w:lang w:val="en-US" w:eastAsia="zh-CN"/>
              </w:rPr>
            </w:pPr>
            <w:r>
              <w:rPr>
                <w:rFonts w:hint="eastAsia" w:ascii="宋体" w:hAnsi="宋体" w:cs="宋体"/>
                <w:b/>
                <w:bCs/>
                <w:color w:val="auto"/>
                <w:kern w:val="0"/>
                <w:sz w:val="20"/>
                <w:szCs w:val="20"/>
                <w:highlight w:val="none"/>
                <w:lang w:val="en-US" w:eastAsia="zh-CN"/>
              </w:rPr>
              <w:t>子产品名称</w:t>
            </w:r>
          </w:p>
        </w:tc>
        <w:tc>
          <w:tcPr>
            <w:tcW w:w="5542" w:type="dxa"/>
            <w:vAlign w:val="center"/>
          </w:tcPr>
          <w:p w14:paraId="7F3480E7">
            <w:pPr>
              <w:widowControl/>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05909374">
            <w:pPr>
              <w:widowControl/>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eastAsia="zh-CN"/>
              </w:rPr>
              <w:t>单位</w:t>
            </w:r>
          </w:p>
        </w:tc>
        <w:tc>
          <w:tcPr>
            <w:tcW w:w="714" w:type="dxa"/>
            <w:vAlign w:val="center"/>
          </w:tcPr>
          <w:p w14:paraId="73159E2B">
            <w:pPr>
              <w:spacing w:line="240" w:lineRule="exact"/>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Cs w:val="21"/>
                <w:highlight w:val="none"/>
                <w:lang w:eastAsia="zh-CN"/>
              </w:rPr>
              <w:t>数量</w:t>
            </w:r>
          </w:p>
        </w:tc>
      </w:tr>
      <w:tr w14:paraId="19CAB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676540C">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766</w:t>
            </w:r>
          </w:p>
        </w:tc>
        <w:tc>
          <w:tcPr>
            <w:tcW w:w="1378" w:type="dxa"/>
            <w:vAlign w:val="center"/>
          </w:tcPr>
          <w:p w14:paraId="6133413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区域化云调度子系统</w:t>
            </w:r>
          </w:p>
        </w:tc>
        <w:tc>
          <w:tcPr>
            <w:tcW w:w="1400" w:type="dxa"/>
            <w:vAlign w:val="center"/>
          </w:tcPr>
          <w:p w14:paraId="2C4D6D57">
            <w:pPr>
              <w:jc w:val="center"/>
              <w:rPr>
                <w:rFonts w:hint="eastAsia" w:ascii="宋体" w:hAnsi="宋体" w:eastAsia="宋体" w:cs="宋体"/>
                <w:b w:val="0"/>
                <w:bCs w:val="0"/>
                <w:color w:val="auto"/>
                <w:kern w:val="0"/>
                <w:sz w:val="20"/>
                <w:szCs w:val="20"/>
                <w:highlight w:val="none"/>
                <w:lang w:val="en-US" w:eastAsia="zh-CN" w:bidi="ar-SA"/>
              </w:rPr>
            </w:pPr>
            <w:r>
              <w:rPr>
                <w:rFonts w:hint="eastAsia"/>
                <w:color w:val="auto"/>
                <w:lang w:val="en-US" w:eastAsia="zh-CN"/>
              </w:rPr>
              <w:t>车载智能终端</w:t>
            </w:r>
          </w:p>
        </w:tc>
        <w:tc>
          <w:tcPr>
            <w:tcW w:w="5542" w:type="dxa"/>
            <w:vAlign w:val="center"/>
          </w:tcPr>
          <w:p w14:paraId="6F30B07C">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1、一体式工业结构设计：适合台面安装。</w:t>
            </w:r>
          </w:p>
          <w:p w14:paraId="4AD6E4E9">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2、操作系统：基于 Android 7.1以上。</w:t>
            </w:r>
          </w:p>
          <w:p w14:paraId="5651194D">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3、≥7寸触摸显示屏：显示屏分辨率≥1024*600。</w:t>
            </w:r>
          </w:p>
          <w:p w14:paraId="34EB0EF4">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4、支持RFID、IC卡司机信息卡。</w:t>
            </w:r>
          </w:p>
          <w:p w14:paraId="1480CA9B">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5、无线通信：支持4G全网通。</w:t>
            </w:r>
          </w:p>
          <w:p w14:paraId="6731B938">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6、WIFI:内置 WIFI 热点，可共享上网。</w:t>
            </w:r>
          </w:p>
          <w:p w14:paraId="60AD6ABB">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7、支持≥4路视频,支持≥1路摄像头录音。</w:t>
            </w:r>
          </w:p>
          <w:p w14:paraId="78A90378">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8、支持VOIP语音通话。</w:t>
            </w:r>
          </w:p>
          <w:p w14:paraId="3D95E256">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10、集成讯飞语音，支持中英文TTS语音合成。</w:t>
            </w:r>
          </w:p>
          <w:p w14:paraId="394F063E">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11、支持安装第三方应用程序，扩展终端行业应用功能。</w:t>
            </w:r>
          </w:p>
          <w:p w14:paraId="1C79DE42">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12、具备电瓶过放电保护功能；具备过压保护，超过极限电压，立即切断外部电路保护终端；</w:t>
            </w:r>
          </w:p>
          <w:p w14:paraId="070961FE">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13、功耗低，熄火检测到电瓶电压低时候可进入零功耗状态，此时工作电流小于2mA，可有效保护汽车电瓶防止过放。</w:t>
            </w:r>
          </w:p>
          <w:p w14:paraId="3B4BFBBA">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14、电源多重保护，可适应车内复杂电源干扰环境。</w:t>
            </w:r>
          </w:p>
          <w:p w14:paraId="7000213F">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15、提供二次开发SDK</w:t>
            </w:r>
          </w:p>
          <w:p w14:paraId="682B743D">
            <w:pPr>
              <w:jc w:val="left"/>
              <w:rPr>
                <w:rFonts w:hint="default" w:ascii="宋体" w:hAnsi="宋体" w:eastAsia="宋体" w:cs="宋体"/>
                <w:b w:val="0"/>
                <w:bCs w:val="0"/>
                <w:color w:val="auto"/>
                <w:kern w:val="0"/>
                <w:sz w:val="20"/>
                <w:szCs w:val="20"/>
                <w:highlight w:val="yellow"/>
                <w:lang w:val="en-US" w:eastAsia="zh-CN" w:bidi="ar-SA"/>
              </w:rPr>
            </w:pP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 xml:space="preserve">16、所投车载信息终端具备CNAS或CMA标识的交通运输通信信息工程质量检测中心出具的电气性能（含电源电压适应性、耐电源极性反接、耐电源过电压性、断电保护性能、低压保护性能）（提供CNAS或CMA标识的检测报告原件彩色扫描件或复印件加盖投标人公章后的彩色扫描件） </w:t>
            </w:r>
          </w:p>
          <w:p w14:paraId="4125B1D8">
            <w:pPr>
              <w:jc w:val="left"/>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17、所投车载信息终端具备CNAS或CMA标识的交通运输通信信息工程质量检测中心出具的机械环境适应性（含震动、冲击）（提供CNAS或CMA标识的检测报告原件彩色扫描件或复印件加盖投标人公章后的彩色扫描件）</w:t>
            </w:r>
          </w:p>
        </w:tc>
        <w:tc>
          <w:tcPr>
            <w:tcW w:w="733" w:type="dxa"/>
            <w:vAlign w:val="center"/>
          </w:tcPr>
          <w:p w14:paraId="5722D8B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339552D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16</w:t>
            </w:r>
          </w:p>
        </w:tc>
      </w:tr>
      <w:tr w14:paraId="6676F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8" w:hRule="atLeast"/>
        </w:trPr>
        <w:tc>
          <w:tcPr>
            <w:tcW w:w="583" w:type="dxa"/>
            <w:vAlign w:val="center"/>
          </w:tcPr>
          <w:p w14:paraId="2D7479D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767</w:t>
            </w:r>
          </w:p>
        </w:tc>
        <w:tc>
          <w:tcPr>
            <w:tcW w:w="1378" w:type="dxa"/>
            <w:vAlign w:val="center"/>
          </w:tcPr>
          <w:p w14:paraId="1B1B9A5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网络视频传输服务端</w:t>
            </w:r>
          </w:p>
        </w:tc>
        <w:tc>
          <w:tcPr>
            <w:tcW w:w="1400" w:type="dxa"/>
            <w:vAlign w:val="center"/>
          </w:tcPr>
          <w:p w14:paraId="77E07D6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车载监控</w:t>
            </w:r>
          </w:p>
        </w:tc>
        <w:tc>
          <w:tcPr>
            <w:tcW w:w="5542" w:type="dxa"/>
            <w:vAlign w:val="center"/>
          </w:tcPr>
          <w:p w14:paraId="769BE93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1.设备：</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(1)支持≥4路1080P视频输入、POE供电；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(2)支持≥1个2.5寸SATA 硬盘、≥1个SDHC卡；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(3)无风扇设计、全铝机身、专业减震技术；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(4)支持3G/4G、WiFi 、北斗等；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(5)支持行车状态记录功能：包括车速、转向、刹车、倒车、车门开启统计等；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(6)支持双码流、支持动态码率编码技术，适应无线网络带宽变化；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(7)支持报警联动录像预录功能；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(8)支持6~36V宽电压输入； </w:t>
            </w:r>
            <w:r>
              <w:rPr>
                <w:rFonts w:hint="eastAsia" w:ascii="微软雅黑" w:hAnsi="微软雅黑" w:eastAsia="微软雅黑" w:cs="微软雅黑"/>
                <w:i w:val="0"/>
                <w:iCs w:val="0"/>
                <w:color w:val="000000"/>
                <w:kern w:val="0"/>
                <w:sz w:val="24"/>
                <w:szCs w:val="24"/>
                <w:u w:val="none"/>
                <w:lang w:val="en-US" w:eastAsia="zh-CN" w:bidi="ar"/>
              </w:rPr>
              <w:t xml:space="preserve"> </w:t>
            </w:r>
          </w:p>
        </w:tc>
        <w:tc>
          <w:tcPr>
            <w:tcW w:w="733" w:type="dxa"/>
            <w:vAlign w:val="center"/>
          </w:tcPr>
          <w:p w14:paraId="01A12D9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20E711C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16</w:t>
            </w:r>
          </w:p>
        </w:tc>
      </w:tr>
      <w:tr w14:paraId="2C0D0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4DFA208">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768</w:t>
            </w:r>
          </w:p>
        </w:tc>
        <w:tc>
          <w:tcPr>
            <w:tcW w:w="1378" w:type="dxa"/>
            <w:vAlign w:val="center"/>
          </w:tcPr>
          <w:p w14:paraId="2ECB2E0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电子病历系统服务端</w:t>
            </w:r>
          </w:p>
        </w:tc>
        <w:tc>
          <w:tcPr>
            <w:tcW w:w="1400" w:type="dxa"/>
            <w:vAlign w:val="center"/>
          </w:tcPr>
          <w:p w14:paraId="6093A70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电子病历</w:t>
            </w:r>
          </w:p>
        </w:tc>
        <w:tc>
          <w:tcPr>
            <w:tcW w:w="5542" w:type="dxa"/>
            <w:vAlign w:val="center"/>
          </w:tcPr>
          <w:p w14:paraId="2DFDD15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1、硬件配置：屏幕要求采用2K柔性直屏，充电≥67W快充，电池容量≥5500mAh，运行内存≥12GB；存储要求：≥256GB</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电子病历APP及授权：①符合盐城市院前急救病历统一书写规范；②需与中心现行调度系统的调度任务关联；③需与与中心在用电子病历服务端配套使用；④需与分站电子病历平台互通，无论在两者任何一处填输均可实现自动同步；⑤APP自带中心服务端账号授权。</w:t>
            </w:r>
          </w:p>
        </w:tc>
        <w:tc>
          <w:tcPr>
            <w:tcW w:w="733" w:type="dxa"/>
            <w:vAlign w:val="center"/>
          </w:tcPr>
          <w:p w14:paraId="55FAB98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40E6E2B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16</w:t>
            </w:r>
          </w:p>
        </w:tc>
      </w:tr>
      <w:tr w14:paraId="07155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8803894">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769</w:t>
            </w:r>
          </w:p>
        </w:tc>
        <w:tc>
          <w:tcPr>
            <w:tcW w:w="1378" w:type="dxa"/>
            <w:vMerge w:val="restart"/>
            <w:vAlign w:val="center"/>
          </w:tcPr>
          <w:p w14:paraId="45110F0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急救分站信息服务端</w:t>
            </w:r>
          </w:p>
        </w:tc>
        <w:tc>
          <w:tcPr>
            <w:tcW w:w="1400" w:type="dxa"/>
            <w:vAlign w:val="center"/>
          </w:tcPr>
          <w:p w14:paraId="3100DC9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分站路由器</w:t>
            </w:r>
          </w:p>
        </w:tc>
        <w:tc>
          <w:tcPr>
            <w:tcW w:w="5542" w:type="dxa"/>
            <w:vAlign w:val="center"/>
          </w:tcPr>
          <w:p w14:paraId="3B78B7F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8口路由器；  LAN输出口：千兆网口</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机身材质：金属；    企业VPN：支持企业VPN</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防火墙：支持防火墙 ；   类型：有线路由器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网行为管理：支持上网行为管理；  LAN口类型：电口</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AP管理：支持AP管理</w:t>
            </w:r>
          </w:p>
        </w:tc>
        <w:tc>
          <w:tcPr>
            <w:tcW w:w="733" w:type="dxa"/>
            <w:vAlign w:val="center"/>
          </w:tcPr>
          <w:p w14:paraId="27C676C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4DA79BA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8</w:t>
            </w:r>
          </w:p>
        </w:tc>
      </w:tr>
      <w:tr w14:paraId="4F5F3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64F964F">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770</w:t>
            </w:r>
          </w:p>
        </w:tc>
        <w:tc>
          <w:tcPr>
            <w:tcW w:w="1378" w:type="dxa"/>
            <w:vMerge w:val="continue"/>
            <w:vAlign w:val="center"/>
          </w:tcPr>
          <w:p w14:paraId="3D635EC2">
            <w:pPr>
              <w:jc w:val="center"/>
              <w:rPr>
                <w:rFonts w:hint="eastAsia" w:ascii="宋体" w:hAnsi="宋体" w:eastAsia="宋体" w:cs="宋体"/>
                <w:b w:val="0"/>
                <w:bCs w:val="0"/>
                <w:color w:val="auto"/>
                <w:kern w:val="0"/>
                <w:sz w:val="20"/>
                <w:szCs w:val="20"/>
                <w:highlight w:val="none"/>
                <w:lang w:val="en-US" w:eastAsia="zh-CN" w:bidi="ar-SA"/>
              </w:rPr>
            </w:pPr>
          </w:p>
        </w:tc>
        <w:tc>
          <w:tcPr>
            <w:tcW w:w="1400" w:type="dxa"/>
            <w:vAlign w:val="center"/>
          </w:tcPr>
          <w:p w14:paraId="3172AAD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分站打印机</w:t>
            </w:r>
          </w:p>
        </w:tc>
        <w:tc>
          <w:tcPr>
            <w:tcW w:w="5542" w:type="dxa"/>
            <w:vAlign w:val="center"/>
          </w:tcPr>
          <w:p w14:paraId="65D2FD2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支持A4幅面、黑白激光、USB接口，网络打印，输出精度≥600dpi</w:t>
            </w:r>
          </w:p>
        </w:tc>
        <w:tc>
          <w:tcPr>
            <w:tcW w:w="733" w:type="dxa"/>
            <w:vAlign w:val="center"/>
          </w:tcPr>
          <w:p w14:paraId="26A8054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78ECD0E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8</w:t>
            </w:r>
          </w:p>
        </w:tc>
      </w:tr>
      <w:tr w14:paraId="13EAA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8CB149A">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771</w:t>
            </w:r>
          </w:p>
        </w:tc>
        <w:tc>
          <w:tcPr>
            <w:tcW w:w="1378" w:type="dxa"/>
            <w:vMerge w:val="continue"/>
            <w:vAlign w:val="center"/>
          </w:tcPr>
          <w:p w14:paraId="16E54651">
            <w:pPr>
              <w:jc w:val="center"/>
              <w:rPr>
                <w:rFonts w:hint="eastAsia" w:ascii="宋体" w:hAnsi="宋体" w:eastAsia="宋体" w:cs="宋体"/>
                <w:b w:val="0"/>
                <w:bCs w:val="0"/>
                <w:color w:val="auto"/>
                <w:kern w:val="0"/>
                <w:sz w:val="20"/>
                <w:szCs w:val="20"/>
                <w:highlight w:val="none"/>
                <w:lang w:val="en-US" w:eastAsia="zh-CN" w:bidi="ar-SA"/>
              </w:rPr>
            </w:pPr>
          </w:p>
        </w:tc>
        <w:tc>
          <w:tcPr>
            <w:tcW w:w="1400" w:type="dxa"/>
            <w:vAlign w:val="center"/>
          </w:tcPr>
          <w:p w14:paraId="51941E8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分站电脑</w:t>
            </w:r>
          </w:p>
        </w:tc>
        <w:tc>
          <w:tcPr>
            <w:tcW w:w="5542" w:type="dxa"/>
            <w:vAlign w:val="center"/>
          </w:tcPr>
          <w:p w14:paraId="2B3F618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商用计算机，i5 及以上CPU, 16G内存，500GB固态硬盘，10M/100M网络接口，≥21英寸液晶显示器。</w:t>
            </w:r>
          </w:p>
        </w:tc>
        <w:tc>
          <w:tcPr>
            <w:tcW w:w="733" w:type="dxa"/>
            <w:vAlign w:val="center"/>
          </w:tcPr>
          <w:p w14:paraId="04559F0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1B51459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8</w:t>
            </w:r>
          </w:p>
        </w:tc>
      </w:tr>
      <w:tr w14:paraId="10C2E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FF29F60">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772</w:t>
            </w:r>
          </w:p>
        </w:tc>
        <w:tc>
          <w:tcPr>
            <w:tcW w:w="1378" w:type="dxa"/>
            <w:vMerge w:val="continue"/>
            <w:vAlign w:val="center"/>
          </w:tcPr>
          <w:p w14:paraId="4D1653D9">
            <w:pPr>
              <w:jc w:val="center"/>
              <w:rPr>
                <w:rFonts w:hint="eastAsia" w:ascii="宋体" w:hAnsi="宋体" w:eastAsia="宋体" w:cs="宋体"/>
                <w:b w:val="0"/>
                <w:bCs w:val="0"/>
                <w:color w:val="auto"/>
                <w:kern w:val="0"/>
                <w:sz w:val="20"/>
                <w:szCs w:val="20"/>
                <w:highlight w:val="none"/>
                <w:lang w:val="en-US" w:eastAsia="zh-CN" w:bidi="ar-SA"/>
              </w:rPr>
            </w:pPr>
          </w:p>
        </w:tc>
        <w:tc>
          <w:tcPr>
            <w:tcW w:w="1400" w:type="dxa"/>
            <w:vAlign w:val="center"/>
          </w:tcPr>
          <w:p w14:paraId="62A6D46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分站监控设备</w:t>
            </w:r>
          </w:p>
        </w:tc>
        <w:tc>
          <w:tcPr>
            <w:tcW w:w="5542" w:type="dxa"/>
            <w:vAlign w:val="center"/>
          </w:tcPr>
          <w:p w14:paraId="1528603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 具有200W及以上像素 CMOS传感器。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 最大分辨率1920x1080。</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 支持通过IE浏览器设置录像时段和存储路径，并能通过客户端和IE浏览器对录像文件进行回放。</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 支持IP地址获取、IP地址搜索功能。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 支持IP67防护等级</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 具有1个RJ-45 网络接口、1个内置SD卡插槽，1个内置麦克风、1个 RS-232接口。</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 支持DC12V/POE供电</w:t>
            </w:r>
          </w:p>
        </w:tc>
        <w:tc>
          <w:tcPr>
            <w:tcW w:w="733" w:type="dxa"/>
            <w:vAlign w:val="center"/>
          </w:tcPr>
          <w:p w14:paraId="1A7FD0D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7DB6F9A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8</w:t>
            </w:r>
          </w:p>
        </w:tc>
      </w:tr>
      <w:tr w14:paraId="60967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9B8C3EB">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773</w:t>
            </w:r>
          </w:p>
        </w:tc>
        <w:tc>
          <w:tcPr>
            <w:tcW w:w="1378" w:type="dxa"/>
            <w:vMerge w:val="continue"/>
            <w:vAlign w:val="center"/>
          </w:tcPr>
          <w:p w14:paraId="1D6BAE53">
            <w:pPr>
              <w:jc w:val="center"/>
              <w:rPr>
                <w:rFonts w:hint="eastAsia" w:ascii="宋体" w:hAnsi="宋体" w:eastAsia="宋体" w:cs="宋体"/>
                <w:b w:val="0"/>
                <w:bCs w:val="0"/>
                <w:color w:val="auto"/>
                <w:kern w:val="0"/>
                <w:sz w:val="20"/>
                <w:szCs w:val="20"/>
                <w:highlight w:val="none"/>
                <w:lang w:val="en-US" w:eastAsia="zh-CN" w:bidi="ar-SA"/>
              </w:rPr>
            </w:pPr>
          </w:p>
        </w:tc>
        <w:tc>
          <w:tcPr>
            <w:tcW w:w="1400" w:type="dxa"/>
            <w:vAlign w:val="center"/>
          </w:tcPr>
          <w:p w14:paraId="61E8388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5G路由器</w:t>
            </w:r>
          </w:p>
        </w:tc>
        <w:tc>
          <w:tcPr>
            <w:tcW w:w="5542" w:type="dxa"/>
            <w:vAlign w:val="center"/>
          </w:tcPr>
          <w:p w14:paraId="287AF0C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1、CPU:四核；</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2、内存：512MB；</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3、存储：8GB?；</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4、以太网口：支持1xWAN、3xLAN?(千兆)；</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5、SIM卡：支持2XSIM?(自弹式)；</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6、串口：支持1xRS232、1xRS485接口；</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7、USB：支持1个USB接口?(内置1个TF卡)；</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8、无线接入：支持2G/3G/4G/5G全网通，NR、TD-LTE、FDD-LTE、TD-SCDMA、WCDMA、EVDO、CDMA1X、GPRS/EDGE等?支持CHAP/PAP认证；支持2.4G、5.8GWiFi,支持?AP、Station</w:t>
            </w:r>
          </w:p>
        </w:tc>
        <w:tc>
          <w:tcPr>
            <w:tcW w:w="733" w:type="dxa"/>
            <w:vAlign w:val="center"/>
          </w:tcPr>
          <w:p w14:paraId="1F9770D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2586505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16</w:t>
            </w:r>
          </w:p>
        </w:tc>
      </w:tr>
      <w:tr w14:paraId="27984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BBDC3AE">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774</w:t>
            </w:r>
          </w:p>
        </w:tc>
        <w:tc>
          <w:tcPr>
            <w:tcW w:w="1378" w:type="dxa"/>
            <w:vMerge w:val="continue"/>
            <w:vAlign w:val="center"/>
          </w:tcPr>
          <w:p w14:paraId="1D2510AE">
            <w:pPr>
              <w:jc w:val="center"/>
              <w:rPr>
                <w:rFonts w:hint="eastAsia" w:ascii="宋体" w:hAnsi="宋体" w:eastAsia="宋体" w:cs="宋体"/>
                <w:b w:val="0"/>
                <w:bCs w:val="0"/>
                <w:color w:val="auto"/>
                <w:kern w:val="0"/>
                <w:sz w:val="20"/>
                <w:szCs w:val="20"/>
                <w:highlight w:val="none"/>
                <w:lang w:val="en-US" w:eastAsia="zh-CN" w:bidi="ar-SA"/>
              </w:rPr>
            </w:pPr>
          </w:p>
        </w:tc>
        <w:tc>
          <w:tcPr>
            <w:tcW w:w="1400" w:type="dxa"/>
            <w:vAlign w:val="center"/>
          </w:tcPr>
          <w:p w14:paraId="6275F9B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蓝牙打印机</w:t>
            </w:r>
          </w:p>
        </w:tc>
        <w:tc>
          <w:tcPr>
            <w:tcW w:w="5542" w:type="dxa"/>
            <w:vAlign w:val="center"/>
          </w:tcPr>
          <w:p w14:paraId="249FBC6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打印方式要求梭式点阵，要求支持（单联/两联）普通纸/无碳复写纸，纸张规格要求支持宽58x直径40 (mm)，通讯方式要求提供usb和蓝牙方式，要求提供黑标检测功能</w:t>
            </w:r>
          </w:p>
        </w:tc>
        <w:tc>
          <w:tcPr>
            <w:tcW w:w="733" w:type="dxa"/>
            <w:vAlign w:val="center"/>
          </w:tcPr>
          <w:p w14:paraId="64A22B8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个</w:t>
            </w:r>
          </w:p>
        </w:tc>
        <w:tc>
          <w:tcPr>
            <w:tcW w:w="714" w:type="dxa"/>
            <w:vAlign w:val="center"/>
          </w:tcPr>
          <w:p w14:paraId="1078DB8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16</w:t>
            </w:r>
          </w:p>
        </w:tc>
      </w:tr>
      <w:tr w14:paraId="14C87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908F2E3">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775</w:t>
            </w:r>
          </w:p>
        </w:tc>
        <w:tc>
          <w:tcPr>
            <w:tcW w:w="1378" w:type="dxa"/>
            <w:vMerge w:val="continue"/>
            <w:vAlign w:val="center"/>
          </w:tcPr>
          <w:p w14:paraId="4E40303A">
            <w:pPr>
              <w:jc w:val="center"/>
              <w:rPr>
                <w:rFonts w:hint="eastAsia" w:ascii="宋体" w:hAnsi="宋体" w:eastAsia="宋体" w:cs="宋体"/>
                <w:b w:val="0"/>
                <w:bCs w:val="0"/>
                <w:color w:val="auto"/>
                <w:kern w:val="0"/>
                <w:sz w:val="20"/>
                <w:szCs w:val="20"/>
                <w:highlight w:val="none"/>
                <w:lang w:val="en-US" w:eastAsia="zh-CN" w:bidi="ar-SA"/>
              </w:rPr>
            </w:pPr>
          </w:p>
        </w:tc>
        <w:tc>
          <w:tcPr>
            <w:tcW w:w="1400" w:type="dxa"/>
            <w:vAlign w:val="center"/>
          </w:tcPr>
          <w:p w14:paraId="1914AC1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p w14:paraId="0A520E3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p w14:paraId="0F75F56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p w14:paraId="5EEADF8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p w14:paraId="4EE4976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p w14:paraId="0F21ECC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p w14:paraId="725DFAD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p w14:paraId="40243D8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p w14:paraId="320F4FA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p w14:paraId="6B9F799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p w14:paraId="469CD2D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p w14:paraId="0AB541C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color w:val="auto"/>
                <w:lang w:val="en-US" w:eastAsia="zh-CN"/>
              </w:rPr>
              <w:t>5G智慧执法记录仪</w:t>
            </w:r>
          </w:p>
        </w:tc>
        <w:tc>
          <w:tcPr>
            <w:tcW w:w="5542" w:type="dxa"/>
            <w:vAlign w:val="center"/>
          </w:tcPr>
          <w:p w14:paraId="0940EF1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1、运行系统：设备采用大于等于安卓 Android 11 操作系统，支持安装基于安卓系统的APP软件。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2、外形尺寸、质量和电池：设备外形尺寸≤91mm×61mm×28mm，裸机重量≤180g，设备采用内置可更换电池供电，电池容量电池容量≥3300mAh，≥7min内更换电池时存储的信息不应丢失。</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3、显示屏：显示屏对角线尺寸应≥2.8in，屏幕分辨率≥640×480。</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4、设备支持5G模块，支持联通、移动、电信和广电5G的SIM卡。</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5、摄像头：设备具备≥3个摄像头，至少具有一个微云台防抖摄像头好和一个红外摄像头。</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6、防抖功能：设备同时支持微云台机械防抖功能和 EIS 电子防抖功能，且设备在1Hz振动频率、振动幅度 10°条件下，同一位置点在视音频信息中的最大振动像素差应≤10 像素。（提供CNAS或CMA标识的检测报告原件彩色扫描件或复印件加盖投标人公章后的彩色扫描件）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7、防抖摄录功能：设备支持在预览界面和打开录像状态下，自动开启微云台防抖功能，在微云台作用下摄像头向不同方向运动并保持平衡。（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8、夜视要求：设备支持红外夜视功能，≥3m处应能看清人物面部特征，≥15m处应能看清人体轮廓。</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9、双SIM卡槽：执法记录仪支持同时装入两张4G/5G SIM卡，且具有至少一个方便快捷的标准弹入式卡槽。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10、存储：要求设备≥4G运行内存，≥64G存储内存，支持扩展≥1TB内置TF卡存储。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11、显示屏对比度：执法记录仪应能在回放模式分别显示全场白和全场黑测试信号。全场白和全场黑测试信号亮度值的比应≥ 1250：1。</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12、照片分辨力：设备在拍摄照片支持所有照片分辨率下的照片分辨力≥2000线。</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13、手机APP控制功能：设备可通过手机 APP 远程进行视频监控、监听、对讲，查看实时运行轨迹和回放轨迹，创建电子围栏、指令下达等功能。（提供CNAS或CMA标识的检测报告原件彩色扫描件或复印件加盖投标人公章后的彩色扫描件）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yellow"/>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14、平台语音呼叫功能：设备支持接收平台主动语音呼叫功能，平台可选择任意群组进行语音对讲，并在平台上显示对讲消息状态。（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15、集群对讲：支持一键PTT集群对讲，可实现分组、跨组、强插等进行集群对接功能。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16、语音操控：设备支持语音操控功能，可通过语音控制设备≥10种基本功能(必须包括开始录像、停止录像、重点文件标记、打开手电筒、关闭手电筒)。</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17、求救号码呼叫 ：设备支持呼叫紧急求救号码功能（110、119、120 等紧急求救号码）。 </w:t>
            </w:r>
          </w:p>
        </w:tc>
        <w:tc>
          <w:tcPr>
            <w:tcW w:w="733" w:type="dxa"/>
            <w:vAlign w:val="center"/>
          </w:tcPr>
          <w:p w14:paraId="6F54D84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0AEF5BC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16</w:t>
            </w:r>
          </w:p>
        </w:tc>
      </w:tr>
      <w:tr w14:paraId="002EB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F2352A8">
            <w:pPr>
              <w:keepNext w:val="0"/>
              <w:keepLines w:val="0"/>
              <w:widowControl/>
              <w:suppressLineNumbers w:val="0"/>
              <w:jc w:val="right"/>
              <w:textAlignment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776</w:t>
            </w:r>
          </w:p>
        </w:tc>
        <w:tc>
          <w:tcPr>
            <w:tcW w:w="1378" w:type="dxa"/>
            <w:vMerge w:val="continue"/>
            <w:vAlign w:val="center"/>
          </w:tcPr>
          <w:p w14:paraId="2A745844">
            <w:pPr>
              <w:jc w:val="center"/>
              <w:rPr>
                <w:rFonts w:hint="eastAsia" w:ascii="宋体" w:hAnsi="宋体" w:eastAsia="宋体" w:cs="宋体"/>
                <w:b w:val="0"/>
                <w:bCs w:val="0"/>
                <w:color w:val="auto"/>
                <w:kern w:val="0"/>
                <w:sz w:val="20"/>
                <w:szCs w:val="20"/>
                <w:highlight w:val="none"/>
                <w:lang w:val="en-US" w:eastAsia="zh-CN" w:bidi="ar-SA"/>
              </w:rPr>
            </w:pPr>
          </w:p>
        </w:tc>
        <w:tc>
          <w:tcPr>
            <w:tcW w:w="1400" w:type="dxa"/>
            <w:vAlign w:val="center"/>
          </w:tcPr>
          <w:p w14:paraId="0EF6A27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桌面便携式采集站（10机位）</w:t>
            </w:r>
          </w:p>
        </w:tc>
        <w:tc>
          <w:tcPr>
            <w:tcW w:w="5542" w:type="dxa"/>
            <w:vAlign w:val="center"/>
          </w:tcPr>
          <w:p w14:paraId="4C15472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桌面便携式采集站，≥10.1英寸高清触摸液晶屏，≥2个硬盘位，支持Mini/Micro/typeC- USB *≥8口高速采集。含≥4T存储。</w:t>
            </w:r>
          </w:p>
        </w:tc>
        <w:tc>
          <w:tcPr>
            <w:tcW w:w="733" w:type="dxa"/>
            <w:vAlign w:val="center"/>
          </w:tcPr>
          <w:p w14:paraId="3F4CCFF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7D6E175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7</w:t>
            </w:r>
          </w:p>
        </w:tc>
      </w:tr>
      <w:tr w14:paraId="27C43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CE4530C">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777</w:t>
            </w:r>
          </w:p>
        </w:tc>
        <w:tc>
          <w:tcPr>
            <w:tcW w:w="1378" w:type="dxa"/>
            <w:vMerge w:val="continue"/>
            <w:vAlign w:val="center"/>
          </w:tcPr>
          <w:p w14:paraId="6659CF1A">
            <w:pPr>
              <w:jc w:val="center"/>
              <w:rPr>
                <w:rFonts w:hint="eastAsia" w:ascii="宋体" w:hAnsi="宋体" w:eastAsia="宋体" w:cs="宋体"/>
                <w:b w:val="0"/>
                <w:bCs w:val="0"/>
                <w:color w:val="auto"/>
                <w:kern w:val="0"/>
                <w:sz w:val="20"/>
                <w:szCs w:val="20"/>
                <w:highlight w:val="none"/>
                <w:lang w:val="en-US" w:eastAsia="zh-CN" w:bidi="ar-SA"/>
              </w:rPr>
            </w:pPr>
          </w:p>
        </w:tc>
        <w:tc>
          <w:tcPr>
            <w:tcW w:w="1400" w:type="dxa"/>
            <w:vAlign w:val="center"/>
          </w:tcPr>
          <w:p w14:paraId="008E5BC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大型立式采集站（20机位）</w:t>
            </w:r>
          </w:p>
        </w:tc>
        <w:tc>
          <w:tcPr>
            <w:tcW w:w="5542" w:type="dxa"/>
            <w:vAlign w:val="center"/>
          </w:tcPr>
          <w:p w14:paraId="2E3B508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≥19寸触摸液晶屏，分辨率≥1280*1024</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支持Mini/Micro/typeC-USB*≥20 口高速采集</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支持2路重要数据优先采集</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支持数据自动/手动上传</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支持断点续传</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兼容符合新行标的摄录终端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含≥4T存储</w:t>
            </w:r>
          </w:p>
        </w:tc>
        <w:tc>
          <w:tcPr>
            <w:tcW w:w="733" w:type="dxa"/>
            <w:vAlign w:val="center"/>
          </w:tcPr>
          <w:p w14:paraId="2F9F0B3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2E2C08A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031C0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E7CE440">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778</w:t>
            </w:r>
          </w:p>
        </w:tc>
        <w:tc>
          <w:tcPr>
            <w:tcW w:w="1378" w:type="dxa"/>
            <w:vMerge w:val="restart"/>
            <w:vAlign w:val="center"/>
          </w:tcPr>
          <w:p w14:paraId="209CC74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调度中心</w:t>
            </w:r>
          </w:p>
        </w:tc>
        <w:tc>
          <w:tcPr>
            <w:tcW w:w="1400" w:type="dxa"/>
            <w:vAlign w:val="center"/>
          </w:tcPr>
          <w:p w14:paraId="7895CF5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调度桌</w:t>
            </w:r>
          </w:p>
        </w:tc>
        <w:tc>
          <w:tcPr>
            <w:tcW w:w="5542" w:type="dxa"/>
            <w:vAlign w:val="center"/>
          </w:tcPr>
          <w:p w14:paraId="23E6C85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全钢喷塑，木质桌面，三联受理台，可据甲方需求定制。</w:t>
            </w:r>
          </w:p>
        </w:tc>
        <w:tc>
          <w:tcPr>
            <w:tcW w:w="733" w:type="dxa"/>
            <w:vAlign w:val="center"/>
          </w:tcPr>
          <w:p w14:paraId="020D2CC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5C06195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6</w:t>
            </w:r>
          </w:p>
        </w:tc>
      </w:tr>
      <w:tr w14:paraId="510F9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7B26B8F">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779</w:t>
            </w:r>
          </w:p>
        </w:tc>
        <w:tc>
          <w:tcPr>
            <w:tcW w:w="1378" w:type="dxa"/>
            <w:vMerge w:val="continue"/>
            <w:vAlign w:val="center"/>
          </w:tcPr>
          <w:p w14:paraId="03DB50B2">
            <w:pPr>
              <w:jc w:val="center"/>
              <w:rPr>
                <w:rFonts w:hint="eastAsia" w:ascii="宋体" w:hAnsi="宋体" w:eastAsia="宋体" w:cs="宋体"/>
                <w:b w:val="0"/>
                <w:bCs w:val="0"/>
                <w:color w:val="auto"/>
                <w:kern w:val="0"/>
                <w:sz w:val="20"/>
                <w:szCs w:val="20"/>
                <w:highlight w:val="none"/>
                <w:lang w:val="en-US" w:eastAsia="zh-CN" w:bidi="ar-SA"/>
              </w:rPr>
            </w:pPr>
          </w:p>
        </w:tc>
        <w:tc>
          <w:tcPr>
            <w:tcW w:w="1400" w:type="dxa"/>
            <w:vAlign w:val="center"/>
          </w:tcPr>
          <w:p w14:paraId="322EB49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调度电脑</w:t>
            </w:r>
          </w:p>
        </w:tc>
        <w:tc>
          <w:tcPr>
            <w:tcW w:w="5542" w:type="dxa"/>
            <w:vAlign w:val="center"/>
          </w:tcPr>
          <w:p w14:paraId="72AC43D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商用台式机，I5以上处理器 硬盘容量:≥500GB固态硬盘/内存容量:≥16GB，硬盘描述:SSD/光驱 DVD-ROM 光驱/千兆网卡。独立显示接口3个，高性能23寸以上曲面液晶显示器3台，音箱。预装正版操作系统。</w:t>
            </w:r>
          </w:p>
        </w:tc>
        <w:tc>
          <w:tcPr>
            <w:tcW w:w="733" w:type="dxa"/>
            <w:vAlign w:val="center"/>
          </w:tcPr>
          <w:p w14:paraId="4D0F37B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1FEB5B5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6</w:t>
            </w:r>
          </w:p>
        </w:tc>
      </w:tr>
      <w:tr w14:paraId="4655C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C1CC111">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780</w:t>
            </w:r>
          </w:p>
        </w:tc>
        <w:tc>
          <w:tcPr>
            <w:tcW w:w="1378" w:type="dxa"/>
            <w:vMerge w:val="continue"/>
            <w:vAlign w:val="center"/>
          </w:tcPr>
          <w:p w14:paraId="6E885CE4">
            <w:pPr>
              <w:jc w:val="center"/>
              <w:rPr>
                <w:rFonts w:hint="eastAsia" w:ascii="宋体" w:hAnsi="宋体" w:eastAsia="宋体" w:cs="宋体"/>
                <w:b w:val="0"/>
                <w:bCs w:val="0"/>
                <w:color w:val="auto"/>
                <w:kern w:val="0"/>
                <w:sz w:val="20"/>
                <w:szCs w:val="20"/>
                <w:highlight w:val="none"/>
                <w:lang w:val="en-US" w:eastAsia="zh-CN" w:bidi="ar-SA"/>
              </w:rPr>
            </w:pPr>
          </w:p>
        </w:tc>
        <w:tc>
          <w:tcPr>
            <w:tcW w:w="1400" w:type="dxa"/>
            <w:vAlign w:val="center"/>
          </w:tcPr>
          <w:p w14:paraId="3101A05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接入交换机</w:t>
            </w:r>
          </w:p>
        </w:tc>
        <w:tc>
          <w:tcPr>
            <w:tcW w:w="5542" w:type="dxa"/>
            <w:vAlign w:val="center"/>
          </w:tcPr>
          <w:p w14:paraId="6852E45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1、24口三层交换机</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2、交换容量：≥598Gbp</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3、转发性能：≥216Mpps</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4、接口类型：千兆电口≥24，千兆复用光口≥8个，万兆光口≥4个，扩展槽≥1个</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5、VxLAN：支持二层VxLAN、支持三层VxLAN、支持EVPN</w:t>
            </w:r>
          </w:p>
        </w:tc>
        <w:tc>
          <w:tcPr>
            <w:tcW w:w="733" w:type="dxa"/>
            <w:vAlign w:val="center"/>
          </w:tcPr>
          <w:p w14:paraId="1ADF73D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424A6A7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6FA44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EA93FAD">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781</w:t>
            </w:r>
          </w:p>
        </w:tc>
        <w:tc>
          <w:tcPr>
            <w:tcW w:w="1378" w:type="dxa"/>
            <w:vMerge w:val="continue"/>
            <w:vAlign w:val="center"/>
          </w:tcPr>
          <w:p w14:paraId="4573437C">
            <w:pPr>
              <w:jc w:val="center"/>
              <w:rPr>
                <w:rFonts w:hint="eastAsia" w:ascii="宋体" w:hAnsi="宋体" w:eastAsia="宋体" w:cs="宋体"/>
                <w:b w:val="0"/>
                <w:bCs w:val="0"/>
                <w:color w:val="auto"/>
                <w:kern w:val="0"/>
                <w:sz w:val="20"/>
                <w:szCs w:val="20"/>
                <w:highlight w:val="none"/>
                <w:lang w:val="en-US" w:eastAsia="zh-CN" w:bidi="ar-SA"/>
              </w:rPr>
            </w:pPr>
          </w:p>
        </w:tc>
        <w:tc>
          <w:tcPr>
            <w:tcW w:w="1400" w:type="dxa"/>
            <w:vAlign w:val="center"/>
          </w:tcPr>
          <w:p w14:paraId="7A24B17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程控交换机</w:t>
            </w:r>
          </w:p>
        </w:tc>
        <w:tc>
          <w:tcPr>
            <w:tcW w:w="5542" w:type="dxa"/>
            <w:vAlign w:val="center"/>
          </w:tcPr>
          <w:p w14:paraId="4AD5EFC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1．通话并发量：≥60，可扩展至120（启用通话录音的情况下，最大支持90）</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2．双击热备：支持</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3．录音容量扩展：SD卡、usb、2.5英寸硬盘</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4．外线口/内线口（最多）：24</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5．E1/T1/J1 端口：最大3个</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6．手机卡端口（最多）：6</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7．传输协议：UDP, TCP, TLS, SRTP</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8．VoIP外线：100</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9．防火墙：支持</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10．网络支持：静态IP, DHCP, VPN, 防火墙, VLAN, DDNS, PPPoE, QoS, 静态NAT, STUN</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11．SNMP：支持</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12．T.38 传真:支持</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13．Usb插口：1</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含6个话机及配套耳机</w:t>
            </w:r>
          </w:p>
        </w:tc>
        <w:tc>
          <w:tcPr>
            <w:tcW w:w="733" w:type="dxa"/>
            <w:vAlign w:val="center"/>
          </w:tcPr>
          <w:p w14:paraId="666CBBC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2106B52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7CC8A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B64828A">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782</w:t>
            </w:r>
          </w:p>
        </w:tc>
        <w:tc>
          <w:tcPr>
            <w:tcW w:w="1378" w:type="dxa"/>
            <w:vMerge w:val="continue"/>
            <w:vAlign w:val="center"/>
          </w:tcPr>
          <w:p w14:paraId="092FCCB8">
            <w:pPr>
              <w:jc w:val="center"/>
              <w:rPr>
                <w:rFonts w:hint="eastAsia" w:ascii="宋体" w:hAnsi="宋体" w:eastAsia="宋体" w:cs="宋体"/>
                <w:b w:val="0"/>
                <w:bCs w:val="0"/>
                <w:color w:val="auto"/>
                <w:kern w:val="0"/>
                <w:sz w:val="20"/>
                <w:szCs w:val="20"/>
                <w:highlight w:val="none"/>
                <w:lang w:val="en-US" w:eastAsia="zh-CN" w:bidi="ar-SA"/>
              </w:rPr>
            </w:pPr>
          </w:p>
        </w:tc>
        <w:tc>
          <w:tcPr>
            <w:tcW w:w="1400" w:type="dxa"/>
            <w:vAlign w:val="center"/>
          </w:tcPr>
          <w:p w14:paraId="49E8706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接入防火墙</w:t>
            </w:r>
          </w:p>
        </w:tc>
        <w:tc>
          <w:tcPr>
            <w:tcW w:w="5542" w:type="dxa"/>
            <w:vAlign w:val="center"/>
          </w:tcPr>
          <w:p w14:paraId="6C0BEC6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1、基本配置：1U标准机架设备，设备配置千兆电口≥4个、设备管理口≥1个；整机吞吐量≥3Gbps，并发连接数≥100万；此次配置三年质保和技术支持服务。</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2、支持路由、透明、虚拟网线、旁路镜像、混合等多种部署方式，支持将多个物理网口加入一个网桥中；部署模式切换无需重启设备，适应复杂使用环境的接入要求。</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bidi="ar-SA"/>
              </w:rPr>
              <w:t>3、</w:t>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要求防火墙支持SIP协议的媒体业务接入，实现内外网媒体系统之间上联和下联安全防护，符合GB/T 28181-2016《安全防范视频监控联网系统信息传输、交换、控制技术要求》及TC/OP(XZ)2B-185-2017相关技术要求（提供CNAS或CMA标识的检测报告原件彩色扫描件或复印件加盖投标人公章后的彩色扫描件）。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4、支持对HTTP、HTTPS、FTP、SMB、SMTP、POP3、IMAP等协议进行病毒检测和查杀，支持对最大20层的压缩文件进行查杀。</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5、资产支持学习模式，可自定义学习时长，基于IP地址信息和逻辑关系发现并识别网络空间设施，动态展现网络空间资产，学习结果可一键加入黑/白名单；支持源地址、目的地址超大黑名单功能。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6、支持策略风险调优，支持安全策略优化分析，支持策略数冗余及命中分析，支持基于应用风险的策略调优。</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bidi="ar-SA"/>
              </w:rPr>
              <w:t>7、</w:t>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支持主流ICMPFLOOD\SYNFLOOD\ACKFLOOD\SYNACKFLOOD\UDPFLOOD攻击防护，采用专业高效攻击防护算法，非采用简单的阈值进行攻击防护（提供CNAS或CMA标识的检测报告原件彩色扫描件或复印件加盖投标人公章后的彩色扫描件）。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8、支持TELNET、TDS、SMTP、FTP、POP3、RLOGIN、IMAP、NNTP等不少于8种协议及应用的弱口令检测。</w:t>
            </w:r>
          </w:p>
        </w:tc>
        <w:tc>
          <w:tcPr>
            <w:tcW w:w="733" w:type="dxa"/>
            <w:vAlign w:val="center"/>
          </w:tcPr>
          <w:p w14:paraId="3D2DAC2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34B2CBB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bl>
    <w:p w14:paraId="55A84E7B">
      <w:pPr>
        <w:pStyle w:val="2"/>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both"/>
        <w:textAlignment w:val="auto"/>
        <w:rPr>
          <w:rFonts w:hint="eastAsia" w:ascii="宋体" w:hAnsi="宋体" w:eastAsia="宋体" w:cs="宋体"/>
          <w:highlight w:val="yellow"/>
          <w:lang w:val="en-US" w:eastAsia="zh-CN"/>
        </w:rPr>
      </w:pPr>
      <w:r>
        <w:rPr>
          <w:rFonts w:hint="eastAsia" w:ascii="宋体" w:hAnsi="宋体" w:eastAsia="宋体" w:cs="宋体"/>
          <w:highlight w:val="yellow"/>
          <w:lang w:val="en-US" w:eastAsia="zh-CN"/>
        </w:rPr>
        <w:t>（二）-15：配套（硬件）</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1595"/>
        <w:gridCol w:w="6725"/>
        <w:gridCol w:w="733"/>
        <w:gridCol w:w="714"/>
      </w:tblGrid>
      <w:tr w14:paraId="346B5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5DB61FB">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序号</w:t>
            </w:r>
          </w:p>
        </w:tc>
        <w:tc>
          <w:tcPr>
            <w:tcW w:w="1595" w:type="dxa"/>
            <w:vAlign w:val="center"/>
          </w:tcPr>
          <w:p w14:paraId="677CA0AD">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产品名称</w:t>
            </w:r>
          </w:p>
        </w:tc>
        <w:tc>
          <w:tcPr>
            <w:tcW w:w="6725" w:type="dxa"/>
            <w:vAlign w:val="center"/>
          </w:tcPr>
          <w:p w14:paraId="2D8A5DB4">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4D892837">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单位</w:t>
            </w:r>
          </w:p>
        </w:tc>
        <w:tc>
          <w:tcPr>
            <w:tcW w:w="714" w:type="dxa"/>
            <w:vAlign w:val="center"/>
          </w:tcPr>
          <w:p w14:paraId="12E44490">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数量</w:t>
            </w:r>
          </w:p>
        </w:tc>
      </w:tr>
      <w:tr w14:paraId="76DF2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7FFC2F1">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783</w:t>
            </w:r>
          </w:p>
        </w:tc>
        <w:tc>
          <w:tcPr>
            <w:tcW w:w="1595" w:type="dxa"/>
            <w:vAlign w:val="center"/>
          </w:tcPr>
          <w:p w14:paraId="206FE07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86寸智能交互会议平板</w:t>
            </w:r>
          </w:p>
        </w:tc>
        <w:tc>
          <w:tcPr>
            <w:tcW w:w="6725" w:type="dxa"/>
            <w:vAlign w:val="center"/>
          </w:tcPr>
          <w:p w14:paraId="62859BE8">
            <w:pPr>
              <w:numPr>
                <w:ilvl w:val="0"/>
                <w:numId w:val="0"/>
              </w:num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屏幕尺寸和显示分辨率：屏幕尺寸≥XX英寸。屏幕分辨率3840 × 2160 @60 Hz超高清4K分辨率显示参数：屏幕占比＞ 90%，色深10bit，色域＞72%NTSC，亮度＞350cd/m² 。</w:t>
            </w:r>
          </w:p>
          <w:p w14:paraId="797951C4">
            <w:pPr>
              <w:numPr>
                <w:ilvl w:val="0"/>
                <w:numId w:val="0"/>
              </w:num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触控：设备具有防遮蔽功能，模拟10点遮蔽；具有防干扰功能，在照度≥30000 LUX环境下能正常工作。</w:t>
            </w:r>
          </w:p>
          <w:p w14:paraId="71A18DAB">
            <w:pPr>
              <w:numPr>
                <w:ilvl w:val="0"/>
                <w:numId w:val="0"/>
              </w:num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摄像头：分辨率：6020×4013，支持2400万像素。麦克风：设备内置全指向8阵列麦克风，支持全双工语音通信。</w:t>
            </w:r>
          </w:p>
          <w:p w14:paraId="2C7FEF86">
            <w:pPr>
              <w:numPr>
                <w:ilvl w:val="0"/>
                <w:numId w:val="0"/>
              </w:num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CPU、内存及存储：设备采用SOC芯片，CPU：Cortex-A55×4 最高主频1.9 GHz；GPU： ARM Mali-G52 MP2；NPU：2.6 TOPS AI算力，三核架构，支持int4/int8/int16/FP16/BF16/TF32；设备运行内存4GB，系统容量64GB。</w:t>
            </w:r>
          </w:p>
          <w:p w14:paraId="32D2DF86">
            <w:pPr>
              <w:numPr>
                <w:ilvl w:val="0"/>
                <w:numId w:val="0"/>
              </w:num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操作系统：内置操作系统Android 13，可外接OPS电脑（支持Windows、统信、麒麟系统），OPS模块接入后双系统可同时搭配使用，任意切换。</w:t>
            </w:r>
          </w:p>
          <w:p w14:paraId="271E300D">
            <w:pPr>
              <w:numPr>
                <w:ilvl w:val="0"/>
                <w:numId w:val="0"/>
              </w:num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设备接口：具有1个视频输入接口HDMI2.0 IN （4K@60Hz）；具备1路音频输入接口LINE IN，1 路音频输出接口LINE OUT；具备2个前置USB Type-A、1个USB Type-C接口，1个后置USB接口，支持双系统切换，前置接口、后置接口 、Android、OPS 上均支持3.0，可以实现 USB 设备的高速读写和控制。</w:t>
            </w:r>
          </w:p>
          <w:p w14:paraId="55725698">
            <w:pPr>
              <w:numPr>
                <w:ilvl w:val="0"/>
                <w:numId w:val="0"/>
              </w:numPr>
              <w:jc w:val="left"/>
              <w:rPr>
                <w:rFonts w:hint="eastAsia" w:ascii="宋体" w:hAnsi="宋体" w:eastAsia="宋体" w:cs="宋体"/>
                <w:b w:val="0"/>
                <w:bCs w:val="0"/>
                <w:color w:val="auto"/>
                <w:kern w:val="0"/>
                <w:sz w:val="20"/>
                <w:szCs w:val="20"/>
                <w:highlight w:val="yellow"/>
                <w:lang w:val="en-US" w:eastAsia="zh-CN" w:bidi="ar-SA"/>
              </w:rPr>
            </w:pP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全局交互设计：设备系统采用全屏框架设计，无侧边栏中控菜单遮挡主界面，主界面屏幕底部常驻系统操作栏，进入应用后，操作栏可通过手动下滑自动收起和底部向上滑动自动展开；系统操作栏各功能图标位置支持自定义调节。（提供CNAS或CMA标识的检测报告原件彩色扫描件或复印件加盖投标人公章后的彩色扫描件）。</w:t>
            </w:r>
          </w:p>
          <w:p w14:paraId="47412C94">
            <w:pPr>
              <w:numPr>
                <w:ilvl w:val="0"/>
                <w:numId w:val="0"/>
              </w:numPr>
              <w:jc w:val="left"/>
              <w:rPr>
                <w:rFonts w:hint="eastAsia" w:ascii="宋体" w:hAnsi="宋体" w:eastAsia="宋体" w:cs="宋体"/>
                <w:b w:val="0"/>
                <w:bCs w:val="0"/>
                <w:color w:val="auto"/>
                <w:kern w:val="0"/>
                <w:sz w:val="20"/>
                <w:szCs w:val="20"/>
                <w:highlight w:val="yellow"/>
                <w:lang w:val="en-US" w:eastAsia="zh-CN" w:bidi="ar-SA"/>
              </w:rPr>
            </w:pP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浏览器搜索插入：白板软件内支持浏览器搜索功能，可长按网页种图片或截图插入至白板。（提供CNAS或CMA标识的检测报告原件彩色扫描件或复印件加盖投标人公章后的彩色扫描件）。</w:t>
            </w:r>
          </w:p>
          <w:p w14:paraId="64DFCFF0">
            <w:pPr>
              <w:numPr>
                <w:ilvl w:val="0"/>
                <w:numId w:val="0"/>
              </w:numPr>
              <w:jc w:val="left"/>
              <w:rPr>
                <w:rFonts w:hint="eastAsia" w:ascii="宋体" w:hAnsi="宋体" w:eastAsia="宋体" w:cs="宋体"/>
                <w:b w:val="0"/>
                <w:bCs w:val="0"/>
                <w:color w:val="auto"/>
                <w:kern w:val="0"/>
                <w:sz w:val="20"/>
                <w:szCs w:val="20"/>
                <w:highlight w:val="yellow"/>
                <w:lang w:val="en-US" w:eastAsia="zh-CN" w:bidi="ar-SA"/>
              </w:rPr>
            </w:pP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投屏器支持：投屏器支持接入Type-C接口电源适配器，通过投屏器的Type-C输出接口接入电脑，可实现给电脑终端充电功能。投屏器支持接入Type-C接口电源适配器，通过投屏器的Type-C输出接口接入手机Type-C电源口，可实现给手机终端充电功能。（提供CNAS或CMA标识的检测报告原件彩色扫描件或复印件加盖投标人公章后的彩色扫描件）。</w:t>
            </w:r>
          </w:p>
          <w:p w14:paraId="38C52764">
            <w:pPr>
              <w:numPr>
                <w:ilvl w:val="0"/>
                <w:numId w:val="0"/>
              </w:numPr>
              <w:ind w:left="0" w:leftChars="0" w:firstLine="0" w:firstLineChars="0"/>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屏幕群组：支持屏幕群组功能，多台大屏与大屏之间可无线实时同步屏幕画面。支持单台终端（手机、PAD或电脑）的画面无线投屏到多台会议平板同时显示。（提供CNAS或CMA标识的检测报告原件彩色扫描件或复印件加盖投标人公章后的彩色扫描件）。</w:t>
            </w:r>
          </w:p>
        </w:tc>
        <w:tc>
          <w:tcPr>
            <w:tcW w:w="733" w:type="dxa"/>
            <w:vAlign w:val="center"/>
          </w:tcPr>
          <w:p w14:paraId="63966F9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4175313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5</w:t>
            </w:r>
          </w:p>
        </w:tc>
      </w:tr>
      <w:tr w14:paraId="5B448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B1A2A5B">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784</w:t>
            </w:r>
          </w:p>
        </w:tc>
        <w:tc>
          <w:tcPr>
            <w:tcW w:w="1595" w:type="dxa"/>
            <w:vAlign w:val="center"/>
          </w:tcPr>
          <w:p w14:paraId="629BBDA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台式机</w:t>
            </w:r>
          </w:p>
        </w:tc>
        <w:tc>
          <w:tcPr>
            <w:tcW w:w="6725" w:type="dxa"/>
            <w:vAlign w:val="center"/>
          </w:tcPr>
          <w:p w14:paraId="15928FB9">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组合类型:主机+显示器.CPU类型:主频(GHZ)2.8GHz.核心数:8,内存容量:8GB,固态硬盘容量256GB主板:自主板,网卡:板载单口千兆,网卡，支持扩展,显卡类型:独立显卡,光驱类型:DVDRW,显示器分辨率1920*1080.屏幕尺寸:23.8寸操作系统:正式版麒麟操作系统或正式版统信操作系统,机箱尺寸:5-15升,配件:键盘,鼠标,包装清单:主机、显示器、键盘、鼠标等</w:t>
            </w:r>
          </w:p>
        </w:tc>
        <w:tc>
          <w:tcPr>
            <w:tcW w:w="733" w:type="dxa"/>
            <w:vAlign w:val="center"/>
          </w:tcPr>
          <w:p w14:paraId="2B7E7D9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67A1661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100</w:t>
            </w:r>
          </w:p>
        </w:tc>
      </w:tr>
      <w:tr w14:paraId="56ABC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F3BE14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785</w:t>
            </w:r>
          </w:p>
        </w:tc>
        <w:tc>
          <w:tcPr>
            <w:tcW w:w="1595" w:type="dxa"/>
            <w:vAlign w:val="center"/>
          </w:tcPr>
          <w:p w14:paraId="45DF713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PACS专用显示器</w:t>
            </w:r>
          </w:p>
        </w:tc>
        <w:tc>
          <w:tcPr>
            <w:tcW w:w="6725" w:type="dxa"/>
            <w:vAlign w:val="center"/>
          </w:tcPr>
          <w:p w14:paraId="1B594342">
            <w:pPr>
              <w:ind w:left="200" w:hanging="200" w:hangingChars="100"/>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27英寸（16:9）       8MP(3840*2160)</w:t>
            </w:r>
          </w:p>
          <w:p w14:paraId="4A9AFCB7">
            <w:pPr>
              <w:ind w:left="200" w:hanging="200" w:hangingChars="100"/>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亮度330cd/m2         点距0.1554mm*0.1554mm</w:t>
            </w:r>
          </w:p>
          <w:p w14:paraId="2BCA3416">
            <w:pPr>
              <w:ind w:left="200" w:hanging="200" w:hangingChars="100"/>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色彩：42bit          可视角度 178/178</w:t>
            </w:r>
          </w:p>
          <w:p w14:paraId="3AE94925">
            <w:pPr>
              <w:ind w:left="200" w:hanging="200" w:hangingChars="100"/>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亮度均匀性矫正&gt;95%   响应时间：14ms</w:t>
            </w:r>
          </w:p>
          <w:p w14:paraId="62DD5088">
            <w:pPr>
              <w:ind w:left="200" w:hanging="200" w:hangingChars="100"/>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曲线误差：8%         视频输入:HDMI(2.0*2),DP(1.2*1）DVI*1，输出DP</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观片灯功能，防眩光，低闪屏</w:t>
            </w:r>
          </w:p>
        </w:tc>
        <w:tc>
          <w:tcPr>
            <w:tcW w:w="733" w:type="dxa"/>
            <w:vAlign w:val="center"/>
          </w:tcPr>
          <w:p w14:paraId="68BBEE1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3D5DE75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6</w:t>
            </w:r>
          </w:p>
        </w:tc>
      </w:tr>
      <w:tr w14:paraId="420B3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23D4EDC">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786</w:t>
            </w:r>
          </w:p>
        </w:tc>
        <w:tc>
          <w:tcPr>
            <w:tcW w:w="1595" w:type="dxa"/>
            <w:vAlign w:val="center"/>
          </w:tcPr>
          <w:p w14:paraId="3A59930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打印机</w:t>
            </w:r>
          </w:p>
        </w:tc>
        <w:tc>
          <w:tcPr>
            <w:tcW w:w="6725" w:type="dxa"/>
            <w:vAlign w:val="center"/>
          </w:tcPr>
          <w:p w14:paraId="66102A37">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1、品牌类型：国产品牌；</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2、类型：A4黑白激光单功能打印机；</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3、设备接口：USB、RJ45；</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4、打印功能：支持自动双面打印；支持网络打印；支持PC端打印状态监控；</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5、打印准备时间6.6S、首页打印时间3.6S；</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6、打印速度≥31ppm，A5纸横向打印速度57PPM；</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7、内存≧256MB；处理器盘数1：处理器主频≧800MHz；</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8、标准进纸盒容量≥250页；标准出纸盒容量≧120页</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9、操作系统：支持国际通用系统，中科方德+兆芯、中标麒麟 +龙芯、银河麒麟+飞腾、银河麒麟+龙芯、银河麒麟+兆芯、银河麒麟+鲲鹏、中标麒麟+兆芯、UOS+龙芯、UOS+兆芯、UOS+ 鲲鹏、UOS+飞腾；</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10、安可替代工程适配产品清单-基础通用产品-1-2021</w:t>
            </w:r>
          </w:p>
        </w:tc>
        <w:tc>
          <w:tcPr>
            <w:tcW w:w="733" w:type="dxa"/>
            <w:vAlign w:val="center"/>
          </w:tcPr>
          <w:p w14:paraId="653DCCF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05FB316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20</w:t>
            </w:r>
          </w:p>
        </w:tc>
      </w:tr>
      <w:tr w14:paraId="1BFDF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41327DB">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787</w:t>
            </w:r>
          </w:p>
        </w:tc>
        <w:tc>
          <w:tcPr>
            <w:tcW w:w="1595" w:type="dxa"/>
            <w:vAlign w:val="center"/>
          </w:tcPr>
          <w:p w14:paraId="26F3A50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外网超融合集群</w:t>
            </w:r>
          </w:p>
        </w:tc>
        <w:tc>
          <w:tcPr>
            <w:tcW w:w="6725" w:type="dxa"/>
            <w:vAlign w:val="center"/>
          </w:tcPr>
          <w:p w14:paraId="2E371868">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1、2U机架式服务器，配置原厂导轨、安全面板,支持≥10个PCIE4.0插槽；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2、配置≥2颗性能不低于2.2GHz、24核国产C86架构处理器，配置≥768GB 3200MT/s DDR4内存，可扩展≥32根DDR4内存；</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3、实配≥2*480G SSD硬盘+3*1.92TB NVME SSD+18*1.2T SAS 10K硬盘，全部硬盘可在不打开主机箱盖的情况下热插拔维护；</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4、配置独立Raid阵列卡，支持RAID0/1/10/5/6/50/60，≥2GB缓存，支持缓存数据保护，且后备保护时间不受限制；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5、配置≥4个千兆以太网电接口+4个万兆以太网光接口（满配模块））；</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6、支持双宽企业级GPU≥3块，支持单宽企业级GPU≥6块，配置VGA、USB 3.0接，配置1个1Gb独立的远程管理控制端口；</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7、实配热插拔冗余≥800W电源，热插拔冗余风扇；</w:t>
            </w:r>
          </w:p>
        </w:tc>
        <w:tc>
          <w:tcPr>
            <w:tcW w:w="733" w:type="dxa"/>
            <w:vAlign w:val="center"/>
          </w:tcPr>
          <w:p w14:paraId="1455DC3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79C8465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w:t>
            </w:r>
          </w:p>
        </w:tc>
      </w:tr>
      <w:tr w14:paraId="74123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5F9F881">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788</w:t>
            </w:r>
          </w:p>
        </w:tc>
        <w:tc>
          <w:tcPr>
            <w:tcW w:w="1595" w:type="dxa"/>
            <w:vAlign w:val="center"/>
          </w:tcPr>
          <w:p w14:paraId="110A4C7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外网超融合软件</w:t>
            </w:r>
          </w:p>
        </w:tc>
        <w:tc>
          <w:tcPr>
            <w:tcW w:w="6725" w:type="dxa"/>
            <w:vAlign w:val="center"/>
          </w:tcPr>
          <w:p w14:paraId="68DA294E">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1、融合计算虚拟化、存储虚拟化、网络虚拟化一体化产品，上电开机三步之内即可登陆虚拟化管理界面进行虚机管理操作，简单易用。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2、超融合硬件平台、计算虚拟化软件、存储虚拟化软件、网络虚拟化软件同一品牌且软件完全自主研发。</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3、在统一的超融合管理平台上即可实现对计算、存储、网络、安全等资源的统一管理运维，无需界面跳转即可实现全部操作。</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4、支持健康巡检功能，用于快速查看超融合系统健康情况；支持使用一键鼠标按钮导出Excel和PDF格式的集群、主机和虚拟机配置与状态信息。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5、支持一键扫描功能，对当前集群包括计算、存储、网络、安全等模块进行一次全方位扫描，评估当前集群环境健康度、故障诊断。</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6、支持一键切换展示大屏功能，直观展示虚拟化资源池的健康度、告警、资源使用情况等，同时展示内容支持用户自定义。（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yellow"/>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7、支持与现网超融合软件兼容，与现网超融合软件可纳入统一集群、统一管理，新建超融合集群可与现网超融合集群互为容灾集群，无需借助第三方软件。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8、支持同一平台提供多种存储服务，包括分布式块存储、对象存储、文件存储服务。</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9、支持对整个平台虚拟设备实现统一的管理，虚拟化 WEB 管理平台可以完成网络拓扑的构建，完成各类虚拟设备的自助逻辑编排，支持在管理平台上连接、开启、关闭各类虚拟设备，拓扑呈现业务流量信息，所画即所得，方便运维管理。（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10、支持虚拟机回收站功能，统一管理被删除的虚拟机，防止因虚拟机误删除导致数据丢失，支持设置回收站文件保存周期，超期的文件将被自动删除。</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11、存储虚拟化采用分布式的软件定义存储架构，无需独立的元数据及控制器节点，使用超融合管理平台统一管理，无需在计算虚拟化平台上部署存储控制器。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12、支持多副本机制，支持2~5副本数，可任意选择。（提供CNAS或CMA标识的检测报告原件彩色扫描件或复印件加盖投标人公章后的彩色扫描件）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yellow"/>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13、支持纠删码特性，支持N+1到N+4的纠删码保护，最大支持任意4个节点故障而数据不丢失、系统不停机。</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14、配置计算虚拟化软件6*CPU授权许可，存储虚拟化软件6*CPU授权许可，超融合管理软件6*CPU授权许可，虚拟化为分布式存储，提供原厂部署服务。</w:t>
            </w:r>
          </w:p>
        </w:tc>
        <w:tc>
          <w:tcPr>
            <w:tcW w:w="733" w:type="dxa"/>
            <w:vAlign w:val="center"/>
          </w:tcPr>
          <w:p w14:paraId="43C4766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1BDC9CF3">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6F4B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B29E84B">
            <w:pPr>
              <w:spacing w:line="300" w:lineRule="exact"/>
              <w:jc w:val="center"/>
              <w:rPr>
                <w:rFonts w:hint="default" w:ascii="仿宋" w:hAnsi="仿宋" w:eastAsia="仿宋" w:cs="宋体"/>
                <w:color w:val="auto"/>
                <w:sz w:val="22"/>
                <w:szCs w:val="22"/>
                <w:highlight w:val="yellow"/>
                <w:lang w:val="en-US" w:eastAsia="zh-CN"/>
              </w:rPr>
            </w:pPr>
            <w:r>
              <w:rPr>
                <w:rFonts w:hint="eastAsia" w:ascii="仿宋" w:hAnsi="仿宋" w:eastAsia="仿宋" w:cs="宋体"/>
                <w:color w:val="auto"/>
                <w:sz w:val="22"/>
                <w:szCs w:val="22"/>
                <w:highlight w:val="yellow"/>
                <w:lang w:val="en-US" w:eastAsia="zh-CN"/>
              </w:rPr>
              <w:t>789</w:t>
            </w:r>
          </w:p>
        </w:tc>
        <w:tc>
          <w:tcPr>
            <w:tcW w:w="1595" w:type="dxa"/>
            <w:vAlign w:val="center"/>
          </w:tcPr>
          <w:p w14:paraId="3B950AB4">
            <w:pPr>
              <w:jc w:val="center"/>
              <w:rPr>
                <w:rFonts w:hint="eastAsia" w:ascii="宋体" w:hAnsi="宋体" w:eastAsia="宋体" w:cs="宋体"/>
                <w:b w:val="0"/>
                <w:bCs w:val="0"/>
                <w:color w:val="auto"/>
                <w:kern w:val="0"/>
                <w:sz w:val="20"/>
                <w:szCs w:val="20"/>
                <w:highlight w:val="yellow"/>
                <w:lang w:val="en-US" w:eastAsia="zh-CN" w:bidi="ar-SA"/>
              </w:rPr>
            </w:pPr>
            <w:r>
              <w:rPr>
                <w:rFonts w:hint="eastAsia" w:ascii="宋体" w:hAnsi="宋体" w:eastAsia="宋体" w:cs="宋体"/>
                <w:b w:val="0"/>
                <w:bCs w:val="0"/>
                <w:color w:val="auto"/>
                <w:kern w:val="0"/>
                <w:sz w:val="20"/>
                <w:szCs w:val="20"/>
                <w:highlight w:val="yellow"/>
                <w:lang w:val="en-US" w:eastAsia="zh-CN" w:bidi="ar-SA"/>
              </w:rPr>
              <w:t>★内网超融合集群</w:t>
            </w:r>
          </w:p>
        </w:tc>
        <w:tc>
          <w:tcPr>
            <w:tcW w:w="6725" w:type="dxa"/>
            <w:vAlign w:val="center"/>
          </w:tcPr>
          <w:p w14:paraId="09E7AAE2">
            <w:pPr>
              <w:jc w:val="left"/>
              <w:rPr>
                <w:rFonts w:hint="eastAsia" w:ascii="宋体" w:hAnsi="宋体" w:eastAsia="宋体" w:cs="宋体"/>
                <w:b w:val="0"/>
                <w:bCs w:val="0"/>
                <w:color w:val="auto"/>
                <w:kern w:val="0"/>
                <w:sz w:val="20"/>
                <w:szCs w:val="20"/>
                <w:highlight w:val="yellow"/>
                <w:lang w:val="en-US" w:eastAsia="zh-CN" w:bidi="ar-SA"/>
              </w:rPr>
            </w:pPr>
            <w:r>
              <w:rPr>
                <w:rFonts w:hint="eastAsia" w:ascii="宋体" w:hAnsi="宋体" w:eastAsia="宋体" w:cs="宋体"/>
                <w:b w:val="0"/>
                <w:bCs w:val="0"/>
                <w:color w:val="auto"/>
                <w:kern w:val="0"/>
                <w:sz w:val="20"/>
                <w:szCs w:val="20"/>
                <w:highlight w:val="yellow"/>
                <w:lang w:val="en-US" w:eastAsia="zh-CN" w:bidi="ar-SA"/>
              </w:rPr>
              <w:t>1、2U机架式服务器，配置原厂导轨、安全面板,支持≥10个PCIE4.0插槽；</w:t>
            </w:r>
            <w:r>
              <w:rPr>
                <w:rFonts w:hint="eastAsia" w:ascii="宋体" w:hAnsi="宋体" w:eastAsia="宋体" w:cs="宋体"/>
                <w:b w:val="0"/>
                <w:bCs w:val="0"/>
                <w:color w:val="auto"/>
                <w:kern w:val="0"/>
                <w:sz w:val="20"/>
                <w:szCs w:val="20"/>
                <w:highlight w:val="yellow"/>
                <w:lang w:val="en-US" w:eastAsia="zh-CN" w:bidi="ar-SA"/>
              </w:rPr>
              <w:br w:type="textWrapping"/>
            </w:r>
            <w:r>
              <w:rPr>
                <w:rFonts w:hint="eastAsia" w:ascii="宋体" w:hAnsi="宋体" w:eastAsia="宋体" w:cs="宋体"/>
                <w:b w:val="0"/>
                <w:bCs w:val="0"/>
                <w:color w:val="auto"/>
                <w:kern w:val="0"/>
                <w:sz w:val="20"/>
                <w:szCs w:val="20"/>
                <w:highlight w:val="yellow"/>
                <w:lang w:val="en-US" w:eastAsia="zh-CN" w:bidi="ar-SA"/>
              </w:rPr>
              <w:t>2、配置≥2颗性能不低于2.2GHz、24核国产C86架构处理器，配置≥768GB 3200MT/s DDR4内存，可扩展≥32根DDR4内存；</w:t>
            </w:r>
            <w:r>
              <w:rPr>
                <w:rFonts w:hint="eastAsia" w:ascii="宋体" w:hAnsi="宋体" w:eastAsia="宋体" w:cs="宋体"/>
                <w:b w:val="0"/>
                <w:bCs w:val="0"/>
                <w:color w:val="auto"/>
                <w:kern w:val="0"/>
                <w:sz w:val="20"/>
                <w:szCs w:val="20"/>
                <w:highlight w:val="yellow"/>
                <w:lang w:val="en-US" w:eastAsia="zh-CN" w:bidi="ar-SA"/>
              </w:rPr>
              <w:br w:type="textWrapping"/>
            </w:r>
            <w:r>
              <w:rPr>
                <w:rFonts w:hint="eastAsia" w:ascii="宋体" w:hAnsi="宋体" w:eastAsia="宋体" w:cs="宋体"/>
                <w:b w:val="0"/>
                <w:bCs w:val="0"/>
                <w:color w:val="auto"/>
                <w:kern w:val="0"/>
                <w:sz w:val="20"/>
                <w:szCs w:val="20"/>
                <w:highlight w:val="yellow"/>
                <w:lang w:val="en-US" w:eastAsia="zh-CN" w:bidi="ar-SA"/>
              </w:rPr>
              <w:t>3、实配≥2*480G SSD硬盘+3*1.92TB NVME SSD+18*1.2T SAS 10K硬盘，全部硬盘可在不打开主机箱盖的情况下热插拔维护；</w:t>
            </w:r>
            <w:r>
              <w:rPr>
                <w:rFonts w:hint="eastAsia" w:ascii="宋体" w:hAnsi="宋体" w:eastAsia="宋体" w:cs="宋体"/>
                <w:b w:val="0"/>
                <w:bCs w:val="0"/>
                <w:color w:val="auto"/>
                <w:kern w:val="0"/>
                <w:sz w:val="20"/>
                <w:szCs w:val="20"/>
                <w:highlight w:val="yellow"/>
                <w:lang w:val="en-US" w:eastAsia="zh-CN" w:bidi="ar-SA"/>
              </w:rPr>
              <w:br w:type="textWrapping"/>
            </w:r>
            <w:r>
              <w:rPr>
                <w:rFonts w:hint="eastAsia" w:ascii="宋体" w:hAnsi="宋体" w:eastAsia="宋体" w:cs="宋体"/>
                <w:b w:val="0"/>
                <w:bCs w:val="0"/>
                <w:color w:val="auto"/>
                <w:kern w:val="0"/>
                <w:sz w:val="20"/>
                <w:szCs w:val="20"/>
                <w:highlight w:val="yellow"/>
                <w:lang w:val="en-US" w:eastAsia="zh-CN" w:bidi="ar-SA"/>
              </w:rPr>
              <w:t xml:space="preserve">4、配置独立Raid阵列卡，支持RAID0/1/10/5/6/50/60，≥2GB缓存，支持缓存数据保护，且后备保护时间不受限制； </w:t>
            </w:r>
            <w:r>
              <w:rPr>
                <w:rFonts w:hint="eastAsia" w:ascii="宋体" w:hAnsi="宋体" w:eastAsia="宋体" w:cs="宋体"/>
                <w:b w:val="0"/>
                <w:bCs w:val="0"/>
                <w:color w:val="auto"/>
                <w:kern w:val="0"/>
                <w:sz w:val="20"/>
                <w:szCs w:val="20"/>
                <w:highlight w:val="yellow"/>
                <w:lang w:val="en-US" w:eastAsia="zh-CN" w:bidi="ar-SA"/>
              </w:rPr>
              <w:br w:type="textWrapping"/>
            </w:r>
            <w:r>
              <w:rPr>
                <w:rFonts w:hint="eastAsia" w:ascii="宋体" w:hAnsi="宋体" w:eastAsia="宋体" w:cs="宋体"/>
                <w:b w:val="0"/>
                <w:bCs w:val="0"/>
                <w:color w:val="auto"/>
                <w:kern w:val="0"/>
                <w:sz w:val="20"/>
                <w:szCs w:val="20"/>
                <w:highlight w:val="yellow"/>
                <w:lang w:val="en-US" w:eastAsia="zh-CN" w:bidi="ar-SA"/>
              </w:rPr>
              <w:t>5、配置≥4个千兆以太网电接口+4个万兆以太网光接口（满配模块））；</w:t>
            </w:r>
            <w:r>
              <w:rPr>
                <w:rFonts w:hint="eastAsia" w:ascii="宋体" w:hAnsi="宋体" w:eastAsia="宋体" w:cs="宋体"/>
                <w:b w:val="0"/>
                <w:bCs w:val="0"/>
                <w:color w:val="auto"/>
                <w:kern w:val="0"/>
                <w:sz w:val="20"/>
                <w:szCs w:val="20"/>
                <w:highlight w:val="yellow"/>
                <w:lang w:val="en-US" w:eastAsia="zh-CN" w:bidi="ar-SA"/>
              </w:rPr>
              <w:br w:type="textWrapping"/>
            </w:r>
            <w:r>
              <w:rPr>
                <w:rFonts w:hint="eastAsia" w:ascii="宋体" w:hAnsi="宋体" w:eastAsia="宋体" w:cs="宋体"/>
                <w:b w:val="0"/>
                <w:bCs w:val="0"/>
                <w:color w:val="auto"/>
                <w:kern w:val="0"/>
                <w:sz w:val="20"/>
                <w:szCs w:val="20"/>
                <w:highlight w:val="yellow"/>
                <w:lang w:val="en-US" w:eastAsia="zh-CN" w:bidi="ar-SA"/>
              </w:rPr>
              <w:t>6、支持双宽企业级GPU≥3块，支持单宽企业级GPU≥6块，配置VGA、USB 3.0接，配置1个1Gb独立的远程管理控制端口；</w:t>
            </w:r>
            <w:r>
              <w:rPr>
                <w:rFonts w:hint="eastAsia" w:ascii="宋体" w:hAnsi="宋体" w:eastAsia="宋体" w:cs="宋体"/>
                <w:b w:val="0"/>
                <w:bCs w:val="0"/>
                <w:color w:val="auto"/>
                <w:kern w:val="0"/>
                <w:sz w:val="20"/>
                <w:szCs w:val="20"/>
                <w:highlight w:val="yellow"/>
                <w:lang w:val="en-US" w:eastAsia="zh-CN" w:bidi="ar-SA"/>
              </w:rPr>
              <w:br w:type="textWrapping"/>
            </w:r>
            <w:r>
              <w:rPr>
                <w:rFonts w:hint="eastAsia" w:ascii="宋体" w:hAnsi="宋体" w:eastAsia="宋体" w:cs="宋体"/>
                <w:b w:val="0"/>
                <w:bCs w:val="0"/>
                <w:color w:val="auto"/>
                <w:kern w:val="0"/>
                <w:sz w:val="20"/>
                <w:szCs w:val="20"/>
                <w:highlight w:val="yellow"/>
                <w:lang w:val="en-US" w:eastAsia="zh-CN" w:bidi="ar-SA"/>
              </w:rPr>
              <w:t>7、实配热插拔冗余≥800W电源，热插拔冗余风扇；</w:t>
            </w:r>
          </w:p>
        </w:tc>
        <w:tc>
          <w:tcPr>
            <w:tcW w:w="733" w:type="dxa"/>
            <w:vAlign w:val="center"/>
          </w:tcPr>
          <w:p w14:paraId="6C44C6C5">
            <w:pPr>
              <w:jc w:val="center"/>
              <w:rPr>
                <w:rFonts w:hint="eastAsia" w:ascii="宋体" w:hAnsi="宋体" w:eastAsia="宋体" w:cs="宋体"/>
                <w:b w:val="0"/>
                <w:bCs w:val="0"/>
                <w:color w:val="auto"/>
                <w:kern w:val="0"/>
                <w:sz w:val="20"/>
                <w:szCs w:val="20"/>
                <w:highlight w:val="yellow"/>
                <w:lang w:val="en-US" w:eastAsia="zh-CN" w:bidi="ar-SA"/>
              </w:rPr>
            </w:pPr>
            <w:r>
              <w:rPr>
                <w:rFonts w:hint="eastAsia" w:ascii="宋体" w:hAnsi="宋体" w:eastAsia="宋体" w:cs="宋体"/>
                <w:b w:val="0"/>
                <w:bCs w:val="0"/>
                <w:color w:val="auto"/>
                <w:kern w:val="0"/>
                <w:sz w:val="20"/>
                <w:szCs w:val="20"/>
                <w:highlight w:val="yellow"/>
                <w:lang w:val="en-US" w:eastAsia="zh-CN" w:bidi="ar-SA"/>
              </w:rPr>
              <w:t>台</w:t>
            </w:r>
          </w:p>
        </w:tc>
        <w:tc>
          <w:tcPr>
            <w:tcW w:w="714" w:type="dxa"/>
            <w:vAlign w:val="center"/>
          </w:tcPr>
          <w:p w14:paraId="6871801C">
            <w:pPr>
              <w:jc w:val="center"/>
              <w:rPr>
                <w:rFonts w:hint="eastAsia" w:ascii="宋体" w:hAnsi="宋体" w:eastAsia="宋体" w:cs="宋体"/>
                <w:b w:val="0"/>
                <w:bCs w:val="0"/>
                <w:color w:val="auto"/>
                <w:kern w:val="0"/>
                <w:sz w:val="20"/>
                <w:szCs w:val="20"/>
                <w:highlight w:val="yellow"/>
                <w:lang w:val="en-US" w:eastAsia="zh-CN" w:bidi="ar-SA"/>
              </w:rPr>
            </w:pPr>
            <w:r>
              <w:rPr>
                <w:rFonts w:hint="eastAsia" w:ascii="宋体" w:hAnsi="宋体" w:eastAsia="宋体" w:cs="宋体"/>
                <w:b w:val="0"/>
                <w:bCs w:val="0"/>
                <w:color w:val="auto"/>
                <w:kern w:val="0"/>
                <w:sz w:val="20"/>
                <w:szCs w:val="20"/>
                <w:highlight w:val="yellow"/>
                <w:lang w:val="en-US" w:eastAsia="zh-CN" w:bidi="ar-SA"/>
              </w:rPr>
              <w:t>5</w:t>
            </w:r>
          </w:p>
        </w:tc>
      </w:tr>
      <w:tr w14:paraId="76E1D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40EFF74">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790</w:t>
            </w:r>
          </w:p>
        </w:tc>
        <w:tc>
          <w:tcPr>
            <w:tcW w:w="1595" w:type="dxa"/>
            <w:vAlign w:val="center"/>
          </w:tcPr>
          <w:p w14:paraId="6FAF5FA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内网超融合软件</w:t>
            </w:r>
          </w:p>
        </w:tc>
        <w:tc>
          <w:tcPr>
            <w:tcW w:w="6725" w:type="dxa"/>
            <w:vAlign w:val="center"/>
          </w:tcPr>
          <w:p w14:paraId="68D13A02">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1、融合计算虚拟化、存储虚拟化、网络虚拟化一体化产品，上电开机三步之内即可登陆虚拟化管理界面进行虚机管理操作，简单易用。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2、超融合硬件平台、计算虚拟化软件、存储虚拟化软件、网络虚拟化软件同一品牌且软件完全自主研发。</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3、在统一的超融合管理平台上即可实现对计算、存储、网络、安全等资源的统一管理运维，无需界面跳转即可实现全部操作。</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4、支持健康巡检功能，用于快速查看超融合系统健康情况；支持使用一键鼠标按钮导出Excel和PDF格式的集群、主机和虚拟机配置与状态信息。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5、支持一键扫描功能，对当前集群包括计算、存储、网络、安全等模块进行一次全方位扫描，评估当前集群环境健康度、故障诊断。</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6、支持一键切换展示大屏功能，直观展示虚拟化资源池的健康度、告警、资源使用情况等，同时展示内容支持用户自定义。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7、支持与现网超融合软件兼容，与现网超融合软件可纳入统一集群、统一管理，新建超融合集群可与现网超融合集群互为容灾集群，无需借助第三方软件。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8、支持同一平台提供多种存储服务，包括分布式块存储、对象存储、文件存储服务。</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9、支持对整个平台虚拟设备实现统一的管理，虚拟化 WEB 管理平台可以完成网络拓扑的构建，完成各类虚拟设备的自助逻辑编排，支持在管理平台上连接、开启、关闭各类虚拟设备，拓扑呈现业务流量信息，所画即所得，方便运维管理。</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10、支持虚拟机回收站功能，统一管理被删除的虚拟机，防止因虚拟机误删除导致数据丢失，支持设置回收站文件保存周期，超期的文件将被自动删除。</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11、存储虚拟化采用分布式的软件定义存储架构，无需独立的元数据及控制器节点，使用超融合管理平台统一管理，无需在计算虚拟化平台上部署存储控制器。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12、支持多副本机制，支持2~6副本数，可任意选择。</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13、支持纠删码特性，支持N+1到N+4的纠删码保护，最大支持任意4个节点故障而数据不丢失、系统不停机。</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14、配置计算虚拟化软件10*CPU授权许可，存储虚拟化软件10*CPU授权许可，超融合管理软件10*CPU授权许可，虚拟化为分布式存储，提供原厂部署服务。</w:t>
            </w:r>
          </w:p>
        </w:tc>
        <w:tc>
          <w:tcPr>
            <w:tcW w:w="733" w:type="dxa"/>
            <w:vAlign w:val="center"/>
          </w:tcPr>
          <w:p w14:paraId="1D5451C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5B98609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4C3AE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D20109D">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791</w:t>
            </w:r>
          </w:p>
        </w:tc>
        <w:tc>
          <w:tcPr>
            <w:tcW w:w="1595" w:type="dxa"/>
            <w:vAlign w:val="center"/>
          </w:tcPr>
          <w:p w14:paraId="7CEAFE3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条码打印机</w:t>
            </w:r>
          </w:p>
        </w:tc>
        <w:tc>
          <w:tcPr>
            <w:tcW w:w="6725" w:type="dxa"/>
            <w:vAlign w:val="center"/>
          </w:tcPr>
          <w:p w14:paraId="6761FB83">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1、分辨率：203 dpi/8 点/毫米</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2、内存：256 MB 闪存、128 MB SDRAM</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3、最大打印宽度：4.09 英寸/104 毫米 (203 dpi)</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4、最高打印速度：6 英寸/152 毫米/秒</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5、介质传感器：可移动黑标传感器，从中心到左侧的有限范围；偏离中心的固定间隙传感器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6、固件：ZPLII；EPL 2；XML</w:t>
            </w:r>
          </w:p>
        </w:tc>
        <w:tc>
          <w:tcPr>
            <w:tcW w:w="733" w:type="dxa"/>
            <w:vAlign w:val="center"/>
          </w:tcPr>
          <w:p w14:paraId="3988D7B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1D2E076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w:t>
            </w:r>
          </w:p>
        </w:tc>
      </w:tr>
    </w:tbl>
    <w:p w14:paraId="3859B799">
      <w:pPr>
        <w:pStyle w:val="2"/>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both"/>
        <w:textAlignment w:val="auto"/>
        <w:rPr>
          <w:rFonts w:hint="eastAsia" w:ascii="宋体" w:hAnsi="宋体" w:eastAsia="宋体" w:cs="宋体"/>
          <w:highlight w:val="yellow"/>
          <w:lang w:val="en-US" w:eastAsia="zh-CN"/>
        </w:rPr>
      </w:pPr>
      <w:r>
        <w:rPr>
          <w:rFonts w:hint="eastAsia" w:ascii="宋体" w:hAnsi="宋体" w:eastAsia="宋体" w:cs="宋体"/>
          <w:highlight w:val="yellow"/>
          <w:lang w:val="en-US" w:eastAsia="zh-CN"/>
        </w:rPr>
        <w:t>（二）-16：指挥中心和智慧急救中心装潢</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2228"/>
        <w:gridCol w:w="6092"/>
        <w:gridCol w:w="733"/>
        <w:gridCol w:w="714"/>
      </w:tblGrid>
      <w:tr w14:paraId="65BCD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FC01DB4">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仿宋" w:hAnsi="仿宋" w:eastAsia="仿宋" w:cs="宋体"/>
                <w:color w:val="auto"/>
                <w:sz w:val="22"/>
                <w:szCs w:val="22"/>
                <w:highlight w:val="none"/>
                <w:lang w:val="en-US" w:eastAsia="zh-CN"/>
              </w:rPr>
            </w:pPr>
            <w:r>
              <w:rPr>
                <w:rFonts w:hint="eastAsia" w:ascii="宋体" w:hAnsi="宋体" w:eastAsia="宋体" w:cs="宋体"/>
                <w:b/>
                <w:bCs/>
                <w:color w:val="auto"/>
                <w:kern w:val="0"/>
                <w:sz w:val="20"/>
                <w:szCs w:val="20"/>
                <w:highlight w:val="none"/>
                <w:lang w:val="en-US" w:eastAsia="zh-CN"/>
              </w:rPr>
              <w:t>序号</w:t>
            </w:r>
          </w:p>
        </w:tc>
        <w:tc>
          <w:tcPr>
            <w:tcW w:w="2228" w:type="dxa"/>
            <w:vAlign w:val="center"/>
          </w:tcPr>
          <w:p w14:paraId="3217E4DC">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产品名称</w:t>
            </w:r>
          </w:p>
        </w:tc>
        <w:tc>
          <w:tcPr>
            <w:tcW w:w="6092" w:type="dxa"/>
            <w:vAlign w:val="center"/>
          </w:tcPr>
          <w:p w14:paraId="19A4F034">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78278F6C">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单位</w:t>
            </w:r>
          </w:p>
        </w:tc>
        <w:tc>
          <w:tcPr>
            <w:tcW w:w="714" w:type="dxa"/>
            <w:vAlign w:val="center"/>
          </w:tcPr>
          <w:p w14:paraId="5AE78BAA">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数量</w:t>
            </w:r>
          </w:p>
        </w:tc>
      </w:tr>
      <w:tr w14:paraId="44FEE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350" w:type="dxa"/>
            <w:gridSpan w:val="5"/>
            <w:vAlign w:val="center"/>
          </w:tcPr>
          <w:p w14:paraId="2154FD67">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指挥中心和智慧急救中心装潢</w:t>
            </w:r>
          </w:p>
        </w:tc>
      </w:tr>
      <w:tr w14:paraId="085A3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9439D39">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792</w:t>
            </w:r>
          </w:p>
        </w:tc>
        <w:tc>
          <w:tcPr>
            <w:tcW w:w="2228" w:type="dxa"/>
            <w:vAlign w:val="center"/>
          </w:tcPr>
          <w:p w14:paraId="24D129B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整体装修设计</w:t>
            </w:r>
          </w:p>
        </w:tc>
        <w:tc>
          <w:tcPr>
            <w:tcW w:w="6092" w:type="dxa"/>
            <w:vAlign w:val="center"/>
          </w:tcPr>
          <w:p w14:paraId="4F791302">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对指挥中心和智慧急救中心一共400平米，装修设计，全景效果图，局部效果图，深化设计。</w:t>
            </w:r>
          </w:p>
        </w:tc>
        <w:tc>
          <w:tcPr>
            <w:tcW w:w="733" w:type="dxa"/>
            <w:vAlign w:val="center"/>
          </w:tcPr>
          <w:p w14:paraId="6F2DA70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米</w:t>
            </w:r>
          </w:p>
        </w:tc>
        <w:tc>
          <w:tcPr>
            <w:tcW w:w="714" w:type="dxa"/>
            <w:vAlign w:val="center"/>
          </w:tcPr>
          <w:p w14:paraId="39E43A8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400</w:t>
            </w:r>
          </w:p>
        </w:tc>
      </w:tr>
      <w:tr w14:paraId="3BF5E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DCD0FD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793</w:t>
            </w:r>
          </w:p>
        </w:tc>
        <w:tc>
          <w:tcPr>
            <w:tcW w:w="2228" w:type="dxa"/>
            <w:vAlign w:val="center"/>
          </w:tcPr>
          <w:p w14:paraId="59BFF44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铝方通吊顶</w:t>
            </w:r>
          </w:p>
        </w:tc>
        <w:tc>
          <w:tcPr>
            <w:tcW w:w="6092" w:type="dxa"/>
            <w:vAlign w:val="center"/>
          </w:tcPr>
          <w:p w14:paraId="6EFF52D3">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大厅顶面及过道铝方通吊顶，面宽100×40（mm）壁厚0.8mm，木纹色铝方通吊顶。</w:t>
            </w:r>
          </w:p>
        </w:tc>
        <w:tc>
          <w:tcPr>
            <w:tcW w:w="733" w:type="dxa"/>
            <w:vAlign w:val="center"/>
          </w:tcPr>
          <w:p w14:paraId="021181E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M2</w:t>
            </w:r>
          </w:p>
        </w:tc>
        <w:tc>
          <w:tcPr>
            <w:tcW w:w="714" w:type="dxa"/>
            <w:vAlign w:val="center"/>
          </w:tcPr>
          <w:p w14:paraId="128199A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80</w:t>
            </w:r>
          </w:p>
        </w:tc>
      </w:tr>
      <w:tr w14:paraId="73523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9E175C0">
            <w:pPr>
              <w:spacing w:line="300" w:lineRule="exact"/>
              <w:jc w:val="both"/>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794</w:t>
            </w:r>
          </w:p>
        </w:tc>
        <w:tc>
          <w:tcPr>
            <w:tcW w:w="2228" w:type="dxa"/>
            <w:vAlign w:val="center"/>
          </w:tcPr>
          <w:p w14:paraId="58B5C6C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顶面修补</w:t>
            </w:r>
          </w:p>
        </w:tc>
        <w:tc>
          <w:tcPr>
            <w:tcW w:w="6092" w:type="dxa"/>
            <w:vAlign w:val="center"/>
          </w:tcPr>
          <w:p w14:paraId="25BAA58C">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原基层顶面部分拆除及轻钢龙骨石膏板修补，表面批腻子刷乳胶漆。</w:t>
            </w:r>
          </w:p>
        </w:tc>
        <w:tc>
          <w:tcPr>
            <w:tcW w:w="733" w:type="dxa"/>
            <w:vAlign w:val="center"/>
          </w:tcPr>
          <w:p w14:paraId="2238A72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w:t>
            </w:r>
          </w:p>
        </w:tc>
        <w:tc>
          <w:tcPr>
            <w:tcW w:w="714" w:type="dxa"/>
            <w:vAlign w:val="center"/>
          </w:tcPr>
          <w:p w14:paraId="11FD63E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80</w:t>
            </w:r>
          </w:p>
        </w:tc>
      </w:tr>
      <w:tr w14:paraId="7CEF0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C1F2115">
            <w:pPr>
              <w:spacing w:line="300" w:lineRule="exact"/>
              <w:jc w:val="both"/>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795</w:t>
            </w:r>
          </w:p>
        </w:tc>
        <w:tc>
          <w:tcPr>
            <w:tcW w:w="2228" w:type="dxa"/>
            <w:vAlign w:val="center"/>
          </w:tcPr>
          <w:p w14:paraId="0CDA904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轻钢龙骨石膏板隔墙（开关插座做部分木工板加固）</w:t>
            </w:r>
          </w:p>
        </w:tc>
        <w:tc>
          <w:tcPr>
            <w:tcW w:w="6092" w:type="dxa"/>
            <w:vAlign w:val="center"/>
          </w:tcPr>
          <w:p w14:paraId="2E0935BD">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75mm系列龙骨，38mm穿心龙骨，9.5mm厚石膏板饰面，中间填充隔音棉。</w:t>
            </w:r>
          </w:p>
        </w:tc>
        <w:tc>
          <w:tcPr>
            <w:tcW w:w="733" w:type="dxa"/>
            <w:vAlign w:val="center"/>
          </w:tcPr>
          <w:p w14:paraId="2B5F9E7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M2</w:t>
            </w:r>
          </w:p>
        </w:tc>
        <w:tc>
          <w:tcPr>
            <w:tcW w:w="714" w:type="dxa"/>
            <w:vAlign w:val="center"/>
          </w:tcPr>
          <w:p w14:paraId="79F77CA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144</w:t>
            </w:r>
          </w:p>
        </w:tc>
      </w:tr>
      <w:tr w14:paraId="0BB74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3F461DD">
            <w:pPr>
              <w:spacing w:line="300" w:lineRule="exact"/>
              <w:jc w:val="both"/>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796</w:t>
            </w:r>
          </w:p>
        </w:tc>
        <w:tc>
          <w:tcPr>
            <w:tcW w:w="2228" w:type="dxa"/>
            <w:vAlign w:val="center"/>
          </w:tcPr>
          <w:p w14:paraId="7E56F083">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钢化玻璃隔断含门（内置百叶）</w:t>
            </w:r>
          </w:p>
        </w:tc>
        <w:tc>
          <w:tcPr>
            <w:tcW w:w="6092" w:type="dxa"/>
            <w:vAlign w:val="center"/>
          </w:tcPr>
          <w:p w14:paraId="10820E99">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钢化玻璃隔断（2.4米以内高）内置百叶，5mm厚双层钢化玻璃，黑色铝合金边框，内置25mm中空百叶。</w:t>
            </w:r>
          </w:p>
        </w:tc>
        <w:tc>
          <w:tcPr>
            <w:tcW w:w="733" w:type="dxa"/>
            <w:vAlign w:val="center"/>
          </w:tcPr>
          <w:p w14:paraId="2E859FE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M2</w:t>
            </w:r>
          </w:p>
        </w:tc>
        <w:tc>
          <w:tcPr>
            <w:tcW w:w="714" w:type="dxa"/>
            <w:vAlign w:val="center"/>
          </w:tcPr>
          <w:p w14:paraId="4331EC3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121</w:t>
            </w:r>
          </w:p>
        </w:tc>
      </w:tr>
      <w:tr w14:paraId="49236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75AA84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797</w:t>
            </w:r>
          </w:p>
        </w:tc>
        <w:tc>
          <w:tcPr>
            <w:tcW w:w="2228" w:type="dxa"/>
            <w:vAlign w:val="center"/>
          </w:tcPr>
          <w:p w14:paraId="5EE3FC4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墙面批荡及打磨</w:t>
            </w:r>
          </w:p>
        </w:tc>
        <w:tc>
          <w:tcPr>
            <w:tcW w:w="6092" w:type="dxa"/>
            <w:vAlign w:val="center"/>
          </w:tcPr>
          <w:p w14:paraId="1971B976">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清理墙面基层，修补缺角，一般型涂料（Y型）批涂料两遍，机器打磨。</w:t>
            </w:r>
          </w:p>
        </w:tc>
        <w:tc>
          <w:tcPr>
            <w:tcW w:w="733" w:type="dxa"/>
            <w:vAlign w:val="center"/>
          </w:tcPr>
          <w:p w14:paraId="123ABA7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M2</w:t>
            </w:r>
          </w:p>
        </w:tc>
        <w:tc>
          <w:tcPr>
            <w:tcW w:w="714" w:type="dxa"/>
            <w:vAlign w:val="center"/>
          </w:tcPr>
          <w:p w14:paraId="0264CBD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400</w:t>
            </w:r>
          </w:p>
        </w:tc>
      </w:tr>
      <w:tr w14:paraId="583BC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E18E79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798</w:t>
            </w:r>
          </w:p>
        </w:tc>
        <w:tc>
          <w:tcPr>
            <w:tcW w:w="2228" w:type="dxa"/>
            <w:vAlign w:val="center"/>
          </w:tcPr>
          <w:p w14:paraId="107E57B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墙面顶面乳胶漆喷涂</w:t>
            </w:r>
          </w:p>
        </w:tc>
        <w:tc>
          <w:tcPr>
            <w:tcW w:w="6092" w:type="dxa"/>
            <w:vAlign w:val="center"/>
          </w:tcPr>
          <w:p w14:paraId="2D61A59D">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墙面找平，修阴阳角，打磨喷涂乳胶漆两遍。</w:t>
            </w:r>
          </w:p>
        </w:tc>
        <w:tc>
          <w:tcPr>
            <w:tcW w:w="733" w:type="dxa"/>
            <w:vAlign w:val="center"/>
          </w:tcPr>
          <w:p w14:paraId="51BB5EE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M2</w:t>
            </w:r>
          </w:p>
        </w:tc>
        <w:tc>
          <w:tcPr>
            <w:tcW w:w="714" w:type="dxa"/>
            <w:vAlign w:val="center"/>
          </w:tcPr>
          <w:p w14:paraId="6821085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750</w:t>
            </w:r>
          </w:p>
        </w:tc>
      </w:tr>
      <w:tr w14:paraId="73EB6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D8916C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799</w:t>
            </w:r>
          </w:p>
        </w:tc>
        <w:tc>
          <w:tcPr>
            <w:tcW w:w="2228" w:type="dxa"/>
            <w:vAlign w:val="center"/>
          </w:tcPr>
          <w:p w14:paraId="666229E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玻璃隔断顶面降门头</w:t>
            </w:r>
          </w:p>
        </w:tc>
        <w:tc>
          <w:tcPr>
            <w:tcW w:w="6092" w:type="dxa"/>
            <w:vAlign w:val="center"/>
          </w:tcPr>
          <w:p w14:paraId="3218F6EC">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隔断顶面降门头（木工板基层外贴石膏板），15mm厚木工板(由木条或木块组成板芯，两面与单板或胶合板组坯胶合而成的一种人造板)基层，9.5mm石膏板饰面。</w:t>
            </w:r>
          </w:p>
        </w:tc>
        <w:tc>
          <w:tcPr>
            <w:tcW w:w="733" w:type="dxa"/>
            <w:vAlign w:val="center"/>
          </w:tcPr>
          <w:p w14:paraId="46D602E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米</w:t>
            </w:r>
          </w:p>
        </w:tc>
        <w:tc>
          <w:tcPr>
            <w:tcW w:w="714" w:type="dxa"/>
            <w:vAlign w:val="center"/>
          </w:tcPr>
          <w:p w14:paraId="3F93945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50</w:t>
            </w:r>
          </w:p>
        </w:tc>
      </w:tr>
      <w:tr w14:paraId="18360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4FF8F0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800</w:t>
            </w:r>
          </w:p>
        </w:tc>
        <w:tc>
          <w:tcPr>
            <w:tcW w:w="2228" w:type="dxa"/>
            <w:vAlign w:val="center"/>
          </w:tcPr>
          <w:p w14:paraId="4318FBF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大厅电子屏幕及其他墙面木饰面基层及智慧急救中心电子屏背景基层</w:t>
            </w:r>
          </w:p>
        </w:tc>
        <w:tc>
          <w:tcPr>
            <w:tcW w:w="6092" w:type="dxa"/>
            <w:vAlign w:val="center"/>
          </w:tcPr>
          <w:p w14:paraId="5E0CEB1A">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木工板基层，15mm厚木工板(由木条或木块组成板芯，两面与单板或胶合板组坯胶合而成的一种人造板)基层。</w:t>
            </w:r>
          </w:p>
        </w:tc>
        <w:tc>
          <w:tcPr>
            <w:tcW w:w="733" w:type="dxa"/>
            <w:vAlign w:val="center"/>
          </w:tcPr>
          <w:p w14:paraId="105E9DA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M2</w:t>
            </w:r>
          </w:p>
        </w:tc>
        <w:tc>
          <w:tcPr>
            <w:tcW w:w="714" w:type="dxa"/>
            <w:vAlign w:val="center"/>
          </w:tcPr>
          <w:p w14:paraId="2D5F1C2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78</w:t>
            </w:r>
          </w:p>
        </w:tc>
      </w:tr>
      <w:tr w14:paraId="05B99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E7CF8D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801</w:t>
            </w:r>
          </w:p>
        </w:tc>
        <w:tc>
          <w:tcPr>
            <w:tcW w:w="2228" w:type="dxa"/>
            <w:vAlign w:val="center"/>
          </w:tcPr>
          <w:p w14:paraId="0294691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木饰面</w:t>
            </w:r>
          </w:p>
        </w:tc>
        <w:tc>
          <w:tcPr>
            <w:tcW w:w="6092" w:type="dxa"/>
            <w:vAlign w:val="center"/>
          </w:tcPr>
          <w:p w14:paraId="597C27D4">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装饰面，15mm厚木饰面(内部密度板或多层板材，表面科技木皮）。</w:t>
            </w:r>
          </w:p>
        </w:tc>
        <w:tc>
          <w:tcPr>
            <w:tcW w:w="733" w:type="dxa"/>
            <w:vAlign w:val="center"/>
          </w:tcPr>
          <w:p w14:paraId="1DE8198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M2</w:t>
            </w:r>
          </w:p>
        </w:tc>
        <w:tc>
          <w:tcPr>
            <w:tcW w:w="714" w:type="dxa"/>
            <w:vAlign w:val="center"/>
          </w:tcPr>
          <w:p w14:paraId="4B000E9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78</w:t>
            </w:r>
          </w:p>
        </w:tc>
      </w:tr>
      <w:tr w14:paraId="3A3FD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9745B1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802</w:t>
            </w:r>
          </w:p>
        </w:tc>
        <w:tc>
          <w:tcPr>
            <w:tcW w:w="2228" w:type="dxa"/>
            <w:vAlign w:val="center"/>
          </w:tcPr>
          <w:p w14:paraId="2BB338E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隐形门</w:t>
            </w:r>
          </w:p>
        </w:tc>
        <w:tc>
          <w:tcPr>
            <w:tcW w:w="6092" w:type="dxa"/>
            <w:vAlign w:val="center"/>
          </w:tcPr>
          <w:p w14:paraId="0FC2089A">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展厅曲面屏后面加维修暗门，尺寸2000×800mm，木工板(由木条或木块组成板芯，两面与单板或胶合板组坯胶合而成的一种人造板)基层表面木饰面。</w:t>
            </w:r>
          </w:p>
        </w:tc>
        <w:tc>
          <w:tcPr>
            <w:tcW w:w="733" w:type="dxa"/>
            <w:vAlign w:val="center"/>
          </w:tcPr>
          <w:p w14:paraId="58B17AC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樘</w:t>
            </w:r>
          </w:p>
        </w:tc>
        <w:tc>
          <w:tcPr>
            <w:tcW w:w="714" w:type="dxa"/>
            <w:vAlign w:val="center"/>
          </w:tcPr>
          <w:p w14:paraId="561F0E6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5DBC2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46AD692">
            <w:pPr>
              <w:spacing w:line="300" w:lineRule="exact"/>
              <w:jc w:val="both"/>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803</w:t>
            </w:r>
          </w:p>
        </w:tc>
        <w:tc>
          <w:tcPr>
            <w:tcW w:w="2228" w:type="dxa"/>
            <w:vAlign w:val="center"/>
          </w:tcPr>
          <w:p w14:paraId="65E24DC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顶面新开灯孔</w:t>
            </w:r>
          </w:p>
        </w:tc>
        <w:tc>
          <w:tcPr>
            <w:tcW w:w="6092" w:type="dxa"/>
            <w:vAlign w:val="center"/>
          </w:tcPr>
          <w:p w14:paraId="5DFDA635">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新开灯孔，开孔直径150φmm。</w:t>
            </w:r>
          </w:p>
        </w:tc>
        <w:tc>
          <w:tcPr>
            <w:tcW w:w="733" w:type="dxa"/>
            <w:vAlign w:val="center"/>
          </w:tcPr>
          <w:p w14:paraId="16D53D3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个</w:t>
            </w:r>
          </w:p>
        </w:tc>
        <w:tc>
          <w:tcPr>
            <w:tcW w:w="714" w:type="dxa"/>
            <w:vAlign w:val="center"/>
          </w:tcPr>
          <w:p w14:paraId="1A92248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135</w:t>
            </w:r>
          </w:p>
        </w:tc>
      </w:tr>
      <w:tr w14:paraId="6CB7A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CCED34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804</w:t>
            </w:r>
          </w:p>
        </w:tc>
        <w:tc>
          <w:tcPr>
            <w:tcW w:w="2228" w:type="dxa"/>
            <w:vAlign w:val="center"/>
          </w:tcPr>
          <w:p w14:paraId="42E2539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室内踢脚线</w:t>
            </w:r>
          </w:p>
        </w:tc>
        <w:tc>
          <w:tcPr>
            <w:tcW w:w="6092" w:type="dxa"/>
            <w:vAlign w:val="center"/>
          </w:tcPr>
          <w:p w14:paraId="1CE3B2E3">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拉丝不锈钢，50mm高，1.2mm厚黑色拉丝不锈钢踢脚线。</w:t>
            </w:r>
          </w:p>
        </w:tc>
        <w:tc>
          <w:tcPr>
            <w:tcW w:w="733" w:type="dxa"/>
            <w:vAlign w:val="center"/>
          </w:tcPr>
          <w:p w14:paraId="191E9D6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米</w:t>
            </w:r>
          </w:p>
        </w:tc>
        <w:tc>
          <w:tcPr>
            <w:tcW w:w="714" w:type="dxa"/>
            <w:vAlign w:val="center"/>
          </w:tcPr>
          <w:p w14:paraId="07265F9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180</w:t>
            </w:r>
          </w:p>
        </w:tc>
      </w:tr>
      <w:tr w14:paraId="1B819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34E912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805</w:t>
            </w:r>
          </w:p>
        </w:tc>
        <w:tc>
          <w:tcPr>
            <w:tcW w:w="2228" w:type="dxa"/>
            <w:vAlign w:val="center"/>
          </w:tcPr>
          <w:p w14:paraId="4833539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顶面空调新风整改</w:t>
            </w:r>
          </w:p>
        </w:tc>
        <w:tc>
          <w:tcPr>
            <w:tcW w:w="6092" w:type="dxa"/>
            <w:vAlign w:val="center"/>
          </w:tcPr>
          <w:p w14:paraId="6B7ECED0">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改风口，增加的风道长度等。</w:t>
            </w:r>
          </w:p>
        </w:tc>
        <w:tc>
          <w:tcPr>
            <w:tcW w:w="733" w:type="dxa"/>
            <w:vAlign w:val="center"/>
          </w:tcPr>
          <w:p w14:paraId="5A17CE3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米</w:t>
            </w:r>
          </w:p>
        </w:tc>
        <w:tc>
          <w:tcPr>
            <w:tcW w:w="714" w:type="dxa"/>
            <w:vAlign w:val="center"/>
          </w:tcPr>
          <w:p w14:paraId="61BD325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80</w:t>
            </w:r>
          </w:p>
        </w:tc>
      </w:tr>
      <w:tr w14:paraId="15576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3CA164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806</w:t>
            </w:r>
          </w:p>
        </w:tc>
        <w:tc>
          <w:tcPr>
            <w:tcW w:w="2228" w:type="dxa"/>
            <w:vAlign w:val="center"/>
          </w:tcPr>
          <w:p w14:paraId="768FD85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增加水空调内机</w:t>
            </w:r>
          </w:p>
        </w:tc>
        <w:tc>
          <w:tcPr>
            <w:tcW w:w="6092" w:type="dxa"/>
            <w:vAlign w:val="center"/>
          </w:tcPr>
          <w:p w14:paraId="71A6DA80">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增加内机接PPR管道接2.5平方内机电源线</w:t>
            </w:r>
          </w:p>
        </w:tc>
        <w:tc>
          <w:tcPr>
            <w:tcW w:w="733" w:type="dxa"/>
            <w:vAlign w:val="center"/>
          </w:tcPr>
          <w:p w14:paraId="50AA130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49FADD2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7A46C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5A06E8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807</w:t>
            </w:r>
          </w:p>
        </w:tc>
        <w:tc>
          <w:tcPr>
            <w:tcW w:w="2228" w:type="dxa"/>
            <w:vAlign w:val="center"/>
          </w:tcPr>
          <w:p w14:paraId="4234C23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线控重新布置</w:t>
            </w:r>
          </w:p>
        </w:tc>
        <w:tc>
          <w:tcPr>
            <w:tcW w:w="6092" w:type="dxa"/>
            <w:vAlign w:val="center"/>
          </w:tcPr>
          <w:p w14:paraId="4204CCD0">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空调线控重新布置接网线（利用原始控制面板</w:t>
            </w:r>
          </w:p>
        </w:tc>
        <w:tc>
          <w:tcPr>
            <w:tcW w:w="733" w:type="dxa"/>
            <w:vAlign w:val="center"/>
          </w:tcPr>
          <w:p w14:paraId="34F28D2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项</w:t>
            </w:r>
          </w:p>
        </w:tc>
        <w:tc>
          <w:tcPr>
            <w:tcW w:w="714" w:type="dxa"/>
            <w:vAlign w:val="center"/>
          </w:tcPr>
          <w:p w14:paraId="02AC612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1118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C6AF2F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808</w:t>
            </w:r>
          </w:p>
        </w:tc>
        <w:tc>
          <w:tcPr>
            <w:tcW w:w="2228" w:type="dxa"/>
            <w:vAlign w:val="center"/>
          </w:tcPr>
          <w:p w14:paraId="5EC2322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灯具1</w:t>
            </w:r>
          </w:p>
        </w:tc>
        <w:tc>
          <w:tcPr>
            <w:tcW w:w="6092" w:type="dxa"/>
            <w:vAlign w:val="center"/>
          </w:tcPr>
          <w:p w14:paraId="3CDF6C19">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LED筒灯，15W，中性光。</w:t>
            </w:r>
          </w:p>
        </w:tc>
        <w:tc>
          <w:tcPr>
            <w:tcW w:w="733" w:type="dxa"/>
            <w:vAlign w:val="center"/>
          </w:tcPr>
          <w:p w14:paraId="7370129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个</w:t>
            </w:r>
          </w:p>
        </w:tc>
        <w:tc>
          <w:tcPr>
            <w:tcW w:w="714" w:type="dxa"/>
            <w:vAlign w:val="center"/>
          </w:tcPr>
          <w:p w14:paraId="57B6109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135</w:t>
            </w:r>
          </w:p>
        </w:tc>
      </w:tr>
      <w:tr w14:paraId="2B9F0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BE572A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809</w:t>
            </w:r>
          </w:p>
        </w:tc>
        <w:tc>
          <w:tcPr>
            <w:tcW w:w="2228" w:type="dxa"/>
            <w:vAlign w:val="center"/>
          </w:tcPr>
          <w:p w14:paraId="4260635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灯具2</w:t>
            </w:r>
          </w:p>
        </w:tc>
        <w:tc>
          <w:tcPr>
            <w:tcW w:w="6092" w:type="dxa"/>
            <w:vAlign w:val="center"/>
          </w:tcPr>
          <w:p w14:paraId="74978E27">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长条LED格栅灯，长度1米，35W，中性光。</w:t>
            </w:r>
          </w:p>
        </w:tc>
        <w:tc>
          <w:tcPr>
            <w:tcW w:w="733" w:type="dxa"/>
            <w:vAlign w:val="center"/>
          </w:tcPr>
          <w:p w14:paraId="72F7B82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个</w:t>
            </w:r>
          </w:p>
        </w:tc>
        <w:tc>
          <w:tcPr>
            <w:tcW w:w="714" w:type="dxa"/>
            <w:vAlign w:val="center"/>
          </w:tcPr>
          <w:p w14:paraId="6B52ADF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30</w:t>
            </w:r>
          </w:p>
        </w:tc>
      </w:tr>
      <w:tr w14:paraId="31BD5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C836DF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810</w:t>
            </w:r>
          </w:p>
        </w:tc>
        <w:tc>
          <w:tcPr>
            <w:tcW w:w="2228" w:type="dxa"/>
            <w:vAlign w:val="center"/>
          </w:tcPr>
          <w:p w14:paraId="6E06E5D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开关插座</w:t>
            </w:r>
          </w:p>
        </w:tc>
        <w:tc>
          <w:tcPr>
            <w:tcW w:w="6092" w:type="dxa"/>
            <w:vAlign w:val="center"/>
          </w:tcPr>
          <w:p w14:paraId="74A63898">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五孔插座100个，单孔网络面板64个。</w:t>
            </w:r>
          </w:p>
        </w:tc>
        <w:tc>
          <w:tcPr>
            <w:tcW w:w="733" w:type="dxa"/>
            <w:vAlign w:val="center"/>
          </w:tcPr>
          <w:p w14:paraId="62B2C5A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个</w:t>
            </w:r>
          </w:p>
        </w:tc>
        <w:tc>
          <w:tcPr>
            <w:tcW w:w="714" w:type="dxa"/>
            <w:vAlign w:val="center"/>
          </w:tcPr>
          <w:p w14:paraId="75E967B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164</w:t>
            </w:r>
          </w:p>
        </w:tc>
      </w:tr>
      <w:tr w14:paraId="13D49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EE282C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811</w:t>
            </w:r>
          </w:p>
        </w:tc>
        <w:tc>
          <w:tcPr>
            <w:tcW w:w="2228" w:type="dxa"/>
            <w:vAlign w:val="center"/>
          </w:tcPr>
          <w:p w14:paraId="70A1FE3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地插（智慧急救中心）</w:t>
            </w:r>
          </w:p>
        </w:tc>
        <w:tc>
          <w:tcPr>
            <w:tcW w:w="6092" w:type="dxa"/>
            <w:vAlign w:val="center"/>
          </w:tcPr>
          <w:p w14:paraId="407162CB">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10插座6个，三孔网络面板3个，86型纯铜地面盖板弹起式地插。</w:t>
            </w:r>
          </w:p>
        </w:tc>
        <w:tc>
          <w:tcPr>
            <w:tcW w:w="733" w:type="dxa"/>
            <w:vAlign w:val="center"/>
          </w:tcPr>
          <w:p w14:paraId="6B7769C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个</w:t>
            </w:r>
          </w:p>
        </w:tc>
        <w:tc>
          <w:tcPr>
            <w:tcW w:w="714" w:type="dxa"/>
            <w:vAlign w:val="center"/>
          </w:tcPr>
          <w:p w14:paraId="78A912B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9</w:t>
            </w:r>
          </w:p>
        </w:tc>
      </w:tr>
      <w:tr w14:paraId="40D0E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9245D2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812</w:t>
            </w:r>
          </w:p>
        </w:tc>
        <w:tc>
          <w:tcPr>
            <w:tcW w:w="2228" w:type="dxa"/>
            <w:vAlign w:val="center"/>
          </w:tcPr>
          <w:p w14:paraId="35C36E3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室内强弱电路改造（含智慧急救中心）</w:t>
            </w:r>
          </w:p>
        </w:tc>
        <w:tc>
          <w:tcPr>
            <w:tcW w:w="6092" w:type="dxa"/>
            <w:vAlign w:val="center"/>
          </w:tcPr>
          <w:p w14:paraId="178DF664">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4mm²电源线1000米，2.5mm²电源线2000米，6类网线1900米，含开槽、修复、PVC管、水晶头及线缆铺设等。</w:t>
            </w:r>
          </w:p>
        </w:tc>
        <w:tc>
          <w:tcPr>
            <w:tcW w:w="733" w:type="dxa"/>
            <w:vAlign w:val="center"/>
          </w:tcPr>
          <w:p w14:paraId="2896934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M2</w:t>
            </w:r>
          </w:p>
        </w:tc>
        <w:tc>
          <w:tcPr>
            <w:tcW w:w="714" w:type="dxa"/>
            <w:vAlign w:val="center"/>
          </w:tcPr>
          <w:p w14:paraId="6CEB8BD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437</w:t>
            </w:r>
          </w:p>
        </w:tc>
      </w:tr>
      <w:tr w14:paraId="09151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07E923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813</w:t>
            </w:r>
          </w:p>
        </w:tc>
        <w:tc>
          <w:tcPr>
            <w:tcW w:w="2228" w:type="dxa"/>
            <w:vAlign w:val="center"/>
          </w:tcPr>
          <w:p w14:paraId="5B6DDD0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桌子</w:t>
            </w:r>
          </w:p>
        </w:tc>
        <w:tc>
          <w:tcPr>
            <w:tcW w:w="6092" w:type="dxa"/>
            <w:vAlign w:val="center"/>
          </w:tcPr>
          <w:p w14:paraId="5DBFFB2D">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1、尺寸：≥1200×600×750mm</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2、板材：采用优等双饰面刨花板，面板及承重板件厚度≥25mm，其余板件厚度≥18mm，甲醛释放量≤0.3mg/m³。</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3、封边：采用2mm厚ABS激光封边条，表面光滑、花纹清晰、无漏印现象，其甲醛释放量≤0.1mg/L。</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4、热熔胶：采用优质环保热熔胶，总挥发有机物≤3g/kg。</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5、五金：采用优质三节走珠导轨及阻尼铰链。</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6、钢架：采用优质一级冷轧钢，钢管壁厚≥1.5mm，采用静电喷涂粉末工艺。</w:t>
            </w:r>
          </w:p>
        </w:tc>
        <w:tc>
          <w:tcPr>
            <w:tcW w:w="733" w:type="dxa"/>
            <w:vAlign w:val="center"/>
          </w:tcPr>
          <w:p w14:paraId="74BBF0A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张</w:t>
            </w:r>
          </w:p>
        </w:tc>
        <w:tc>
          <w:tcPr>
            <w:tcW w:w="714" w:type="dxa"/>
            <w:vAlign w:val="center"/>
          </w:tcPr>
          <w:p w14:paraId="6C7B52C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20</w:t>
            </w:r>
          </w:p>
        </w:tc>
      </w:tr>
      <w:tr w14:paraId="69BD3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C946B8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814</w:t>
            </w:r>
          </w:p>
        </w:tc>
        <w:tc>
          <w:tcPr>
            <w:tcW w:w="2228" w:type="dxa"/>
            <w:vAlign w:val="center"/>
          </w:tcPr>
          <w:p w14:paraId="5396219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黑网布椅子</w:t>
            </w:r>
          </w:p>
        </w:tc>
        <w:tc>
          <w:tcPr>
            <w:tcW w:w="6092" w:type="dxa"/>
            <w:vAlign w:val="center"/>
          </w:tcPr>
          <w:p w14:paraId="14C1D290">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1、尺寸：≥630×585×975</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2、面料:采用优质1级阻燃布料，表面或内部不可出现任何续燃、阴燃现象。</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3、海绵:采用定型海绵表观泡沫塑料密度≥30kg/m³，回弹性能≥40%，压缩永久变形≤4.5%。</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4、椅框及扶手:椅框采用PA60尼龙+GF30一体成型框架，环保PP塑胶扶手。</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5、气压棒:采用优质气压棒，密封性能符合要求。</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6、机构:采用优质转椅底盘和尼龙塑料五星脚，底盘为倾仰底盘，机构运动无干涉、无噪音。</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7、椅轮:采用优质尼龙塑料万向脚轮</w:t>
            </w:r>
          </w:p>
        </w:tc>
        <w:tc>
          <w:tcPr>
            <w:tcW w:w="733" w:type="dxa"/>
            <w:vAlign w:val="center"/>
          </w:tcPr>
          <w:p w14:paraId="1BAA35E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张</w:t>
            </w:r>
          </w:p>
        </w:tc>
        <w:tc>
          <w:tcPr>
            <w:tcW w:w="714" w:type="dxa"/>
            <w:vAlign w:val="center"/>
          </w:tcPr>
          <w:p w14:paraId="15C5C5C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22</w:t>
            </w:r>
          </w:p>
        </w:tc>
      </w:tr>
      <w:tr w14:paraId="6E0AA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03F6CA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815</w:t>
            </w:r>
          </w:p>
        </w:tc>
        <w:tc>
          <w:tcPr>
            <w:tcW w:w="2228" w:type="dxa"/>
            <w:vAlign w:val="center"/>
          </w:tcPr>
          <w:p w14:paraId="16C3E45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48口交换机</w:t>
            </w:r>
          </w:p>
        </w:tc>
        <w:tc>
          <w:tcPr>
            <w:tcW w:w="6092" w:type="dxa"/>
            <w:vAlign w:val="center"/>
          </w:tcPr>
          <w:p w14:paraId="2884EC92">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1、48个10/100/1000Base-T、4个10/100/1000Base-X SFP，</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2、交换容量256Gbps</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3、包转发率154.8Mbps</w:t>
            </w:r>
          </w:p>
        </w:tc>
        <w:tc>
          <w:tcPr>
            <w:tcW w:w="733" w:type="dxa"/>
            <w:vAlign w:val="center"/>
          </w:tcPr>
          <w:p w14:paraId="1222530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7ECC5B2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w:t>
            </w:r>
          </w:p>
        </w:tc>
      </w:tr>
      <w:tr w14:paraId="6BFCC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C01837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816</w:t>
            </w:r>
          </w:p>
        </w:tc>
        <w:tc>
          <w:tcPr>
            <w:tcW w:w="2228" w:type="dxa"/>
            <w:vAlign w:val="center"/>
          </w:tcPr>
          <w:p w14:paraId="330FF53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企业文化墙及门牌等物料（含智慧急救中心）</w:t>
            </w:r>
          </w:p>
        </w:tc>
        <w:tc>
          <w:tcPr>
            <w:tcW w:w="6092" w:type="dxa"/>
            <w:vAlign w:val="center"/>
          </w:tcPr>
          <w:p w14:paraId="297556E6">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按照甲方要求，进行实际定制；</w:t>
            </w:r>
          </w:p>
        </w:tc>
        <w:tc>
          <w:tcPr>
            <w:tcW w:w="733" w:type="dxa"/>
            <w:vAlign w:val="center"/>
          </w:tcPr>
          <w:p w14:paraId="78A67E8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M2</w:t>
            </w:r>
          </w:p>
        </w:tc>
        <w:tc>
          <w:tcPr>
            <w:tcW w:w="714" w:type="dxa"/>
            <w:vAlign w:val="center"/>
          </w:tcPr>
          <w:p w14:paraId="32EF5F7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100</w:t>
            </w:r>
          </w:p>
        </w:tc>
      </w:tr>
      <w:tr w14:paraId="4A53D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D75E7A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817</w:t>
            </w:r>
          </w:p>
        </w:tc>
        <w:tc>
          <w:tcPr>
            <w:tcW w:w="2228" w:type="dxa"/>
            <w:vAlign w:val="center"/>
          </w:tcPr>
          <w:p w14:paraId="45689CB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其他</w:t>
            </w:r>
          </w:p>
        </w:tc>
        <w:tc>
          <w:tcPr>
            <w:tcW w:w="6092" w:type="dxa"/>
            <w:vAlign w:val="center"/>
          </w:tcPr>
          <w:p w14:paraId="1D8A23B6">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含材料运输，搬运，成品保护，垃圾清理，保洁等</w:t>
            </w:r>
          </w:p>
        </w:tc>
        <w:tc>
          <w:tcPr>
            <w:tcW w:w="733" w:type="dxa"/>
            <w:vAlign w:val="center"/>
          </w:tcPr>
          <w:p w14:paraId="2209BF3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项</w:t>
            </w:r>
          </w:p>
        </w:tc>
        <w:tc>
          <w:tcPr>
            <w:tcW w:w="714" w:type="dxa"/>
            <w:vAlign w:val="center"/>
          </w:tcPr>
          <w:p w14:paraId="66BE534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0DA9F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0350" w:type="dxa"/>
            <w:gridSpan w:val="5"/>
            <w:vAlign w:val="center"/>
          </w:tcPr>
          <w:p w14:paraId="7D408C4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门口曲面屏大屏</w:t>
            </w:r>
          </w:p>
        </w:tc>
      </w:tr>
      <w:tr w14:paraId="593FC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B2448A0">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818</w:t>
            </w:r>
          </w:p>
        </w:tc>
        <w:tc>
          <w:tcPr>
            <w:tcW w:w="2228" w:type="dxa"/>
            <w:vAlign w:val="center"/>
          </w:tcPr>
          <w:p w14:paraId="56EB450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室内全彩LED显示屏</w:t>
            </w:r>
          </w:p>
        </w:tc>
        <w:tc>
          <w:tcPr>
            <w:tcW w:w="6092" w:type="dxa"/>
            <w:vAlign w:val="center"/>
          </w:tcPr>
          <w:p w14:paraId="54208475">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1、点间距≤1.5625mm，屏幕净尺寸≥6m×2.7m，屏体分辨率：≥3840×1728；</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2、亮度均匀性≥98%；</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3、模组采用镁铝合金材质；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▲4、模组宽高尺寸≥200*337.5mm；</w:t>
            </w:r>
            <w:r>
              <w:rPr>
                <w:rFonts w:hint="eastAsia" w:ascii="宋体" w:hAnsi="宋体" w:eastAsia="宋体" w:cs="宋体"/>
                <w:b w:val="0"/>
                <w:bCs w:val="0"/>
                <w:color w:val="auto"/>
                <w:kern w:val="0"/>
                <w:sz w:val="20"/>
                <w:szCs w:val="20"/>
                <w:highlight w:val="yellow"/>
                <w:lang w:val="en-US" w:eastAsia="zh-CN" w:bidi="ar-SA"/>
              </w:rPr>
              <w:t>（提供CNAS或CMA标识的检测报告原件彩色扫描件或复印件加盖投标人公章后的彩色扫描件）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5、平整度:≤0.1mm;</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6、屏幕亮度:≥600cd/m²可调;</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7、亮度鉴别等级LJ≥20C级；</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8、刷新率≥3900HZ;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9、灰度等级：256级；</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10、水平视角:≥170°;垂直视角:≥170°;</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11、搭配HDR系统卡，可实现即高动态范围图像显示屏效果，支持4K超高清显示；（提供CNAS或CMA标识的检测报告原件彩色扫描件或复印件加盖投标人公章后的彩色扫描件）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yellow"/>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12、模组电源供电与信号线采用一体化传输设计，模组供电电压和信号采用星型连接方式；（提供CNAS或CMA标识的检测报告原件彩色扫描件或复印件加盖投标人公章后的彩色扫描件）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13、供电及信号方式：通过电源线（品字3Pin），通过网口信号线；</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14、模组、接收卡需支持带电维护，支持热插拔;</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15、最大对比度:≥5000:1;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16、不少于8层PCB板结构设计，同时 采用30u镀金接插件;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17、模组供电:模组采用4.0-4.5VDC供电，搭配定制3C电源， 具备PFC电源;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18、低延时：屏体依据视频源输入频率，低延时。延时1帧。</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19、图像处理：图像有降燥、增强、运动补偿、色坐标变换处理、钝化处理。</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▲20、显示屏具有LED驱动器，包括LED显示屏及LED驱动芯片的驱动方法；具有LED显示屏拼接误差的检测方法和装置技术。</w:t>
            </w:r>
            <w:r>
              <w:rPr>
                <w:rFonts w:hint="eastAsia" w:ascii="宋体" w:hAnsi="宋体" w:eastAsia="宋体" w:cs="宋体"/>
                <w:b w:val="0"/>
                <w:bCs w:val="0"/>
                <w:color w:val="auto"/>
                <w:kern w:val="0"/>
                <w:sz w:val="20"/>
                <w:szCs w:val="20"/>
                <w:highlight w:val="yellow"/>
                <w:lang w:val="en-US" w:eastAsia="zh-CN" w:bidi="ar-SA"/>
              </w:rPr>
              <w:t>（提供CNAS或CMA标识的检测报告原件彩色扫描件或复印件加盖投标人公章后的彩色扫描件）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yellow"/>
                <w:lang w:val="en-US" w:eastAsia="zh-CN"/>
              </w:rPr>
              <w:t xml:space="preserve">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21、像素失控率≤1/100000;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22、灰度等级:显示屏100%亮度灰度等级≥16bt，70%亮度灰 度等级≥16bt，50%亮度灰度等级≥16bt，20%亮度灰度等级≥ 15bt;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▲23、LED显示屏依据《视觉低疲劳电子产品评测技术规范》检测，通过低疲劳电子产品评测并获得检测证书</w:t>
            </w:r>
            <w:r>
              <w:rPr>
                <w:rFonts w:hint="eastAsia" w:ascii="宋体" w:hAnsi="宋体" w:eastAsia="宋体" w:cs="宋体"/>
                <w:b w:val="0"/>
                <w:bCs w:val="0"/>
                <w:color w:val="auto"/>
                <w:kern w:val="0"/>
                <w:sz w:val="20"/>
                <w:szCs w:val="20"/>
                <w:highlight w:val="yellow"/>
                <w:lang w:val="en-US" w:eastAsia="zh-CN" w:bidi="ar-SA"/>
              </w:rPr>
              <w:t>（提供CNAS或CMA标识的检测报告原件彩色扫描件或复印件加盖投标人公章后的彩色扫描件）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24、LED显示屏由原厂制造商生产，不接受OEM贴牌或代工生产；</w:t>
            </w:r>
            <w:r>
              <w:rPr>
                <w:rFonts w:hint="eastAsia" w:ascii="宋体" w:hAnsi="宋体" w:eastAsia="宋体" w:cs="宋体"/>
                <w:b w:val="0"/>
                <w:bCs w:val="0"/>
                <w:color w:val="0766D4"/>
                <w:kern w:val="0"/>
                <w:sz w:val="20"/>
                <w:szCs w:val="20"/>
                <w:highlight w:val="yellow"/>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25、LED制造商获得数据管理能力成熟度达到受管理级证书（提供CNAS或CMA标识的检测报告原件彩色扫描件或复印件加盖投标人公章后的彩色扫描件）。</w:t>
            </w:r>
          </w:p>
        </w:tc>
        <w:tc>
          <w:tcPr>
            <w:tcW w:w="733" w:type="dxa"/>
            <w:vAlign w:val="center"/>
          </w:tcPr>
          <w:p w14:paraId="0FA37B7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平方</w:t>
            </w:r>
          </w:p>
        </w:tc>
        <w:tc>
          <w:tcPr>
            <w:tcW w:w="714" w:type="dxa"/>
            <w:vAlign w:val="center"/>
          </w:tcPr>
          <w:p w14:paraId="1B4664F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16.2</w:t>
            </w:r>
          </w:p>
        </w:tc>
      </w:tr>
      <w:tr w14:paraId="06E3F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A99BEF8">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819</w:t>
            </w:r>
          </w:p>
        </w:tc>
        <w:tc>
          <w:tcPr>
            <w:tcW w:w="2228" w:type="dxa"/>
            <w:vAlign w:val="center"/>
          </w:tcPr>
          <w:p w14:paraId="2FB6B6B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视频独立控制器</w:t>
            </w:r>
          </w:p>
        </w:tc>
        <w:tc>
          <w:tcPr>
            <w:tcW w:w="6092" w:type="dxa"/>
            <w:vAlign w:val="center"/>
          </w:tcPr>
          <w:p w14:paraId="343AE409">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1.拥有完备的视频输入接口，1路HDMI 2.0，1路DP1.2，4路HDMI。</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2.多输出，大带载，支持 16 路网口输出，带载高达 1040万像素。</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3.支持 HDR 输出，能够极大地增强显示屏的画质，使画面色彩更加真实生动，细节更加清晰。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4.支持个性化的画质缩放，支持三种画面缩放模式，包括点对点模式、全屏缩放、自定义缩放。</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5.多窗口显示，支持 5 窗口任意布局。</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6.支持预监输出画面，将预监内容通过 HDMI 发送到显示器显示。</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7.支持智能控制软件进行操作控制。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8.满足多路视频，任意位置和大小开窗显示播放。</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9.支持逐点亮色度校正技术，校正过程快速高效，支持直接现场校正；</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10.支持场景预设，最多可创建 10 个用户场景作为模板保存，可直接调用，方便使用。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11.支持 EDID 管理，支持用户自定义 EDID 和预设 EDID。</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12.设备可一键开启或关闭对应图层显示，提供更灵活的操作手段。</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13.通过面板数字按键，可快速准确定义窗口大小位置等坐标信息，增强产品实用性能。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14.考虑系统兼容性，需与LED显示屏为同一品牌。</w:t>
            </w:r>
          </w:p>
        </w:tc>
        <w:tc>
          <w:tcPr>
            <w:tcW w:w="733" w:type="dxa"/>
            <w:vAlign w:val="center"/>
          </w:tcPr>
          <w:p w14:paraId="6470605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1450030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5D977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70317A8">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820</w:t>
            </w:r>
          </w:p>
        </w:tc>
        <w:tc>
          <w:tcPr>
            <w:tcW w:w="2228" w:type="dxa"/>
            <w:vAlign w:val="center"/>
          </w:tcPr>
          <w:p w14:paraId="014056F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配电箱</w:t>
            </w:r>
          </w:p>
        </w:tc>
        <w:tc>
          <w:tcPr>
            <w:tcW w:w="6092" w:type="dxa"/>
            <w:vAlign w:val="center"/>
          </w:tcPr>
          <w:p w14:paraId="638B9559">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1.容量10 KW，提供智能配电管理系统或同等功能软件著作权，</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2.含PLC控制系统，可实时获取屏幕背部烟雾及温度数据，可执行远程开关机操作。</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3.考虑维护便利性，需与LED显示屏为同一品牌。</w:t>
            </w:r>
          </w:p>
        </w:tc>
        <w:tc>
          <w:tcPr>
            <w:tcW w:w="733" w:type="dxa"/>
            <w:vAlign w:val="center"/>
          </w:tcPr>
          <w:p w14:paraId="4536091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1FDE7F1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49A69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C55FA58">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821</w:t>
            </w:r>
          </w:p>
        </w:tc>
        <w:tc>
          <w:tcPr>
            <w:tcW w:w="2228" w:type="dxa"/>
            <w:vAlign w:val="center"/>
          </w:tcPr>
          <w:p w14:paraId="6E7A841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备品备件</w:t>
            </w:r>
          </w:p>
        </w:tc>
        <w:tc>
          <w:tcPr>
            <w:tcW w:w="6092" w:type="dxa"/>
            <w:vAlign w:val="center"/>
          </w:tcPr>
          <w:p w14:paraId="7BA24131">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同批次模组面积不小于0.3平方、接收卡电源各2块，专用检修工具等</w:t>
            </w:r>
          </w:p>
        </w:tc>
        <w:tc>
          <w:tcPr>
            <w:tcW w:w="733" w:type="dxa"/>
            <w:vAlign w:val="center"/>
          </w:tcPr>
          <w:p w14:paraId="1E1FA80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416B096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40F5E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B0B40D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822</w:t>
            </w:r>
          </w:p>
        </w:tc>
        <w:tc>
          <w:tcPr>
            <w:tcW w:w="2228" w:type="dxa"/>
            <w:vAlign w:val="center"/>
          </w:tcPr>
          <w:p w14:paraId="67CA982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钢结构与5cm包边</w:t>
            </w:r>
          </w:p>
        </w:tc>
        <w:tc>
          <w:tcPr>
            <w:tcW w:w="6092" w:type="dxa"/>
            <w:vAlign w:val="center"/>
          </w:tcPr>
          <w:p w14:paraId="7864FEB1">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1、LED高清屏幕采用水平安装(具体依照现场条件确定)，安装结构能满足LED高清显示屏的整体均匀平滑要求，结构便于安装和调试;</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2、整体框架式结构确保整体框架稳定性;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3、保障显示屏的整体平整度及避免钢结构日久变形。</w:t>
            </w:r>
          </w:p>
        </w:tc>
        <w:tc>
          <w:tcPr>
            <w:tcW w:w="733" w:type="dxa"/>
            <w:vAlign w:val="center"/>
          </w:tcPr>
          <w:p w14:paraId="1F9BD01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平方</w:t>
            </w:r>
          </w:p>
        </w:tc>
        <w:tc>
          <w:tcPr>
            <w:tcW w:w="714" w:type="dxa"/>
            <w:vAlign w:val="center"/>
          </w:tcPr>
          <w:p w14:paraId="5C0CDC2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17.08</w:t>
            </w:r>
          </w:p>
        </w:tc>
      </w:tr>
      <w:tr w14:paraId="5084B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CD37C1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823</w:t>
            </w:r>
          </w:p>
        </w:tc>
        <w:tc>
          <w:tcPr>
            <w:tcW w:w="2228" w:type="dxa"/>
            <w:vAlign w:val="center"/>
          </w:tcPr>
          <w:p w14:paraId="6507BA0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安装调试</w:t>
            </w:r>
          </w:p>
        </w:tc>
        <w:tc>
          <w:tcPr>
            <w:tcW w:w="6092" w:type="dxa"/>
            <w:vAlign w:val="center"/>
          </w:tcPr>
          <w:p w14:paraId="2CB08D70">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包装、运输、设备安装，系统调试等</w:t>
            </w:r>
          </w:p>
        </w:tc>
        <w:tc>
          <w:tcPr>
            <w:tcW w:w="733" w:type="dxa"/>
            <w:vAlign w:val="center"/>
          </w:tcPr>
          <w:p w14:paraId="5FC5A02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项</w:t>
            </w:r>
          </w:p>
        </w:tc>
        <w:tc>
          <w:tcPr>
            <w:tcW w:w="714" w:type="dxa"/>
            <w:vAlign w:val="center"/>
          </w:tcPr>
          <w:p w14:paraId="07E2610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6FF01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1CBDE9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824</w:t>
            </w:r>
          </w:p>
        </w:tc>
        <w:tc>
          <w:tcPr>
            <w:tcW w:w="2228" w:type="dxa"/>
            <w:vAlign w:val="center"/>
          </w:tcPr>
          <w:p w14:paraId="4D40668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配件</w:t>
            </w:r>
          </w:p>
        </w:tc>
        <w:tc>
          <w:tcPr>
            <w:tcW w:w="6092" w:type="dxa"/>
            <w:vAlign w:val="center"/>
          </w:tcPr>
          <w:p w14:paraId="48C27114">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连接排线，一拖一电源线，三芯电源线。</w:t>
            </w:r>
          </w:p>
        </w:tc>
        <w:tc>
          <w:tcPr>
            <w:tcW w:w="733" w:type="dxa"/>
            <w:vAlign w:val="center"/>
          </w:tcPr>
          <w:p w14:paraId="01FAA25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项</w:t>
            </w:r>
          </w:p>
        </w:tc>
        <w:tc>
          <w:tcPr>
            <w:tcW w:w="714" w:type="dxa"/>
            <w:vAlign w:val="center"/>
          </w:tcPr>
          <w:p w14:paraId="4010396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4D8BC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4F2449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825</w:t>
            </w:r>
          </w:p>
        </w:tc>
        <w:tc>
          <w:tcPr>
            <w:tcW w:w="2228" w:type="dxa"/>
            <w:vAlign w:val="center"/>
          </w:tcPr>
          <w:p w14:paraId="1AC5C5B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机柜</w:t>
            </w:r>
          </w:p>
        </w:tc>
        <w:tc>
          <w:tcPr>
            <w:tcW w:w="6092" w:type="dxa"/>
            <w:vAlign w:val="center"/>
          </w:tcPr>
          <w:p w14:paraId="482C1F4A">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1.尺寸：22U；</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2.8位万用插孔电源PDU，10A输入输出,1.5米线，带过载保护器及带灯总开关。</w:t>
            </w:r>
          </w:p>
        </w:tc>
        <w:tc>
          <w:tcPr>
            <w:tcW w:w="733" w:type="dxa"/>
            <w:vAlign w:val="center"/>
          </w:tcPr>
          <w:p w14:paraId="4C8B0ED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个</w:t>
            </w:r>
          </w:p>
        </w:tc>
        <w:tc>
          <w:tcPr>
            <w:tcW w:w="714" w:type="dxa"/>
            <w:vAlign w:val="center"/>
          </w:tcPr>
          <w:p w14:paraId="503E469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56572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BADDA1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826</w:t>
            </w:r>
          </w:p>
        </w:tc>
        <w:tc>
          <w:tcPr>
            <w:tcW w:w="2228" w:type="dxa"/>
            <w:vAlign w:val="center"/>
          </w:tcPr>
          <w:p w14:paraId="39DC1B9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大屏主线（主电缆）</w:t>
            </w:r>
          </w:p>
        </w:tc>
        <w:tc>
          <w:tcPr>
            <w:tcW w:w="6092" w:type="dxa"/>
            <w:vAlign w:val="center"/>
          </w:tcPr>
          <w:p w14:paraId="25979714">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规格不低于4×6mm²电缆线。</w:t>
            </w:r>
          </w:p>
        </w:tc>
        <w:tc>
          <w:tcPr>
            <w:tcW w:w="733" w:type="dxa"/>
            <w:vAlign w:val="center"/>
          </w:tcPr>
          <w:p w14:paraId="2D2E9AA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米</w:t>
            </w:r>
          </w:p>
        </w:tc>
        <w:tc>
          <w:tcPr>
            <w:tcW w:w="714" w:type="dxa"/>
            <w:vAlign w:val="center"/>
          </w:tcPr>
          <w:p w14:paraId="629C13C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25</w:t>
            </w:r>
          </w:p>
        </w:tc>
      </w:tr>
      <w:tr w14:paraId="3423C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CD9E8F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827</w:t>
            </w:r>
          </w:p>
        </w:tc>
        <w:tc>
          <w:tcPr>
            <w:tcW w:w="2228" w:type="dxa"/>
            <w:vAlign w:val="center"/>
          </w:tcPr>
          <w:p w14:paraId="562F480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高清线</w:t>
            </w:r>
          </w:p>
        </w:tc>
        <w:tc>
          <w:tcPr>
            <w:tcW w:w="6092" w:type="dxa"/>
            <w:vAlign w:val="center"/>
          </w:tcPr>
          <w:p w14:paraId="5CC1B094">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长度≥25米，HDMI高清连接线。</w:t>
            </w:r>
          </w:p>
        </w:tc>
        <w:tc>
          <w:tcPr>
            <w:tcW w:w="733" w:type="dxa"/>
            <w:vAlign w:val="center"/>
          </w:tcPr>
          <w:p w14:paraId="495AA3F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根</w:t>
            </w:r>
          </w:p>
        </w:tc>
        <w:tc>
          <w:tcPr>
            <w:tcW w:w="714" w:type="dxa"/>
            <w:vAlign w:val="center"/>
          </w:tcPr>
          <w:p w14:paraId="0E8CF08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0D36F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576E98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828</w:t>
            </w:r>
          </w:p>
        </w:tc>
        <w:tc>
          <w:tcPr>
            <w:tcW w:w="2228" w:type="dxa"/>
            <w:vAlign w:val="center"/>
          </w:tcPr>
          <w:p w14:paraId="2464F2E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网线</w:t>
            </w:r>
          </w:p>
        </w:tc>
        <w:tc>
          <w:tcPr>
            <w:tcW w:w="6092" w:type="dxa"/>
            <w:vAlign w:val="center"/>
          </w:tcPr>
          <w:p w14:paraId="1BD17C58">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6类非屏蔽网线。</w:t>
            </w:r>
          </w:p>
        </w:tc>
        <w:tc>
          <w:tcPr>
            <w:tcW w:w="733" w:type="dxa"/>
            <w:vAlign w:val="center"/>
          </w:tcPr>
          <w:p w14:paraId="56EEF05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米</w:t>
            </w:r>
          </w:p>
        </w:tc>
        <w:tc>
          <w:tcPr>
            <w:tcW w:w="714" w:type="dxa"/>
            <w:vAlign w:val="center"/>
          </w:tcPr>
          <w:p w14:paraId="294EADC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200</w:t>
            </w:r>
          </w:p>
        </w:tc>
      </w:tr>
      <w:tr w14:paraId="651DD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BC36B7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829</w:t>
            </w:r>
          </w:p>
        </w:tc>
        <w:tc>
          <w:tcPr>
            <w:tcW w:w="2228" w:type="dxa"/>
            <w:vAlign w:val="center"/>
          </w:tcPr>
          <w:p w14:paraId="17E2A61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电线</w:t>
            </w:r>
          </w:p>
        </w:tc>
        <w:tc>
          <w:tcPr>
            <w:tcW w:w="6092" w:type="dxa"/>
            <w:vAlign w:val="center"/>
          </w:tcPr>
          <w:p w14:paraId="2D7311CC">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规格不低于3×2.5mm²电缆线。</w:t>
            </w:r>
          </w:p>
        </w:tc>
        <w:tc>
          <w:tcPr>
            <w:tcW w:w="733" w:type="dxa"/>
            <w:vAlign w:val="center"/>
          </w:tcPr>
          <w:p w14:paraId="6557B36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米</w:t>
            </w:r>
          </w:p>
        </w:tc>
        <w:tc>
          <w:tcPr>
            <w:tcW w:w="714" w:type="dxa"/>
            <w:vAlign w:val="center"/>
          </w:tcPr>
          <w:p w14:paraId="5AA138B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180</w:t>
            </w:r>
          </w:p>
        </w:tc>
      </w:tr>
      <w:tr w14:paraId="0F177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73BB01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830</w:t>
            </w:r>
          </w:p>
        </w:tc>
        <w:tc>
          <w:tcPr>
            <w:tcW w:w="2228" w:type="dxa"/>
            <w:vAlign w:val="center"/>
          </w:tcPr>
          <w:p w14:paraId="041E19F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平板电脑</w:t>
            </w:r>
          </w:p>
        </w:tc>
        <w:tc>
          <w:tcPr>
            <w:tcW w:w="6092" w:type="dxa"/>
            <w:vAlign w:val="center"/>
          </w:tcPr>
          <w:p w14:paraId="2CC8E146">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内存8+128GB，显示屏幕11寸</w:t>
            </w:r>
          </w:p>
        </w:tc>
        <w:tc>
          <w:tcPr>
            <w:tcW w:w="733" w:type="dxa"/>
            <w:vAlign w:val="center"/>
          </w:tcPr>
          <w:p w14:paraId="645D8BA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1F90ABD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41DC0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A1C41E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831</w:t>
            </w:r>
          </w:p>
        </w:tc>
        <w:tc>
          <w:tcPr>
            <w:tcW w:w="2228" w:type="dxa"/>
            <w:vAlign w:val="center"/>
          </w:tcPr>
          <w:p w14:paraId="4B152CF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中控</w:t>
            </w:r>
          </w:p>
        </w:tc>
        <w:tc>
          <w:tcPr>
            <w:tcW w:w="6092" w:type="dxa"/>
            <w:vAlign w:val="center"/>
          </w:tcPr>
          <w:p w14:paraId="4099F2C9">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1.设备采用1U钣金结构机箱；</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2.设备前面板内嵌LCD彩色液晶屏，分辨率不小于220x176，无需连接额外的电脑和软件在设备端即可实时查看监控设备接口状态及IP地址；</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3.中控主机应配备独立的模块化编程架构，采用CPUARNrex®32位工业级处理器和48KBL2高速缓存，4MB高性能外部存储，可实时存储最多2900个用户指令；</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4.设备采用纯硬件设计架构，内部无操作系统；无系统奔溃病毒侵染，兼容性等问题，允许频繁开关机，开机启动响应时间不超过3s；</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5.设备支持数据实时存储，意外断电后，重新上电时数据可自动恢复；</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6.具备百兆Ethernet控制接口，支持TCP/UDP网络控制协议。同网段内，可通过有线/无线路由进行跨区域控制；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7.设备支持11路可编程全双向通讯DB9接口，同时可兼容RS422/RS485/RS232协议，最高波特率达4Mbps、可用于控制各种串口通讯设备；例如控制电源时序器，发送卡拼接器矩阵云台等设备；</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8.支持12路可编程 I/0 接口，支持编程触发执行各种功能需求，支持输入输出双模式(输入最大支持5V和 输出景大支持3.3V)，可以接入不同类型的传感器，用于自动触发控制；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9.支持12路可编程弱继电器接口，最大30V直流，允许的最大电流3A;通过控制强电继电器，控制灯光、电动窗帘、升降架等设备；</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10.支持12路红外发射接口，支持全频段载波红外调制信息发送，发送控制的距离最大可达10M，可以控制空调，电视等设备；</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11.支持红外学习功充分满足多端多功能控制的诉可学习1000个红外按键功；</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12.上位机编辑软件提供开放式的可编程控制平台、人性化的操作界面和交互式的控制结构，可自由编辑图片、图标、文字等；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13.上位机控制软件可适配于多种类型的控制设备，且支持Android，i0s，Windows三平台同时控制；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14.设备满足-10℃可冷启动正常，高温50℃运行正常。</w:t>
            </w:r>
          </w:p>
        </w:tc>
        <w:tc>
          <w:tcPr>
            <w:tcW w:w="733" w:type="dxa"/>
            <w:vAlign w:val="center"/>
          </w:tcPr>
          <w:p w14:paraId="1AD27D9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1B2F7A5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6DAF1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3301808">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832</w:t>
            </w:r>
          </w:p>
        </w:tc>
        <w:tc>
          <w:tcPr>
            <w:tcW w:w="2228" w:type="dxa"/>
            <w:vAlign w:val="center"/>
          </w:tcPr>
          <w:p w14:paraId="3D59B52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吸顶喇叭</w:t>
            </w:r>
          </w:p>
        </w:tc>
        <w:tc>
          <w:tcPr>
            <w:tcW w:w="6092" w:type="dxa"/>
            <w:vAlign w:val="center"/>
          </w:tcPr>
          <w:p w14:paraId="7F21A50B">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额定功率：40W         输入电压：100V</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灵敏度：89±3dB       频响：90~20KHz</w:t>
            </w:r>
          </w:p>
        </w:tc>
        <w:tc>
          <w:tcPr>
            <w:tcW w:w="733" w:type="dxa"/>
            <w:vAlign w:val="center"/>
          </w:tcPr>
          <w:p w14:paraId="7DF4A89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409E42B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26E84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31E326D">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833</w:t>
            </w:r>
          </w:p>
        </w:tc>
        <w:tc>
          <w:tcPr>
            <w:tcW w:w="2228" w:type="dxa"/>
            <w:vAlign w:val="center"/>
          </w:tcPr>
          <w:p w14:paraId="48E6E93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合并式功放</w:t>
            </w:r>
          </w:p>
        </w:tc>
        <w:tc>
          <w:tcPr>
            <w:tcW w:w="6092" w:type="dxa"/>
            <w:vAlign w:val="center"/>
          </w:tcPr>
          <w:p w14:paraId="2B406735">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额定功率：160W</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输出方式：70V，100V，4-16Ω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输入灵敏度/阻抗：MIC:25mV/600Ω，不平衡TRS端子输入；AUX:350mV/10KΩ，不平衡RCA端子输入</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输出灵敏度/阻抗：1000mV/470Ω，不平衡RCA端子输入</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过载源电动势：MIC:＞12dB，不平衡TRS端子输入；AUX:＞20dB，不平衡RCA端子输入</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频率响应：50-16KHz（+1dB，-3dB）</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信噪比：MIC:66dB；AUX1:80dB</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总谐波失真：1KHz时0.5%，1/3输出功率</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默音功能：MIC优先其他通道</w:t>
            </w:r>
          </w:p>
        </w:tc>
        <w:tc>
          <w:tcPr>
            <w:tcW w:w="733" w:type="dxa"/>
            <w:vAlign w:val="center"/>
          </w:tcPr>
          <w:p w14:paraId="1C53A62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6D03792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14AC3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FDEACD8">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834</w:t>
            </w:r>
          </w:p>
        </w:tc>
        <w:tc>
          <w:tcPr>
            <w:tcW w:w="2228" w:type="dxa"/>
            <w:vAlign w:val="center"/>
          </w:tcPr>
          <w:p w14:paraId="6DE81D6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音频线</w:t>
            </w:r>
          </w:p>
        </w:tc>
        <w:tc>
          <w:tcPr>
            <w:tcW w:w="6092" w:type="dxa"/>
            <w:vAlign w:val="center"/>
          </w:tcPr>
          <w:p w14:paraId="1D2CED9D">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5米音频连接线：3.5转双莲花公延长线</w:t>
            </w:r>
          </w:p>
        </w:tc>
        <w:tc>
          <w:tcPr>
            <w:tcW w:w="733" w:type="dxa"/>
            <w:vAlign w:val="center"/>
          </w:tcPr>
          <w:p w14:paraId="005BA0F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条</w:t>
            </w:r>
          </w:p>
        </w:tc>
        <w:tc>
          <w:tcPr>
            <w:tcW w:w="714" w:type="dxa"/>
            <w:vAlign w:val="center"/>
          </w:tcPr>
          <w:p w14:paraId="171BCDF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2830D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D9A9606">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835</w:t>
            </w:r>
          </w:p>
        </w:tc>
        <w:tc>
          <w:tcPr>
            <w:tcW w:w="2228" w:type="dxa"/>
            <w:vAlign w:val="center"/>
          </w:tcPr>
          <w:p w14:paraId="18BB42C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音箱线</w:t>
            </w:r>
          </w:p>
        </w:tc>
        <w:tc>
          <w:tcPr>
            <w:tcW w:w="6092" w:type="dxa"/>
            <w:vAlign w:val="center"/>
          </w:tcPr>
          <w:p w14:paraId="3A3AE79B">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专业护套音响线EVJV2×1.5mm²</w:t>
            </w:r>
          </w:p>
        </w:tc>
        <w:tc>
          <w:tcPr>
            <w:tcW w:w="733" w:type="dxa"/>
            <w:vAlign w:val="center"/>
          </w:tcPr>
          <w:p w14:paraId="6AC1F74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米</w:t>
            </w:r>
          </w:p>
        </w:tc>
        <w:tc>
          <w:tcPr>
            <w:tcW w:w="714" w:type="dxa"/>
            <w:vAlign w:val="center"/>
          </w:tcPr>
          <w:p w14:paraId="3C717BA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50</w:t>
            </w:r>
          </w:p>
        </w:tc>
      </w:tr>
      <w:tr w14:paraId="11BA3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7A3B0BD">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836</w:t>
            </w:r>
          </w:p>
        </w:tc>
        <w:tc>
          <w:tcPr>
            <w:tcW w:w="2228" w:type="dxa"/>
            <w:vAlign w:val="center"/>
          </w:tcPr>
          <w:p w14:paraId="30C543F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播控桌</w:t>
            </w:r>
          </w:p>
        </w:tc>
        <w:tc>
          <w:tcPr>
            <w:tcW w:w="6092" w:type="dxa"/>
            <w:vAlign w:val="center"/>
          </w:tcPr>
          <w:p w14:paraId="262F355F">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尺寸≥900×600×750mm，常规防火密度板桌面≥17mm，柜体为≥0.6mm冷轧钢板。</w:t>
            </w:r>
          </w:p>
        </w:tc>
        <w:tc>
          <w:tcPr>
            <w:tcW w:w="733" w:type="dxa"/>
            <w:vAlign w:val="center"/>
          </w:tcPr>
          <w:p w14:paraId="0C482CC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5F159EE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21BB1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10350" w:type="dxa"/>
            <w:gridSpan w:val="5"/>
            <w:vAlign w:val="center"/>
          </w:tcPr>
          <w:p w14:paraId="5EC6AEF1">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智慧急救中心大屏</w:t>
            </w:r>
          </w:p>
        </w:tc>
      </w:tr>
      <w:tr w14:paraId="3692B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A0AB7D9">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837</w:t>
            </w:r>
          </w:p>
        </w:tc>
        <w:tc>
          <w:tcPr>
            <w:tcW w:w="2228" w:type="dxa"/>
            <w:vAlign w:val="center"/>
          </w:tcPr>
          <w:p w14:paraId="684AFCC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室内全彩LED显示屏</w:t>
            </w:r>
          </w:p>
        </w:tc>
        <w:tc>
          <w:tcPr>
            <w:tcW w:w="6092" w:type="dxa"/>
            <w:vAlign w:val="center"/>
          </w:tcPr>
          <w:p w14:paraId="66F34363">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1、点间距≤1.25mm，屏幕净尺寸≥5.4m×2.7m，屏体分辨率：≥4320×2160；</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2、亮度均匀性≥98%；</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3、模组采用镁铝合金材质；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4、模组宽高尺寸≥200*337.5mm；</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5、平整度:≤0.1mm;</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6、屏幕亮度:≥600cd/m²可调;</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7、亮度鉴别等级LJ≥20C级；</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8、刷新率≥3900HZ;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9、灰度等级：256级；</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10、水平视角:≥170°;垂直视角:≥170°;</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11、搭配HDR系统卡，可实现即高动态范围图像显示屏效果，支持4K超高清显示；</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12、模组电源供电与信号线采用一体化传输设计，模组供电电压和信号采用星型连接方式；</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13、供电及信号方式：通过电源线（品字3Pin），通过网口信号线；</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14、模组、接收卡需支持带电维护，支持热插拔;</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15、最大对比度:≥5000:1;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16、显示屏具备智能（黑屏）节电功能，开启智能节电功能比没开启节能50%以上，LED显示屏符合GB21520-2015,能效一级；</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17、不少于8层PCB板结构设计，同时 采用30u镀金接插件;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18、模组供电:模组采用4.0-4.5VDC供电，搭配定制3C电源， 具备PFC电源;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19、低延时：屏体依据视频源输入频率，低延时。延时1帧。</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20、图像处理：图像有降燥、增强、运动补偿、色坐标变换处理、钝化处理。;</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21、显示屏具有LED驱动器，包括LED显示屏及LED驱动芯片的驱动方法；具有LED显示屏拼接误差的检测方法和装置技术。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22、像素失控率≤1/100000;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23、灰度等级:显示屏100%亮度灰度等级≥16bt，70%亮度灰 度等级≥16bt，50%亮度灰度等级≥16bt，20%亮度灰度等级≥ 15bt; </w:t>
            </w:r>
          </w:p>
        </w:tc>
        <w:tc>
          <w:tcPr>
            <w:tcW w:w="733" w:type="dxa"/>
            <w:vAlign w:val="center"/>
          </w:tcPr>
          <w:p w14:paraId="3C80F28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平方</w:t>
            </w:r>
          </w:p>
        </w:tc>
        <w:tc>
          <w:tcPr>
            <w:tcW w:w="714" w:type="dxa"/>
            <w:vAlign w:val="center"/>
          </w:tcPr>
          <w:p w14:paraId="3B06C85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14.58</w:t>
            </w:r>
          </w:p>
        </w:tc>
      </w:tr>
      <w:tr w14:paraId="0E0AD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5D481F2">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838</w:t>
            </w:r>
          </w:p>
        </w:tc>
        <w:tc>
          <w:tcPr>
            <w:tcW w:w="2228" w:type="dxa"/>
            <w:vAlign w:val="center"/>
          </w:tcPr>
          <w:p w14:paraId="4B08824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视频独立控制器</w:t>
            </w:r>
          </w:p>
        </w:tc>
        <w:tc>
          <w:tcPr>
            <w:tcW w:w="6092" w:type="dxa"/>
            <w:vAlign w:val="center"/>
          </w:tcPr>
          <w:p w14:paraId="55237E20">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1.拥有完备的视频输入接口，1路HDMI 2.0，1路DP1.2，4路HDMI。</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2.多输出，大带载，支持 16 路网口输出，带载高达 1040万像素。</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3.支持 HDR 输出，能够极大地增强显示屏的画质，使画面色彩更加真实生动，细节更加清晰。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4.支持个性化的画质缩放，支持三种画面缩放模式，包括点对点模式、全屏缩放、自定义缩放。</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5.多窗口显示，支持 5 窗口任意布局。</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6.支持预监输出画面，将预监内容通过 HDMI 发送到显示器显示。</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7.支持智能控制软件进行操作控制。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8.满足多路视频，任意位置和大小开窗显示播放。</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9.支持逐点亮色度校正技术，校正过程快速高效，支持直接现场校正；</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10.支持场景预设，最多可创建 10 个用户场景作为模板保存，可直接调用，方便使用。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11.支持 EDID 管理，支持用户自定义 EDID 和预设 EDID。</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12.设备可一键开启或关闭对应图层显示，提供更灵活的操作手段。</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13.通过面板数字按键，可快速准确定义窗口大小位置等坐标信息，增强产品实用性能。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14.考虑系统兼容性，需与LED显示屏为同一品牌。</w:t>
            </w:r>
          </w:p>
        </w:tc>
        <w:tc>
          <w:tcPr>
            <w:tcW w:w="733" w:type="dxa"/>
            <w:vAlign w:val="center"/>
          </w:tcPr>
          <w:p w14:paraId="0C8B1E7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031D4F5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1E744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F5B861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839</w:t>
            </w:r>
          </w:p>
        </w:tc>
        <w:tc>
          <w:tcPr>
            <w:tcW w:w="2228" w:type="dxa"/>
            <w:vAlign w:val="center"/>
          </w:tcPr>
          <w:p w14:paraId="2C0E2DD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配电箱</w:t>
            </w:r>
          </w:p>
        </w:tc>
        <w:tc>
          <w:tcPr>
            <w:tcW w:w="6092" w:type="dxa"/>
            <w:vAlign w:val="center"/>
          </w:tcPr>
          <w:p w14:paraId="04959C20">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1.容量10 KW，提供智能配电管理系统或同等功能软件著作权，</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2.含PLC控制系统，可实时获取屏幕背部烟雾及温度数据，可执行远程开关机操作。</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3.考虑维护便利性，需与LED显示屏为同一品牌。</w:t>
            </w:r>
          </w:p>
        </w:tc>
        <w:tc>
          <w:tcPr>
            <w:tcW w:w="733" w:type="dxa"/>
            <w:vAlign w:val="center"/>
          </w:tcPr>
          <w:p w14:paraId="7ACE332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03AAFFC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4BFE7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19E684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840</w:t>
            </w:r>
          </w:p>
        </w:tc>
        <w:tc>
          <w:tcPr>
            <w:tcW w:w="2228" w:type="dxa"/>
            <w:vAlign w:val="center"/>
          </w:tcPr>
          <w:p w14:paraId="45EBA6D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备品备件</w:t>
            </w:r>
          </w:p>
        </w:tc>
        <w:tc>
          <w:tcPr>
            <w:tcW w:w="6092" w:type="dxa"/>
            <w:vAlign w:val="center"/>
          </w:tcPr>
          <w:p w14:paraId="272EFEFE">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同批次模组面积不小于0.3平方、接收卡电源各2块，专用检修工具等</w:t>
            </w:r>
          </w:p>
        </w:tc>
        <w:tc>
          <w:tcPr>
            <w:tcW w:w="733" w:type="dxa"/>
            <w:vAlign w:val="center"/>
          </w:tcPr>
          <w:p w14:paraId="317CF2C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微软雅黑" w:hAnsi="微软雅黑" w:eastAsia="微软雅黑" w:cs="微软雅黑"/>
                <w:i w:val="0"/>
                <w:iCs w:val="0"/>
                <w:color w:val="000000"/>
                <w:kern w:val="0"/>
                <w:sz w:val="24"/>
                <w:szCs w:val="24"/>
                <w:u w:val="none"/>
                <w:lang w:val="en-US" w:eastAsia="zh-CN" w:bidi="ar"/>
              </w:rPr>
              <w:t>套</w:t>
            </w:r>
          </w:p>
        </w:tc>
        <w:tc>
          <w:tcPr>
            <w:tcW w:w="714" w:type="dxa"/>
            <w:vAlign w:val="center"/>
          </w:tcPr>
          <w:p w14:paraId="3BB1E2A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微软雅黑" w:hAnsi="微软雅黑" w:eastAsia="微软雅黑" w:cs="微软雅黑"/>
                <w:i w:val="0"/>
                <w:iCs w:val="0"/>
                <w:color w:val="000000"/>
                <w:kern w:val="0"/>
                <w:sz w:val="24"/>
                <w:szCs w:val="24"/>
                <w:u w:val="none"/>
                <w:lang w:val="en-US" w:eastAsia="zh-CN" w:bidi="ar"/>
              </w:rPr>
              <w:t>1</w:t>
            </w:r>
          </w:p>
        </w:tc>
      </w:tr>
      <w:tr w14:paraId="05E94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CE303B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841</w:t>
            </w:r>
          </w:p>
        </w:tc>
        <w:tc>
          <w:tcPr>
            <w:tcW w:w="2228" w:type="dxa"/>
            <w:vAlign w:val="center"/>
          </w:tcPr>
          <w:p w14:paraId="7888304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钢结构与5cm包边</w:t>
            </w:r>
          </w:p>
        </w:tc>
        <w:tc>
          <w:tcPr>
            <w:tcW w:w="6092" w:type="dxa"/>
            <w:vAlign w:val="center"/>
          </w:tcPr>
          <w:p w14:paraId="26CCF7B8">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1、LED高清屏幕采用水平安装(具体依照现场条件确定)，安装结构能满足LED高清显示屏的整体均匀平滑要求，结构便于安 装和调试;</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2、整体框架式结构确保整体框架稳定性;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3、保障显示屏的整体平整度及避免钢结构日久变形。</w:t>
            </w:r>
          </w:p>
        </w:tc>
        <w:tc>
          <w:tcPr>
            <w:tcW w:w="733" w:type="dxa"/>
            <w:vAlign w:val="center"/>
          </w:tcPr>
          <w:p w14:paraId="7222E16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平方</w:t>
            </w:r>
          </w:p>
        </w:tc>
        <w:tc>
          <w:tcPr>
            <w:tcW w:w="714" w:type="dxa"/>
            <w:vAlign w:val="center"/>
          </w:tcPr>
          <w:p w14:paraId="1F786FF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15.4</w:t>
            </w:r>
          </w:p>
        </w:tc>
      </w:tr>
      <w:tr w14:paraId="13A45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5E6BB1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842</w:t>
            </w:r>
          </w:p>
        </w:tc>
        <w:tc>
          <w:tcPr>
            <w:tcW w:w="2228" w:type="dxa"/>
            <w:vAlign w:val="center"/>
          </w:tcPr>
          <w:p w14:paraId="6D888EF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安装调试</w:t>
            </w:r>
          </w:p>
        </w:tc>
        <w:tc>
          <w:tcPr>
            <w:tcW w:w="6092" w:type="dxa"/>
            <w:vAlign w:val="center"/>
          </w:tcPr>
          <w:p w14:paraId="3FE15E13">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包装、运输、设备安装，系统调试等</w:t>
            </w:r>
          </w:p>
        </w:tc>
        <w:tc>
          <w:tcPr>
            <w:tcW w:w="733" w:type="dxa"/>
            <w:vAlign w:val="center"/>
          </w:tcPr>
          <w:p w14:paraId="4B71781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项</w:t>
            </w:r>
          </w:p>
        </w:tc>
        <w:tc>
          <w:tcPr>
            <w:tcW w:w="714" w:type="dxa"/>
            <w:vAlign w:val="center"/>
          </w:tcPr>
          <w:p w14:paraId="6666D21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5ADA6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789DCC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843</w:t>
            </w:r>
          </w:p>
        </w:tc>
        <w:tc>
          <w:tcPr>
            <w:tcW w:w="2228" w:type="dxa"/>
            <w:vAlign w:val="center"/>
          </w:tcPr>
          <w:p w14:paraId="60572B9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配件</w:t>
            </w:r>
          </w:p>
        </w:tc>
        <w:tc>
          <w:tcPr>
            <w:tcW w:w="6092" w:type="dxa"/>
            <w:vAlign w:val="center"/>
          </w:tcPr>
          <w:p w14:paraId="49EB9720">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连接排线，一拖一电源线，三芯电源线。</w:t>
            </w:r>
          </w:p>
        </w:tc>
        <w:tc>
          <w:tcPr>
            <w:tcW w:w="733" w:type="dxa"/>
            <w:vAlign w:val="center"/>
          </w:tcPr>
          <w:p w14:paraId="66B6610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项</w:t>
            </w:r>
          </w:p>
        </w:tc>
        <w:tc>
          <w:tcPr>
            <w:tcW w:w="714" w:type="dxa"/>
            <w:vAlign w:val="center"/>
          </w:tcPr>
          <w:p w14:paraId="43F3C0A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4BA24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996D68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844</w:t>
            </w:r>
          </w:p>
        </w:tc>
        <w:tc>
          <w:tcPr>
            <w:tcW w:w="2228" w:type="dxa"/>
            <w:vAlign w:val="center"/>
          </w:tcPr>
          <w:p w14:paraId="67DCCC2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机柜</w:t>
            </w:r>
          </w:p>
        </w:tc>
        <w:tc>
          <w:tcPr>
            <w:tcW w:w="6092" w:type="dxa"/>
            <w:vAlign w:val="center"/>
          </w:tcPr>
          <w:p w14:paraId="57942837">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1.尺寸：22U；</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2.8位万用插孔电源PDU，10A输入输出,1.5米线，带过载保护器及带灯总开关。</w:t>
            </w:r>
          </w:p>
        </w:tc>
        <w:tc>
          <w:tcPr>
            <w:tcW w:w="733" w:type="dxa"/>
            <w:vAlign w:val="center"/>
          </w:tcPr>
          <w:p w14:paraId="270534A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36163B6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6BA8E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E57374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845</w:t>
            </w:r>
          </w:p>
        </w:tc>
        <w:tc>
          <w:tcPr>
            <w:tcW w:w="2228" w:type="dxa"/>
            <w:vAlign w:val="center"/>
          </w:tcPr>
          <w:p w14:paraId="254DF4D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大屏主线（主电缆）</w:t>
            </w:r>
          </w:p>
        </w:tc>
        <w:tc>
          <w:tcPr>
            <w:tcW w:w="6092" w:type="dxa"/>
            <w:vAlign w:val="center"/>
          </w:tcPr>
          <w:p w14:paraId="2D1BD46B">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规格不低于4×6mm²电缆线。</w:t>
            </w:r>
          </w:p>
        </w:tc>
        <w:tc>
          <w:tcPr>
            <w:tcW w:w="733" w:type="dxa"/>
            <w:vAlign w:val="center"/>
          </w:tcPr>
          <w:p w14:paraId="7064C01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米</w:t>
            </w:r>
          </w:p>
        </w:tc>
        <w:tc>
          <w:tcPr>
            <w:tcW w:w="714" w:type="dxa"/>
            <w:vAlign w:val="center"/>
          </w:tcPr>
          <w:p w14:paraId="68F1C46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12</w:t>
            </w:r>
          </w:p>
        </w:tc>
      </w:tr>
      <w:tr w14:paraId="589C5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91A3A3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846</w:t>
            </w:r>
          </w:p>
        </w:tc>
        <w:tc>
          <w:tcPr>
            <w:tcW w:w="2228" w:type="dxa"/>
            <w:vAlign w:val="center"/>
          </w:tcPr>
          <w:p w14:paraId="7DA6267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高清线</w:t>
            </w:r>
          </w:p>
        </w:tc>
        <w:tc>
          <w:tcPr>
            <w:tcW w:w="6092" w:type="dxa"/>
            <w:vAlign w:val="center"/>
          </w:tcPr>
          <w:p w14:paraId="4D4E59E1">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长度≥15米，HDMI高清连接线。</w:t>
            </w:r>
          </w:p>
        </w:tc>
        <w:tc>
          <w:tcPr>
            <w:tcW w:w="733" w:type="dxa"/>
            <w:vAlign w:val="center"/>
          </w:tcPr>
          <w:p w14:paraId="47CB561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根</w:t>
            </w:r>
          </w:p>
        </w:tc>
        <w:tc>
          <w:tcPr>
            <w:tcW w:w="714" w:type="dxa"/>
            <w:vAlign w:val="center"/>
          </w:tcPr>
          <w:p w14:paraId="3ADE3DD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70A0C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6AB7F3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847</w:t>
            </w:r>
          </w:p>
        </w:tc>
        <w:tc>
          <w:tcPr>
            <w:tcW w:w="2228" w:type="dxa"/>
            <w:vAlign w:val="center"/>
          </w:tcPr>
          <w:p w14:paraId="62364D8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网线</w:t>
            </w:r>
          </w:p>
        </w:tc>
        <w:tc>
          <w:tcPr>
            <w:tcW w:w="6092" w:type="dxa"/>
            <w:vAlign w:val="center"/>
          </w:tcPr>
          <w:p w14:paraId="015C62CC">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6类非屏蔽网线。</w:t>
            </w:r>
          </w:p>
        </w:tc>
        <w:tc>
          <w:tcPr>
            <w:tcW w:w="733" w:type="dxa"/>
            <w:vAlign w:val="center"/>
          </w:tcPr>
          <w:p w14:paraId="7195E1F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米</w:t>
            </w:r>
          </w:p>
        </w:tc>
        <w:tc>
          <w:tcPr>
            <w:tcW w:w="714" w:type="dxa"/>
            <w:vAlign w:val="center"/>
          </w:tcPr>
          <w:p w14:paraId="65CD2CB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80</w:t>
            </w:r>
          </w:p>
        </w:tc>
      </w:tr>
      <w:tr w14:paraId="17F9D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DBC56D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848</w:t>
            </w:r>
          </w:p>
        </w:tc>
        <w:tc>
          <w:tcPr>
            <w:tcW w:w="2228" w:type="dxa"/>
            <w:vAlign w:val="center"/>
          </w:tcPr>
          <w:p w14:paraId="3515CFF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电线</w:t>
            </w:r>
          </w:p>
        </w:tc>
        <w:tc>
          <w:tcPr>
            <w:tcW w:w="6092" w:type="dxa"/>
            <w:vAlign w:val="center"/>
          </w:tcPr>
          <w:p w14:paraId="3A65E2E1">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规格不低于3×2.5mm²电缆线。</w:t>
            </w:r>
          </w:p>
        </w:tc>
        <w:tc>
          <w:tcPr>
            <w:tcW w:w="733" w:type="dxa"/>
            <w:vAlign w:val="center"/>
          </w:tcPr>
          <w:p w14:paraId="7E3C0DF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米</w:t>
            </w:r>
          </w:p>
        </w:tc>
        <w:tc>
          <w:tcPr>
            <w:tcW w:w="714" w:type="dxa"/>
            <w:vAlign w:val="center"/>
          </w:tcPr>
          <w:p w14:paraId="378E243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60</w:t>
            </w:r>
          </w:p>
        </w:tc>
      </w:tr>
      <w:tr w14:paraId="20D15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C75B961">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849</w:t>
            </w:r>
          </w:p>
        </w:tc>
        <w:tc>
          <w:tcPr>
            <w:tcW w:w="2228" w:type="dxa"/>
            <w:vAlign w:val="center"/>
          </w:tcPr>
          <w:p w14:paraId="5239708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吸顶喇叭</w:t>
            </w:r>
          </w:p>
        </w:tc>
        <w:tc>
          <w:tcPr>
            <w:tcW w:w="6092" w:type="dxa"/>
            <w:vAlign w:val="center"/>
          </w:tcPr>
          <w:p w14:paraId="42884301">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额定功率：40W         输入电压：100V</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灵敏度：89±3dB       频响：90~20KHz</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规格：Φ280*190mm     安装规格：Φ250mm</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材质：ABS               重量：2.86kg</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喇叭规格：8"同轴高音    颜色：白色</w:t>
            </w:r>
          </w:p>
        </w:tc>
        <w:tc>
          <w:tcPr>
            <w:tcW w:w="733" w:type="dxa"/>
            <w:vAlign w:val="center"/>
          </w:tcPr>
          <w:p w14:paraId="218C2FF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1CC84E4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7F2EA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47C91D5">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850</w:t>
            </w:r>
          </w:p>
        </w:tc>
        <w:tc>
          <w:tcPr>
            <w:tcW w:w="2228" w:type="dxa"/>
            <w:vAlign w:val="center"/>
          </w:tcPr>
          <w:p w14:paraId="771F12B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合并式功放</w:t>
            </w:r>
          </w:p>
        </w:tc>
        <w:tc>
          <w:tcPr>
            <w:tcW w:w="6092" w:type="dxa"/>
            <w:vAlign w:val="center"/>
          </w:tcPr>
          <w:p w14:paraId="7C1039D1">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额定功率：160W</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输出方式：70V，100V，4-16Ω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输入灵敏度/阻抗：MIC:25mV/600Ω，不平衡TRS端子输入；AUX:350mV/10KΩ，不平衡RCA端子输入</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输出灵敏度/阻抗：1000mV/470Ω，不平衡RCA端子输入</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过载源电动势：MIC:＞12dB，不平衡TRS端子输入；AUX:＞20dB，不平衡RCA端子输入</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频率响应：50-16KHz（+1dB，-3dB）</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信噪比：MIC:66dB；AUX1:80dB</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总谐波失真：1KHz时0.5%，1/3输出功率</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默音功能：MIC优先其他通道</w:t>
            </w:r>
          </w:p>
        </w:tc>
        <w:tc>
          <w:tcPr>
            <w:tcW w:w="733" w:type="dxa"/>
            <w:vAlign w:val="center"/>
          </w:tcPr>
          <w:p w14:paraId="247B6E3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5695388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6DF0E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843492E">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851</w:t>
            </w:r>
          </w:p>
        </w:tc>
        <w:tc>
          <w:tcPr>
            <w:tcW w:w="2228" w:type="dxa"/>
            <w:vAlign w:val="center"/>
          </w:tcPr>
          <w:p w14:paraId="527BFC2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音频线</w:t>
            </w:r>
          </w:p>
        </w:tc>
        <w:tc>
          <w:tcPr>
            <w:tcW w:w="6092" w:type="dxa"/>
            <w:vAlign w:val="center"/>
          </w:tcPr>
          <w:p w14:paraId="3431068C">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5米音频连接线：3.5转双莲花公延长线</w:t>
            </w:r>
          </w:p>
        </w:tc>
        <w:tc>
          <w:tcPr>
            <w:tcW w:w="733" w:type="dxa"/>
            <w:vAlign w:val="center"/>
          </w:tcPr>
          <w:p w14:paraId="192A0E6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条</w:t>
            </w:r>
          </w:p>
        </w:tc>
        <w:tc>
          <w:tcPr>
            <w:tcW w:w="714" w:type="dxa"/>
            <w:vAlign w:val="center"/>
          </w:tcPr>
          <w:p w14:paraId="598434D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bl>
    <w:p w14:paraId="55A5DFEF">
      <w:pPr>
        <w:pStyle w:val="2"/>
        <w:keepNext w:val="0"/>
        <w:keepLines w:val="0"/>
        <w:pageBreakBefore w:val="0"/>
        <w:widowControl w:val="0"/>
        <w:numPr>
          <w:ilvl w:val="0"/>
          <w:numId w:val="0"/>
        </w:numPr>
        <w:kinsoku/>
        <w:wordWrap/>
        <w:overflowPunct/>
        <w:topLinePunct w:val="0"/>
        <w:autoSpaceDE/>
        <w:autoSpaceDN/>
        <w:bidi w:val="0"/>
        <w:adjustRightInd/>
        <w:snapToGrid/>
        <w:spacing w:after="0" w:line="440" w:lineRule="exact"/>
        <w:textAlignment w:val="auto"/>
        <w:rPr>
          <w:rFonts w:hint="eastAsia" w:ascii="宋体" w:hAnsi="宋体" w:eastAsia="宋体" w:cs="宋体"/>
          <w:b w:val="0"/>
          <w:bCs w:val="0"/>
          <w:highlight w:val="yellow"/>
          <w:lang w:val="en-US" w:eastAsia="zh-CN"/>
        </w:rPr>
      </w:pPr>
      <w:r>
        <w:rPr>
          <w:rFonts w:hint="eastAsia" w:ascii="宋体" w:hAnsi="宋体" w:eastAsia="宋体" w:cs="宋体"/>
          <w:b w:val="0"/>
          <w:bCs w:val="0"/>
          <w:highlight w:val="yellow"/>
          <w:lang w:val="en-US" w:eastAsia="zh-CN"/>
        </w:rPr>
        <w:t>（二）-17：互联网医院平台</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875"/>
        <w:gridCol w:w="867"/>
        <w:gridCol w:w="5858"/>
        <w:gridCol w:w="733"/>
        <w:gridCol w:w="714"/>
      </w:tblGrid>
      <w:tr w14:paraId="36703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F37A086">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序号</w:t>
            </w:r>
          </w:p>
        </w:tc>
        <w:tc>
          <w:tcPr>
            <w:tcW w:w="720" w:type="dxa"/>
            <w:vAlign w:val="center"/>
          </w:tcPr>
          <w:p w14:paraId="51041891">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kern w:val="0"/>
                <w:sz w:val="20"/>
                <w:szCs w:val="20"/>
                <w:highlight w:val="none"/>
                <w:lang w:eastAsia="zh-CN"/>
              </w:rPr>
            </w:pPr>
            <w:r>
              <w:rPr>
                <w:rFonts w:hint="eastAsia" w:ascii="宋体" w:hAnsi="宋体" w:eastAsia="宋体" w:cs="宋体"/>
                <w:b/>
                <w:bCs/>
                <w:color w:val="auto"/>
                <w:kern w:val="0"/>
                <w:sz w:val="20"/>
                <w:szCs w:val="20"/>
                <w:highlight w:val="none"/>
                <w:lang w:eastAsia="zh-CN"/>
              </w:rPr>
              <w:t>系统名称</w:t>
            </w:r>
          </w:p>
        </w:tc>
        <w:tc>
          <w:tcPr>
            <w:tcW w:w="875" w:type="dxa"/>
            <w:vAlign w:val="center"/>
          </w:tcPr>
          <w:p w14:paraId="6A72689D">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一级子系统</w:t>
            </w:r>
          </w:p>
        </w:tc>
        <w:tc>
          <w:tcPr>
            <w:tcW w:w="867" w:type="dxa"/>
            <w:vAlign w:val="center"/>
          </w:tcPr>
          <w:p w14:paraId="39D32874">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二级子系统</w:t>
            </w:r>
          </w:p>
        </w:tc>
        <w:tc>
          <w:tcPr>
            <w:tcW w:w="5858" w:type="dxa"/>
            <w:vAlign w:val="center"/>
          </w:tcPr>
          <w:p w14:paraId="66D0495F">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4545DF06">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单位</w:t>
            </w:r>
          </w:p>
        </w:tc>
        <w:tc>
          <w:tcPr>
            <w:tcW w:w="714" w:type="dxa"/>
            <w:vAlign w:val="center"/>
          </w:tcPr>
          <w:p w14:paraId="7B9D3546">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数量</w:t>
            </w:r>
          </w:p>
        </w:tc>
      </w:tr>
      <w:tr w14:paraId="3844C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11372A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852</w:t>
            </w:r>
          </w:p>
        </w:tc>
        <w:tc>
          <w:tcPr>
            <w:tcW w:w="720" w:type="dxa"/>
            <w:vMerge w:val="restart"/>
            <w:vAlign w:val="center"/>
          </w:tcPr>
          <w:p w14:paraId="3DB3B838">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互联网医院系统</w:t>
            </w:r>
          </w:p>
        </w:tc>
        <w:tc>
          <w:tcPr>
            <w:tcW w:w="875" w:type="dxa"/>
            <w:vMerge w:val="restart"/>
            <w:vAlign w:val="center"/>
          </w:tcPr>
          <w:p w14:paraId="5B60DD6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互联网医院患者端    （微信小程序）</w:t>
            </w:r>
          </w:p>
        </w:tc>
        <w:tc>
          <w:tcPr>
            <w:tcW w:w="867" w:type="dxa"/>
            <w:vAlign w:val="center"/>
          </w:tcPr>
          <w:p w14:paraId="1CC5C12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知情同意书</w:t>
            </w:r>
          </w:p>
        </w:tc>
        <w:tc>
          <w:tcPr>
            <w:tcW w:w="5858" w:type="dxa"/>
            <w:vAlign w:val="center"/>
          </w:tcPr>
          <w:p w14:paraId="39716DDE">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提供医生问诊/复诊知情同意功能，提供风险告知等功能</w:t>
            </w:r>
          </w:p>
        </w:tc>
        <w:tc>
          <w:tcPr>
            <w:tcW w:w="733" w:type="dxa"/>
            <w:vMerge w:val="restart"/>
            <w:vAlign w:val="center"/>
          </w:tcPr>
          <w:p w14:paraId="7D4D45B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1AD2D2A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20</w:t>
            </w:r>
          </w:p>
        </w:tc>
      </w:tr>
      <w:tr w14:paraId="512ED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E6EF4F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853</w:t>
            </w:r>
          </w:p>
        </w:tc>
        <w:tc>
          <w:tcPr>
            <w:tcW w:w="720" w:type="dxa"/>
            <w:vMerge w:val="continue"/>
            <w:vAlign w:val="center"/>
          </w:tcPr>
          <w:p w14:paraId="50D0F1F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2645DA2">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147241E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医生信息查询</w:t>
            </w:r>
          </w:p>
        </w:tc>
        <w:tc>
          <w:tcPr>
            <w:tcW w:w="5858" w:type="dxa"/>
            <w:vAlign w:val="center"/>
          </w:tcPr>
          <w:p w14:paraId="12F494E9">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提供医生信息查询功能，包括医生简介、医生出诊信息等，支持按照疾病、医生姓名、科室等多维度搜索</w:t>
            </w:r>
          </w:p>
        </w:tc>
        <w:tc>
          <w:tcPr>
            <w:tcW w:w="733" w:type="dxa"/>
            <w:vMerge w:val="continue"/>
            <w:vAlign w:val="center"/>
          </w:tcPr>
          <w:p w14:paraId="23EB810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5394E0C">
            <w:pPr>
              <w:jc w:val="center"/>
              <w:rPr>
                <w:rFonts w:hint="eastAsia" w:ascii="宋体" w:hAnsi="宋体" w:eastAsia="宋体" w:cs="宋体"/>
                <w:b w:val="0"/>
                <w:bCs w:val="0"/>
                <w:color w:val="auto"/>
                <w:kern w:val="0"/>
                <w:sz w:val="20"/>
                <w:szCs w:val="20"/>
                <w:highlight w:val="none"/>
                <w:lang w:val="en-US" w:eastAsia="zh-CN" w:bidi="ar-SA"/>
              </w:rPr>
            </w:pPr>
          </w:p>
        </w:tc>
      </w:tr>
      <w:tr w14:paraId="3B997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72ACBB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854</w:t>
            </w:r>
          </w:p>
        </w:tc>
        <w:tc>
          <w:tcPr>
            <w:tcW w:w="720" w:type="dxa"/>
            <w:vMerge w:val="continue"/>
            <w:vAlign w:val="center"/>
          </w:tcPr>
          <w:p w14:paraId="4F7C21F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7C6C742">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25FC58E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复诊预约</w:t>
            </w:r>
          </w:p>
        </w:tc>
        <w:tc>
          <w:tcPr>
            <w:tcW w:w="5858" w:type="dxa"/>
            <w:vAlign w:val="center"/>
          </w:tcPr>
          <w:p w14:paraId="4DBAACA0">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提供互联网在线复诊预约功能，包括挂号预约、在线支付、复诊取消等</w:t>
            </w:r>
          </w:p>
        </w:tc>
        <w:tc>
          <w:tcPr>
            <w:tcW w:w="733" w:type="dxa"/>
            <w:vMerge w:val="continue"/>
            <w:vAlign w:val="center"/>
          </w:tcPr>
          <w:p w14:paraId="68E41D3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CE7709F">
            <w:pPr>
              <w:jc w:val="center"/>
              <w:rPr>
                <w:rFonts w:hint="eastAsia" w:ascii="宋体" w:hAnsi="宋体" w:eastAsia="宋体" w:cs="宋体"/>
                <w:b w:val="0"/>
                <w:bCs w:val="0"/>
                <w:color w:val="auto"/>
                <w:kern w:val="0"/>
                <w:sz w:val="20"/>
                <w:szCs w:val="20"/>
                <w:highlight w:val="none"/>
                <w:lang w:val="en-US" w:eastAsia="zh-CN" w:bidi="ar-SA"/>
              </w:rPr>
            </w:pPr>
          </w:p>
        </w:tc>
      </w:tr>
      <w:tr w14:paraId="6B8B2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A46B6B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855</w:t>
            </w:r>
          </w:p>
        </w:tc>
        <w:tc>
          <w:tcPr>
            <w:tcW w:w="720" w:type="dxa"/>
            <w:vMerge w:val="continue"/>
            <w:vAlign w:val="center"/>
          </w:tcPr>
          <w:p w14:paraId="0FFD942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C41F083">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2C9B755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科室推荐</w:t>
            </w:r>
          </w:p>
        </w:tc>
        <w:tc>
          <w:tcPr>
            <w:tcW w:w="5858" w:type="dxa"/>
            <w:vAlign w:val="center"/>
          </w:tcPr>
          <w:p w14:paraId="6790C4B2">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提供热门及常用科室和医生功能，包括我的医生、热门科室、热门医生等</w:t>
            </w:r>
          </w:p>
        </w:tc>
        <w:tc>
          <w:tcPr>
            <w:tcW w:w="733" w:type="dxa"/>
            <w:vMerge w:val="continue"/>
            <w:vAlign w:val="center"/>
          </w:tcPr>
          <w:p w14:paraId="79ACA81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5CEC30C">
            <w:pPr>
              <w:jc w:val="center"/>
              <w:rPr>
                <w:rFonts w:hint="eastAsia" w:ascii="宋体" w:hAnsi="宋体" w:eastAsia="宋体" w:cs="宋体"/>
                <w:b w:val="0"/>
                <w:bCs w:val="0"/>
                <w:color w:val="auto"/>
                <w:kern w:val="0"/>
                <w:sz w:val="20"/>
                <w:szCs w:val="20"/>
                <w:highlight w:val="none"/>
                <w:lang w:val="en-US" w:eastAsia="zh-CN" w:bidi="ar-SA"/>
              </w:rPr>
            </w:pPr>
          </w:p>
        </w:tc>
      </w:tr>
      <w:tr w14:paraId="454CE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DF4E60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856</w:t>
            </w:r>
          </w:p>
        </w:tc>
        <w:tc>
          <w:tcPr>
            <w:tcW w:w="720" w:type="dxa"/>
            <w:vMerge w:val="continue"/>
            <w:vAlign w:val="center"/>
          </w:tcPr>
          <w:p w14:paraId="2473A41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D181093">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79019F4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复诊候诊</w:t>
            </w:r>
          </w:p>
        </w:tc>
        <w:tc>
          <w:tcPr>
            <w:tcW w:w="5858" w:type="dxa"/>
            <w:vAlign w:val="center"/>
          </w:tcPr>
          <w:p w14:paraId="13B8C2C7">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提供在线复诊线上报道、候诊功能，支持报道状态实时更新、候诊等候情况提醒等</w:t>
            </w:r>
          </w:p>
        </w:tc>
        <w:tc>
          <w:tcPr>
            <w:tcW w:w="733" w:type="dxa"/>
            <w:vMerge w:val="continue"/>
            <w:vAlign w:val="center"/>
          </w:tcPr>
          <w:p w14:paraId="5608345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8315FFE">
            <w:pPr>
              <w:jc w:val="center"/>
              <w:rPr>
                <w:rFonts w:hint="eastAsia" w:ascii="宋体" w:hAnsi="宋体" w:eastAsia="宋体" w:cs="宋体"/>
                <w:b w:val="0"/>
                <w:bCs w:val="0"/>
                <w:color w:val="auto"/>
                <w:kern w:val="0"/>
                <w:sz w:val="20"/>
                <w:szCs w:val="20"/>
                <w:highlight w:val="none"/>
                <w:lang w:val="en-US" w:eastAsia="zh-CN" w:bidi="ar-SA"/>
              </w:rPr>
            </w:pPr>
          </w:p>
        </w:tc>
      </w:tr>
      <w:tr w14:paraId="2B8A2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A25AFE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857</w:t>
            </w:r>
          </w:p>
        </w:tc>
        <w:tc>
          <w:tcPr>
            <w:tcW w:w="720" w:type="dxa"/>
            <w:vMerge w:val="continue"/>
            <w:vAlign w:val="center"/>
          </w:tcPr>
          <w:p w14:paraId="7E1BA63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0D6D72C">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09E80C8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图文复诊</w:t>
            </w:r>
          </w:p>
        </w:tc>
        <w:tc>
          <w:tcPr>
            <w:tcW w:w="5858" w:type="dxa"/>
            <w:vAlign w:val="center"/>
          </w:tcPr>
          <w:p w14:paraId="7545DEC1">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提供图文复诊功能，患者能够通过图文的方式与医生进行在线沟通，在沟通的过程中支持发送病历资料；</w:t>
            </w:r>
          </w:p>
        </w:tc>
        <w:tc>
          <w:tcPr>
            <w:tcW w:w="733" w:type="dxa"/>
            <w:vMerge w:val="continue"/>
            <w:vAlign w:val="center"/>
          </w:tcPr>
          <w:p w14:paraId="07C7865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ACB64DC">
            <w:pPr>
              <w:jc w:val="center"/>
              <w:rPr>
                <w:rFonts w:hint="eastAsia" w:ascii="宋体" w:hAnsi="宋体" w:eastAsia="宋体" w:cs="宋体"/>
                <w:b w:val="0"/>
                <w:bCs w:val="0"/>
                <w:color w:val="auto"/>
                <w:kern w:val="0"/>
                <w:sz w:val="20"/>
                <w:szCs w:val="20"/>
                <w:highlight w:val="none"/>
                <w:lang w:val="en-US" w:eastAsia="zh-CN" w:bidi="ar-SA"/>
              </w:rPr>
            </w:pPr>
          </w:p>
        </w:tc>
      </w:tr>
      <w:tr w14:paraId="1B69E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AEFE84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858</w:t>
            </w:r>
          </w:p>
        </w:tc>
        <w:tc>
          <w:tcPr>
            <w:tcW w:w="720" w:type="dxa"/>
            <w:vMerge w:val="continue"/>
            <w:vAlign w:val="center"/>
          </w:tcPr>
          <w:p w14:paraId="482FA69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1616714">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78E83C2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音视频复诊</w:t>
            </w:r>
          </w:p>
        </w:tc>
        <w:tc>
          <w:tcPr>
            <w:tcW w:w="5858" w:type="dxa"/>
            <w:vAlign w:val="center"/>
          </w:tcPr>
          <w:p w14:paraId="29F70F67">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提供音视频复诊功能，患者能够通过音视频的方式与医生进行在线沟通</w:t>
            </w:r>
          </w:p>
        </w:tc>
        <w:tc>
          <w:tcPr>
            <w:tcW w:w="733" w:type="dxa"/>
            <w:vMerge w:val="continue"/>
            <w:vAlign w:val="center"/>
          </w:tcPr>
          <w:p w14:paraId="591F202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EBD9E0C">
            <w:pPr>
              <w:jc w:val="center"/>
              <w:rPr>
                <w:rFonts w:hint="eastAsia" w:ascii="宋体" w:hAnsi="宋体" w:eastAsia="宋体" w:cs="宋体"/>
                <w:b w:val="0"/>
                <w:bCs w:val="0"/>
                <w:color w:val="auto"/>
                <w:kern w:val="0"/>
                <w:sz w:val="20"/>
                <w:szCs w:val="20"/>
                <w:highlight w:val="none"/>
                <w:lang w:val="en-US" w:eastAsia="zh-CN" w:bidi="ar-SA"/>
              </w:rPr>
            </w:pPr>
          </w:p>
        </w:tc>
      </w:tr>
      <w:tr w14:paraId="1B287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6FF3B6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859</w:t>
            </w:r>
          </w:p>
        </w:tc>
        <w:tc>
          <w:tcPr>
            <w:tcW w:w="720" w:type="dxa"/>
            <w:vMerge w:val="continue"/>
            <w:vAlign w:val="center"/>
          </w:tcPr>
          <w:p w14:paraId="1453CDD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63AB7B7">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352A733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互联网病历查阅</w:t>
            </w:r>
          </w:p>
        </w:tc>
        <w:tc>
          <w:tcPr>
            <w:tcW w:w="5858" w:type="dxa"/>
            <w:vAlign w:val="center"/>
          </w:tcPr>
          <w:p w14:paraId="52FBFF24">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提供互联网病历查阅功能，提供在线复诊病历、在线复诊处方、检验检查等查阅</w:t>
            </w:r>
          </w:p>
        </w:tc>
        <w:tc>
          <w:tcPr>
            <w:tcW w:w="733" w:type="dxa"/>
            <w:vMerge w:val="continue"/>
            <w:vAlign w:val="center"/>
          </w:tcPr>
          <w:p w14:paraId="5C145AE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1069C77">
            <w:pPr>
              <w:jc w:val="center"/>
              <w:rPr>
                <w:rFonts w:hint="eastAsia" w:ascii="宋体" w:hAnsi="宋体" w:eastAsia="宋体" w:cs="宋体"/>
                <w:b w:val="0"/>
                <w:bCs w:val="0"/>
                <w:color w:val="auto"/>
                <w:kern w:val="0"/>
                <w:sz w:val="20"/>
                <w:szCs w:val="20"/>
                <w:highlight w:val="none"/>
                <w:lang w:val="en-US" w:eastAsia="zh-CN" w:bidi="ar-SA"/>
              </w:rPr>
            </w:pPr>
          </w:p>
        </w:tc>
      </w:tr>
      <w:tr w14:paraId="57DB6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A3CAD3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860</w:t>
            </w:r>
          </w:p>
        </w:tc>
        <w:tc>
          <w:tcPr>
            <w:tcW w:w="720" w:type="dxa"/>
            <w:vMerge w:val="continue"/>
            <w:vAlign w:val="center"/>
          </w:tcPr>
          <w:p w14:paraId="1B35980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177A884">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775EA15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复诊历史记录</w:t>
            </w:r>
          </w:p>
        </w:tc>
        <w:tc>
          <w:tcPr>
            <w:tcW w:w="5858" w:type="dxa"/>
            <w:vAlign w:val="center"/>
          </w:tcPr>
          <w:p w14:paraId="1D2DCADA">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提供历史复诊记录功能，历史复诊记录保存，复诊过程中产生的沟通详情均可调阅</w:t>
            </w:r>
          </w:p>
        </w:tc>
        <w:tc>
          <w:tcPr>
            <w:tcW w:w="733" w:type="dxa"/>
            <w:vMerge w:val="continue"/>
            <w:vAlign w:val="center"/>
          </w:tcPr>
          <w:p w14:paraId="69EEF00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5D2B896">
            <w:pPr>
              <w:jc w:val="center"/>
              <w:rPr>
                <w:rFonts w:hint="eastAsia" w:ascii="宋体" w:hAnsi="宋体" w:eastAsia="宋体" w:cs="宋体"/>
                <w:b w:val="0"/>
                <w:bCs w:val="0"/>
                <w:color w:val="auto"/>
                <w:kern w:val="0"/>
                <w:sz w:val="20"/>
                <w:szCs w:val="20"/>
                <w:highlight w:val="none"/>
                <w:lang w:val="en-US" w:eastAsia="zh-CN" w:bidi="ar-SA"/>
              </w:rPr>
            </w:pPr>
          </w:p>
        </w:tc>
      </w:tr>
      <w:tr w14:paraId="217CA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85476D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861</w:t>
            </w:r>
          </w:p>
        </w:tc>
        <w:tc>
          <w:tcPr>
            <w:tcW w:w="720" w:type="dxa"/>
            <w:vMerge w:val="continue"/>
            <w:vAlign w:val="center"/>
          </w:tcPr>
          <w:p w14:paraId="1ADF812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93FBBCF">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7092476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复诊评价</w:t>
            </w:r>
          </w:p>
        </w:tc>
        <w:tc>
          <w:tcPr>
            <w:tcW w:w="5858" w:type="dxa"/>
            <w:vAlign w:val="center"/>
          </w:tcPr>
          <w:p w14:paraId="549259DC">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提供复诊医生评价功能，支持五星评价体系</w:t>
            </w:r>
          </w:p>
        </w:tc>
        <w:tc>
          <w:tcPr>
            <w:tcW w:w="733" w:type="dxa"/>
            <w:vMerge w:val="continue"/>
            <w:vAlign w:val="center"/>
          </w:tcPr>
          <w:p w14:paraId="190F451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C86DAC6">
            <w:pPr>
              <w:jc w:val="center"/>
              <w:rPr>
                <w:rFonts w:hint="eastAsia" w:ascii="宋体" w:hAnsi="宋体" w:eastAsia="宋体" w:cs="宋体"/>
                <w:b w:val="0"/>
                <w:bCs w:val="0"/>
                <w:color w:val="auto"/>
                <w:kern w:val="0"/>
                <w:sz w:val="20"/>
                <w:szCs w:val="20"/>
                <w:highlight w:val="none"/>
                <w:lang w:val="en-US" w:eastAsia="zh-CN" w:bidi="ar-SA"/>
              </w:rPr>
            </w:pPr>
          </w:p>
        </w:tc>
      </w:tr>
      <w:tr w14:paraId="3D4FB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F32105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862</w:t>
            </w:r>
          </w:p>
        </w:tc>
        <w:tc>
          <w:tcPr>
            <w:tcW w:w="720" w:type="dxa"/>
            <w:vMerge w:val="continue"/>
            <w:vAlign w:val="center"/>
          </w:tcPr>
          <w:p w14:paraId="4390661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2DF2D75">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00D0F07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信息推送</w:t>
            </w:r>
          </w:p>
        </w:tc>
        <w:tc>
          <w:tcPr>
            <w:tcW w:w="5858" w:type="dxa"/>
            <w:vAlign w:val="center"/>
          </w:tcPr>
          <w:p w14:paraId="3D414295">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提供复诊信息推送功能，在线复诊过程中相关诊疗信息会推送给患者</w:t>
            </w:r>
          </w:p>
        </w:tc>
        <w:tc>
          <w:tcPr>
            <w:tcW w:w="733" w:type="dxa"/>
            <w:vMerge w:val="continue"/>
            <w:vAlign w:val="center"/>
          </w:tcPr>
          <w:p w14:paraId="7EC572B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B8A11EA">
            <w:pPr>
              <w:jc w:val="center"/>
              <w:rPr>
                <w:rFonts w:hint="eastAsia" w:ascii="宋体" w:hAnsi="宋体" w:eastAsia="宋体" w:cs="宋体"/>
                <w:b w:val="0"/>
                <w:bCs w:val="0"/>
                <w:color w:val="auto"/>
                <w:kern w:val="0"/>
                <w:sz w:val="20"/>
                <w:szCs w:val="20"/>
                <w:highlight w:val="none"/>
                <w:lang w:val="en-US" w:eastAsia="zh-CN" w:bidi="ar-SA"/>
              </w:rPr>
            </w:pPr>
          </w:p>
        </w:tc>
      </w:tr>
      <w:tr w14:paraId="1DA8D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2B3B9E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863</w:t>
            </w:r>
          </w:p>
        </w:tc>
        <w:tc>
          <w:tcPr>
            <w:tcW w:w="720" w:type="dxa"/>
            <w:vMerge w:val="continue"/>
            <w:vAlign w:val="center"/>
          </w:tcPr>
          <w:p w14:paraId="342EC3A9">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519C6BD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互联网医院医生端（PC）</w:t>
            </w:r>
          </w:p>
        </w:tc>
        <w:tc>
          <w:tcPr>
            <w:tcW w:w="867" w:type="dxa"/>
            <w:vAlign w:val="center"/>
          </w:tcPr>
          <w:p w14:paraId="139E50E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排队叫号</w:t>
            </w:r>
          </w:p>
        </w:tc>
        <w:tc>
          <w:tcPr>
            <w:tcW w:w="5858" w:type="dxa"/>
            <w:vAlign w:val="center"/>
          </w:tcPr>
          <w:p w14:paraId="78BC3D70">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提供待接诊患者查询、排队叫号接诊功能，支持当天待接诊的患者展示，可按照预约时间选择患者进行叫号接诊</w:t>
            </w:r>
          </w:p>
        </w:tc>
        <w:tc>
          <w:tcPr>
            <w:tcW w:w="733" w:type="dxa"/>
            <w:vMerge w:val="restart"/>
            <w:vAlign w:val="center"/>
          </w:tcPr>
          <w:p w14:paraId="68992EB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017C6084">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18</w:t>
            </w:r>
          </w:p>
        </w:tc>
      </w:tr>
      <w:tr w14:paraId="63AF5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59410B2">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864</w:t>
            </w:r>
          </w:p>
        </w:tc>
        <w:tc>
          <w:tcPr>
            <w:tcW w:w="720" w:type="dxa"/>
            <w:vMerge w:val="continue"/>
            <w:vAlign w:val="center"/>
          </w:tcPr>
          <w:p w14:paraId="3DEB0FA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B32CC5D">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0A13484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患者就诊记录查询</w:t>
            </w:r>
          </w:p>
        </w:tc>
        <w:tc>
          <w:tcPr>
            <w:tcW w:w="5858" w:type="dxa"/>
            <w:vAlign w:val="center"/>
          </w:tcPr>
          <w:p w14:paraId="0248A0DB">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提供就诊记录查询功能，可调取和查阅用户历史的院内及互联网诊疗的就诊记录及相关病历资料</w:t>
            </w:r>
          </w:p>
        </w:tc>
        <w:tc>
          <w:tcPr>
            <w:tcW w:w="733" w:type="dxa"/>
            <w:vMerge w:val="continue"/>
            <w:vAlign w:val="center"/>
          </w:tcPr>
          <w:p w14:paraId="765EFED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01E2854">
            <w:pPr>
              <w:jc w:val="center"/>
              <w:rPr>
                <w:rFonts w:hint="eastAsia" w:ascii="宋体" w:hAnsi="宋体" w:eastAsia="宋体" w:cs="宋体"/>
                <w:b w:val="0"/>
                <w:bCs w:val="0"/>
                <w:color w:val="auto"/>
                <w:kern w:val="0"/>
                <w:sz w:val="20"/>
                <w:szCs w:val="20"/>
                <w:highlight w:val="none"/>
                <w:lang w:val="en-US" w:eastAsia="zh-CN" w:bidi="ar-SA"/>
              </w:rPr>
            </w:pPr>
          </w:p>
        </w:tc>
      </w:tr>
      <w:tr w14:paraId="775F2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B26488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865</w:t>
            </w:r>
          </w:p>
        </w:tc>
        <w:tc>
          <w:tcPr>
            <w:tcW w:w="720" w:type="dxa"/>
            <w:vMerge w:val="continue"/>
            <w:vAlign w:val="center"/>
          </w:tcPr>
          <w:p w14:paraId="3A8596D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76ECFF2">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31BD203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音视频接诊</w:t>
            </w:r>
          </w:p>
        </w:tc>
        <w:tc>
          <w:tcPr>
            <w:tcW w:w="5858" w:type="dxa"/>
            <w:vAlign w:val="center"/>
          </w:tcPr>
          <w:p w14:paraId="7E86A731">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提供音视频接诊功能，支持音视频的方式接诊</w:t>
            </w:r>
          </w:p>
        </w:tc>
        <w:tc>
          <w:tcPr>
            <w:tcW w:w="733" w:type="dxa"/>
            <w:vMerge w:val="continue"/>
            <w:vAlign w:val="center"/>
          </w:tcPr>
          <w:p w14:paraId="7952856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37A974E">
            <w:pPr>
              <w:jc w:val="center"/>
              <w:rPr>
                <w:rFonts w:hint="eastAsia" w:ascii="宋体" w:hAnsi="宋体" w:eastAsia="宋体" w:cs="宋体"/>
                <w:b w:val="0"/>
                <w:bCs w:val="0"/>
                <w:color w:val="auto"/>
                <w:kern w:val="0"/>
                <w:sz w:val="20"/>
                <w:szCs w:val="20"/>
                <w:highlight w:val="none"/>
                <w:lang w:val="en-US" w:eastAsia="zh-CN" w:bidi="ar-SA"/>
              </w:rPr>
            </w:pPr>
          </w:p>
        </w:tc>
      </w:tr>
      <w:tr w14:paraId="3E62D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2E0335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866</w:t>
            </w:r>
          </w:p>
        </w:tc>
        <w:tc>
          <w:tcPr>
            <w:tcW w:w="720" w:type="dxa"/>
            <w:vMerge w:val="continue"/>
            <w:vAlign w:val="center"/>
          </w:tcPr>
          <w:p w14:paraId="2E62D4C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4FA5FC9">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073774F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图文接诊</w:t>
            </w:r>
          </w:p>
        </w:tc>
        <w:tc>
          <w:tcPr>
            <w:tcW w:w="5858" w:type="dxa"/>
            <w:vAlign w:val="center"/>
          </w:tcPr>
          <w:p w14:paraId="06BD4802">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提供图文接诊功能，支持图文的方式接诊</w:t>
            </w:r>
          </w:p>
        </w:tc>
        <w:tc>
          <w:tcPr>
            <w:tcW w:w="733" w:type="dxa"/>
            <w:vMerge w:val="continue"/>
            <w:vAlign w:val="center"/>
          </w:tcPr>
          <w:p w14:paraId="70B7DDC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2E21B39">
            <w:pPr>
              <w:jc w:val="center"/>
              <w:rPr>
                <w:rFonts w:hint="eastAsia" w:ascii="宋体" w:hAnsi="宋体" w:eastAsia="宋体" w:cs="宋体"/>
                <w:b w:val="0"/>
                <w:bCs w:val="0"/>
                <w:color w:val="auto"/>
                <w:kern w:val="0"/>
                <w:sz w:val="20"/>
                <w:szCs w:val="20"/>
                <w:highlight w:val="none"/>
                <w:lang w:val="en-US" w:eastAsia="zh-CN" w:bidi="ar-SA"/>
              </w:rPr>
            </w:pPr>
          </w:p>
        </w:tc>
      </w:tr>
      <w:tr w14:paraId="4F1D6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B93CD5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867</w:t>
            </w:r>
          </w:p>
        </w:tc>
        <w:tc>
          <w:tcPr>
            <w:tcW w:w="720" w:type="dxa"/>
            <w:vMerge w:val="continue"/>
            <w:vAlign w:val="center"/>
          </w:tcPr>
          <w:p w14:paraId="4C33693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9DA5F2C">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3F14492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互联网病历</w:t>
            </w:r>
          </w:p>
        </w:tc>
        <w:tc>
          <w:tcPr>
            <w:tcW w:w="5858" w:type="dxa"/>
            <w:vAlign w:val="center"/>
          </w:tcPr>
          <w:p w14:paraId="38250F34">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提供互联网病历功能，每次接诊，医生可以书写互联网诊疗病历并提交</w:t>
            </w:r>
          </w:p>
        </w:tc>
        <w:tc>
          <w:tcPr>
            <w:tcW w:w="733" w:type="dxa"/>
            <w:vMerge w:val="continue"/>
            <w:vAlign w:val="center"/>
          </w:tcPr>
          <w:p w14:paraId="4D7A2C0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3519815">
            <w:pPr>
              <w:jc w:val="center"/>
              <w:rPr>
                <w:rFonts w:hint="eastAsia" w:ascii="宋体" w:hAnsi="宋体" w:eastAsia="宋体" w:cs="宋体"/>
                <w:b w:val="0"/>
                <w:bCs w:val="0"/>
                <w:color w:val="auto"/>
                <w:kern w:val="0"/>
                <w:sz w:val="20"/>
                <w:szCs w:val="20"/>
                <w:highlight w:val="none"/>
                <w:lang w:val="en-US" w:eastAsia="zh-CN" w:bidi="ar-SA"/>
              </w:rPr>
            </w:pPr>
          </w:p>
        </w:tc>
      </w:tr>
      <w:tr w14:paraId="01FAB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F3CAE1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868</w:t>
            </w:r>
          </w:p>
        </w:tc>
        <w:tc>
          <w:tcPr>
            <w:tcW w:w="720" w:type="dxa"/>
            <w:vMerge w:val="continue"/>
            <w:vAlign w:val="center"/>
          </w:tcPr>
          <w:p w14:paraId="55E5F51F">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71D8363">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2D7777A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接诊记录</w:t>
            </w:r>
          </w:p>
        </w:tc>
        <w:tc>
          <w:tcPr>
            <w:tcW w:w="5858" w:type="dxa"/>
            <w:vAlign w:val="center"/>
          </w:tcPr>
          <w:p w14:paraId="499A2AB0">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提供当日已完成复诊查询功能，当日已结束复诊历史记录查询</w:t>
            </w:r>
          </w:p>
        </w:tc>
        <w:tc>
          <w:tcPr>
            <w:tcW w:w="733" w:type="dxa"/>
            <w:vMerge w:val="continue"/>
            <w:vAlign w:val="center"/>
          </w:tcPr>
          <w:p w14:paraId="6C38153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38E9FBD">
            <w:pPr>
              <w:jc w:val="center"/>
              <w:rPr>
                <w:rFonts w:hint="eastAsia" w:ascii="宋体" w:hAnsi="宋体" w:eastAsia="宋体" w:cs="宋体"/>
                <w:b w:val="0"/>
                <w:bCs w:val="0"/>
                <w:color w:val="auto"/>
                <w:kern w:val="0"/>
                <w:sz w:val="20"/>
                <w:szCs w:val="20"/>
                <w:highlight w:val="none"/>
                <w:lang w:val="en-US" w:eastAsia="zh-CN" w:bidi="ar-SA"/>
              </w:rPr>
            </w:pPr>
          </w:p>
        </w:tc>
      </w:tr>
      <w:tr w14:paraId="679BF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2FB3B3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869</w:t>
            </w:r>
          </w:p>
        </w:tc>
        <w:tc>
          <w:tcPr>
            <w:tcW w:w="720" w:type="dxa"/>
            <w:vMerge w:val="continue"/>
            <w:vAlign w:val="center"/>
          </w:tcPr>
          <w:p w14:paraId="384D0EC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FDEC078">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0336E7F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自主管理</w:t>
            </w:r>
          </w:p>
        </w:tc>
        <w:tc>
          <w:tcPr>
            <w:tcW w:w="5858" w:type="dxa"/>
            <w:vAlign w:val="center"/>
          </w:tcPr>
          <w:p w14:paraId="440F88D8">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提供医生自主管理个人信息、排班、定价、服务等内容，满足医院灵活管理</w:t>
            </w:r>
          </w:p>
        </w:tc>
        <w:tc>
          <w:tcPr>
            <w:tcW w:w="733" w:type="dxa"/>
            <w:vMerge w:val="continue"/>
            <w:vAlign w:val="center"/>
          </w:tcPr>
          <w:p w14:paraId="748105D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635C40F">
            <w:pPr>
              <w:jc w:val="center"/>
              <w:rPr>
                <w:rFonts w:hint="eastAsia" w:ascii="宋体" w:hAnsi="宋体" w:eastAsia="宋体" w:cs="宋体"/>
                <w:b w:val="0"/>
                <w:bCs w:val="0"/>
                <w:color w:val="auto"/>
                <w:kern w:val="0"/>
                <w:sz w:val="20"/>
                <w:szCs w:val="20"/>
                <w:highlight w:val="none"/>
                <w:lang w:val="en-US" w:eastAsia="zh-CN" w:bidi="ar-SA"/>
              </w:rPr>
            </w:pPr>
          </w:p>
        </w:tc>
      </w:tr>
      <w:tr w14:paraId="32A25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AB9E1F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870</w:t>
            </w:r>
          </w:p>
        </w:tc>
        <w:tc>
          <w:tcPr>
            <w:tcW w:w="720" w:type="dxa"/>
            <w:vMerge w:val="continue"/>
            <w:vAlign w:val="center"/>
          </w:tcPr>
          <w:p w14:paraId="6176AF8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2A08AD6">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2E8813C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评价记录</w:t>
            </w:r>
          </w:p>
        </w:tc>
        <w:tc>
          <w:tcPr>
            <w:tcW w:w="5858" w:type="dxa"/>
            <w:vAlign w:val="center"/>
          </w:tcPr>
          <w:p w14:paraId="42EDCA18">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提供评价记录功能，医生的总评分及详细的历史评价记录</w:t>
            </w:r>
          </w:p>
        </w:tc>
        <w:tc>
          <w:tcPr>
            <w:tcW w:w="733" w:type="dxa"/>
            <w:vMerge w:val="continue"/>
            <w:vAlign w:val="center"/>
          </w:tcPr>
          <w:p w14:paraId="1B9EFDA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08F984D">
            <w:pPr>
              <w:jc w:val="center"/>
              <w:rPr>
                <w:rFonts w:hint="eastAsia" w:ascii="宋体" w:hAnsi="宋体" w:eastAsia="宋体" w:cs="宋体"/>
                <w:b w:val="0"/>
                <w:bCs w:val="0"/>
                <w:color w:val="auto"/>
                <w:kern w:val="0"/>
                <w:sz w:val="20"/>
                <w:szCs w:val="20"/>
                <w:highlight w:val="none"/>
                <w:lang w:val="en-US" w:eastAsia="zh-CN" w:bidi="ar-SA"/>
              </w:rPr>
            </w:pPr>
          </w:p>
        </w:tc>
      </w:tr>
      <w:tr w14:paraId="5957A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57AC97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871</w:t>
            </w:r>
          </w:p>
        </w:tc>
        <w:tc>
          <w:tcPr>
            <w:tcW w:w="720" w:type="dxa"/>
            <w:vMerge w:val="continue"/>
            <w:vAlign w:val="center"/>
          </w:tcPr>
          <w:p w14:paraId="7C194A73">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29998E4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互联网诊疗监管平台</w:t>
            </w:r>
          </w:p>
        </w:tc>
        <w:tc>
          <w:tcPr>
            <w:tcW w:w="867" w:type="dxa"/>
            <w:vAlign w:val="center"/>
          </w:tcPr>
          <w:p w14:paraId="0EC72F8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医生信息管理</w:t>
            </w:r>
          </w:p>
        </w:tc>
        <w:tc>
          <w:tcPr>
            <w:tcW w:w="5858" w:type="dxa"/>
            <w:vAlign w:val="center"/>
          </w:tcPr>
          <w:p w14:paraId="5C4370FD">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提供复诊医生维护功能，对院内医生参与复诊业务的管理，参与医生的开通与关闭，医生个人信息维护</w:t>
            </w:r>
          </w:p>
        </w:tc>
        <w:tc>
          <w:tcPr>
            <w:tcW w:w="733" w:type="dxa"/>
            <w:vMerge w:val="restart"/>
            <w:vAlign w:val="center"/>
          </w:tcPr>
          <w:p w14:paraId="443EA5D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146777B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14</w:t>
            </w:r>
          </w:p>
        </w:tc>
      </w:tr>
      <w:tr w14:paraId="719EC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1C54FF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872</w:t>
            </w:r>
          </w:p>
        </w:tc>
        <w:tc>
          <w:tcPr>
            <w:tcW w:w="720" w:type="dxa"/>
            <w:vMerge w:val="continue"/>
            <w:vAlign w:val="center"/>
          </w:tcPr>
          <w:p w14:paraId="582B534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7883BB2">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6F76179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统一排班</w:t>
            </w:r>
          </w:p>
        </w:tc>
        <w:tc>
          <w:tcPr>
            <w:tcW w:w="5858" w:type="dxa"/>
            <w:vAlign w:val="bottom"/>
          </w:tcPr>
          <w:p w14:paraId="49A7139A">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提供统一排班功能，支持日常医院排班、临时停诊、医生自主排班、复制排班等功能</w:t>
            </w:r>
          </w:p>
        </w:tc>
        <w:tc>
          <w:tcPr>
            <w:tcW w:w="733" w:type="dxa"/>
            <w:vMerge w:val="continue"/>
            <w:vAlign w:val="center"/>
          </w:tcPr>
          <w:p w14:paraId="057A8F8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0E0599C">
            <w:pPr>
              <w:jc w:val="center"/>
              <w:rPr>
                <w:rFonts w:hint="eastAsia" w:ascii="宋体" w:hAnsi="宋体" w:eastAsia="宋体" w:cs="宋体"/>
                <w:b w:val="0"/>
                <w:bCs w:val="0"/>
                <w:color w:val="auto"/>
                <w:kern w:val="0"/>
                <w:sz w:val="20"/>
                <w:szCs w:val="20"/>
                <w:highlight w:val="none"/>
                <w:lang w:val="en-US" w:eastAsia="zh-CN" w:bidi="ar-SA"/>
              </w:rPr>
            </w:pPr>
          </w:p>
        </w:tc>
      </w:tr>
      <w:tr w14:paraId="3FD35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8C8148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873</w:t>
            </w:r>
          </w:p>
        </w:tc>
        <w:tc>
          <w:tcPr>
            <w:tcW w:w="720" w:type="dxa"/>
            <w:vMerge w:val="continue"/>
            <w:vAlign w:val="center"/>
          </w:tcPr>
          <w:p w14:paraId="4497834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1DA8E11">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384FF05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服务配置</w:t>
            </w:r>
          </w:p>
        </w:tc>
        <w:tc>
          <w:tcPr>
            <w:tcW w:w="5858" w:type="dxa"/>
            <w:vAlign w:val="bottom"/>
          </w:tcPr>
          <w:p w14:paraId="0785635D">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提供医生复诊服务配置功能，支持多种服务模式设置、定价及相关配置</w:t>
            </w:r>
          </w:p>
        </w:tc>
        <w:tc>
          <w:tcPr>
            <w:tcW w:w="733" w:type="dxa"/>
            <w:vMerge w:val="continue"/>
            <w:vAlign w:val="center"/>
          </w:tcPr>
          <w:p w14:paraId="49EF2A1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10FCAB5">
            <w:pPr>
              <w:jc w:val="center"/>
              <w:rPr>
                <w:rFonts w:hint="eastAsia" w:ascii="宋体" w:hAnsi="宋体" w:eastAsia="宋体" w:cs="宋体"/>
                <w:b w:val="0"/>
                <w:bCs w:val="0"/>
                <w:color w:val="auto"/>
                <w:kern w:val="0"/>
                <w:sz w:val="20"/>
                <w:szCs w:val="20"/>
                <w:highlight w:val="none"/>
                <w:lang w:val="en-US" w:eastAsia="zh-CN" w:bidi="ar-SA"/>
              </w:rPr>
            </w:pPr>
          </w:p>
        </w:tc>
      </w:tr>
      <w:tr w14:paraId="4A357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05E453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874</w:t>
            </w:r>
          </w:p>
        </w:tc>
        <w:tc>
          <w:tcPr>
            <w:tcW w:w="720" w:type="dxa"/>
            <w:vMerge w:val="continue"/>
            <w:vAlign w:val="center"/>
          </w:tcPr>
          <w:p w14:paraId="1A70921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964A12C">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4167222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复诊记录查询</w:t>
            </w:r>
          </w:p>
        </w:tc>
        <w:tc>
          <w:tcPr>
            <w:tcW w:w="5858" w:type="dxa"/>
            <w:vAlign w:val="bottom"/>
          </w:tcPr>
          <w:p w14:paraId="7A10E750">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提供就诊记录功能，复诊过程中产生的沟通详情均可调阅，并支持视频回放</w:t>
            </w:r>
          </w:p>
        </w:tc>
        <w:tc>
          <w:tcPr>
            <w:tcW w:w="733" w:type="dxa"/>
            <w:vMerge w:val="continue"/>
            <w:vAlign w:val="center"/>
          </w:tcPr>
          <w:p w14:paraId="3C2504A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5919446">
            <w:pPr>
              <w:jc w:val="center"/>
              <w:rPr>
                <w:rFonts w:hint="eastAsia" w:ascii="宋体" w:hAnsi="宋体" w:eastAsia="宋体" w:cs="宋体"/>
                <w:b w:val="0"/>
                <w:bCs w:val="0"/>
                <w:color w:val="auto"/>
                <w:kern w:val="0"/>
                <w:sz w:val="20"/>
                <w:szCs w:val="20"/>
                <w:highlight w:val="none"/>
                <w:lang w:val="en-US" w:eastAsia="zh-CN" w:bidi="ar-SA"/>
              </w:rPr>
            </w:pPr>
          </w:p>
        </w:tc>
      </w:tr>
      <w:tr w14:paraId="5FB3B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B83906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875</w:t>
            </w:r>
          </w:p>
        </w:tc>
        <w:tc>
          <w:tcPr>
            <w:tcW w:w="720" w:type="dxa"/>
            <w:vMerge w:val="continue"/>
            <w:vAlign w:val="center"/>
          </w:tcPr>
          <w:p w14:paraId="288A2D8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E63F8DB">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0B19DF7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评价管理</w:t>
            </w:r>
          </w:p>
        </w:tc>
        <w:tc>
          <w:tcPr>
            <w:tcW w:w="5858" w:type="dxa"/>
            <w:vAlign w:val="center"/>
          </w:tcPr>
          <w:p w14:paraId="40280F4F">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提供评价记录功能，支持调阅患者对医生互联网诊疗服务的评价</w:t>
            </w:r>
          </w:p>
        </w:tc>
        <w:tc>
          <w:tcPr>
            <w:tcW w:w="733" w:type="dxa"/>
            <w:vMerge w:val="continue"/>
            <w:vAlign w:val="center"/>
          </w:tcPr>
          <w:p w14:paraId="7516DF3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CB2781F">
            <w:pPr>
              <w:jc w:val="center"/>
              <w:rPr>
                <w:rFonts w:hint="eastAsia" w:ascii="宋体" w:hAnsi="宋体" w:eastAsia="宋体" w:cs="宋体"/>
                <w:b w:val="0"/>
                <w:bCs w:val="0"/>
                <w:color w:val="auto"/>
                <w:kern w:val="0"/>
                <w:sz w:val="20"/>
                <w:szCs w:val="20"/>
                <w:highlight w:val="none"/>
                <w:lang w:val="en-US" w:eastAsia="zh-CN" w:bidi="ar-SA"/>
              </w:rPr>
            </w:pPr>
          </w:p>
        </w:tc>
      </w:tr>
      <w:tr w14:paraId="5D6B1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37E849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876</w:t>
            </w:r>
          </w:p>
        </w:tc>
        <w:tc>
          <w:tcPr>
            <w:tcW w:w="720" w:type="dxa"/>
            <w:vMerge w:val="continue"/>
            <w:vAlign w:val="center"/>
          </w:tcPr>
          <w:p w14:paraId="50EE50E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D629738">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3EF1D91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统计分析</w:t>
            </w:r>
          </w:p>
        </w:tc>
        <w:tc>
          <w:tcPr>
            <w:tcW w:w="5858" w:type="dxa"/>
            <w:vAlign w:val="bottom"/>
          </w:tcPr>
          <w:p w14:paraId="52082D17">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提供问诊统计功能，支持对医生问诊数量、科室分布及医生排名等维护进行统计</w:t>
            </w:r>
          </w:p>
        </w:tc>
        <w:tc>
          <w:tcPr>
            <w:tcW w:w="733" w:type="dxa"/>
            <w:vMerge w:val="continue"/>
            <w:vAlign w:val="center"/>
          </w:tcPr>
          <w:p w14:paraId="73E5736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4B9483E">
            <w:pPr>
              <w:jc w:val="center"/>
              <w:rPr>
                <w:rFonts w:hint="eastAsia" w:ascii="宋体" w:hAnsi="宋体" w:eastAsia="宋体" w:cs="宋体"/>
                <w:b w:val="0"/>
                <w:bCs w:val="0"/>
                <w:color w:val="auto"/>
                <w:kern w:val="0"/>
                <w:sz w:val="20"/>
                <w:szCs w:val="20"/>
                <w:highlight w:val="none"/>
                <w:lang w:val="en-US" w:eastAsia="zh-CN" w:bidi="ar-SA"/>
              </w:rPr>
            </w:pPr>
          </w:p>
        </w:tc>
      </w:tr>
      <w:tr w14:paraId="5CDD9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F8C7B2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877</w:t>
            </w:r>
          </w:p>
        </w:tc>
        <w:tc>
          <w:tcPr>
            <w:tcW w:w="720" w:type="dxa"/>
            <w:vMerge w:val="continue"/>
            <w:vAlign w:val="center"/>
          </w:tcPr>
          <w:p w14:paraId="1EA9EAED">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216B9C7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财务管理平台</w:t>
            </w:r>
          </w:p>
        </w:tc>
        <w:tc>
          <w:tcPr>
            <w:tcW w:w="867" w:type="dxa"/>
            <w:vAlign w:val="center"/>
          </w:tcPr>
          <w:p w14:paraId="05FC1D1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就诊统计</w:t>
            </w:r>
          </w:p>
        </w:tc>
        <w:tc>
          <w:tcPr>
            <w:tcW w:w="5858" w:type="dxa"/>
            <w:vAlign w:val="center"/>
          </w:tcPr>
          <w:p w14:paraId="14FA594A">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提供医生问诊、复诊业务统计和报表导出功能，支持多维度检索</w:t>
            </w:r>
          </w:p>
        </w:tc>
        <w:tc>
          <w:tcPr>
            <w:tcW w:w="733" w:type="dxa"/>
            <w:vMerge w:val="restart"/>
            <w:vAlign w:val="center"/>
          </w:tcPr>
          <w:p w14:paraId="3AC3F13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124AEA8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8</w:t>
            </w:r>
          </w:p>
        </w:tc>
      </w:tr>
      <w:tr w14:paraId="50DFA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C186A3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878</w:t>
            </w:r>
          </w:p>
        </w:tc>
        <w:tc>
          <w:tcPr>
            <w:tcW w:w="720" w:type="dxa"/>
            <w:vMerge w:val="continue"/>
            <w:vAlign w:val="center"/>
          </w:tcPr>
          <w:p w14:paraId="643D597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B94E5B3">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45AADB0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处方统计</w:t>
            </w:r>
          </w:p>
        </w:tc>
        <w:tc>
          <w:tcPr>
            <w:tcW w:w="5858" w:type="dxa"/>
            <w:vAlign w:val="center"/>
          </w:tcPr>
          <w:p w14:paraId="6DE05DD0">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提供在线处方业务统计和报表导出功能，支持多维度检索</w:t>
            </w:r>
          </w:p>
        </w:tc>
        <w:tc>
          <w:tcPr>
            <w:tcW w:w="733" w:type="dxa"/>
            <w:vMerge w:val="continue"/>
            <w:vAlign w:val="center"/>
          </w:tcPr>
          <w:p w14:paraId="1B14083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E369B31">
            <w:pPr>
              <w:jc w:val="center"/>
              <w:rPr>
                <w:rFonts w:hint="eastAsia" w:ascii="宋体" w:hAnsi="宋体" w:eastAsia="宋体" w:cs="宋体"/>
                <w:b w:val="0"/>
                <w:bCs w:val="0"/>
                <w:color w:val="auto"/>
                <w:kern w:val="0"/>
                <w:sz w:val="20"/>
                <w:szCs w:val="20"/>
                <w:highlight w:val="none"/>
                <w:lang w:val="en-US" w:eastAsia="zh-CN" w:bidi="ar-SA"/>
              </w:rPr>
            </w:pPr>
          </w:p>
        </w:tc>
      </w:tr>
      <w:tr w14:paraId="7D356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1D325B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879</w:t>
            </w:r>
          </w:p>
        </w:tc>
        <w:tc>
          <w:tcPr>
            <w:tcW w:w="720" w:type="dxa"/>
            <w:vMerge w:val="continue"/>
            <w:vAlign w:val="center"/>
          </w:tcPr>
          <w:p w14:paraId="002F130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14BD9AD">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693E3F1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订单统计</w:t>
            </w:r>
          </w:p>
        </w:tc>
        <w:tc>
          <w:tcPr>
            <w:tcW w:w="5858" w:type="dxa"/>
            <w:vAlign w:val="center"/>
          </w:tcPr>
          <w:p w14:paraId="768DD1A1">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提供订单汇总统计，支持导出和打印，，支持多维度检索</w:t>
            </w:r>
          </w:p>
        </w:tc>
        <w:tc>
          <w:tcPr>
            <w:tcW w:w="733" w:type="dxa"/>
            <w:vMerge w:val="continue"/>
            <w:vAlign w:val="center"/>
          </w:tcPr>
          <w:p w14:paraId="2737100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017600C">
            <w:pPr>
              <w:jc w:val="center"/>
              <w:rPr>
                <w:rFonts w:hint="eastAsia" w:ascii="宋体" w:hAnsi="宋体" w:eastAsia="宋体" w:cs="宋体"/>
                <w:b w:val="0"/>
                <w:bCs w:val="0"/>
                <w:color w:val="auto"/>
                <w:kern w:val="0"/>
                <w:sz w:val="20"/>
                <w:szCs w:val="20"/>
                <w:highlight w:val="none"/>
                <w:lang w:val="en-US" w:eastAsia="zh-CN" w:bidi="ar-SA"/>
              </w:rPr>
            </w:pPr>
          </w:p>
        </w:tc>
      </w:tr>
      <w:tr w14:paraId="21D88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780129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880</w:t>
            </w:r>
          </w:p>
        </w:tc>
        <w:tc>
          <w:tcPr>
            <w:tcW w:w="720" w:type="dxa"/>
            <w:vMerge w:val="continue"/>
            <w:vAlign w:val="center"/>
          </w:tcPr>
          <w:p w14:paraId="43220A3B">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406781A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省监管平台对接</w:t>
            </w:r>
          </w:p>
        </w:tc>
        <w:tc>
          <w:tcPr>
            <w:tcW w:w="867" w:type="dxa"/>
            <w:vAlign w:val="center"/>
          </w:tcPr>
          <w:p w14:paraId="00B963D0">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省监管平台对接</w:t>
            </w:r>
          </w:p>
        </w:tc>
        <w:tc>
          <w:tcPr>
            <w:tcW w:w="5858" w:type="dxa"/>
            <w:vAlign w:val="center"/>
          </w:tcPr>
          <w:p w14:paraId="4515F0D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与省级互联网医院监管平台对接，能够按照政府相关部门的要求上报数据，达到合规要求</w:t>
            </w:r>
          </w:p>
        </w:tc>
        <w:tc>
          <w:tcPr>
            <w:tcW w:w="733" w:type="dxa"/>
            <w:vAlign w:val="center"/>
          </w:tcPr>
          <w:p w14:paraId="286F26C7">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1B1072B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0B792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7B7811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881</w:t>
            </w:r>
          </w:p>
        </w:tc>
        <w:tc>
          <w:tcPr>
            <w:tcW w:w="720" w:type="dxa"/>
            <w:vMerge w:val="continue"/>
            <w:vAlign w:val="center"/>
          </w:tcPr>
          <w:p w14:paraId="791D4EDC">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20F611B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护理服务监管平台</w:t>
            </w:r>
          </w:p>
        </w:tc>
        <w:tc>
          <w:tcPr>
            <w:tcW w:w="867" w:type="dxa"/>
            <w:vAlign w:val="center"/>
          </w:tcPr>
          <w:p w14:paraId="1E8D24B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护理问诊监管</w:t>
            </w:r>
          </w:p>
        </w:tc>
        <w:tc>
          <w:tcPr>
            <w:tcW w:w="5858" w:type="dxa"/>
            <w:vAlign w:val="bottom"/>
          </w:tcPr>
          <w:p w14:paraId="56ECEAA4">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提供护理问诊监管及统计功能，包括问诊统计、问诊记录、护士管理、统一排班、服务配置等</w:t>
            </w:r>
          </w:p>
        </w:tc>
        <w:tc>
          <w:tcPr>
            <w:tcW w:w="733" w:type="dxa"/>
            <w:vAlign w:val="center"/>
          </w:tcPr>
          <w:p w14:paraId="0F26A7A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32A866B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w:t>
            </w:r>
          </w:p>
        </w:tc>
      </w:tr>
      <w:tr w14:paraId="62578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DE6EA0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882</w:t>
            </w:r>
          </w:p>
        </w:tc>
        <w:tc>
          <w:tcPr>
            <w:tcW w:w="720" w:type="dxa"/>
            <w:vMerge w:val="continue"/>
            <w:vAlign w:val="center"/>
          </w:tcPr>
          <w:p w14:paraId="62BD291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251F186">
            <w:pPr>
              <w:jc w:val="center"/>
              <w:rPr>
                <w:rFonts w:hint="eastAsia" w:ascii="宋体" w:hAnsi="宋体" w:eastAsia="宋体" w:cs="宋体"/>
                <w:b w:val="0"/>
                <w:bCs w:val="0"/>
                <w:color w:val="auto"/>
                <w:kern w:val="0"/>
                <w:sz w:val="20"/>
                <w:szCs w:val="20"/>
                <w:highlight w:val="none"/>
                <w:lang w:val="en-US" w:eastAsia="zh-CN" w:bidi="ar-SA"/>
              </w:rPr>
            </w:pPr>
          </w:p>
        </w:tc>
        <w:tc>
          <w:tcPr>
            <w:tcW w:w="867" w:type="dxa"/>
            <w:vAlign w:val="center"/>
          </w:tcPr>
          <w:p w14:paraId="6CFCFC9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护理服务监管</w:t>
            </w:r>
          </w:p>
        </w:tc>
        <w:tc>
          <w:tcPr>
            <w:tcW w:w="5858" w:type="dxa"/>
            <w:vAlign w:val="bottom"/>
          </w:tcPr>
          <w:p w14:paraId="122CF66F">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提供上门护理监管及统计功能，包括护理项目维护、护士管理、订单委派、历史服务记录、耗材管理、消息推送管理、评级记录、服务配置等</w:t>
            </w:r>
          </w:p>
        </w:tc>
        <w:tc>
          <w:tcPr>
            <w:tcW w:w="733" w:type="dxa"/>
            <w:vAlign w:val="center"/>
          </w:tcPr>
          <w:p w14:paraId="4DE33D9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0AC2D45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bl>
    <w:p w14:paraId="0DCA82B3">
      <w:pPr>
        <w:pStyle w:val="2"/>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both"/>
        <w:textAlignment w:val="auto"/>
        <w:rPr>
          <w:rFonts w:hint="eastAsia" w:ascii="宋体" w:hAnsi="宋体" w:eastAsia="宋体" w:cs="宋体"/>
          <w:highlight w:val="yellow"/>
          <w:lang w:val="en-US" w:eastAsia="zh-CN"/>
        </w:rPr>
      </w:pPr>
      <w:r>
        <w:rPr>
          <w:rFonts w:hint="eastAsia" w:ascii="宋体" w:hAnsi="宋体" w:eastAsia="宋体" w:cs="宋体"/>
          <w:highlight w:val="yellow"/>
          <w:lang w:val="en-US" w:eastAsia="zh-CN"/>
        </w:rPr>
        <w:t>（二）-18：院内急诊与专病信息化平台</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20"/>
        <w:gridCol w:w="875"/>
        <w:gridCol w:w="884"/>
        <w:gridCol w:w="5841"/>
        <w:gridCol w:w="733"/>
        <w:gridCol w:w="714"/>
      </w:tblGrid>
      <w:tr w14:paraId="50109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CBF0EFD">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仿宋" w:hAnsi="仿宋" w:eastAsia="仿宋" w:cs="宋体"/>
                <w:color w:val="auto"/>
                <w:sz w:val="22"/>
                <w:szCs w:val="22"/>
                <w:highlight w:val="none"/>
                <w:lang w:val="en-US" w:eastAsia="zh-CN"/>
              </w:rPr>
            </w:pPr>
            <w:r>
              <w:rPr>
                <w:rFonts w:hint="eastAsia" w:ascii="宋体" w:hAnsi="宋体" w:eastAsia="宋体" w:cs="宋体"/>
                <w:b/>
                <w:bCs/>
                <w:color w:val="auto"/>
                <w:kern w:val="0"/>
                <w:sz w:val="20"/>
                <w:szCs w:val="20"/>
                <w:highlight w:val="none"/>
                <w:lang w:val="en-US" w:eastAsia="zh-CN"/>
              </w:rPr>
              <w:t>序号</w:t>
            </w:r>
          </w:p>
        </w:tc>
        <w:tc>
          <w:tcPr>
            <w:tcW w:w="720" w:type="dxa"/>
            <w:vAlign w:val="center"/>
          </w:tcPr>
          <w:p w14:paraId="18E1FB5E">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bCs/>
                <w:color w:val="auto"/>
                <w:kern w:val="0"/>
                <w:sz w:val="20"/>
                <w:szCs w:val="20"/>
                <w:highlight w:val="none"/>
                <w:lang w:eastAsia="zh-CN"/>
              </w:rPr>
              <w:t>系统名称</w:t>
            </w:r>
          </w:p>
        </w:tc>
        <w:tc>
          <w:tcPr>
            <w:tcW w:w="875" w:type="dxa"/>
            <w:vAlign w:val="center"/>
          </w:tcPr>
          <w:p w14:paraId="7D98C1A4">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一级子系统</w:t>
            </w:r>
          </w:p>
        </w:tc>
        <w:tc>
          <w:tcPr>
            <w:tcW w:w="884" w:type="dxa"/>
            <w:vAlign w:val="center"/>
          </w:tcPr>
          <w:p w14:paraId="7BD2A79D">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二级子系统</w:t>
            </w:r>
          </w:p>
        </w:tc>
        <w:tc>
          <w:tcPr>
            <w:tcW w:w="5841" w:type="dxa"/>
            <w:vAlign w:val="center"/>
          </w:tcPr>
          <w:p w14:paraId="6309E1A9">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439A7623">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单位</w:t>
            </w:r>
          </w:p>
        </w:tc>
        <w:tc>
          <w:tcPr>
            <w:tcW w:w="714" w:type="dxa"/>
            <w:vAlign w:val="center"/>
          </w:tcPr>
          <w:p w14:paraId="76B5513A">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数量</w:t>
            </w:r>
          </w:p>
        </w:tc>
      </w:tr>
      <w:tr w14:paraId="704E0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14B54B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883</w:t>
            </w:r>
          </w:p>
        </w:tc>
        <w:tc>
          <w:tcPr>
            <w:tcW w:w="720" w:type="dxa"/>
            <w:vMerge w:val="restart"/>
            <w:vAlign w:val="center"/>
          </w:tcPr>
          <w:p w14:paraId="143AE944">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急诊临床管理系统</w:t>
            </w:r>
          </w:p>
        </w:tc>
        <w:tc>
          <w:tcPr>
            <w:tcW w:w="875" w:type="dxa"/>
            <w:vMerge w:val="restart"/>
            <w:vAlign w:val="center"/>
          </w:tcPr>
          <w:p w14:paraId="2B54CA1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急诊预检分诊子系统</w:t>
            </w:r>
          </w:p>
        </w:tc>
        <w:tc>
          <w:tcPr>
            <w:tcW w:w="884" w:type="dxa"/>
            <w:vAlign w:val="center"/>
          </w:tcPr>
          <w:p w14:paraId="2BC87C1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患者登记</w:t>
            </w:r>
          </w:p>
        </w:tc>
        <w:tc>
          <w:tcPr>
            <w:tcW w:w="5841" w:type="dxa"/>
            <w:vAlign w:val="center"/>
          </w:tcPr>
          <w:p w14:paraId="51BEFA4F">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（1）成人、儿童、孕妇预检分诊登记。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（2）通过刷身份证、医保卡、就诊卡，快速获取身份信息，并进行登记。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（3）从已挂号待诊患者列表中选择预检分诊患者信息，并自动获得和填充患者基本信息。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（4）三无患者分诊快速登记，无名氏生成规则可根据医院要求自定义生成，待明确后可以修改三无患者信息。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（5）对患者的来院方式、发病时间、过敏史、主诉/症状临床信息进行记录。</w:t>
            </w:r>
          </w:p>
        </w:tc>
        <w:tc>
          <w:tcPr>
            <w:tcW w:w="733" w:type="dxa"/>
            <w:vMerge w:val="restart"/>
            <w:vAlign w:val="center"/>
          </w:tcPr>
          <w:p w14:paraId="2D05780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5C8C49C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w:t>
            </w:r>
          </w:p>
        </w:tc>
      </w:tr>
      <w:tr w14:paraId="10F00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4CF5F3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884</w:t>
            </w:r>
          </w:p>
        </w:tc>
        <w:tc>
          <w:tcPr>
            <w:tcW w:w="720" w:type="dxa"/>
            <w:vMerge w:val="continue"/>
            <w:vAlign w:val="center"/>
          </w:tcPr>
          <w:p w14:paraId="003D3A5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BD4BCBA">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001A891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绿色通道</w:t>
            </w:r>
          </w:p>
        </w:tc>
        <w:tc>
          <w:tcPr>
            <w:tcW w:w="5841" w:type="dxa"/>
            <w:vAlign w:val="center"/>
          </w:tcPr>
          <w:p w14:paraId="108CE802">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(1)为胸痛、群伤、高危孕产妇、中毒、卒中、创伤等患者快速建立绿色通道功能。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为预检分诊患者绑定腕带、解除绑定、腕带归还管理；支持腕带(手环)与患者信息一一对应；支持为院前急救和危重患者快速绑定腕带；腕带(手环)一键绑定或解绑功能；腕带(手环）使用状态查询，腕带（手环）归还</w:t>
            </w:r>
          </w:p>
        </w:tc>
        <w:tc>
          <w:tcPr>
            <w:tcW w:w="733" w:type="dxa"/>
            <w:vMerge w:val="continue"/>
            <w:vAlign w:val="center"/>
          </w:tcPr>
          <w:p w14:paraId="2951842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001E090">
            <w:pPr>
              <w:jc w:val="center"/>
              <w:rPr>
                <w:rFonts w:hint="eastAsia" w:ascii="宋体" w:hAnsi="宋体" w:eastAsia="宋体" w:cs="宋体"/>
                <w:b w:val="0"/>
                <w:bCs w:val="0"/>
                <w:color w:val="auto"/>
                <w:kern w:val="0"/>
                <w:sz w:val="20"/>
                <w:szCs w:val="20"/>
                <w:highlight w:val="none"/>
                <w:lang w:val="en-US" w:eastAsia="zh-CN" w:bidi="ar-SA"/>
              </w:rPr>
            </w:pPr>
          </w:p>
        </w:tc>
      </w:tr>
      <w:tr w14:paraId="222BB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0F6B22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885</w:t>
            </w:r>
          </w:p>
        </w:tc>
        <w:tc>
          <w:tcPr>
            <w:tcW w:w="720" w:type="dxa"/>
            <w:vMerge w:val="continue"/>
            <w:vAlign w:val="center"/>
          </w:tcPr>
          <w:p w14:paraId="4685DDE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F7BD837">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2D78502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群体事件</w:t>
            </w:r>
          </w:p>
        </w:tc>
        <w:tc>
          <w:tcPr>
            <w:tcW w:w="5841" w:type="dxa"/>
            <w:vAlign w:val="center"/>
          </w:tcPr>
          <w:p w14:paraId="07B343E8">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(1)记录群体事件，包括事件类型、事件人数、事件时间、发生地点等信息。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(2)批量生成群体事件患者，并与群体事件关联。</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(3)创建患者后，手动关联群体事件。</w:t>
            </w:r>
          </w:p>
        </w:tc>
        <w:tc>
          <w:tcPr>
            <w:tcW w:w="733" w:type="dxa"/>
            <w:vMerge w:val="continue"/>
            <w:vAlign w:val="center"/>
          </w:tcPr>
          <w:p w14:paraId="63E652F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C1795F7">
            <w:pPr>
              <w:jc w:val="center"/>
              <w:rPr>
                <w:rFonts w:hint="eastAsia" w:ascii="宋体" w:hAnsi="宋体" w:eastAsia="宋体" w:cs="宋体"/>
                <w:b w:val="0"/>
                <w:bCs w:val="0"/>
                <w:color w:val="auto"/>
                <w:kern w:val="0"/>
                <w:sz w:val="20"/>
                <w:szCs w:val="20"/>
                <w:highlight w:val="none"/>
                <w:lang w:val="en-US" w:eastAsia="zh-CN" w:bidi="ar-SA"/>
              </w:rPr>
            </w:pPr>
          </w:p>
        </w:tc>
      </w:tr>
      <w:tr w14:paraId="2677D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FAD28A3">
            <w:pPr>
              <w:spacing w:line="300" w:lineRule="exact"/>
              <w:jc w:val="both"/>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886</w:t>
            </w:r>
          </w:p>
        </w:tc>
        <w:tc>
          <w:tcPr>
            <w:tcW w:w="720" w:type="dxa"/>
            <w:vMerge w:val="continue"/>
            <w:vAlign w:val="center"/>
          </w:tcPr>
          <w:p w14:paraId="5D67705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499D812">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14F5659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分诊知识库</w:t>
            </w:r>
          </w:p>
        </w:tc>
        <w:tc>
          <w:tcPr>
            <w:tcW w:w="5841" w:type="dxa"/>
            <w:vAlign w:val="center"/>
          </w:tcPr>
          <w:p w14:paraId="36DFF065">
            <w:pPr>
              <w:keepNext w:val="0"/>
              <w:keepLines w:val="0"/>
              <w:widowControl/>
              <w:numPr>
                <w:ilvl w:val="0"/>
                <w:numId w:val="14"/>
              </w:numPr>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提供支持成人、儿童症状描述相关的专业术语库，支持通过手工录入和页面点选方式快速录入患者症状信息；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内嵌病情分级、分诊知识库。分诊知识库支持关联患者客观体征、主诉/症状为分级依据：分诊时可通过调用知识库，输入主诉/症状后，自动进行分级并显示推荐等级；分诊时可通过调用知识库，输入生命体征后自动进行分级并显示推荐等级；允许分诊护士对自动推荐登记信息进行修正。</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支持知识库在人体图上显示，点选人体部位提示相关病症：支持用图形从正面和背面表达人体图，人体图可以根据需求划分人体部位和配置。支持基于人体图选择部位，关联部位对应的主诉及症状。                                                                                   (3)根据选择内容自动进行病情分级归类和等级推荐。</w:t>
            </w:r>
          </w:p>
        </w:tc>
        <w:tc>
          <w:tcPr>
            <w:tcW w:w="733" w:type="dxa"/>
            <w:vMerge w:val="continue"/>
            <w:vAlign w:val="center"/>
          </w:tcPr>
          <w:p w14:paraId="4345C2E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66434FB">
            <w:pPr>
              <w:jc w:val="center"/>
              <w:rPr>
                <w:rFonts w:hint="eastAsia" w:ascii="宋体" w:hAnsi="宋体" w:eastAsia="宋体" w:cs="宋体"/>
                <w:b w:val="0"/>
                <w:bCs w:val="0"/>
                <w:color w:val="auto"/>
                <w:kern w:val="0"/>
                <w:sz w:val="20"/>
                <w:szCs w:val="20"/>
                <w:highlight w:val="none"/>
                <w:lang w:val="en-US" w:eastAsia="zh-CN" w:bidi="ar-SA"/>
              </w:rPr>
            </w:pPr>
          </w:p>
        </w:tc>
      </w:tr>
      <w:tr w14:paraId="2911B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DB89BC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887</w:t>
            </w:r>
          </w:p>
        </w:tc>
        <w:tc>
          <w:tcPr>
            <w:tcW w:w="720" w:type="dxa"/>
            <w:vMerge w:val="continue"/>
            <w:vAlign w:val="center"/>
          </w:tcPr>
          <w:p w14:paraId="079A147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3E6F201">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67C4632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智能评分</w:t>
            </w:r>
          </w:p>
        </w:tc>
        <w:tc>
          <w:tcPr>
            <w:tcW w:w="5841" w:type="dxa"/>
            <w:vAlign w:val="center"/>
          </w:tcPr>
          <w:p w14:paraId="280E8B8D">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(1)特殊患者标记，提供快速评分工具，辅助护士对特殊患者进行快速评分。</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(2)评分点选操作，快速完成评分，包括：跌倒评分、MEWS评分、GCS评分、FAST-ED评分、痛疼评分、创伤评分，并根据评分要求自动计算结果，并且主界面显示评分结果。</w:t>
            </w:r>
          </w:p>
        </w:tc>
        <w:tc>
          <w:tcPr>
            <w:tcW w:w="733" w:type="dxa"/>
            <w:vMerge w:val="continue"/>
            <w:vAlign w:val="center"/>
          </w:tcPr>
          <w:p w14:paraId="47C8E9C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32CE1B4">
            <w:pPr>
              <w:jc w:val="center"/>
              <w:rPr>
                <w:rFonts w:hint="eastAsia" w:ascii="宋体" w:hAnsi="宋体" w:eastAsia="宋体" w:cs="宋体"/>
                <w:b w:val="0"/>
                <w:bCs w:val="0"/>
                <w:color w:val="auto"/>
                <w:kern w:val="0"/>
                <w:sz w:val="20"/>
                <w:szCs w:val="20"/>
                <w:highlight w:val="none"/>
                <w:lang w:val="en-US" w:eastAsia="zh-CN" w:bidi="ar-SA"/>
              </w:rPr>
            </w:pPr>
          </w:p>
        </w:tc>
      </w:tr>
      <w:tr w14:paraId="55580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583" w:type="dxa"/>
            <w:vAlign w:val="center"/>
          </w:tcPr>
          <w:p w14:paraId="4397B81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888</w:t>
            </w:r>
          </w:p>
        </w:tc>
        <w:tc>
          <w:tcPr>
            <w:tcW w:w="720" w:type="dxa"/>
            <w:vMerge w:val="continue"/>
            <w:vAlign w:val="center"/>
          </w:tcPr>
          <w:p w14:paraId="3577F3B0">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164C4AE">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368F895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二次评估</w:t>
            </w:r>
          </w:p>
        </w:tc>
        <w:tc>
          <w:tcPr>
            <w:tcW w:w="5841" w:type="dxa"/>
            <w:vAlign w:val="center"/>
          </w:tcPr>
          <w:p w14:paraId="3E7C2101">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(1)二次评估并分诊，允许分诊护士对分级信息进行修正，对不同级别患者超过规定时间内未接诊进行提醒。</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自动按照分诊等级计算分诊超时时间，提供分诊超时预警功能，支持为超时患者重新分诊，支持重新测量生命体征，并查看历史生命体征记录；支持根据现有数据，通过知识库，自动推荐分诊等级；根据患者病情变化进行评估评分，评估结果自动计算。</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(3)根据分诊登记，选择患者分诊去向，分诊去向内容可以配置，并支持重新分诊。</w:t>
            </w:r>
          </w:p>
        </w:tc>
        <w:tc>
          <w:tcPr>
            <w:tcW w:w="733" w:type="dxa"/>
            <w:vMerge w:val="continue"/>
            <w:vAlign w:val="center"/>
          </w:tcPr>
          <w:p w14:paraId="7F6E0FA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7CB76D7">
            <w:pPr>
              <w:jc w:val="center"/>
              <w:rPr>
                <w:rFonts w:hint="eastAsia" w:ascii="宋体" w:hAnsi="宋体" w:eastAsia="宋体" w:cs="宋体"/>
                <w:b w:val="0"/>
                <w:bCs w:val="0"/>
                <w:color w:val="auto"/>
                <w:kern w:val="0"/>
                <w:sz w:val="20"/>
                <w:szCs w:val="20"/>
                <w:highlight w:val="none"/>
                <w:lang w:val="en-US" w:eastAsia="zh-CN" w:bidi="ar-SA"/>
              </w:rPr>
            </w:pPr>
          </w:p>
        </w:tc>
      </w:tr>
      <w:tr w14:paraId="05705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0D3A2B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889</w:t>
            </w:r>
          </w:p>
        </w:tc>
        <w:tc>
          <w:tcPr>
            <w:tcW w:w="720" w:type="dxa"/>
            <w:vMerge w:val="continue"/>
            <w:vAlign w:val="center"/>
          </w:tcPr>
          <w:p w14:paraId="48DCC2B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3EF0F06">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403EC27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分诊患者管理</w:t>
            </w:r>
          </w:p>
        </w:tc>
        <w:tc>
          <w:tcPr>
            <w:tcW w:w="5841" w:type="dxa"/>
            <w:vAlign w:val="center"/>
          </w:tcPr>
          <w:p w14:paraId="250C4F7F">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(1)病情等级筛选，遵循卫健委《急诊预检分诊分级标准（2018年版）》，支持三区四级的分诊模式，自动化分级/人工分级双操作，同时病情分级依据允许用户自定义、配置。</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(2)先挂号后分诊、先分诊后挂号两种模式。先挂号后分诊时，支持对接HIS导入患者挂号和患者信息。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(3)与院内第三方叫号系统集成，实现急诊有序就诊。</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(4)分诊确认后，自动打印腕带、分诊条、标签，可根据医院要求定制打印格式，支持重复打印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(5)自主来院、120来院、门诊来院患者标记。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在生命体征设备支持的情况下，系统支持患者生命体征数据自动采集、上传、手工录入，支持录入收缩压、舒张压、SpO2、心率、体温、脉搏、血糖；可以连接监护仪、臂式血压计等设备完成体征自动采集；支持标识拒测和无迹象生命体征患者。</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(7)生命体征按照成人、儿童进行异常值提醒；</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(8)本次就诊患者，多次分诊后，历史生命体征查看。</w:t>
            </w:r>
          </w:p>
        </w:tc>
        <w:tc>
          <w:tcPr>
            <w:tcW w:w="733" w:type="dxa"/>
            <w:vMerge w:val="continue"/>
            <w:vAlign w:val="center"/>
          </w:tcPr>
          <w:p w14:paraId="572B4A1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47E2541">
            <w:pPr>
              <w:jc w:val="center"/>
              <w:rPr>
                <w:rFonts w:hint="eastAsia" w:ascii="宋体" w:hAnsi="宋体" w:eastAsia="宋体" w:cs="宋体"/>
                <w:b w:val="0"/>
                <w:bCs w:val="0"/>
                <w:color w:val="auto"/>
                <w:kern w:val="0"/>
                <w:sz w:val="20"/>
                <w:szCs w:val="20"/>
                <w:highlight w:val="none"/>
                <w:lang w:val="en-US" w:eastAsia="zh-CN" w:bidi="ar-SA"/>
              </w:rPr>
            </w:pPr>
          </w:p>
        </w:tc>
      </w:tr>
      <w:tr w14:paraId="305A7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50087D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890</w:t>
            </w:r>
          </w:p>
        </w:tc>
        <w:tc>
          <w:tcPr>
            <w:tcW w:w="720" w:type="dxa"/>
            <w:vMerge w:val="continue"/>
            <w:vAlign w:val="center"/>
          </w:tcPr>
          <w:p w14:paraId="1DC99D2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CAB202A">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1CB23FC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院前患者关联</w:t>
            </w:r>
          </w:p>
        </w:tc>
        <w:tc>
          <w:tcPr>
            <w:tcW w:w="5841" w:type="dxa"/>
            <w:vAlign w:val="center"/>
          </w:tcPr>
          <w:p w14:paraId="61151D63">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(1)在院前急救系统支持要求的情况下，系统与院前急救系统对接，将院前急救患者与急诊系统进行唯一关联。</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(2)在院前急救系统支持要求的情况下，系统与院前急救系统对接，获取院前急救医疗数据，实现院前院内互联互通。</w:t>
            </w:r>
          </w:p>
        </w:tc>
        <w:tc>
          <w:tcPr>
            <w:tcW w:w="733" w:type="dxa"/>
            <w:vMerge w:val="continue"/>
            <w:vAlign w:val="center"/>
          </w:tcPr>
          <w:p w14:paraId="264FDE6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2089531">
            <w:pPr>
              <w:jc w:val="center"/>
              <w:rPr>
                <w:rFonts w:hint="eastAsia" w:ascii="宋体" w:hAnsi="宋体" w:eastAsia="宋体" w:cs="宋体"/>
                <w:b w:val="0"/>
                <w:bCs w:val="0"/>
                <w:color w:val="auto"/>
                <w:kern w:val="0"/>
                <w:sz w:val="20"/>
                <w:szCs w:val="20"/>
                <w:highlight w:val="none"/>
                <w:lang w:val="en-US" w:eastAsia="zh-CN" w:bidi="ar-SA"/>
              </w:rPr>
            </w:pPr>
          </w:p>
        </w:tc>
      </w:tr>
      <w:tr w14:paraId="2C02A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0D6631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891</w:t>
            </w:r>
          </w:p>
        </w:tc>
        <w:tc>
          <w:tcPr>
            <w:tcW w:w="720" w:type="dxa"/>
            <w:vMerge w:val="continue"/>
            <w:vAlign w:val="center"/>
          </w:tcPr>
          <w:p w14:paraId="609DECB1">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7007F14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急诊排队叫号子系统</w:t>
            </w:r>
          </w:p>
        </w:tc>
        <w:tc>
          <w:tcPr>
            <w:tcW w:w="884" w:type="dxa"/>
            <w:vAlign w:val="center"/>
          </w:tcPr>
          <w:p w14:paraId="7C29912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急诊排队叫号子系统</w:t>
            </w:r>
          </w:p>
        </w:tc>
        <w:tc>
          <w:tcPr>
            <w:tcW w:w="5841" w:type="dxa"/>
            <w:vAlign w:val="center"/>
          </w:tcPr>
          <w:p w14:paraId="083EB2F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叫号大屏支持按照科室显示待诊、诊中患者信息；提供按照患者就诊先后顺序自动排序叫号以及医生手动叫号；提供用高亮文字提示患者到XX就诊科室就诊，同时支持语音朗读的能力。</w:t>
            </w:r>
          </w:p>
        </w:tc>
        <w:tc>
          <w:tcPr>
            <w:tcW w:w="733" w:type="dxa"/>
            <w:vAlign w:val="center"/>
          </w:tcPr>
          <w:p w14:paraId="12AF1418">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5D8DF710">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w:t>
            </w:r>
          </w:p>
        </w:tc>
      </w:tr>
      <w:tr w14:paraId="30D5B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D15A5AF">
            <w:pPr>
              <w:spacing w:line="300" w:lineRule="exact"/>
              <w:jc w:val="both"/>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892</w:t>
            </w:r>
          </w:p>
        </w:tc>
        <w:tc>
          <w:tcPr>
            <w:tcW w:w="720" w:type="dxa"/>
            <w:vMerge w:val="continue"/>
            <w:vAlign w:val="center"/>
          </w:tcPr>
          <w:p w14:paraId="52FDE32C">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0D80B9F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急诊诊室医生站</w:t>
            </w:r>
          </w:p>
        </w:tc>
        <w:tc>
          <w:tcPr>
            <w:tcW w:w="884" w:type="dxa"/>
            <w:vAlign w:val="center"/>
          </w:tcPr>
          <w:p w14:paraId="42BCF9E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患者管理</w:t>
            </w:r>
          </w:p>
        </w:tc>
        <w:tc>
          <w:tcPr>
            <w:tcW w:w="5841" w:type="dxa"/>
            <w:vAlign w:val="center"/>
          </w:tcPr>
          <w:p w14:paraId="1211527E">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(1)显示科室患者列表，按患者就诊去向进行患者筛选。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(2)区分待诊(首诊）、诊中、结束、全部诊疗状态进行患者筛选。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(3)按接诊医生本人进行患者筛选，医生登录系统一键筛选本人诊中、已结束患者</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(4)通过刷身份证、医保卡、就诊卡快速进行患者筛选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(5)输入患者姓名、就诊号快速进行患者筛选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(6)患者基本信息错误，HIS系统更改后，通过读卡、输入门诊号方式同步患者信息。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(7)患者入科后，医生可以取消患者就诊功能。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(8)标记患者家属是否已做核酸、标记患者是否弃诊。</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(9)医生对重点患者进行标注和取消关注功能，医生快速看到重点患者并查看关注内容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(10)快速为患者开启和关闭绿色通道，在条件允许的情况下，进行先抢救后付费的抢救机制；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(11)医生根据患者病情，快速标记患者为胸痛、卒中、创伤患者</w:t>
            </w:r>
          </w:p>
        </w:tc>
        <w:tc>
          <w:tcPr>
            <w:tcW w:w="733" w:type="dxa"/>
            <w:vMerge w:val="restart"/>
            <w:vAlign w:val="center"/>
          </w:tcPr>
          <w:p w14:paraId="7BEEA59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52C08A8A">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w:t>
            </w:r>
          </w:p>
        </w:tc>
      </w:tr>
      <w:tr w14:paraId="2578A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F03EA3F">
            <w:pPr>
              <w:spacing w:line="300" w:lineRule="exact"/>
              <w:jc w:val="both"/>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893</w:t>
            </w:r>
          </w:p>
        </w:tc>
        <w:tc>
          <w:tcPr>
            <w:tcW w:w="720" w:type="dxa"/>
            <w:vMerge w:val="continue"/>
            <w:vAlign w:val="center"/>
          </w:tcPr>
          <w:p w14:paraId="3845F9D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44BB7E7">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68BCA5B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急诊诊疗</w:t>
            </w:r>
          </w:p>
        </w:tc>
        <w:tc>
          <w:tcPr>
            <w:tcW w:w="5841" w:type="dxa"/>
            <w:vAlign w:val="center"/>
          </w:tcPr>
          <w:p w14:paraId="3397B644">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(1)一体化设计：病人在诊室、抢救、留观的医嘱、病历连续可见。</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(2)患者存在过敏史时，医生/护士可以快速维护过敏类型和过敏内容。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(3)医生随时查看出入量，掌握患者病情变化：进行入量、出量及总平衡量汇总，用图形界面表达出入量及平衡量趋势，同页面展现出入量汇总以及出入量项目明细数据，表达24小时或者最近七天出入量趋势</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(4)根据患者病情变化需要，快速查看患者护理记录单，并且记录单支持放大缩小、打印。</w:t>
            </w:r>
          </w:p>
        </w:tc>
        <w:tc>
          <w:tcPr>
            <w:tcW w:w="733" w:type="dxa"/>
            <w:vMerge w:val="continue"/>
            <w:vAlign w:val="center"/>
          </w:tcPr>
          <w:p w14:paraId="4627BA8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5D41C63">
            <w:pPr>
              <w:jc w:val="center"/>
              <w:rPr>
                <w:rFonts w:hint="eastAsia" w:ascii="宋体" w:hAnsi="宋体" w:eastAsia="宋体" w:cs="宋体"/>
                <w:b w:val="0"/>
                <w:bCs w:val="0"/>
                <w:color w:val="auto"/>
                <w:kern w:val="0"/>
                <w:sz w:val="20"/>
                <w:szCs w:val="20"/>
                <w:highlight w:val="none"/>
                <w:lang w:val="en-US" w:eastAsia="zh-CN" w:bidi="ar-SA"/>
              </w:rPr>
            </w:pPr>
          </w:p>
        </w:tc>
      </w:tr>
      <w:tr w14:paraId="75353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1200FAB">
            <w:pPr>
              <w:spacing w:line="300" w:lineRule="exact"/>
              <w:jc w:val="both"/>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894</w:t>
            </w:r>
          </w:p>
        </w:tc>
        <w:tc>
          <w:tcPr>
            <w:tcW w:w="720" w:type="dxa"/>
            <w:vMerge w:val="continue"/>
            <w:vAlign w:val="center"/>
          </w:tcPr>
          <w:p w14:paraId="4A85AC8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6365D1D">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210C8C6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分诊信息查询</w:t>
            </w:r>
          </w:p>
        </w:tc>
        <w:tc>
          <w:tcPr>
            <w:tcW w:w="5841" w:type="dxa"/>
            <w:vAlign w:val="center"/>
          </w:tcPr>
          <w:p w14:paraId="307C0F7C">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(1)查看患者分诊信息详情，查看患者诉/症状、生命体征和评分内容。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(2)医生根据患者病情实际情况，修改分诊等级，并说明修改理由。</w:t>
            </w:r>
          </w:p>
        </w:tc>
        <w:tc>
          <w:tcPr>
            <w:tcW w:w="733" w:type="dxa"/>
            <w:vMerge w:val="continue"/>
            <w:vAlign w:val="center"/>
          </w:tcPr>
          <w:p w14:paraId="6F3882B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E4710F6">
            <w:pPr>
              <w:jc w:val="center"/>
              <w:rPr>
                <w:rFonts w:hint="eastAsia" w:ascii="宋体" w:hAnsi="宋体" w:eastAsia="宋体" w:cs="宋体"/>
                <w:b w:val="0"/>
                <w:bCs w:val="0"/>
                <w:color w:val="auto"/>
                <w:kern w:val="0"/>
                <w:sz w:val="20"/>
                <w:szCs w:val="20"/>
                <w:highlight w:val="none"/>
                <w:lang w:val="en-US" w:eastAsia="zh-CN" w:bidi="ar-SA"/>
              </w:rPr>
            </w:pPr>
          </w:p>
        </w:tc>
      </w:tr>
      <w:tr w14:paraId="705DA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036DC61">
            <w:pPr>
              <w:spacing w:line="300" w:lineRule="exact"/>
              <w:jc w:val="both"/>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895</w:t>
            </w:r>
          </w:p>
        </w:tc>
        <w:tc>
          <w:tcPr>
            <w:tcW w:w="720" w:type="dxa"/>
            <w:vMerge w:val="continue"/>
            <w:vAlign w:val="center"/>
          </w:tcPr>
          <w:p w14:paraId="73B192C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5EEC120">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432A7A4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诊断管理</w:t>
            </w:r>
          </w:p>
        </w:tc>
        <w:tc>
          <w:tcPr>
            <w:tcW w:w="5841" w:type="dxa"/>
            <w:vAlign w:val="center"/>
          </w:tcPr>
          <w:p w14:paraId="713F43F0">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(1)医生快速维护主诊断、子诊断的功能。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(2)ICD10标准诊断库与手工录入诊断两种方式，诊断信息自动引用在病历中。</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(3)医生根据病情诊疗情况，可对初步诊断进行确认或修订；</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(4)诊断可调整顺序的功能，可区分主要诊断与次要诊断；</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(5)可推送诊断数据至院内HIS、集成平台等系统；</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(6)可设置个人常用诊断，并提供维护功能。</w:t>
            </w:r>
          </w:p>
        </w:tc>
        <w:tc>
          <w:tcPr>
            <w:tcW w:w="733" w:type="dxa"/>
            <w:vMerge w:val="continue"/>
            <w:vAlign w:val="center"/>
          </w:tcPr>
          <w:p w14:paraId="39CAE5A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1D5A6B4">
            <w:pPr>
              <w:jc w:val="center"/>
              <w:rPr>
                <w:rFonts w:hint="eastAsia" w:ascii="宋体" w:hAnsi="宋体" w:eastAsia="宋体" w:cs="宋体"/>
                <w:b w:val="0"/>
                <w:bCs w:val="0"/>
                <w:color w:val="auto"/>
                <w:kern w:val="0"/>
                <w:sz w:val="20"/>
                <w:szCs w:val="20"/>
                <w:highlight w:val="none"/>
                <w:lang w:val="en-US" w:eastAsia="zh-CN" w:bidi="ar-SA"/>
              </w:rPr>
            </w:pPr>
          </w:p>
        </w:tc>
      </w:tr>
      <w:tr w14:paraId="5992B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14250A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896</w:t>
            </w:r>
          </w:p>
        </w:tc>
        <w:tc>
          <w:tcPr>
            <w:tcW w:w="720" w:type="dxa"/>
            <w:vMerge w:val="continue"/>
            <w:vAlign w:val="center"/>
          </w:tcPr>
          <w:p w14:paraId="261B948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E08F0C9">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7C8D1DD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一键转归</w:t>
            </w:r>
          </w:p>
        </w:tc>
        <w:tc>
          <w:tcPr>
            <w:tcW w:w="5841" w:type="dxa"/>
            <w:vAlign w:val="center"/>
          </w:tcPr>
          <w:p w14:paraId="5E190598">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医生依据患者情况，指定患者去向；患者自由转归，系统记录（转抢救区/转留观区/转住院/转手术室/转外院/死亡/离院）；患者换住院时，可以选择住院科室；</w:t>
            </w:r>
          </w:p>
        </w:tc>
        <w:tc>
          <w:tcPr>
            <w:tcW w:w="733" w:type="dxa"/>
            <w:vMerge w:val="continue"/>
            <w:vAlign w:val="center"/>
          </w:tcPr>
          <w:p w14:paraId="7D2DA9D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8F3CCA4">
            <w:pPr>
              <w:jc w:val="center"/>
              <w:rPr>
                <w:rFonts w:hint="eastAsia" w:ascii="宋体" w:hAnsi="宋体" w:eastAsia="宋体" w:cs="宋体"/>
                <w:b w:val="0"/>
                <w:bCs w:val="0"/>
                <w:color w:val="auto"/>
                <w:kern w:val="0"/>
                <w:sz w:val="20"/>
                <w:szCs w:val="20"/>
                <w:highlight w:val="none"/>
                <w:lang w:val="en-US" w:eastAsia="zh-CN" w:bidi="ar-SA"/>
              </w:rPr>
            </w:pPr>
          </w:p>
        </w:tc>
      </w:tr>
      <w:tr w14:paraId="42F5C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C28031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897</w:t>
            </w:r>
          </w:p>
        </w:tc>
        <w:tc>
          <w:tcPr>
            <w:tcW w:w="720" w:type="dxa"/>
            <w:vMerge w:val="continue"/>
            <w:vAlign w:val="center"/>
          </w:tcPr>
          <w:p w14:paraId="3F8E048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A126F1D">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74AF81A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病情评估</w:t>
            </w:r>
          </w:p>
        </w:tc>
        <w:tc>
          <w:tcPr>
            <w:tcW w:w="5841" w:type="dxa"/>
            <w:vAlign w:val="center"/>
          </w:tcPr>
          <w:p w14:paraId="15833A6D">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(1)病情评估，当患者病情变化时，医生可以快速为患者进行评估。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(2)某个评估量表可对患者进行多次评估，历次评分内容可查。</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(3)评估量表主观数据快速点选，自动计算分值。</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(4)评估量表所见即所得打印功能。</w:t>
            </w:r>
          </w:p>
        </w:tc>
        <w:tc>
          <w:tcPr>
            <w:tcW w:w="733" w:type="dxa"/>
            <w:vMerge w:val="continue"/>
            <w:vAlign w:val="center"/>
          </w:tcPr>
          <w:p w14:paraId="1F72FF9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041F9D0">
            <w:pPr>
              <w:jc w:val="center"/>
              <w:rPr>
                <w:rFonts w:hint="eastAsia" w:ascii="宋体" w:hAnsi="宋体" w:eastAsia="宋体" w:cs="宋体"/>
                <w:b w:val="0"/>
                <w:bCs w:val="0"/>
                <w:color w:val="auto"/>
                <w:kern w:val="0"/>
                <w:sz w:val="20"/>
                <w:szCs w:val="20"/>
                <w:highlight w:val="none"/>
                <w:lang w:val="en-US" w:eastAsia="zh-CN" w:bidi="ar-SA"/>
              </w:rPr>
            </w:pPr>
          </w:p>
        </w:tc>
      </w:tr>
      <w:tr w14:paraId="4C63A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8B5D8E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898</w:t>
            </w:r>
          </w:p>
        </w:tc>
        <w:tc>
          <w:tcPr>
            <w:tcW w:w="720" w:type="dxa"/>
            <w:vMerge w:val="continue"/>
            <w:vAlign w:val="center"/>
          </w:tcPr>
          <w:p w14:paraId="7068D41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764BAA8">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45E6429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检查检验报告</w:t>
            </w:r>
          </w:p>
        </w:tc>
        <w:tc>
          <w:tcPr>
            <w:tcW w:w="5841" w:type="dxa"/>
            <w:vAlign w:val="center"/>
          </w:tcPr>
          <w:p w14:paraId="64374172">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(1)与LIS\PACS\HIS系统或者集成平台对接，调阅检查检验结果，包括图像报告和文字报告，调阅病人历史就诊信息；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(2)查看检查项目及子项目。如查看报告时间、报告内容。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(3)在条件允许的情况下，对接心电系统，查看心电图报告内容。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(4)查看检验项目及检验结果值，同时对异常结果进行标记。</w:t>
            </w:r>
          </w:p>
        </w:tc>
        <w:tc>
          <w:tcPr>
            <w:tcW w:w="733" w:type="dxa"/>
            <w:vMerge w:val="continue"/>
            <w:vAlign w:val="center"/>
          </w:tcPr>
          <w:p w14:paraId="3330B97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244E454">
            <w:pPr>
              <w:jc w:val="center"/>
              <w:rPr>
                <w:rFonts w:hint="eastAsia" w:ascii="宋体" w:hAnsi="宋体" w:eastAsia="宋体" w:cs="宋体"/>
                <w:b w:val="0"/>
                <w:bCs w:val="0"/>
                <w:color w:val="auto"/>
                <w:kern w:val="0"/>
                <w:sz w:val="20"/>
                <w:szCs w:val="20"/>
                <w:highlight w:val="none"/>
                <w:lang w:val="en-US" w:eastAsia="zh-CN" w:bidi="ar-SA"/>
              </w:rPr>
            </w:pPr>
          </w:p>
        </w:tc>
      </w:tr>
      <w:tr w14:paraId="291F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866755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899</w:t>
            </w:r>
          </w:p>
        </w:tc>
        <w:tc>
          <w:tcPr>
            <w:tcW w:w="720" w:type="dxa"/>
            <w:vMerge w:val="continue"/>
            <w:vAlign w:val="center"/>
          </w:tcPr>
          <w:p w14:paraId="3844237D">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221A74E">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7CF2896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传染病上报</w:t>
            </w:r>
          </w:p>
        </w:tc>
        <w:tc>
          <w:tcPr>
            <w:tcW w:w="5841" w:type="dxa"/>
            <w:vAlign w:val="center"/>
          </w:tcPr>
          <w:p w14:paraId="5D308327">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对有传染病的患者，进行登记上报，在HIS允许的情况下，系统对接HIS，将传染病患者数据同步到HIS系统。</w:t>
            </w:r>
          </w:p>
        </w:tc>
        <w:tc>
          <w:tcPr>
            <w:tcW w:w="733" w:type="dxa"/>
            <w:vMerge w:val="continue"/>
            <w:vAlign w:val="center"/>
          </w:tcPr>
          <w:p w14:paraId="459509B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D3581C8">
            <w:pPr>
              <w:jc w:val="center"/>
              <w:rPr>
                <w:rFonts w:hint="eastAsia" w:ascii="宋体" w:hAnsi="宋体" w:eastAsia="宋体" w:cs="宋体"/>
                <w:b w:val="0"/>
                <w:bCs w:val="0"/>
                <w:color w:val="auto"/>
                <w:kern w:val="0"/>
                <w:sz w:val="20"/>
                <w:szCs w:val="20"/>
                <w:highlight w:val="none"/>
                <w:lang w:val="en-US" w:eastAsia="zh-CN" w:bidi="ar-SA"/>
              </w:rPr>
            </w:pPr>
          </w:p>
        </w:tc>
      </w:tr>
      <w:tr w14:paraId="164E9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B5BC96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900</w:t>
            </w:r>
          </w:p>
        </w:tc>
        <w:tc>
          <w:tcPr>
            <w:tcW w:w="720" w:type="dxa"/>
            <w:vMerge w:val="continue"/>
            <w:vAlign w:val="center"/>
          </w:tcPr>
          <w:p w14:paraId="3B51B74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746C19E">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7358FD8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住院登记</w:t>
            </w:r>
          </w:p>
        </w:tc>
        <w:tc>
          <w:tcPr>
            <w:tcW w:w="5841" w:type="dxa"/>
            <w:vAlign w:val="center"/>
          </w:tcPr>
          <w:p w14:paraId="02D33740">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针对转住院患者，进行住院登记，在HIS允许的情况下，系统对接HIS，将申请单同步到HIS系统，实现数据多跑路，患者少跑腿。</w:t>
            </w:r>
          </w:p>
        </w:tc>
        <w:tc>
          <w:tcPr>
            <w:tcW w:w="733" w:type="dxa"/>
            <w:vMerge w:val="continue"/>
            <w:vAlign w:val="center"/>
          </w:tcPr>
          <w:p w14:paraId="60220E1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23F90EA">
            <w:pPr>
              <w:jc w:val="center"/>
              <w:rPr>
                <w:rFonts w:hint="eastAsia" w:ascii="宋体" w:hAnsi="宋体" w:eastAsia="宋体" w:cs="宋体"/>
                <w:b w:val="0"/>
                <w:bCs w:val="0"/>
                <w:color w:val="auto"/>
                <w:kern w:val="0"/>
                <w:sz w:val="20"/>
                <w:szCs w:val="20"/>
                <w:highlight w:val="none"/>
                <w:lang w:val="en-US" w:eastAsia="zh-CN" w:bidi="ar-SA"/>
              </w:rPr>
            </w:pPr>
          </w:p>
        </w:tc>
      </w:tr>
      <w:tr w14:paraId="48943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EC44B9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901</w:t>
            </w:r>
          </w:p>
        </w:tc>
        <w:tc>
          <w:tcPr>
            <w:tcW w:w="720" w:type="dxa"/>
            <w:vMerge w:val="continue"/>
            <w:vAlign w:val="center"/>
          </w:tcPr>
          <w:p w14:paraId="7CF5512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D8D7633">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7A7D5AA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手术登记</w:t>
            </w:r>
          </w:p>
        </w:tc>
        <w:tc>
          <w:tcPr>
            <w:tcW w:w="5841" w:type="dxa"/>
            <w:vAlign w:val="center"/>
          </w:tcPr>
          <w:p w14:paraId="1B47D7EB">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对病情严重需要手术治疗的患者，进行手术登记，并对接手麻系统，预约手术日期、手术科室、基本检验项目结果，为患者建立快速应急通道。</w:t>
            </w:r>
          </w:p>
        </w:tc>
        <w:tc>
          <w:tcPr>
            <w:tcW w:w="733" w:type="dxa"/>
            <w:vMerge w:val="continue"/>
            <w:vAlign w:val="center"/>
          </w:tcPr>
          <w:p w14:paraId="27D6ED7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73429A8">
            <w:pPr>
              <w:jc w:val="center"/>
              <w:rPr>
                <w:rFonts w:hint="eastAsia" w:ascii="宋体" w:hAnsi="宋体" w:eastAsia="宋体" w:cs="宋体"/>
                <w:b w:val="0"/>
                <w:bCs w:val="0"/>
                <w:color w:val="auto"/>
                <w:kern w:val="0"/>
                <w:sz w:val="20"/>
                <w:szCs w:val="20"/>
                <w:highlight w:val="none"/>
                <w:lang w:val="en-US" w:eastAsia="zh-CN" w:bidi="ar-SA"/>
              </w:rPr>
            </w:pPr>
          </w:p>
        </w:tc>
      </w:tr>
      <w:tr w14:paraId="08837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01E5D3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902</w:t>
            </w:r>
          </w:p>
        </w:tc>
        <w:tc>
          <w:tcPr>
            <w:tcW w:w="720" w:type="dxa"/>
            <w:vMerge w:val="continue"/>
            <w:vAlign w:val="center"/>
          </w:tcPr>
          <w:p w14:paraId="4E40BB04">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2C9CD13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急诊留观/抢救医生站</w:t>
            </w:r>
          </w:p>
        </w:tc>
        <w:tc>
          <w:tcPr>
            <w:tcW w:w="884" w:type="dxa"/>
            <w:vAlign w:val="center"/>
          </w:tcPr>
          <w:p w14:paraId="583EF08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患者管理</w:t>
            </w:r>
          </w:p>
        </w:tc>
        <w:tc>
          <w:tcPr>
            <w:tcW w:w="5841" w:type="dxa"/>
            <w:vAlign w:val="center"/>
          </w:tcPr>
          <w:p w14:paraId="532BA892">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(1)显示科室患者列表，支持按患者就诊去向进行患者筛选。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(2)区分待诊(首诊）、诊中、结束、全部诊疗状态进行患者筛选。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(3)按接诊医生本人进行患者筛选，医生登录系统一键筛选本人诊中、已结束患者</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(4)通过刷身份证、医保卡、就诊卡快速进行患者筛选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(5)输入患者姓名、就诊号快速进行患者筛选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(6)患者基本信息错误，HIS系统更改后，通过读卡、输入门诊号方式同步患者信息。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(7)患者入科后，医生可以取消患者就诊功能。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(8)标记患者家属是否已做核酸、标记患者是否弃诊。</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(9)医生对重点患者进行标注和取消关注功能，医生快速看到重点患者并查看关注内容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(10)快速为患者开启和关闭绿色通道，在条件允许的情况下，进行先抢救后付费的抢救机制；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(11)医生根据患者病情，快速标记患者为胸痛、卒中、创伤患者。</w:t>
            </w:r>
          </w:p>
        </w:tc>
        <w:tc>
          <w:tcPr>
            <w:tcW w:w="733" w:type="dxa"/>
            <w:vMerge w:val="restart"/>
            <w:vAlign w:val="center"/>
          </w:tcPr>
          <w:p w14:paraId="1E07FBF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1E15207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w:t>
            </w:r>
          </w:p>
        </w:tc>
      </w:tr>
      <w:tr w14:paraId="60146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6CACC01">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903</w:t>
            </w:r>
          </w:p>
        </w:tc>
        <w:tc>
          <w:tcPr>
            <w:tcW w:w="720" w:type="dxa"/>
            <w:vMerge w:val="continue"/>
            <w:vAlign w:val="center"/>
          </w:tcPr>
          <w:p w14:paraId="1832628E">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1E395FE">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6C74424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急诊诊疗</w:t>
            </w:r>
          </w:p>
        </w:tc>
        <w:tc>
          <w:tcPr>
            <w:tcW w:w="5841" w:type="dxa"/>
            <w:vAlign w:val="center"/>
          </w:tcPr>
          <w:p w14:paraId="3A4DC7E0">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(1)一体化设计：病人在诊室、抢救、留观的医嘱、病历连续可见。</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(2)患者存在过敏史时，医生/护士可以快速维护过敏类型和过敏内容。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医生随时查看出入量，掌握患者病情变化：支持进行入量、出量及总平衡量汇总，支持用图形界面表达出入量及平衡量趋势，支持同页面展现出入量汇总以及出入量项目明细数据，支持表达24小时或者最近七天出入量趋势</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(4)根据患者病情变化需要，快速查看患者护理记录单，并且记录单支持放大缩小、打印。</w:t>
            </w:r>
          </w:p>
        </w:tc>
        <w:tc>
          <w:tcPr>
            <w:tcW w:w="733" w:type="dxa"/>
            <w:vMerge w:val="continue"/>
            <w:vAlign w:val="center"/>
          </w:tcPr>
          <w:p w14:paraId="5214257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C903D8B">
            <w:pPr>
              <w:jc w:val="center"/>
              <w:rPr>
                <w:rFonts w:hint="eastAsia" w:ascii="宋体" w:hAnsi="宋体" w:eastAsia="宋体" w:cs="宋体"/>
                <w:b w:val="0"/>
                <w:bCs w:val="0"/>
                <w:color w:val="auto"/>
                <w:kern w:val="0"/>
                <w:sz w:val="20"/>
                <w:szCs w:val="20"/>
                <w:highlight w:val="none"/>
                <w:lang w:val="en-US" w:eastAsia="zh-CN" w:bidi="ar-SA"/>
              </w:rPr>
            </w:pPr>
          </w:p>
        </w:tc>
      </w:tr>
      <w:tr w14:paraId="53871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7EDAD8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904</w:t>
            </w:r>
          </w:p>
        </w:tc>
        <w:tc>
          <w:tcPr>
            <w:tcW w:w="720" w:type="dxa"/>
            <w:vMerge w:val="continue"/>
            <w:vAlign w:val="center"/>
          </w:tcPr>
          <w:p w14:paraId="1D1AC121">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DF00ACB">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56D8F9C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分诊信息查询</w:t>
            </w:r>
          </w:p>
        </w:tc>
        <w:tc>
          <w:tcPr>
            <w:tcW w:w="5841" w:type="dxa"/>
            <w:vAlign w:val="center"/>
          </w:tcPr>
          <w:p w14:paraId="4C615650">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(1)查看患者分诊信息详情，查看患者诉/症状、生命体征和评分内容。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(2)医生根据患者病情实际情况，修改分诊等级，并说明修改理由。</w:t>
            </w:r>
          </w:p>
        </w:tc>
        <w:tc>
          <w:tcPr>
            <w:tcW w:w="733" w:type="dxa"/>
            <w:vMerge w:val="continue"/>
            <w:vAlign w:val="center"/>
          </w:tcPr>
          <w:p w14:paraId="3240AB8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8B7BF1E">
            <w:pPr>
              <w:jc w:val="center"/>
              <w:rPr>
                <w:rFonts w:hint="eastAsia" w:ascii="宋体" w:hAnsi="宋体" w:eastAsia="宋体" w:cs="宋体"/>
                <w:b w:val="0"/>
                <w:bCs w:val="0"/>
                <w:color w:val="auto"/>
                <w:kern w:val="0"/>
                <w:sz w:val="20"/>
                <w:szCs w:val="20"/>
                <w:highlight w:val="none"/>
                <w:lang w:val="en-US" w:eastAsia="zh-CN" w:bidi="ar-SA"/>
              </w:rPr>
            </w:pPr>
          </w:p>
        </w:tc>
      </w:tr>
      <w:tr w14:paraId="00494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1CA8DE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905</w:t>
            </w:r>
          </w:p>
        </w:tc>
        <w:tc>
          <w:tcPr>
            <w:tcW w:w="720" w:type="dxa"/>
            <w:vMerge w:val="continue"/>
            <w:vAlign w:val="center"/>
          </w:tcPr>
          <w:p w14:paraId="556D6C6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D36A9D7">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21503D8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诊断管理</w:t>
            </w:r>
          </w:p>
        </w:tc>
        <w:tc>
          <w:tcPr>
            <w:tcW w:w="5841" w:type="dxa"/>
            <w:vAlign w:val="center"/>
          </w:tcPr>
          <w:p w14:paraId="6B74BEB9">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(1)医生快速维护主诊断、子诊断的功能。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(2)ICD10标准诊断库与手工录入诊断两种方式，诊断信息自动引用在病历中。</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(3)医生根据病情诊疗情况，可对初步诊断进行确认或修订；</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(4)诊断可调整顺序的功能，可区分主要诊断与次要诊断；</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(5)可推送诊断数据至院内HIS、集成平台等系统；</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(6)可设置个人常用诊断，并提供维护功能。</w:t>
            </w:r>
          </w:p>
        </w:tc>
        <w:tc>
          <w:tcPr>
            <w:tcW w:w="733" w:type="dxa"/>
            <w:vMerge w:val="continue"/>
            <w:vAlign w:val="center"/>
          </w:tcPr>
          <w:p w14:paraId="08389C0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08B2727">
            <w:pPr>
              <w:jc w:val="center"/>
              <w:rPr>
                <w:rFonts w:hint="eastAsia" w:ascii="宋体" w:hAnsi="宋体" w:eastAsia="宋体" w:cs="宋体"/>
                <w:b w:val="0"/>
                <w:bCs w:val="0"/>
                <w:color w:val="auto"/>
                <w:kern w:val="0"/>
                <w:sz w:val="20"/>
                <w:szCs w:val="20"/>
                <w:highlight w:val="none"/>
                <w:lang w:val="en-US" w:eastAsia="zh-CN" w:bidi="ar-SA"/>
              </w:rPr>
            </w:pPr>
          </w:p>
        </w:tc>
      </w:tr>
      <w:tr w14:paraId="6FB65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DA3889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906</w:t>
            </w:r>
          </w:p>
        </w:tc>
        <w:tc>
          <w:tcPr>
            <w:tcW w:w="720" w:type="dxa"/>
            <w:vMerge w:val="continue"/>
            <w:vAlign w:val="center"/>
          </w:tcPr>
          <w:p w14:paraId="5F84DEC4">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45D6F9B">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6C61AD6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一键转归</w:t>
            </w:r>
          </w:p>
        </w:tc>
        <w:tc>
          <w:tcPr>
            <w:tcW w:w="5841" w:type="dxa"/>
            <w:vAlign w:val="center"/>
          </w:tcPr>
          <w:p w14:paraId="3F4F96D7">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医生依据患者情况，指定患者去向；患者自由转归，系统记录（转抢救区/转留观区/转住院/转手术室/转外院/死亡/离院）；患者换住院时，可以选择住院科室；</w:t>
            </w:r>
          </w:p>
        </w:tc>
        <w:tc>
          <w:tcPr>
            <w:tcW w:w="733" w:type="dxa"/>
            <w:vMerge w:val="continue"/>
            <w:vAlign w:val="center"/>
          </w:tcPr>
          <w:p w14:paraId="323D205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D122DB6">
            <w:pPr>
              <w:jc w:val="center"/>
              <w:rPr>
                <w:rFonts w:hint="eastAsia" w:ascii="宋体" w:hAnsi="宋体" w:eastAsia="宋体" w:cs="宋体"/>
                <w:b w:val="0"/>
                <w:bCs w:val="0"/>
                <w:color w:val="auto"/>
                <w:kern w:val="0"/>
                <w:sz w:val="20"/>
                <w:szCs w:val="20"/>
                <w:highlight w:val="none"/>
                <w:lang w:val="en-US" w:eastAsia="zh-CN" w:bidi="ar-SA"/>
              </w:rPr>
            </w:pPr>
          </w:p>
        </w:tc>
      </w:tr>
      <w:tr w14:paraId="45451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D9DD93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907</w:t>
            </w:r>
          </w:p>
        </w:tc>
        <w:tc>
          <w:tcPr>
            <w:tcW w:w="720" w:type="dxa"/>
            <w:vMerge w:val="continue"/>
            <w:vAlign w:val="center"/>
          </w:tcPr>
          <w:p w14:paraId="490CD11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74AD4E26">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038F36E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病情评估</w:t>
            </w:r>
          </w:p>
        </w:tc>
        <w:tc>
          <w:tcPr>
            <w:tcW w:w="5841" w:type="dxa"/>
            <w:vAlign w:val="center"/>
          </w:tcPr>
          <w:p w14:paraId="764E8109">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(1)病情评估，当患者病情变化时，医生可以快速为患者进行评估。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(2)某个评估量表可对患者进行多次评估，历次评分内容可查。</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(3)评估量表主观数据快速点选，自动计算分值。</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(4)评估量表所见即所得打印功能。</w:t>
            </w:r>
          </w:p>
        </w:tc>
        <w:tc>
          <w:tcPr>
            <w:tcW w:w="733" w:type="dxa"/>
            <w:vMerge w:val="continue"/>
            <w:vAlign w:val="center"/>
          </w:tcPr>
          <w:p w14:paraId="0FC8D1F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5A3BC80">
            <w:pPr>
              <w:jc w:val="center"/>
              <w:rPr>
                <w:rFonts w:hint="eastAsia" w:ascii="宋体" w:hAnsi="宋体" w:eastAsia="宋体" w:cs="宋体"/>
                <w:b w:val="0"/>
                <w:bCs w:val="0"/>
                <w:color w:val="auto"/>
                <w:kern w:val="0"/>
                <w:sz w:val="20"/>
                <w:szCs w:val="20"/>
                <w:highlight w:val="none"/>
                <w:lang w:val="en-US" w:eastAsia="zh-CN" w:bidi="ar-SA"/>
              </w:rPr>
            </w:pPr>
          </w:p>
        </w:tc>
      </w:tr>
      <w:tr w14:paraId="241ED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250470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908</w:t>
            </w:r>
          </w:p>
        </w:tc>
        <w:tc>
          <w:tcPr>
            <w:tcW w:w="720" w:type="dxa"/>
            <w:vMerge w:val="continue"/>
            <w:vAlign w:val="center"/>
          </w:tcPr>
          <w:p w14:paraId="3A11B98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030DC9A">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64ED775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检查检验报告</w:t>
            </w:r>
          </w:p>
        </w:tc>
        <w:tc>
          <w:tcPr>
            <w:tcW w:w="5841" w:type="dxa"/>
            <w:vAlign w:val="center"/>
          </w:tcPr>
          <w:p w14:paraId="11234676">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(1)与LIS\PACS\HIS系统或者集成平台对接，调阅检查检验结果，包括图像报告和文字报告，调阅病人历史就诊信息；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(2)查看检查项目及子项目。如查看报告时间、报告内容。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(3)在条件允许的情况下，对接心电系统，查看心电图报告内容。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(4)查看检验项目及检验结果值，同时对异常结果进行标记。</w:t>
            </w:r>
          </w:p>
        </w:tc>
        <w:tc>
          <w:tcPr>
            <w:tcW w:w="733" w:type="dxa"/>
            <w:vMerge w:val="continue"/>
            <w:vAlign w:val="center"/>
          </w:tcPr>
          <w:p w14:paraId="01F0FF0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815EDA8">
            <w:pPr>
              <w:jc w:val="center"/>
              <w:rPr>
                <w:rFonts w:hint="eastAsia" w:ascii="宋体" w:hAnsi="宋体" w:eastAsia="宋体" w:cs="宋体"/>
                <w:b w:val="0"/>
                <w:bCs w:val="0"/>
                <w:color w:val="auto"/>
                <w:kern w:val="0"/>
                <w:sz w:val="20"/>
                <w:szCs w:val="20"/>
                <w:highlight w:val="none"/>
                <w:lang w:val="en-US" w:eastAsia="zh-CN" w:bidi="ar-SA"/>
              </w:rPr>
            </w:pPr>
          </w:p>
        </w:tc>
      </w:tr>
      <w:tr w14:paraId="6307D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B0EDD3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909</w:t>
            </w:r>
          </w:p>
        </w:tc>
        <w:tc>
          <w:tcPr>
            <w:tcW w:w="720" w:type="dxa"/>
            <w:vMerge w:val="continue"/>
            <w:vAlign w:val="center"/>
          </w:tcPr>
          <w:p w14:paraId="388B7D4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EC6C54D">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1D79BFB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传染病上报</w:t>
            </w:r>
          </w:p>
        </w:tc>
        <w:tc>
          <w:tcPr>
            <w:tcW w:w="5841" w:type="dxa"/>
            <w:vAlign w:val="center"/>
          </w:tcPr>
          <w:p w14:paraId="7F80565D">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对有传染病的患者，进行登记上报，在HIS允许的情况下，系统对接HIS，将传染病患者数据同步到HIS系统。</w:t>
            </w:r>
          </w:p>
        </w:tc>
        <w:tc>
          <w:tcPr>
            <w:tcW w:w="733" w:type="dxa"/>
            <w:vMerge w:val="continue"/>
            <w:vAlign w:val="center"/>
          </w:tcPr>
          <w:p w14:paraId="0B3BEDD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C137FB8">
            <w:pPr>
              <w:jc w:val="center"/>
              <w:rPr>
                <w:rFonts w:hint="eastAsia" w:ascii="宋体" w:hAnsi="宋体" w:eastAsia="宋体" w:cs="宋体"/>
                <w:b w:val="0"/>
                <w:bCs w:val="0"/>
                <w:color w:val="auto"/>
                <w:kern w:val="0"/>
                <w:sz w:val="20"/>
                <w:szCs w:val="20"/>
                <w:highlight w:val="none"/>
                <w:lang w:val="en-US" w:eastAsia="zh-CN" w:bidi="ar-SA"/>
              </w:rPr>
            </w:pPr>
          </w:p>
        </w:tc>
      </w:tr>
      <w:tr w14:paraId="16CCD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B77E87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910</w:t>
            </w:r>
          </w:p>
        </w:tc>
        <w:tc>
          <w:tcPr>
            <w:tcW w:w="720" w:type="dxa"/>
            <w:vMerge w:val="continue"/>
            <w:vAlign w:val="center"/>
          </w:tcPr>
          <w:p w14:paraId="2A28260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BD0E1D4">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4920165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住院登记</w:t>
            </w:r>
          </w:p>
        </w:tc>
        <w:tc>
          <w:tcPr>
            <w:tcW w:w="5841" w:type="dxa"/>
            <w:vAlign w:val="center"/>
          </w:tcPr>
          <w:p w14:paraId="2955EB95">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对有传染病的患者，进行登记上报，在HIS允许的情况下，系统对接HIS，将传染病患者数据同步到HIS系统。</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针对转住院患者，进行住院登记，在HIS允许的情况下，系统对接HIS，将申请单同步到HIS系统，实现数据多跑路，患者少跑腿。</w:t>
            </w:r>
          </w:p>
        </w:tc>
        <w:tc>
          <w:tcPr>
            <w:tcW w:w="733" w:type="dxa"/>
            <w:vMerge w:val="continue"/>
            <w:vAlign w:val="center"/>
          </w:tcPr>
          <w:p w14:paraId="2A8157D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9A0FB08">
            <w:pPr>
              <w:jc w:val="center"/>
              <w:rPr>
                <w:rFonts w:hint="eastAsia" w:ascii="宋体" w:hAnsi="宋体" w:eastAsia="宋体" w:cs="宋体"/>
                <w:b w:val="0"/>
                <w:bCs w:val="0"/>
                <w:color w:val="auto"/>
                <w:kern w:val="0"/>
                <w:sz w:val="20"/>
                <w:szCs w:val="20"/>
                <w:highlight w:val="none"/>
                <w:lang w:val="en-US" w:eastAsia="zh-CN" w:bidi="ar-SA"/>
              </w:rPr>
            </w:pPr>
          </w:p>
        </w:tc>
      </w:tr>
      <w:tr w14:paraId="3507C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5089A2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911</w:t>
            </w:r>
          </w:p>
        </w:tc>
        <w:tc>
          <w:tcPr>
            <w:tcW w:w="720" w:type="dxa"/>
            <w:vMerge w:val="continue"/>
            <w:vAlign w:val="center"/>
          </w:tcPr>
          <w:p w14:paraId="01048E1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2A1BD967">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7DB8DC9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手术登记</w:t>
            </w:r>
          </w:p>
        </w:tc>
        <w:tc>
          <w:tcPr>
            <w:tcW w:w="5841" w:type="dxa"/>
            <w:vAlign w:val="center"/>
          </w:tcPr>
          <w:p w14:paraId="5B180833">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对病情严重需要手术治疗的患者，进行手术登记，并对接手麻系统，预约手术日期、手术科室、基本检验项目结果，为患者建立快速应急通道。</w:t>
            </w:r>
          </w:p>
        </w:tc>
        <w:tc>
          <w:tcPr>
            <w:tcW w:w="733" w:type="dxa"/>
            <w:vMerge w:val="continue"/>
            <w:vAlign w:val="center"/>
          </w:tcPr>
          <w:p w14:paraId="744714A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DA205F8">
            <w:pPr>
              <w:jc w:val="center"/>
              <w:rPr>
                <w:rFonts w:hint="eastAsia" w:ascii="宋体" w:hAnsi="宋体" w:eastAsia="宋体" w:cs="宋体"/>
                <w:b w:val="0"/>
                <w:bCs w:val="0"/>
                <w:color w:val="auto"/>
                <w:kern w:val="0"/>
                <w:sz w:val="20"/>
                <w:szCs w:val="20"/>
                <w:highlight w:val="none"/>
                <w:lang w:val="en-US" w:eastAsia="zh-CN" w:bidi="ar-SA"/>
              </w:rPr>
            </w:pPr>
          </w:p>
        </w:tc>
      </w:tr>
      <w:tr w14:paraId="56AD6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B6F7AC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912</w:t>
            </w:r>
          </w:p>
        </w:tc>
        <w:tc>
          <w:tcPr>
            <w:tcW w:w="720" w:type="dxa"/>
            <w:vMerge w:val="continue"/>
            <w:vAlign w:val="center"/>
          </w:tcPr>
          <w:p w14:paraId="7FD54AEB">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16990274">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急诊留观/抢救护士站</w:t>
            </w:r>
          </w:p>
        </w:tc>
        <w:tc>
          <w:tcPr>
            <w:tcW w:w="884" w:type="dxa"/>
            <w:vAlign w:val="center"/>
          </w:tcPr>
          <w:p w14:paraId="1ABF257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患者管理</w:t>
            </w:r>
          </w:p>
        </w:tc>
        <w:tc>
          <w:tcPr>
            <w:tcW w:w="5841" w:type="dxa"/>
            <w:vAlign w:val="center"/>
          </w:tcPr>
          <w:p w14:paraId="23E52967">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(1)显示抢救、留观患者列表，按区域筛选患者列表，按患者就诊状态筛选患者列表，例如全部、待诊、已诊、已结束状态</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(2)按照抢救、留观床位的分布情况，以床卡和列表的形式展示患者床位信息，展示信息可配置。</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(3)显示科室患者列表，支持按患者就诊去向、不同区域进行患者筛选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(4)通过刷身份证、医保卡、就诊卡快速进行患者筛选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(5)输入患者姓名、就诊号快速进行患者筛选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(6)标记患者家属是否已做核酸、标记患者是否弃诊。</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(7)查看患者分诊信息详情，查看患者诉/症状、生命体征和评分内容。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(8)患者基本信息错误，HIS系统更改后，通过读卡、输入门诊号方式同步患者信息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(9)护士根据患者病情实际情况，修改分诊等级，并说明修改理由。</w:t>
            </w:r>
          </w:p>
        </w:tc>
        <w:tc>
          <w:tcPr>
            <w:tcW w:w="733" w:type="dxa"/>
            <w:vMerge w:val="restart"/>
            <w:vAlign w:val="center"/>
          </w:tcPr>
          <w:p w14:paraId="15965BB9">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16B20553">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w:t>
            </w:r>
          </w:p>
        </w:tc>
      </w:tr>
      <w:tr w14:paraId="01C7A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D3AF799">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913</w:t>
            </w:r>
          </w:p>
        </w:tc>
        <w:tc>
          <w:tcPr>
            <w:tcW w:w="720" w:type="dxa"/>
            <w:vMerge w:val="continue"/>
            <w:vAlign w:val="center"/>
          </w:tcPr>
          <w:p w14:paraId="0975ED45">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57A570AD">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088B211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床位管理</w:t>
            </w:r>
          </w:p>
        </w:tc>
        <w:tc>
          <w:tcPr>
            <w:tcW w:w="5841" w:type="dxa"/>
            <w:vAlign w:val="center"/>
          </w:tcPr>
          <w:p w14:paraId="4E2B41AB">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(1)灵活的床位管理，支持为空床分配患者，支持以卡片和列表的形式表达患者信息、滞留时间、诊断、病情等级、是否绿通情况。</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(2)护士所见即所得，快速操作，例如补打腕带，查看患者病情详细情况、为患者指明去向，取消入室。</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(3)在床卡上直接看到患者的滞留时间；空床的床卡，护士右键可以患者分配；非空床的床卡，护士右键更换床位、单击查看患者的入室信息。</w:t>
            </w:r>
          </w:p>
        </w:tc>
        <w:tc>
          <w:tcPr>
            <w:tcW w:w="733" w:type="dxa"/>
            <w:vMerge w:val="continue"/>
            <w:vAlign w:val="center"/>
          </w:tcPr>
          <w:p w14:paraId="354131E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8BCE064">
            <w:pPr>
              <w:jc w:val="center"/>
              <w:rPr>
                <w:rFonts w:hint="eastAsia" w:ascii="宋体" w:hAnsi="宋体" w:eastAsia="宋体" w:cs="宋体"/>
                <w:b w:val="0"/>
                <w:bCs w:val="0"/>
                <w:color w:val="auto"/>
                <w:kern w:val="0"/>
                <w:sz w:val="20"/>
                <w:szCs w:val="20"/>
                <w:highlight w:val="none"/>
                <w:lang w:val="en-US" w:eastAsia="zh-CN" w:bidi="ar-SA"/>
              </w:rPr>
            </w:pPr>
          </w:p>
        </w:tc>
      </w:tr>
      <w:tr w14:paraId="03FBF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02A44CE">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914</w:t>
            </w:r>
          </w:p>
        </w:tc>
        <w:tc>
          <w:tcPr>
            <w:tcW w:w="720" w:type="dxa"/>
            <w:vMerge w:val="continue"/>
            <w:vAlign w:val="center"/>
          </w:tcPr>
          <w:p w14:paraId="46D68AEA">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DF9B639">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4FFA8A8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医嘱执行</w:t>
            </w:r>
          </w:p>
        </w:tc>
        <w:tc>
          <w:tcPr>
            <w:tcW w:w="5841" w:type="dxa"/>
            <w:vAlign w:val="center"/>
          </w:tcPr>
          <w:p w14:paraId="055690A1">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(1)医嘱核对与执行；支持同步电子医嘱中的医嘱信息，并将医嘱进行分类，方便医护人员核对、执行医嘱；支持显示医嘱的具体名称、剂量、单位、途径、用法等内容；执行后的医嘱可导入到抢救记录单中；</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(2)勾选多项医嘱批量核对或者逐条选择医嘱进行核对，同时支持取消核对功能，并记录核对时间与核对人。</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(3)勾选多项批量或者逐条执行医嘱，护士支持选择执行内容是否写入护理记录中；医嘱执行完成系统自动更改本条医嘱状态并记录执行信息。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(4)工作时显示有效医嘱，支持按照药品、处置、检验、检查、手术、治疗医嘱类别显示医嘱，区分历史医嘱和新开立医嘱。</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(5)医嘱下达后，自动进行分方功能。系统根据医生的给药途径、频次、药物类别、备注信息，自动拆分医嘱，辅助护士快速执行</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(6)在患者病情变化时，护士可以多次执行输液医嘱，并且根据实际情况设置备用量，系统会根据剂量自动计算实际入量也可手动更改。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(7)医生开立的皮试医嘱，护士可以录入皮试结果（阴性、阳性）并记录皮试时间，针对阳性说明理由；</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(8)在患者情况变化时，提供对已执行和未执行医嘱停用进行备注功能，包括抢救用药备注。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(9)针对转归患者，提供隐藏门诊医嘱，方便抢救留观护士快速完成医嘱执行操作。</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(10)护士在执行医嘱的过程中，针对未执行及已执行的医嘱进行输液贴打印，同时可以补打患者床头卡。</w:t>
            </w:r>
          </w:p>
        </w:tc>
        <w:tc>
          <w:tcPr>
            <w:tcW w:w="733" w:type="dxa"/>
            <w:vMerge w:val="continue"/>
            <w:vAlign w:val="center"/>
          </w:tcPr>
          <w:p w14:paraId="66E3ECD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08AC14D">
            <w:pPr>
              <w:jc w:val="center"/>
              <w:rPr>
                <w:rFonts w:hint="eastAsia" w:ascii="宋体" w:hAnsi="宋体" w:eastAsia="宋体" w:cs="宋体"/>
                <w:b w:val="0"/>
                <w:bCs w:val="0"/>
                <w:color w:val="auto"/>
                <w:kern w:val="0"/>
                <w:sz w:val="20"/>
                <w:szCs w:val="20"/>
                <w:highlight w:val="none"/>
                <w:lang w:val="en-US" w:eastAsia="zh-CN" w:bidi="ar-SA"/>
              </w:rPr>
            </w:pPr>
          </w:p>
        </w:tc>
      </w:tr>
      <w:tr w14:paraId="27A15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27AE82C">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915</w:t>
            </w:r>
          </w:p>
        </w:tc>
        <w:tc>
          <w:tcPr>
            <w:tcW w:w="720" w:type="dxa"/>
            <w:vMerge w:val="continue"/>
            <w:vAlign w:val="center"/>
          </w:tcPr>
          <w:p w14:paraId="3C61C13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E5C8119">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225925E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护理记录</w:t>
            </w:r>
          </w:p>
        </w:tc>
        <w:tc>
          <w:tcPr>
            <w:tcW w:w="5841" w:type="dxa"/>
            <w:vAlign w:val="center"/>
          </w:tcPr>
          <w:p w14:paraId="0A669F2F">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(1)点选快速完成护理记录的功能，支持定时采集患者床旁生命体征数据并进行记录，提供采集生命体征导入到护理记录或者手工录入。</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(2)提供多种评估表单，内置到护理记录中，支持护士在完成护理操作记录的同事，点点选选快速完成自理能力评估、压疮评分、跌倒评分、疼痛评分、营养风险筛查、静脉血栓栓塞症风险因素评分、网络脱落危险因素评估。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护士支持跟患者情况变化，随时维护出入量详细信息，支持自动将输液医嘱及实际入量写回出入量；支持点选弹出页面，护士可以维护入量和出量信息；支持提供入出量名称数据集，护士可以输入快捷键快速查找定位；针对出量不仅能表达名称，而且支持表达颜色性状；支持自动计算出量和入量合计；</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(4)出入量快速统计功能，支持按照24小时内，患者转入抢救留观后以及自定义时间段方式，自动统计出入量值，并将结果写回护理记录中</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(5)提供工具辅助护士快速完成病情观察情况信息，支持护士选择医嘱信息写回护理记录，支持护士选择检验结果写回护理记录，支持选择检查结果写回护理记录，支持从护理文书中选择内容写回护理记录。</w:t>
            </w:r>
          </w:p>
        </w:tc>
        <w:tc>
          <w:tcPr>
            <w:tcW w:w="733" w:type="dxa"/>
            <w:vMerge w:val="continue"/>
            <w:vAlign w:val="center"/>
          </w:tcPr>
          <w:p w14:paraId="6D5A35E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AC2E0B5">
            <w:pPr>
              <w:jc w:val="center"/>
              <w:rPr>
                <w:rFonts w:hint="eastAsia" w:ascii="宋体" w:hAnsi="宋体" w:eastAsia="宋体" w:cs="宋体"/>
                <w:b w:val="0"/>
                <w:bCs w:val="0"/>
                <w:color w:val="auto"/>
                <w:kern w:val="0"/>
                <w:sz w:val="20"/>
                <w:szCs w:val="20"/>
                <w:highlight w:val="none"/>
                <w:lang w:val="en-US" w:eastAsia="zh-CN" w:bidi="ar-SA"/>
              </w:rPr>
            </w:pPr>
          </w:p>
        </w:tc>
      </w:tr>
      <w:tr w14:paraId="297F7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8357F3F">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916</w:t>
            </w:r>
          </w:p>
        </w:tc>
        <w:tc>
          <w:tcPr>
            <w:tcW w:w="720" w:type="dxa"/>
            <w:vMerge w:val="continue"/>
            <w:vAlign w:val="center"/>
          </w:tcPr>
          <w:p w14:paraId="084686FB">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AA66E51">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44CD21D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检查检验报告</w:t>
            </w:r>
          </w:p>
        </w:tc>
        <w:tc>
          <w:tcPr>
            <w:tcW w:w="5841" w:type="dxa"/>
            <w:vAlign w:val="center"/>
          </w:tcPr>
          <w:p w14:paraId="1B5258D9">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(1)有权限的护士可以调阅检查项目结果，查看检验项目及报告内容、诊断所见、检查部位信息，在条件允许的情况下，调阅患者历史就诊信息；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(2)在权限允许的条件下，护士调阅患者检验报告，查看患者急诊历次检验项目以及检验结果值；支持区分检验结果异常值标记。</w:t>
            </w:r>
          </w:p>
        </w:tc>
        <w:tc>
          <w:tcPr>
            <w:tcW w:w="733" w:type="dxa"/>
            <w:vMerge w:val="continue"/>
            <w:vAlign w:val="center"/>
          </w:tcPr>
          <w:p w14:paraId="151CF7C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6ED59C8">
            <w:pPr>
              <w:jc w:val="center"/>
              <w:rPr>
                <w:rFonts w:hint="eastAsia" w:ascii="宋体" w:hAnsi="宋体" w:eastAsia="宋体" w:cs="宋体"/>
                <w:b w:val="0"/>
                <w:bCs w:val="0"/>
                <w:color w:val="auto"/>
                <w:kern w:val="0"/>
                <w:sz w:val="20"/>
                <w:szCs w:val="20"/>
                <w:highlight w:val="none"/>
                <w:lang w:val="en-US" w:eastAsia="zh-CN" w:bidi="ar-SA"/>
              </w:rPr>
            </w:pPr>
          </w:p>
        </w:tc>
      </w:tr>
      <w:tr w14:paraId="3F87F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386412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917</w:t>
            </w:r>
          </w:p>
        </w:tc>
        <w:tc>
          <w:tcPr>
            <w:tcW w:w="720" w:type="dxa"/>
            <w:vMerge w:val="continue"/>
            <w:vAlign w:val="center"/>
          </w:tcPr>
          <w:p w14:paraId="3414225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3854B6DA">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1CA67CC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管路维护</w:t>
            </w:r>
          </w:p>
        </w:tc>
        <w:tc>
          <w:tcPr>
            <w:tcW w:w="5841" w:type="dxa"/>
            <w:vAlign w:val="center"/>
          </w:tcPr>
          <w:p w14:paraId="706C660E">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(1)3D人体模型，直观展示管路插管情况，按照成人、婴幼儿不同阶段展示3D人体图。</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(2)3D人体模型，按照前侧、后侧、左侧、右侧任意切换，自定义设置部位区域；点击部位快速添加和维护管路状态，</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(3)对插管部位、材料、类型、管路名称、置管深度、插管时间的维护。</w:t>
            </w:r>
          </w:p>
        </w:tc>
        <w:tc>
          <w:tcPr>
            <w:tcW w:w="733" w:type="dxa"/>
            <w:vMerge w:val="continue"/>
            <w:vAlign w:val="center"/>
          </w:tcPr>
          <w:p w14:paraId="2804B62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5E22FC6">
            <w:pPr>
              <w:jc w:val="center"/>
              <w:rPr>
                <w:rFonts w:hint="eastAsia" w:ascii="宋体" w:hAnsi="宋体" w:eastAsia="宋体" w:cs="宋体"/>
                <w:b w:val="0"/>
                <w:bCs w:val="0"/>
                <w:color w:val="auto"/>
                <w:kern w:val="0"/>
                <w:sz w:val="20"/>
                <w:szCs w:val="20"/>
                <w:highlight w:val="none"/>
                <w:lang w:val="en-US" w:eastAsia="zh-CN" w:bidi="ar-SA"/>
              </w:rPr>
            </w:pPr>
          </w:p>
        </w:tc>
      </w:tr>
      <w:tr w14:paraId="53C9C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810818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918</w:t>
            </w:r>
          </w:p>
        </w:tc>
        <w:tc>
          <w:tcPr>
            <w:tcW w:w="720" w:type="dxa"/>
            <w:vMerge w:val="continue"/>
            <w:vAlign w:val="center"/>
          </w:tcPr>
          <w:p w14:paraId="50FC863C">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1967514">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1EF387A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皮肤护理</w:t>
            </w:r>
          </w:p>
        </w:tc>
        <w:tc>
          <w:tcPr>
            <w:tcW w:w="5841" w:type="dxa"/>
            <w:vAlign w:val="center"/>
          </w:tcPr>
          <w:p w14:paraId="4A7B79FE">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(1)3D人体模型，直观展示皮肤情况，可在患者的不同部位上添加压疮或非压疮的皮肤处置操作，填写压疮报告单。</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(2)3D人体模型，从前侧、后侧、左侧、右侧四个维度分别展示，依据皮肤护理的要求自定义设置部位。</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(3)追踪已经添加的皮肤护理，提供相同部位快速添加新的皮肤护理记录。</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(4)压疮详细情况描述，例如：分泌物性状、压疮级别、压疮面积、处理措施、周边皮肤等。</w:t>
            </w:r>
          </w:p>
        </w:tc>
        <w:tc>
          <w:tcPr>
            <w:tcW w:w="733" w:type="dxa"/>
            <w:vMerge w:val="continue"/>
            <w:vAlign w:val="center"/>
          </w:tcPr>
          <w:p w14:paraId="34E16BB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C0E7941">
            <w:pPr>
              <w:jc w:val="center"/>
              <w:rPr>
                <w:rFonts w:hint="eastAsia" w:ascii="宋体" w:hAnsi="宋体" w:eastAsia="宋体" w:cs="宋体"/>
                <w:b w:val="0"/>
                <w:bCs w:val="0"/>
                <w:color w:val="auto"/>
                <w:kern w:val="0"/>
                <w:sz w:val="20"/>
                <w:szCs w:val="20"/>
                <w:highlight w:val="none"/>
                <w:lang w:val="en-US" w:eastAsia="zh-CN" w:bidi="ar-SA"/>
              </w:rPr>
            </w:pPr>
          </w:p>
        </w:tc>
      </w:tr>
      <w:tr w14:paraId="45889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0D0153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919</w:t>
            </w:r>
          </w:p>
        </w:tc>
        <w:tc>
          <w:tcPr>
            <w:tcW w:w="720" w:type="dxa"/>
            <w:vMerge w:val="continue"/>
            <w:vAlign w:val="center"/>
          </w:tcPr>
          <w:p w14:paraId="0A297CB9">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929DA31">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6BBA1F1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护理文书</w:t>
            </w:r>
          </w:p>
        </w:tc>
        <w:tc>
          <w:tcPr>
            <w:tcW w:w="5841" w:type="dxa"/>
            <w:vAlign w:val="center"/>
          </w:tcPr>
          <w:p w14:paraId="2B399667">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(1)在授权允许的情况下，护士可以浏览患者急门诊病历、抢救病历、留观病历以及知情同意和告知书。</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(2)在输血系统允许的情况下，系统同步患者输血记录，辅助护士完成输血巡视并记录过程信息；支持记录输血开始和结束及相关责任人；支持巡视过程中记录患者状态以及患者体征情况。</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提供丰富的告知书模板库，支持护士填写压疮高危风险告知书、急诊患者预防坠床/跌倒告知书、儿童高危跌倒告知书、儿童高危压疮告知书、儿童患者安全告知书；支持患者基本信息自动导入告知书；支持同一患者创建多份相同告知书。</w:t>
            </w:r>
          </w:p>
        </w:tc>
        <w:tc>
          <w:tcPr>
            <w:tcW w:w="733" w:type="dxa"/>
            <w:vMerge w:val="continue"/>
            <w:vAlign w:val="center"/>
          </w:tcPr>
          <w:p w14:paraId="61BF7D5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3DA3753">
            <w:pPr>
              <w:jc w:val="center"/>
              <w:rPr>
                <w:rFonts w:hint="eastAsia" w:ascii="宋体" w:hAnsi="宋体" w:eastAsia="宋体" w:cs="宋体"/>
                <w:b w:val="0"/>
                <w:bCs w:val="0"/>
                <w:color w:val="auto"/>
                <w:kern w:val="0"/>
                <w:sz w:val="20"/>
                <w:szCs w:val="20"/>
                <w:highlight w:val="none"/>
                <w:lang w:val="en-US" w:eastAsia="zh-CN" w:bidi="ar-SA"/>
              </w:rPr>
            </w:pPr>
          </w:p>
        </w:tc>
      </w:tr>
      <w:tr w14:paraId="154F2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4E430B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920</w:t>
            </w:r>
          </w:p>
        </w:tc>
        <w:tc>
          <w:tcPr>
            <w:tcW w:w="720" w:type="dxa"/>
            <w:vMerge w:val="continue"/>
            <w:vAlign w:val="center"/>
          </w:tcPr>
          <w:p w14:paraId="49CE6B27">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6FF25112">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4D5466D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护理评分</w:t>
            </w:r>
          </w:p>
        </w:tc>
        <w:tc>
          <w:tcPr>
            <w:tcW w:w="5841" w:type="dxa"/>
            <w:vAlign w:val="center"/>
          </w:tcPr>
          <w:p w14:paraId="7C8233BF">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(1)护士在患者情况变化时，随时创建急诊护理评估单、急诊创伤住院评估单、急诊转运单；具备查看多次评估单内容和结果的能力；支持评估内容和结果打印。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(2)提供丰富的评分模板，支持APACHEII评分、Barthe指数定量评分、跌倒压疮评分、Braden评分；护士随时对患者进行多次评分并查看评分结果；支持根据勾选内容，自动计算评分结果。</w:t>
            </w:r>
          </w:p>
        </w:tc>
        <w:tc>
          <w:tcPr>
            <w:tcW w:w="733" w:type="dxa"/>
            <w:vMerge w:val="continue"/>
            <w:vAlign w:val="center"/>
          </w:tcPr>
          <w:p w14:paraId="03B9580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DD6CFC4">
            <w:pPr>
              <w:jc w:val="center"/>
              <w:rPr>
                <w:rFonts w:hint="eastAsia" w:ascii="宋体" w:hAnsi="宋体" w:eastAsia="宋体" w:cs="宋体"/>
                <w:b w:val="0"/>
                <w:bCs w:val="0"/>
                <w:color w:val="auto"/>
                <w:kern w:val="0"/>
                <w:sz w:val="20"/>
                <w:szCs w:val="20"/>
                <w:highlight w:val="none"/>
                <w:lang w:val="en-US" w:eastAsia="zh-CN" w:bidi="ar-SA"/>
              </w:rPr>
            </w:pPr>
          </w:p>
        </w:tc>
      </w:tr>
      <w:tr w14:paraId="53F54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E61AE9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921</w:t>
            </w:r>
          </w:p>
        </w:tc>
        <w:tc>
          <w:tcPr>
            <w:tcW w:w="720" w:type="dxa"/>
            <w:vMerge w:val="continue"/>
            <w:vAlign w:val="center"/>
          </w:tcPr>
          <w:p w14:paraId="076A44A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702D2AD">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1E07421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出入量</w:t>
            </w:r>
          </w:p>
        </w:tc>
        <w:tc>
          <w:tcPr>
            <w:tcW w:w="5841" w:type="dxa"/>
            <w:vAlign w:val="center"/>
          </w:tcPr>
          <w:p w14:paraId="46778D46">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(1)在抢救/留观室，辅助医生/护士分析患者体液平衡情况。</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(2)按天/小时显示入量和出量柱状图及液体平衡趋势图。</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(3)查看出入量明细。</w:t>
            </w:r>
          </w:p>
        </w:tc>
        <w:tc>
          <w:tcPr>
            <w:tcW w:w="733" w:type="dxa"/>
            <w:vMerge w:val="continue"/>
            <w:vAlign w:val="center"/>
          </w:tcPr>
          <w:p w14:paraId="5033939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9752779">
            <w:pPr>
              <w:jc w:val="center"/>
              <w:rPr>
                <w:rFonts w:hint="eastAsia" w:ascii="宋体" w:hAnsi="宋体" w:eastAsia="宋体" w:cs="宋体"/>
                <w:b w:val="0"/>
                <w:bCs w:val="0"/>
                <w:color w:val="auto"/>
                <w:kern w:val="0"/>
                <w:sz w:val="20"/>
                <w:szCs w:val="20"/>
                <w:highlight w:val="none"/>
                <w:lang w:val="en-US" w:eastAsia="zh-CN" w:bidi="ar-SA"/>
              </w:rPr>
            </w:pPr>
          </w:p>
        </w:tc>
      </w:tr>
      <w:tr w14:paraId="5D301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5453D4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922</w:t>
            </w:r>
          </w:p>
        </w:tc>
        <w:tc>
          <w:tcPr>
            <w:tcW w:w="720" w:type="dxa"/>
            <w:vMerge w:val="continue"/>
            <w:vAlign w:val="center"/>
          </w:tcPr>
          <w:p w14:paraId="6B957857">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10B21D5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电子医嘱集成</w:t>
            </w:r>
          </w:p>
        </w:tc>
        <w:tc>
          <w:tcPr>
            <w:tcW w:w="884" w:type="dxa"/>
            <w:vAlign w:val="center"/>
          </w:tcPr>
          <w:p w14:paraId="15ED17F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电子医嘱集成</w:t>
            </w:r>
          </w:p>
        </w:tc>
        <w:tc>
          <w:tcPr>
            <w:tcW w:w="5841" w:type="dxa"/>
            <w:vAlign w:val="center"/>
          </w:tcPr>
          <w:p w14:paraId="0AAC663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集成医院HIS医嘱页面，实现医嘱开立、保存、提交等功能</w:t>
            </w:r>
          </w:p>
        </w:tc>
        <w:tc>
          <w:tcPr>
            <w:tcW w:w="733" w:type="dxa"/>
            <w:vAlign w:val="center"/>
          </w:tcPr>
          <w:p w14:paraId="5DC5287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19B4E17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w:t>
            </w:r>
          </w:p>
        </w:tc>
      </w:tr>
      <w:tr w14:paraId="3B27A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12F2CB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923</w:t>
            </w:r>
          </w:p>
        </w:tc>
        <w:tc>
          <w:tcPr>
            <w:tcW w:w="720" w:type="dxa"/>
            <w:vMerge w:val="continue"/>
            <w:vAlign w:val="center"/>
          </w:tcPr>
          <w:p w14:paraId="1E71189C">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7604A89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急诊电子病历子系统</w:t>
            </w:r>
          </w:p>
        </w:tc>
        <w:tc>
          <w:tcPr>
            <w:tcW w:w="884" w:type="dxa"/>
            <w:vAlign w:val="center"/>
          </w:tcPr>
          <w:p w14:paraId="7108D6E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病历书写</w:t>
            </w:r>
          </w:p>
        </w:tc>
        <w:tc>
          <w:tcPr>
            <w:tcW w:w="5841" w:type="dxa"/>
            <w:vAlign w:val="center"/>
          </w:tcPr>
          <w:p w14:paraId="232BB26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(1)国家结构化电子病历规范和电子病历6级评审要求。</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(2)常用急诊门诊、急诊抢救、急诊留观各区域结构化电子病历书写功能。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(3)医护书写电子病历一体化展现，可以按角色权限创建修改和浏览。</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(4)在CA厂商条件允许的情况下，实现电子病历CA签名；支持电子签名手写板对接。</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(5)未签名草稿病历编辑，签名后的只允许签名者申请维护编辑</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(6)在手写板条件允许的情况下，支持跟手写板对接，实现通过手写板进行病历签名。</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(7)在病历录入中，能在任意位置插入图形图像，并对图形图像作标注，实现病历内容图文混编的格式。</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(8)勾选诊病历内容、检验结果、检查结果、治疗医嘱、药品医嘱、嘱托医嘱动态写回病历文书中；提供将选择文字设置为上下标功能。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(9)无打开电脑软键盘，支持将医学特殊符号插入病历文书中，例如℃，℉，‰，㎡，mmol 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(10)结构化录入，以元素为结点，对元素进行操作，选择你要的内容。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(11)自由文本录入，可在文中适当位置输入你要的文本信息。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(12)将书写完但未签名的病历进行保存，以防丢失。</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(13)既往病历浏览，在急救病历系统和住院病历系统允许的情况下，可以集成急救病历、住院病历形成完整病历。</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(14)常用语写回，例如既往史相关内容。支持生命体征写回到病历中。</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(15)知情同意书患者签字后电子化留档。</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(16)不带有痕迹信息的整洁打印。</w:t>
            </w:r>
          </w:p>
        </w:tc>
        <w:tc>
          <w:tcPr>
            <w:tcW w:w="733" w:type="dxa"/>
            <w:vMerge w:val="restart"/>
            <w:vAlign w:val="center"/>
          </w:tcPr>
          <w:p w14:paraId="60DEB06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74346107">
            <w:pPr>
              <w:keepNext w:val="0"/>
              <w:keepLines w:val="0"/>
              <w:widowControl/>
              <w:suppressLineNumbers w:val="0"/>
              <w:jc w:val="center"/>
              <w:textAlignment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5.5</w:t>
            </w:r>
          </w:p>
        </w:tc>
      </w:tr>
      <w:tr w14:paraId="33932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2269D84">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924</w:t>
            </w:r>
          </w:p>
        </w:tc>
        <w:tc>
          <w:tcPr>
            <w:tcW w:w="720" w:type="dxa"/>
            <w:vMerge w:val="continue"/>
            <w:vAlign w:val="center"/>
          </w:tcPr>
          <w:p w14:paraId="528F1EC3">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D4A8518">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5E531ED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模板维护</w:t>
            </w:r>
          </w:p>
        </w:tc>
        <w:tc>
          <w:tcPr>
            <w:tcW w:w="5841" w:type="dxa"/>
            <w:vAlign w:val="center"/>
          </w:tcPr>
          <w:p w14:paraId="5DDA363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(1)提供常用的急诊病历模板，包括急诊诊间、急诊抢救、留观急诊科常见病病历模板，例如急诊休克、心率失常、猝死、脑梗死抢救病历模板，胸痛胸闷、癫痫、脑梗死、抽搐、低钾血症急诊门诊病历模板。</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(2)病历模板配置工具，允许科室自己维护各种结构化病历模板。定制急诊门诊、抢救、留观各区域病历。</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(3)将病历另存为个人常用模板，提供自定义命名进行分类保存病历，支持保存为公共或个人进行查看，同时支持对常用模板的管理，进行查询、删除、重命名。</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(4)病历模板配置工具，支持急诊科自己维护各种结构化病历模板。</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(5)病历以XML格式存储，支持通过XML可完全恢复电子病历内容。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(6)在病历模板及文书中添加表格，支持同一患者资料的内部复制。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(7)病历以HTML、文本格式存储，在条件允许的情况下，可以被其他科室调阅。</w:t>
            </w:r>
          </w:p>
        </w:tc>
        <w:tc>
          <w:tcPr>
            <w:tcW w:w="733" w:type="dxa"/>
            <w:vMerge w:val="continue"/>
            <w:vAlign w:val="center"/>
          </w:tcPr>
          <w:p w14:paraId="637D204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2B70D5A">
            <w:pPr>
              <w:jc w:val="center"/>
              <w:rPr>
                <w:rFonts w:hint="eastAsia" w:ascii="宋体" w:hAnsi="宋体" w:eastAsia="宋体" w:cs="宋体"/>
                <w:b w:val="0"/>
                <w:bCs w:val="0"/>
                <w:color w:val="auto"/>
                <w:kern w:val="0"/>
                <w:sz w:val="20"/>
                <w:szCs w:val="20"/>
                <w:highlight w:val="none"/>
                <w:lang w:val="en-US" w:eastAsia="zh-CN" w:bidi="ar-SA"/>
              </w:rPr>
            </w:pPr>
          </w:p>
        </w:tc>
      </w:tr>
      <w:tr w14:paraId="4FB4C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49B0ECB">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925</w:t>
            </w:r>
          </w:p>
        </w:tc>
        <w:tc>
          <w:tcPr>
            <w:tcW w:w="720" w:type="dxa"/>
            <w:vMerge w:val="continue"/>
            <w:vAlign w:val="center"/>
          </w:tcPr>
          <w:p w14:paraId="468146B0">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4A921711">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急诊会诊子系统</w:t>
            </w:r>
          </w:p>
        </w:tc>
        <w:tc>
          <w:tcPr>
            <w:tcW w:w="884" w:type="dxa"/>
            <w:vAlign w:val="center"/>
          </w:tcPr>
          <w:p w14:paraId="551549A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会诊管理</w:t>
            </w:r>
          </w:p>
        </w:tc>
        <w:tc>
          <w:tcPr>
            <w:tcW w:w="5841" w:type="dxa"/>
            <w:vAlign w:val="center"/>
          </w:tcPr>
          <w:p w14:paraId="1E2B794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(1)护士会诊记录预览并打印。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(2)多科室同时申请护士会诊，并做多科室会诊记录。</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(3)护士会诊时会诊信息记录的功能，例如记录会诊时间、内容、人员、摘要意见、结果信息。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(4)护士会诊申请时从护理记录中导入信息。例如生命体征、病情观察记录。</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(5)医生会诊记录预览并打印。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(6)多科室同时申请医生会诊，并做多科室会诊记录。</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(7)会诊科室医生浏览器中书写会诊记录并查看。</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(8)医生会诊时会诊信息记录功能，例如记录会诊时间、内容、人员、摘要意见、结果信息。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(9)医生会诊申请时从病历中抽取患者主诉、现病史、诊断、体格检查信息。</w:t>
            </w:r>
          </w:p>
        </w:tc>
        <w:tc>
          <w:tcPr>
            <w:tcW w:w="733" w:type="dxa"/>
            <w:vAlign w:val="center"/>
          </w:tcPr>
          <w:p w14:paraId="47CDFE8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0660353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6F26E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836D714">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926</w:t>
            </w:r>
          </w:p>
        </w:tc>
        <w:tc>
          <w:tcPr>
            <w:tcW w:w="720" w:type="dxa"/>
            <w:vMerge w:val="continue"/>
            <w:vAlign w:val="center"/>
          </w:tcPr>
          <w:p w14:paraId="62217EC2">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0AB28A1D">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0D2BE63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会诊评价</w:t>
            </w:r>
          </w:p>
        </w:tc>
        <w:tc>
          <w:tcPr>
            <w:tcW w:w="5841" w:type="dxa"/>
            <w:vAlign w:val="center"/>
          </w:tcPr>
          <w:p w14:paraId="1346D5D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(1)护士会诊时会诊状态标识，例如会诊开始、会诊结束、会诊评价。</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(2)医生会诊时会诊状态标识，例如会诊开始、会诊结束、会诊评价。</w:t>
            </w:r>
          </w:p>
        </w:tc>
        <w:tc>
          <w:tcPr>
            <w:tcW w:w="733" w:type="dxa"/>
            <w:vAlign w:val="center"/>
          </w:tcPr>
          <w:p w14:paraId="48BC85A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3F33912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19EE1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77714FF">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927</w:t>
            </w:r>
          </w:p>
        </w:tc>
        <w:tc>
          <w:tcPr>
            <w:tcW w:w="720" w:type="dxa"/>
            <w:vMerge w:val="continue"/>
            <w:vAlign w:val="center"/>
          </w:tcPr>
          <w:p w14:paraId="7B489943">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18C2B9C2">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急诊交接班子系统</w:t>
            </w:r>
          </w:p>
        </w:tc>
        <w:tc>
          <w:tcPr>
            <w:tcW w:w="884" w:type="dxa"/>
            <w:vAlign w:val="center"/>
          </w:tcPr>
          <w:p w14:paraId="71BF1EF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医生交接班</w:t>
            </w:r>
          </w:p>
        </w:tc>
        <w:tc>
          <w:tcPr>
            <w:tcW w:w="5841" w:type="dxa"/>
            <w:vAlign w:val="center"/>
          </w:tcPr>
          <w:p w14:paraId="00FC098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(1)医生交班时，交接班数据修改权限控制，接班后不许修改接班信息，只有本人接班才可以取消接班。</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(2)交接班记录内容，全部打印或者选择某几项打印功能。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(3)医护接班错误时取消接班功能。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(4)根据患者病情状态和交办描述，接班医生进行评语。</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(5)交接班时，在条件允许的情况下，对接CA系统，实现交接班医生/护士CA签名</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(6)医生交班时，本班次收住院病人自动统计和基本信息展现。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(7)医生交班时，入观、出观、在观人数自动统计，支持患者诊断、去向信息抓取</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(8)医生交班时，危重病人诊断、治疗方式、转住院情况从急诊诊疗和病历中自动抓取。</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(9)医生交班时本班次患者病情自动统计，例如病人总数、收住院人数、危重任务、死亡人数、入观人数。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(10)医生单次交接班记录内容同屏显示，无须翻页；支持交接班记录批量打印。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(11)根据医生排班规则，一键添加本月交接班信息，例如交班日期、交班时间、交班班次。</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支持可快速汇总急诊抢救、留观区域患者病情状态，按照患者病情归档交代事项以及收住院病人情况，快速生成交接班记录，降低医生人工统计和书写交接班记录时长。</w:t>
            </w:r>
          </w:p>
        </w:tc>
        <w:tc>
          <w:tcPr>
            <w:tcW w:w="733" w:type="dxa"/>
            <w:vMerge w:val="restart"/>
            <w:vAlign w:val="center"/>
          </w:tcPr>
          <w:p w14:paraId="1AD7A1F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64E8B73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w:t>
            </w:r>
          </w:p>
        </w:tc>
      </w:tr>
      <w:tr w14:paraId="5E08B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BD2C123">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928</w:t>
            </w:r>
          </w:p>
        </w:tc>
        <w:tc>
          <w:tcPr>
            <w:tcW w:w="720" w:type="dxa"/>
            <w:vMerge w:val="continue"/>
            <w:vAlign w:val="center"/>
          </w:tcPr>
          <w:p w14:paraId="4ABA1DB6">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425BD189">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3853AB6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护士交接班</w:t>
            </w:r>
          </w:p>
        </w:tc>
        <w:tc>
          <w:tcPr>
            <w:tcW w:w="5841" w:type="dxa"/>
            <w:vAlign w:val="center"/>
          </w:tcPr>
          <w:p w14:paraId="3D04364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(1)自动从护理记录中获得生命体征、护士描述信息。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(2)护士交班时，自动导入患者的病情记录、观察项、出入量、医嘱信息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(3)自动计算护士本班次收治人数、抢救人数、出车人数、出车车次。</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(4)每一个护士交接班记录内容同屏显示</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(5)护士交班时，护士交接班时间自动生成，交接班人信息。</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(6)患者病情交班快速提取病人病情信息、诊断信息，按需调阅病人完整病历信息。支持SBAR交班模式，保证交班内容完整、准确、及时。</w:t>
            </w:r>
          </w:p>
        </w:tc>
        <w:tc>
          <w:tcPr>
            <w:tcW w:w="733" w:type="dxa"/>
            <w:vMerge w:val="continue"/>
            <w:vAlign w:val="center"/>
          </w:tcPr>
          <w:p w14:paraId="52D36DB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ED7735C">
            <w:pPr>
              <w:jc w:val="center"/>
              <w:rPr>
                <w:rFonts w:hint="eastAsia" w:ascii="宋体" w:hAnsi="宋体" w:eastAsia="宋体" w:cs="宋体"/>
                <w:b w:val="0"/>
                <w:bCs w:val="0"/>
                <w:color w:val="auto"/>
                <w:kern w:val="0"/>
                <w:sz w:val="20"/>
                <w:szCs w:val="20"/>
                <w:highlight w:val="none"/>
                <w:lang w:val="en-US" w:eastAsia="zh-CN" w:bidi="ar-SA"/>
              </w:rPr>
            </w:pPr>
          </w:p>
        </w:tc>
      </w:tr>
      <w:tr w14:paraId="0D8EC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2DFDD9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929</w:t>
            </w:r>
          </w:p>
        </w:tc>
        <w:tc>
          <w:tcPr>
            <w:tcW w:w="720" w:type="dxa"/>
            <w:vMerge w:val="continue"/>
            <w:vAlign w:val="center"/>
          </w:tcPr>
          <w:p w14:paraId="57A906E8">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1CAAF0B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急诊质控管理子系统</w:t>
            </w:r>
          </w:p>
        </w:tc>
        <w:tc>
          <w:tcPr>
            <w:tcW w:w="884" w:type="dxa"/>
            <w:vAlign w:val="center"/>
          </w:tcPr>
          <w:p w14:paraId="5C2903C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急诊质控管理子系统</w:t>
            </w:r>
          </w:p>
        </w:tc>
        <w:tc>
          <w:tcPr>
            <w:tcW w:w="5841" w:type="dxa"/>
            <w:vAlign w:val="center"/>
          </w:tcPr>
          <w:p w14:paraId="450D376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急诊质控子系统，主要用于对急诊科室就诊过程的质量监控。可以根据院方的要求配置统计内容，提供打印与导出功能。满足2015版急诊专业医疗质控指标统计，提供按照最新质控标准进行维护更新。</w:t>
            </w:r>
          </w:p>
        </w:tc>
        <w:tc>
          <w:tcPr>
            <w:tcW w:w="733" w:type="dxa"/>
            <w:vAlign w:val="center"/>
          </w:tcPr>
          <w:p w14:paraId="4504CBE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0B0D02C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w:t>
            </w:r>
          </w:p>
        </w:tc>
      </w:tr>
      <w:tr w14:paraId="4F332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6464D4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930</w:t>
            </w:r>
          </w:p>
        </w:tc>
        <w:tc>
          <w:tcPr>
            <w:tcW w:w="720" w:type="dxa"/>
            <w:vMerge w:val="continue"/>
            <w:vAlign w:val="center"/>
          </w:tcPr>
          <w:p w14:paraId="51E8EF7A">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569E72C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急诊查询统计子系统</w:t>
            </w:r>
          </w:p>
        </w:tc>
        <w:tc>
          <w:tcPr>
            <w:tcW w:w="884" w:type="dxa"/>
            <w:vAlign w:val="center"/>
          </w:tcPr>
          <w:p w14:paraId="0713E17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急诊查询统计子系统</w:t>
            </w:r>
          </w:p>
        </w:tc>
        <w:tc>
          <w:tcPr>
            <w:tcW w:w="5841" w:type="dxa"/>
            <w:vAlign w:val="center"/>
          </w:tcPr>
          <w:p w14:paraId="2152752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急诊查询子系统，提供全触点数据采集，多维度数据统计分析，可根据院方需求配置统计内容，统计的内容包括并不限于以下内容：输液统计、分诊统计、其他统计。</w:t>
            </w:r>
          </w:p>
        </w:tc>
        <w:tc>
          <w:tcPr>
            <w:tcW w:w="733" w:type="dxa"/>
            <w:vAlign w:val="center"/>
          </w:tcPr>
          <w:p w14:paraId="3C44332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69CE635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3</w:t>
            </w:r>
          </w:p>
        </w:tc>
      </w:tr>
      <w:tr w14:paraId="7DFA8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DE57E5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931</w:t>
            </w:r>
          </w:p>
        </w:tc>
        <w:tc>
          <w:tcPr>
            <w:tcW w:w="720" w:type="dxa"/>
            <w:vMerge w:val="continue"/>
            <w:vAlign w:val="center"/>
          </w:tcPr>
          <w:p w14:paraId="55240DE0">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77C89BA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接口集成</w:t>
            </w:r>
          </w:p>
        </w:tc>
        <w:tc>
          <w:tcPr>
            <w:tcW w:w="884" w:type="dxa"/>
            <w:vAlign w:val="center"/>
          </w:tcPr>
          <w:p w14:paraId="3B3E914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接口集成</w:t>
            </w:r>
          </w:p>
        </w:tc>
        <w:tc>
          <w:tcPr>
            <w:tcW w:w="5841" w:type="dxa"/>
            <w:vAlign w:val="center"/>
          </w:tcPr>
          <w:p w14:paraId="6421599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系统与医院在用HIS、LIS、PACS、EMR等相关信息系统的信息交互与集成。</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系统满足HL7、Web Service、ICD10 等标准和接口</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系统能够与医院现有设备的接口信息采集。</w:t>
            </w:r>
          </w:p>
        </w:tc>
        <w:tc>
          <w:tcPr>
            <w:tcW w:w="733" w:type="dxa"/>
            <w:vAlign w:val="center"/>
          </w:tcPr>
          <w:p w14:paraId="351D599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Align w:val="center"/>
          </w:tcPr>
          <w:p w14:paraId="186E81D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5</w:t>
            </w:r>
          </w:p>
        </w:tc>
      </w:tr>
      <w:tr w14:paraId="0EAA4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BB152F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932</w:t>
            </w:r>
          </w:p>
        </w:tc>
        <w:tc>
          <w:tcPr>
            <w:tcW w:w="720" w:type="dxa"/>
            <w:vMerge w:val="continue"/>
            <w:vAlign w:val="center"/>
          </w:tcPr>
          <w:p w14:paraId="4EDD753E">
            <w:pPr>
              <w:jc w:val="center"/>
              <w:rPr>
                <w:rFonts w:hint="eastAsia" w:ascii="宋体" w:hAnsi="宋体" w:eastAsia="宋体" w:cs="宋体"/>
                <w:b/>
                <w:color w:val="auto"/>
                <w:sz w:val="24"/>
                <w:szCs w:val="24"/>
                <w:highlight w:val="none"/>
                <w:vertAlign w:val="baseline"/>
                <w:lang w:eastAsia="zh-CN"/>
              </w:rPr>
            </w:pPr>
          </w:p>
        </w:tc>
        <w:tc>
          <w:tcPr>
            <w:tcW w:w="875" w:type="dxa"/>
            <w:vMerge w:val="restart"/>
            <w:vAlign w:val="center"/>
          </w:tcPr>
          <w:p w14:paraId="4B8C6F95">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医疗设备数据采集平台</w:t>
            </w:r>
          </w:p>
        </w:tc>
        <w:tc>
          <w:tcPr>
            <w:tcW w:w="884" w:type="dxa"/>
            <w:vAlign w:val="center"/>
          </w:tcPr>
          <w:p w14:paraId="235A3A2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医疗设备对接</w:t>
            </w:r>
          </w:p>
        </w:tc>
        <w:tc>
          <w:tcPr>
            <w:tcW w:w="5841" w:type="dxa"/>
            <w:vAlign w:val="center"/>
          </w:tcPr>
          <w:p w14:paraId="24C9DAF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（1）提供工业级且有自主定制的数据采集器来提供数据安全性稳定性；</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（2）生命体征采集系统为独立子系统，可独立运行。生命体征采集子系统的采集端和服务器端均为Linux操作系统，保障采集平台安全、高效、稳定，</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（3）自动采集所有医疗设备支持输出的参数数据，包括监护仪、呼吸机、心电图机、POCT、超声仪等，将获取的数据传输到转运医院。</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（4）网口采集数据，配置网口号，品牌，型号，通讯格式，采数间隔监护仪的 ip地址和端口号，本地的 ip地址和端口号，范围，延时参数，设备参数，配置。</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（5）串口采集数据，配置串口号，串口名，厂家，型号，通讯格式，采数间隔，急救车信息，延时参数，设备参数，属性，配置。</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支持无线功能可以配置，Dhcp ,功能可以配置，支持静态配置。</w:t>
            </w:r>
          </w:p>
        </w:tc>
        <w:tc>
          <w:tcPr>
            <w:tcW w:w="733" w:type="dxa"/>
            <w:vMerge w:val="restart"/>
            <w:vAlign w:val="center"/>
          </w:tcPr>
          <w:p w14:paraId="22B3A29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47DF93A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4.5</w:t>
            </w:r>
          </w:p>
        </w:tc>
      </w:tr>
      <w:tr w14:paraId="5CF2B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3" w:hRule="atLeast"/>
        </w:trPr>
        <w:tc>
          <w:tcPr>
            <w:tcW w:w="583" w:type="dxa"/>
            <w:vAlign w:val="center"/>
          </w:tcPr>
          <w:p w14:paraId="207D17C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933</w:t>
            </w:r>
          </w:p>
        </w:tc>
        <w:tc>
          <w:tcPr>
            <w:tcW w:w="720" w:type="dxa"/>
            <w:vMerge w:val="continue"/>
            <w:vAlign w:val="center"/>
          </w:tcPr>
          <w:p w14:paraId="2D6177E8">
            <w:pPr>
              <w:jc w:val="center"/>
              <w:rPr>
                <w:rFonts w:hint="eastAsia" w:ascii="宋体" w:hAnsi="宋体" w:eastAsia="宋体" w:cs="宋体"/>
                <w:b/>
                <w:color w:val="auto"/>
                <w:sz w:val="24"/>
                <w:szCs w:val="24"/>
                <w:highlight w:val="none"/>
                <w:vertAlign w:val="baseline"/>
                <w:lang w:eastAsia="zh-CN"/>
              </w:rPr>
            </w:pPr>
          </w:p>
        </w:tc>
        <w:tc>
          <w:tcPr>
            <w:tcW w:w="875" w:type="dxa"/>
            <w:vMerge w:val="continue"/>
            <w:vAlign w:val="center"/>
          </w:tcPr>
          <w:p w14:paraId="1A46E38F">
            <w:pPr>
              <w:jc w:val="center"/>
              <w:rPr>
                <w:rFonts w:hint="eastAsia" w:ascii="宋体" w:hAnsi="宋体" w:eastAsia="宋体" w:cs="宋体"/>
                <w:b w:val="0"/>
                <w:bCs w:val="0"/>
                <w:color w:val="auto"/>
                <w:kern w:val="0"/>
                <w:sz w:val="20"/>
                <w:szCs w:val="20"/>
                <w:highlight w:val="none"/>
                <w:lang w:val="en-US" w:eastAsia="zh-CN" w:bidi="ar-SA"/>
              </w:rPr>
            </w:pPr>
          </w:p>
        </w:tc>
        <w:tc>
          <w:tcPr>
            <w:tcW w:w="884" w:type="dxa"/>
            <w:vAlign w:val="center"/>
          </w:tcPr>
          <w:p w14:paraId="6F0215A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医疗数据采集</w:t>
            </w:r>
          </w:p>
        </w:tc>
        <w:tc>
          <w:tcPr>
            <w:tcW w:w="5841" w:type="dxa"/>
            <w:vAlign w:val="center"/>
          </w:tcPr>
          <w:p w14:paraId="0C8DDA74">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（1）采集常见的急救车载医疗设备参数数据和波形数据。所有数据可以传输到服务器进行入库，波形数据可以读取。</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（2）设置 1og 保存开启，文件压缩功能设置，本地 IP 设置、本地端口号设置，软件版本设置等。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（3）进行手工和自动系统升级功能；修改用户名和密码功能。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（4）数据采集过程中，当网络异常时，采集端进行报警，并将数据缓存，网络恢复后，自动续传数据，以免数据丢失。</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（5）远程更新。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（6）数据采集的入库服务，实时接收的数据写入服务器，并发送至业务系统进行实时展示。</w:t>
            </w:r>
          </w:p>
        </w:tc>
        <w:tc>
          <w:tcPr>
            <w:tcW w:w="733" w:type="dxa"/>
            <w:vMerge w:val="continue"/>
            <w:vAlign w:val="center"/>
          </w:tcPr>
          <w:p w14:paraId="495C334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F4A59DA">
            <w:pPr>
              <w:jc w:val="center"/>
              <w:rPr>
                <w:rFonts w:hint="eastAsia" w:ascii="宋体" w:hAnsi="宋体" w:eastAsia="宋体" w:cs="宋体"/>
                <w:b w:val="0"/>
                <w:bCs w:val="0"/>
                <w:color w:val="auto"/>
                <w:kern w:val="0"/>
                <w:sz w:val="20"/>
                <w:szCs w:val="20"/>
                <w:highlight w:val="none"/>
                <w:lang w:val="en-US" w:eastAsia="zh-CN" w:bidi="ar-SA"/>
              </w:rPr>
            </w:pPr>
          </w:p>
        </w:tc>
      </w:tr>
      <w:tr w14:paraId="5F4C3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295132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934</w:t>
            </w:r>
          </w:p>
        </w:tc>
        <w:tc>
          <w:tcPr>
            <w:tcW w:w="720" w:type="dxa"/>
            <w:vMerge w:val="restart"/>
            <w:vAlign w:val="center"/>
          </w:tcPr>
          <w:p w14:paraId="20F1FF50">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胸痛中心</w:t>
            </w:r>
          </w:p>
        </w:tc>
        <w:tc>
          <w:tcPr>
            <w:tcW w:w="875" w:type="dxa"/>
            <w:vAlign w:val="center"/>
          </w:tcPr>
          <w:p w14:paraId="3E3E7C0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关键时间智能采集</w:t>
            </w:r>
          </w:p>
        </w:tc>
        <w:tc>
          <w:tcPr>
            <w:tcW w:w="884" w:type="dxa"/>
            <w:vAlign w:val="center"/>
          </w:tcPr>
          <w:p w14:paraId="4FEB1BC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关键时间智能采集</w:t>
            </w:r>
          </w:p>
        </w:tc>
        <w:tc>
          <w:tcPr>
            <w:tcW w:w="5841" w:type="dxa"/>
            <w:vAlign w:val="center"/>
          </w:tcPr>
          <w:p w14:paraId="2F1FC7AF">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通过无线感应设备进行患者时间节点采集，时间点自动导入患者时间轨迹，比如：患者到达医院时间、患者到达导管室时间。医护人员通过移动PDA扫描二维码方式、点选的方式、医疗数据中采集的方式等进行时间节点采集，时间点自动导入患者时间轨迹。</w:t>
            </w:r>
          </w:p>
        </w:tc>
        <w:tc>
          <w:tcPr>
            <w:tcW w:w="733" w:type="dxa"/>
            <w:vMerge w:val="restart"/>
            <w:vAlign w:val="center"/>
          </w:tcPr>
          <w:p w14:paraId="5E97133E">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27E117E8">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26</w:t>
            </w:r>
          </w:p>
        </w:tc>
      </w:tr>
      <w:tr w14:paraId="4F1FD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D02F32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935</w:t>
            </w:r>
          </w:p>
        </w:tc>
        <w:tc>
          <w:tcPr>
            <w:tcW w:w="720" w:type="dxa"/>
            <w:vMerge w:val="continue"/>
            <w:vAlign w:val="center"/>
          </w:tcPr>
          <w:p w14:paraId="55B05659">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0D0D4DF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时间路径展现</w:t>
            </w:r>
          </w:p>
        </w:tc>
        <w:tc>
          <w:tcPr>
            <w:tcW w:w="884" w:type="dxa"/>
            <w:vAlign w:val="center"/>
          </w:tcPr>
          <w:p w14:paraId="612CE9C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时间路径展现</w:t>
            </w:r>
          </w:p>
        </w:tc>
        <w:tc>
          <w:tcPr>
            <w:tcW w:w="5841" w:type="dxa"/>
            <w:vAlign w:val="center"/>
          </w:tcPr>
          <w:p w14:paraId="672178C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胸痛时间路径展现患者诊疗过程重要时间节点，异常质控时间点提醒，异常质控时间点的异常说明记录。</w:t>
            </w:r>
          </w:p>
        </w:tc>
        <w:tc>
          <w:tcPr>
            <w:tcW w:w="733" w:type="dxa"/>
            <w:vMerge w:val="continue"/>
            <w:vAlign w:val="center"/>
          </w:tcPr>
          <w:p w14:paraId="294959A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280DB60">
            <w:pPr>
              <w:jc w:val="center"/>
              <w:rPr>
                <w:rFonts w:hint="eastAsia" w:ascii="宋体" w:hAnsi="宋体" w:eastAsia="宋体" w:cs="宋体"/>
                <w:b w:val="0"/>
                <w:bCs w:val="0"/>
                <w:color w:val="auto"/>
                <w:kern w:val="0"/>
                <w:sz w:val="20"/>
                <w:szCs w:val="20"/>
                <w:highlight w:val="none"/>
                <w:lang w:val="en-US" w:eastAsia="zh-CN" w:bidi="ar-SA"/>
              </w:rPr>
            </w:pPr>
          </w:p>
        </w:tc>
      </w:tr>
      <w:tr w14:paraId="2058F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167708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936</w:t>
            </w:r>
          </w:p>
        </w:tc>
        <w:tc>
          <w:tcPr>
            <w:tcW w:w="720" w:type="dxa"/>
            <w:vMerge w:val="continue"/>
            <w:vAlign w:val="center"/>
          </w:tcPr>
          <w:p w14:paraId="23CA407B">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77E2C6F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关键事件轨迹质控</w:t>
            </w:r>
          </w:p>
        </w:tc>
        <w:tc>
          <w:tcPr>
            <w:tcW w:w="884" w:type="dxa"/>
            <w:vAlign w:val="center"/>
          </w:tcPr>
          <w:p w14:paraId="337BF83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关键事件轨迹质控</w:t>
            </w:r>
          </w:p>
        </w:tc>
        <w:tc>
          <w:tcPr>
            <w:tcW w:w="5841" w:type="dxa"/>
            <w:vAlign w:val="center"/>
          </w:tcPr>
          <w:p w14:paraId="1AC8085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胸痛患者关键事件的可视化展示，胸痛诊疗关键事件耗时跟踪。</w:t>
            </w:r>
          </w:p>
        </w:tc>
        <w:tc>
          <w:tcPr>
            <w:tcW w:w="733" w:type="dxa"/>
            <w:vMerge w:val="continue"/>
            <w:vAlign w:val="center"/>
          </w:tcPr>
          <w:p w14:paraId="1F9A62A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775FAE8">
            <w:pPr>
              <w:jc w:val="center"/>
              <w:rPr>
                <w:rFonts w:hint="eastAsia" w:ascii="宋体" w:hAnsi="宋体" w:eastAsia="宋体" w:cs="宋体"/>
                <w:b w:val="0"/>
                <w:bCs w:val="0"/>
                <w:color w:val="auto"/>
                <w:kern w:val="0"/>
                <w:sz w:val="20"/>
                <w:szCs w:val="20"/>
                <w:highlight w:val="none"/>
                <w:lang w:val="en-US" w:eastAsia="zh-CN" w:bidi="ar-SA"/>
              </w:rPr>
            </w:pPr>
          </w:p>
        </w:tc>
      </w:tr>
      <w:tr w14:paraId="72ABF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EFD154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937</w:t>
            </w:r>
          </w:p>
        </w:tc>
        <w:tc>
          <w:tcPr>
            <w:tcW w:w="720" w:type="dxa"/>
            <w:vMerge w:val="continue"/>
            <w:vAlign w:val="center"/>
          </w:tcPr>
          <w:p w14:paraId="5BBCCCF8">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3F61F0E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时间窗质控</w:t>
            </w:r>
          </w:p>
        </w:tc>
        <w:tc>
          <w:tcPr>
            <w:tcW w:w="884" w:type="dxa"/>
            <w:vAlign w:val="center"/>
          </w:tcPr>
          <w:p w14:paraId="3F63512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时间窗质控</w:t>
            </w:r>
          </w:p>
        </w:tc>
        <w:tc>
          <w:tcPr>
            <w:tcW w:w="5841" w:type="dxa"/>
            <w:vAlign w:val="center"/>
          </w:tcPr>
          <w:p w14:paraId="7A18C89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根据医院自定义时间窗质控规则展示时间窗质控结果，时间窗质控结果的醒目颜色标识是否达标。时间窗质控未达标结果落后值的有效提醒。</w:t>
            </w:r>
          </w:p>
        </w:tc>
        <w:tc>
          <w:tcPr>
            <w:tcW w:w="733" w:type="dxa"/>
            <w:vMerge w:val="continue"/>
            <w:vAlign w:val="center"/>
          </w:tcPr>
          <w:p w14:paraId="169EB1E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5EE5EED">
            <w:pPr>
              <w:jc w:val="center"/>
              <w:rPr>
                <w:rFonts w:hint="eastAsia" w:ascii="宋体" w:hAnsi="宋体" w:eastAsia="宋体" w:cs="宋体"/>
                <w:b w:val="0"/>
                <w:bCs w:val="0"/>
                <w:color w:val="auto"/>
                <w:kern w:val="0"/>
                <w:sz w:val="20"/>
                <w:szCs w:val="20"/>
                <w:highlight w:val="none"/>
                <w:lang w:val="en-US" w:eastAsia="zh-CN" w:bidi="ar-SA"/>
              </w:rPr>
            </w:pPr>
          </w:p>
        </w:tc>
      </w:tr>
      <w:tr w14:paraId="7E5F1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24C047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938</w:t>
            </w:r>
          </w:p>
        </w:tc>
        <w:tc>
          <w:tcPr>
            <w:tcW w:w="720" w:type="dxa"/>
            <w:vMerge w:val="continue"/>
            <w:vAlign w:val="center"/>
          </w:tcPr>
          <w:p w14:paraId="387B8DC5">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5AD7FA2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多模式救治流程</w:t>
            </w:r>
          </w:p>
        </w:tc>
        <w:tc>
          <w:tcPr>
            <w:tcW w:w="884" w:type="dxa"/>
            <w:vAlign w:val="center"/>
          </w:tcPr>
          <w:p w14:paraId="2BE820F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多模式救治流程</w:t>
            </w:r>
          </w:p>
        </w:tc>
        <w:tc>
          <w:tcPr>
            <w:tcW w:w="5841" w:type="dxa"/>
            <w:vAlign w:val="center"/>
          </w:tcPr>
          <w:p w14:paraId="66AD0B5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多模式救治流程全覆盖，根据不同的救治流程模式采集相应的关键事件信息，满足各模式救治流程的高效执行。</w:t>
            </w:r>
          </w:p>
        </w:tc>
        <w:tc>
          <w:tcPr>
            <w:tcW w:w="733" w:type="dxa"/>
            <w:vMerge w:val="continue"/>
            <w:vAlign w:val="center"/>
          </w:tcPr>
          <w:p w14:paraId="3D83DE9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488C418">
            <w:pPr>
              <w:jc w:val="center"/>
              <w:rPr>
                <w:rFonts w:hint="eastAsia" w:ascii="宋体" w:hAnsi="宋体" w:eastAsia="宋体" w:cs="宋体"/>
                <w:b w:val="0"/>
                <w:bCs w:val="0"/>
                <w:color w:val="auto"/>
                <w:kern w:val="0"/>
                <w:sz w:val="20"/>
                <w:szCs w:val="20"/>
                <w:highlight w:val="none"/>
                <w:lang w:val="en-US" w:eastAsia="zh-CN" w:bidi="ar-SA"/>
              </w:rPr>
            </w:pPr>
          </w:p>
        </w:tc>
      </w:tr>
      <w:tr w14:paraId="51C2A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1D089C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939</w:t>
            </w:r>
          </w:p>
        </w:tc>
        <w:tc>
          <w:tcPr>
            <w:tcW w:w="720" w:type="dxa"/>
            <w:vMerge w:val="continue"/>
            <w:vAlign w:val="center"/>
          </w:tcPr>
          <w:p w14:paraId="5CE48900">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627B589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快速识别建档</w:t>
            </w:r>
          </w:p>
        </w:tc>
        <w:tc>
          <w:tcPr>
            <w:tcW w:w="884" w:type="dxa"/>
            <w:vAlign w:val="center"/>
          </w:tcPr>
          <w:p w14:paraId="0CF43BE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快速识别建档</w:t>
            </w:r>
          </w:p>
        </w:tc>
        <w:tc>
          <w:tcPr>
            <w:tcW w:w="5841" w:type="dxa"/>
            <w:vAlign w:val="center"/>
          </w:tcPr>
          <w:p w14:paraId="6A412CF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内置胸痛识别工具，医护人员根据胸痛识别工具快速识别患者是否为疑似胸痛。疑似胸痛患者可一键完成快速建档。通过物联网设备快速采集患者身份信息，完成快速登记。</w:t>
            </w:r>
          </w:p>
        </w:tc>
        <w:tc>
          <w:tcPr>
            <w:tcW w:w="733" w:type="dxa"/>
            <w:vMerge w:val="continue"/>
            <w:vAlign w:val="center"/>
          </w:tcPr>
          <w:p w14:paraId="47321DF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965E203">
            <w:pPr>
              <w:jc w:val="center"/>
              <w:rPr>
                <w:rFonts w:hint="eastAsia" w:ascii="宋体" w:hAnsi="宋体" w:eastAsia="宋体" w:cs="宋体"/>
                <w:b w:val="0"/>
                <w:bCs w:val="0"/>
                <w:color w:val="auto"/>
                <w:kern w:val="0"/>
                <w:sz w:val="20"/>
                <w:szCs w:val="20"/>
                <w:highlight w:val="none"/>
                <w:lang w:val="en-US" w:eastAsia="zh-CN" w:bidi="ar-SA"/>
              </w:rPr>
            </w:pPr>
          </w:p>
        </w:tc>
      </w:tr>
      <w:tr w14:paraId="05B8E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AA8495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940</w:t>
            </w:r>
          </w:p>
        </w:tc>
        <w:tc>
          <w:tcPr>
            <w:tcW w:w="720" w:type="dxa"/>
            <w:vMerge w:val="continue"/>
            <w:vAlign w:val="center"/>
          </w:tcPr>
          <w:p w14:paraId="5A2AA40B">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060343B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新患者预警通知</w:t>
            </w:r>
          </w:p>
        </w:tc>
        <w:tc>
          <w:tcPr>
            <w:tcW w:w="884" w:type="dxa"/>
            <w:vAlign w:val="center"/>
          </w:tcPr>
          <w:p w14:paraId="7F94CD8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新患者预警通知</w:t>
            </w:r>
          </w:p>
        </w:tc>
        <w:tc>
          <w:tcPr>
            <w:tcW w:w="5841" w:type="dxa"/>
            <w:vAlign w:val="center"/>
          </w:tcPr>
          <w:p w14:paraId="30E35C6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胸痛识别工具一旦识别到疑似胸痛患者，系统立即向当前所有值班人员发出紧急预警通知，开通绿色通道，告知各科室相关医护人员做好紧急联合救治准备。</w:t>
            </w:r>
          </w:p>
        </w:tc>
        <w:tc>
          <w:tcPr>
            <w:tcW w:w="733" w:type="dxa"/>
            <w:vMerge w:val="continue"/>
            <w:vAlign w:val="center"/>
          </w:tcPr>
          <w:p w14:paraId="095CFBB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509C959">
            <w:pPr>
              <w:jc w:val="center"/>
              <w:rPr>
                <w:rFonts w:hint="eastAsia" w:ascii="宋体" w:hAnsi="宋体" w:eastAsia="宋体" w:cs="宋体"/>
                <w:b w:val="0"/>
                <w:bCs w:val="0"/>
                <w:color w:val="auto"/>
                <w:kern w:val="0"/>
                <w:sz w:val="20"/>
                <w:szCs w:val="20"/>
                <w:highlight w:val="none"/>
                <w:lang w:val="en-US" w:eastAsia="zh-CN" w:bidi="ar-SA"/>
              </w:rPr>
            </w:pPr>
          </w:p>
        </w:tc>
      </w:tr>
      <w:tr w14:paraId="2794C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BD611A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941</w:t>
            </w:r>
          </w:p>
        </w:tc>
        <w:tc>
          <w:tcPr>
            <w:tcW w:w="720" w:type="dxa"/>
            <w:vMerge w:val="continue"/>
            <w:vAlign w:val="center"/>
          </w:tcPr>
          <w:p w14:paraId="79B2A1B5">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330FBDC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专业智能评分</w:t>
            </w:r>
          </w:p>
        </w:tc>
        <w:tc>
          <w:tcPr>
            <w:tcW w:w="884" w:type="dxa"/>
            <w:vAlign w:val="center"/>
          </w:tcPr>
          <w:p w14:paraId="69645A2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专业智能评分</w:t>
            </w:r>
          </w:p>
        </w:tc>
        <w:tc>
          <w:tcPr>
            <w:tcW w:w="5841" w:type="dxa"/>
            <w:vAlign w:val="center"/>
          </w:tcPr>
          <w:p w14:paraId="6BF7E8C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提供专业的专病评分工具，医护人员通过点选方式智能计算评分分值及分级结果。重点评估评分可以多次记录。</w:t>
            </w:r>
          </w:p>
        </w:tc>
        <w:tc>
          <w:tcPr>
            <w:tcW w:w="733" w:type="dxa"/>
            <w:vMerge w:val="continue"/>
            <w:vAlign w:val="center"/>
          </w:tcPr>
          <w:p w14:paraId="6E067CB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B2CE8B8">
            <w:pPr>
              <w:jc w:val="center"/>
              <w:rPr>
                <w:rFonts w:hint="eastAsia" w:ascii="宋体" w:hAnsi="宋体" w:eastAsia="宋体" w:cs="宋体"/>
                <w:b w:val="0"/>
                <w:bCs w:val="0"/>
                <w:color w:val="auto"/>
                <w:kern w:val="0"/>
                <w:sz w:val="20"/>
                <w:szCs w:val="20"/>
                <w:highlight w:val="none"/>
                <w:lang w:val="en-US" w:eastAsia="zh-CN" w:bidi="ar-SA"/>
              </w:rPr>
            </w:pPr>
          </w:p>
        </w:tc>
      </w:tr>
      <w:tr w14:paraId="5A914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277CFA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942</w:t>
            </w:r>
          </w:p>
        </w:tc>
        <w:tc>
          <w:tcPr>
            <w:tcW w:w="720" w:type="dxa"/>
            <w:vMerge w:val="continue"/>
            <w:vAlign w:val="center"/>
          </w:tcPr>
          <w:p w14:paraId="03CBF00F">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2976BDC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临床数据实时共享</w:t>
            </w:r>
          </w:p>
        </w:tc>
        <w:tc>
          <w:tcPr>
            <w:tcW w:w="884" w:type="dxa"/>
            <w:vAlign w:val="center"/>
          </w:tcPr>
          <w:p w14:paraId="76CA3D7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临床数据实时共享</w:t>
            </w:r>
          </w:p>
        </w:tc>
        <w:tc>
          <w:tcPr>
            <w:tcW w:w="5841" w:type="dxa"/>
            <w:vAlign w:val="center"/>
          </w:tcPr>
          <w:p w14:paraId="1C0FB39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临床检查报告以即时消息的形式推送。对接院内系统自动获取到报告后第一时间推送至移动端，医护可通过移动端查看患者相关实验室检查报告、影像检查报告等检验检查数据，有效协助临床医生提升诊疗效率。</w:t>
            </w:r>
          </w:p>
        </w:tc>
        <w:tc>
          <w:tcPr>
            <w:tcW w:w="733" w:type="dxa"/>
            <w:vMerge w:val="continue"/>
            <w:vAlign w:val="center"/>
          </w:tcPr>
          <w:p w14:paraId="68BE115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5E0B803">
            <w:pPr>
              <w:jc w:val="center"/>
              <w:rPr>
                <w:rFonts w:hint="eastAsia" w:ascii="宋体" w:hAnsi="宋体" w:eastAsia="宋体" w:cs="宋体"/>
                <w:b w:val="0"/>
                <w:bCs w:val="0"/>
                <w:color w:val="auto"/>
                <w:kern w:val="0"/>
                <w:sz w:val="20"/>
                <w:szCs w:val="20"/>
                <w:highlight w:val="none"/>
                <w:lang w:val="en-US" w:eastAsia="zh-CN" w:bidi="ar-SA"/>
              </w:rPr>
            </w:pPr>
          </w:p>
        </w:tc>
      </w:tr>
      <w:tr w14:paraId="66098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1F52CE3">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943</w:t>
            </w:r>
          </w:p>
        </w:tc>
        <w:tc>
          <w:tcPr>
            <w:tcW w:w="720" w:type="dxa"/>
            <w:vMerge w:val="continue"/>
            <w:vAlign w:val="center"/>
          </w:tcPr>
          <w:p w14:paraId="7E689644">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66F75D1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自动创建救治小组</w:t>
            </w:r>
          </w:p>
        </w:tc>
        <w:tc>
          <w:tcPr>
            <w:tcW w:w="884" w:type="dxa"/>
            <w:vAlign w:val="center"/>
          </w:tcPr>
          <w:p w14:paraId="0254CCE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自动创建救治小组</w:t>
            </w:r>
          </w:p>
        </w:tc>
        <w:tc>
          <w:tcPr>
            <w:tcW w:w="5841" w:type="dxa"/>
            <w:vAlign w:val="center"/>
          </w:tcPr>
          <w:p w14:paraId="6AE5D8B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(1)一旦识别疑似胸痛患者，则系统自动创建该患者救治小组。</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(2)救治小组创建后，相关救治人员自动入组。</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(3)手动邀请医护人员加入救治小组参与讨论。</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(4)救治小组讨论消息留痕。</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(5)救治小组多种讨论形式，包括文字、语音、图片、视频等，群组成员可实时获取的相关信息传递。</w:t>
            </w:r>
          </w:p>
        </w:tc>
        <w:tc>
          <w:tcPr>
            <w:tcW w:w="733" w:type="dxa"/>
            <w:vMerge w:val="continue"/>
            <w:vAlign w:val="center"/>
          </w:tcPr>
          <w:p w14:paraId="043586F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F1F1AAD">
            <w:pPr>
              <w:jc w:val="center"/>
              <w:rPr>
                <w:rFonts w:hint="eastAsia" w:ascii="宋体" w:hAnsi="宋体" w:eastAsia="宋体" w:cs="宋体"/>
                <w:b w:val="0"/>
                <w:bCs w:val="0"/>
                <w:color w:val="auto"/>
                <w:kern w:val="0"/>
                <w:sz w:val="20"/>
                <w:szCs w:val="20"/>
                <w:highlight w:val="none"/>
                <w:lang w:val="en-US" w:eastAsia="zh-CN" w:bidi="ar-SA"/>
              </w:rPr>
            </w:pPr>
          </w:p>
        </w:tc>
      </w:tr>
      <w:tr w14:paraId="059F4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2A51AC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944</w:t>
            </w:r>
          </w:p>
        </w:tc>
        <w:tc>
          <w:tcPr>
            <w:tcW w:w="720" w:type="dxa"/>
            <w:vMerge w:val="continue"/>
            <w:vAlign w:val="center"/>
          </w:tcPr>
          <w:p w14:paraId="3EF207F3">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22FA8B2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病案质控提醒</w:t>
            </w:r>
          </w:p>
        </w:tc>
        <w:tc>
          <w:tcPr>
            <w:tcW w:w="884" w:type="dxa"/>
            <w:vAlign w:val="center"/>
          </w:tcPr>
          <w:p w14:paraId="4FAB58E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病案质控提醒</w:t>
            </w:r>
          </w:p>
        </w:tc>
        <w:tc>
          <w:tcPr>
            <w:tcW w:w="5841" w:type="dxa"/>
            <w:vAlign w:val="center"/>
          </w:tcPr>
          <w:p w14:paraId="7486168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系统自动校验关键质控项是否完成登记，关键质控项未完成登记的强制提醒。</w:t>
            </w:r>
          </w:p>
        </w:tc>
        <w:tc>
          <w:tcPr>
            <w:tcW w:w="733" w:type="dxa"/>
            <w:vMerge w:val="continue"/>
            <w:vAlign w:val="center"/>
          </w:tcPr>
          <w:p w14:paraId="4813146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95EF7CF">
            <w:pPr>
              <w:jc w:val="center"/>
              <w:rPr>
                <w:rFonts w:hint="eastAsia" w:ascii="宋体" w:hAnsi="宋体" w:eastAsia="宋体" w:cs="宋体"/>
                <w:b w:val="0"/>
                <w:bCs w:val="0"/>
                <w:color w:val="auto"/>
                <w:kern w:val="0"/>
                <w:sz w:val="20"/>
                <w:szCs w:val="20"/>
                <w:highlight w:val="none"/>
                <w:lang w:val="en-US" w:eastAsia="zh-CN" w:bidi="ar-SA"/>
              </w:rPr>
            </w:pPr>
          </w:p>
        </w:tc>
      </w:tr>
      <w:tr w14:paraId="3FD26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7A7C04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945</w:t>
            </w:r>
          </w:p>
        </w:tc>
        <w:tc>
          <w:tcPr>
            <w:tcW w:w="720" w:type="dxa"/>
            <w:vMerge w:val="continue"/>
            <w:vAlign w:val="center"/>
          </w:tcPr>
          <w:p w14:paraId="4865A8C9">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5E9ABAA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病历填报</w:t>
            </w:r>
          </w:p>
        </w:tc>
        <w:tc>
          <w:tcPr>
            <w:tcW w:w="884" w:type="dxa"/>
            <w:vAlign w:val="center"/>
          </w:tcPr>
          <w:p w14:paraId="55E3488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病历填报</w:t>
            </w:r>
          </w:p>
        </w:tc>
        <w:tc>
          <w:tcPr>
            <w:tcW w:w="5841" w:type="dxa"/>
            <w:vAlign w:val="center"/>
          </w:tcPr>
          <w:p w14:paraId="34C8F44E">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按国家标准病历进行填报，内容包括：患者信息、诊断信息、生命体征、急诊部分、辅助检查、治疗部分、转归等数据的查询与编辑。</w:t>
            </w:r>
          </w:p>
        </w:tc>
        <w:tc>
          <w:tcPr>
            <w:tcW w:w="733" w:type="dxa"/>
            <w:vMerge w:val="continue"/>
            <w:vAlign w:val="center"/>
          </w:tcPr>
          <w:p w14:paraId="14B77E6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C612DD6">
            <w:pPr>
              <w:jc w:val="center"/>
              <w:rPr>
                <w:rFonts w:hint="eastAsia" w:ascii="宋体" w:hAnsi="宋体" w:eastAsia="宋体" w:cs="宋体"/>
                <w:b w:val="0"/>
                <w:bCs w:val="0"/>
                <w:color w:val="auto"/>
                <w:kern w:val="0"/>
                <w:sz w:val="20"/>
                <w:szCs w:val="20"/>
                <w:highlight w:val="none"/>
                <w:lang w:val="en-US" w:eastAsia="zh-CN" w:bidi="ar-SA"/>
              </w:rPr>
            </w:pPr>
          </w:p>
        </w:tc>
      </w:tr>
      <w:tr w14:paraId="556C9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AF77BC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946</w:t>
            </w:r>
          </w:p>
        </w:tc>
        <w:tc>
          <w:tcPr>
            <w:tcW w:w="720" w:type="dxa"/>
            <w:vMerge w:val="continue"/>
            <w:vAlign w:val="center"/>
          </w:tcPr>
          <w:p w14:paraId="3544DF59">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5D5FBC8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质控分析</w:t>
            </w:r>
          </w:p>
        </w:tc>
        <w:tc>
          <w:tcPr>
            <w:tcW w:w="884" w:type="dxa"/>
            <w:vAlign w:val="center"/>
          </w:tcPr>
          <w:p w14:paraId="1457C08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质控分析</w:t>
            </w:r>
          </w:p>
        </w:tc>
        <w:tc>
          <w:tcPr>
            <w:tcW w:w="5841" w:type="dxa"/>
            <w:vAlign w:val="center"/>
          </w:tcPr>
          <w:p w14:paraId="025B532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将已产生的数据进行挖掘分析，数据通过列表、饼状图等方式进行展现。质控统计的内容包括并不限于以下的内容：STEMI症状患者到首次医疗接触时间、患者首次医疗接触到导丝通过的时间、首次医疗接触到首份心电图（FMC2ECG）时间&lt;=10分钟的比例等。</w:t>
            </w:r>
          </w:p>
        </w:tc>
        <w:tc>
          <w:tcPr>
            <w:tcW w:w="733" w:type="dxa"/>
            <w:vMerge w:val="continue"/>
            <w:vAlign w:val="center"/>
          </w:tcPr>
          <w:p w14:paraId="01D44CD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5C75B90">
            <w:pPr>
              <w:jc w:val="center"/>
              <w:rPr>
                <w:rFonts w:hint="eastAsia" w:ascii="宋体" w:hAnsi="宋体" w:eastAsia="宋体" w:cs="宋体"/>
                <w:b w:val="0"/>
                <w:bCs w:val="0"/>
                <w:color w:val="auto"/>
                <w:kern w:val="0"/>
                <w:sz w:val="20"/>
                <w:szCs w:val="20"/>
                <w:highlight w:val="none"/>
                <w:lang w:val="en-US" w:eastAsia="zh-CN" w:bidi="ar-SA"/>
              </w:rPr>
            </w:pPr>
          </w:p>
        </w:tc>
      </w:tr>
      <w:tr w14:paraId="01430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2FC401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947</w:t>
            </w:r>
          </w:p>
        </w:tc>
        <w:tc>
          <w:tcPr>
            <w:tcW w:w="720" w:type="dxa"/>
            <w:vMerge w:val="continue"/>
            <w:vAlign w:val="center"/>
          </w:tcPr>
          <w:p w14:paraId="5C737174">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17A3F9C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胸痛中心认证数据采集上报</w:t>
            </w:r>
          </w:p>
        </w:tc>
        <w:tc>
          <w:tcPr>
            <w:tcW w:w="884" w:type="dxa"/>
            <w:vAlign w:val="center"/>
          </w:tcPr>
          <w:p w14:paraId="3F8482A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胸痛中心认证数据采集上报</w:t>
            </w:r>
          </w:p>
        </w:tc>
        <w:tc>
          <w:tcPr>
            <w:tcW w:w="5841" w:type="dxa"/>
            <w:vAlign w:val="center"/>
          </w:tcPr>
          <w:p w14:paraId="59F6A0D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对接国家胸痛中心上报系统进行数据上报。</w:t>
            </w:r>
          </w:p>
        </w:tc>
        <w:tc>
          <w:tcPr>
            <w:tcW w:w="733" w:type="dxa"/>
            <w:vMerge w:val="continue"/>
            <w:vAlign w:val="center"/>
          </w:tcPr>
          <w:p w14:paraId="187716E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10539C5">
            <w:pPr>
              <w:jc w:val="center"/>
              <w:rPr>
                <w:rFonts w:hint="eastAsia" w:ascii="宋体" w:hAnsi="宋体" w:eastAsia="宋体" w:cs="宋体"/>
                <w:b w:val="0"/>
                <w:bCs w:val="0"/>
                <w:color w:val="auto"/>
                <w:kern w:val="0"/>
                <w:sz w:val="20"/>
                <w:szCs w:val="20"/>
                <w:highlight w:val="none"/>
                <w:lang w:val="en-US" w:eastAsia="zh-CN" w:bidi="ar-SA"/>
              </w:rPr>
            </w:pPr>
          </w:p>
        </w:tc>
      </w:tr>
      <w:tr w14:paraId="76DAC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1A14F1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948</w:t>
            </w:r>
          </w:p>
        </w:tc>
        <w:tc>
          <w:tcPr>
            <w:tcW w:w="720" w:type="dxa"/>
            <w:vMerge w:val="restart"/>
            <w:vAlign w:val="center"/>
          </w:tcPr>
          <w:p w14:paraId="6AC092D9">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卒中中心</w:t>
            </w:r>
          </w:p>
        </w:tc>
        <w:tc>
          <w:tcPr>
            <w:tcW w:w="875" w:type="dxa"/>
            <w:vAlign w:val="center"/>
          </w:tcPr>
          <w:p w14:paraId="3FBE89A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关键时间智能采集</w:t>
            </w:r>
          </w:p>
        </w:tc>
        <w:tc>
          <w:tcPr>
            <w:tcW w:w="884" w:type="dxa"/>
            <w:vAlign w:val="center"/>
          </w:tcPr>
          <w:p w14:paraId="5B8A13C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关键时间智能采集</w:t>
            </w:r>
          </w:p>
        </w:tc>
        <w:tc>
          <w:tcPr>
            <w:tcW w:w="5841" w:type="dxa"/>
            <w:vAlign w:val="center"/>
          </w:tcPr>
          <w:p w14:paraId="386C308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通过无线感应设备进行患者时间节点采集，时间点自动导入患者时间轨迹，比如：患者到达医院时间、患者到达导管室时间。医护人员通过移动PDA扫描二维码方式、点选的方式、医疗数据中采集的方式等进行时间节点采集，时间点自动导入患者时间轨迹。</w:t>
            </w:r>
          </w:p>
        </w:tc>
        <w:tc>
          <w:tcPr>
            <w:tcW w:w="733" w:type="dxa"/>
            <w:vMerge w:val="restart"/>
            <w:vAlign w:val="center"/>
          </w:tcPr>
          <w:p w14:paraId="359F4239">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4D663153">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26</w:t>
            </w:r>
          </w:p>
        </w:tc>
      </w:tr>
      <w:tr w14:paraId="0DC3D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00759C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949</w:t>
            </w:r>
          </w:p>
        </w:tc>
        <w:tc>
          <w:tcPr>
            <w:tcW w:w="720" w:type="dxa"/>
            <w:vMerge w:val="continue"/>
            <w:vAlign w:val="center"/>
          </w:tcPr>
          <w:p w14:paraId="642458D3">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2BDA77B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时间路径展现</w:t>
            </w:r>
          </w:p>
        </w:tc>
        <w:tc>
          <w:tcPr>
            <w:tcW w:w="884" w:type="dxa"/>
            <w:vAlign w:val="center"/>
          </w:tcPr>
          <w:p w14:paraId="2F79A1F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时间路径展现</w:t>
            </w:r>
          </w:p>
        </w:tc>
        <w:tc>
          <w:tcPr>
            <w:tcW w:w="5841" w:type="dxa"/>
            <w:vAlign w:val="center"/>
          </w:tcPr>
          <w:p w14:paraId="3A0FDD0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卒中时间路径展现患者诊疗过程重要时间节点，异常质控时间点提醒，异常质控时间点的异常说明记录。</w:t>
            </w:r>
          </w:p>
        </w:tc>
        <w:tc>
          <w:tcPr>
            <w:tcW w:w="733" w:type="dxa"/>
            <w:vMerge w:val="continue"/>
            <w:vAlign w:val="center"/>
          </w:tcPr>
          <w:p w14:paraId="0D285E0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A2D12D4">
            <w:pPr>
              <w:jc w:val="center"/>
              <w:rPr>
                <w:rFonts w:hint="eastAsia" w:ascii="宋体" w:hAnsi="宋体" w:eastAsia="宋体" w:cs="宋体"/>
                <w:b w:val="0"/>
                <w:bCs w:val="0"/>
                <w:color w:val="auto"/>
                <w:kern w:val="0"/>
                <w:sz w:val="20"/>
                <w:szCs w:val="20"/>
                <w:highlight w:val="none"/>
                <w:lang w:val="en-US" w:eastAsia="zh-CN" w:bidi="ar-SA"/>
              </w:rPr>
            </w:pPr>
          </w:p>
        </w:tc>
      </w:tr>
      <w:tr w14:paraId="15D1B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1B8D982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950</w:t>
            </w:r>
          </w:p>
        </w:tc>
        <w:tc>
          <w:tcPr>
            <w:tcW w:w="720" w:type="dxa"/>
            <w:vMerge w:val="continue"/>
            <w:vAlign w:val="center"/>
          </w:tcPr>
          <w:p w14:paraId="65055D34">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27FC48C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关键事件轨迹质控</w:t>
            </w:r>
          </w:p>
        </w:tc>
        <w:tc>
          <w:tcPr>
            <w:tcW w:w="884" w:type="dxa"/>
            <w:vAlign w:val="center"/>
          </w:tcPr>
          <w:p w14:paraId="0E1C98E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关键事件轨迹质控</w:t>
            </w:r>
          </w:p>
        </w:tc>
        <w:tc>
          <w:tcPr>
            <w:tcW w:w="5841" w:type="dxa"/>
            <w:vAlign w:val="center"/>
          </w:tcPr>
          <w:p w14:paraId="1221811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卒中患者关键事件的可视化展示，卒中诊疗关键事件耗时跟踪。</w:t>
            </w:r>
          </w:p>
        </w:tc>
        <w:tc>
          <w:tcPr>
            <w:tcW w:w="733" w:type="dxa"/>
            <w:vMerge w:val="continue"/>
            <w:vAlign w:val="center"/>
          </w:tcPr>
          <w:p w14:paraId="387CD12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346FFA6">
            <w:pPr>
              <w:jc w:val="center"/>
              <w:rPr>
                <w:rFonts w:hint="eastAsia" w:ascii="宋体" w:hAnsi="宋体" w:eastAsia="宋体" w:cs="宋体"/>
                <w:b w:val="0"/>
                <w:bCs w:val="0"/>
                <w:color w:val="auto"/>
                <w:kern w:val="0"/>
                <w:sz w:val="20"/>
                <w:szCs w:val="20"/>
                <w:highlight w:val="none"/>
                <w:lang w:val="en-US" w:eastAsia="zh-CN" w:bidi="ar-SA"/>
              </w:rPr>
            </w:pPr>
          </w:p>
        </w:tc>
      </w:tr>
      <w:tr w14:paraId="2F2D8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A3D135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951</w:t>
            </w:r>
          </w:p>
        </w:tc>
        <w:tc>
          <w:tcPr>
            <w:tcW w:w="720" w:type="dxa"/>
            <w:vMerge w:val="continue"/>
            <w:vAlign w:val="center"/>
          </w:tcPr>
          <w:p w14:paraId="1D967B50">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7756F92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时间窗质控</w:t>
            </w:r>
          </w:p>
        </w:tc>
        <w:tc>
          <w:tcPr>
            <w:tcW w:w="884" w:type="dxa"/>
            <w:vAlign w:val="center"/>
          </w:tcPr>
          <w:p w14:paraId="3E46750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时间窗质控</w:t>
            </w:r>
          </w:p>
        </w:tc>
        <w:tc>
          <w:tcPr>
            <w:tcW w:w="5841" w:type="dxa"/>
            <w:vAlign w:val="center"/>
          </w:tcPr>
          <w:p w14:paraId="24E9D8A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根据医院自定义时间窗质控规则展示时间窗质控结果，时间窗质控结果的醒目颜色标识是否达标。时间窗质控未达标结果落后值的有效提醒。</w:t>
            </w:r>
          </w:p>
        </w:tc>
        <w:tc>
          <w:tcPr>
            <w:tcW w:w="733" w:type="dxa"/>
            <w:vMerge w:val="continue"/>
            <w:vAlign w:val="center"/>
          </w:tcPr>
          <w:p w14:paraId="5439DF7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9671B9A">
            <w:pPr>
              <w:jc w:val="center"/>
              <w:rPr>
                <w:rFonts w:hint="eastAsia" w:ascii="宋体" w:hAnsi="宋体" w:eastAsia="宋体" w:cs="宋体"/>
                <w:b w:val="0"/>
                <w:bCs w:val="0"/>
                <w:color w:val="auto"/>
                <w:kern w:val="0"/>
                <w:sz w:val="20"/>
                <w:szCs w:val="20"/>
                <w:highlight w:val="none"/>
                <w:lang w:val="en-US" w:eastAsia="zh-CN" w:bidi="ar-SA"/>
              </w:rPr>
            </w:pPr>
          </w:p>
        </w:tc>
      </w:tr>
      <w:tr w14:paraId="51D08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6C9BD1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952</w:t>
            </w:r>
          </w:p>
        </w:tc>
        <w:tc>
          <w:tcPr>
            <w:tcW w:w="720" w:type="dxa"/>
            <w:vMerge w:val="continue"/>
            <w:vAlign w:val="center"/>
          </w:tcPr>
          <w:p w14:paraId="326E9189">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333547F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多模式救治流程</w:t>
            </w:r>
          </w:p>
        </w:tc>
        <w:tc>
          <w:tcPr>
            <w:tcW w:w="884" w:type="dxa"/>
            <w:vAlign w:val="center"/>
          </w:tcPr>
          <w:p w14:paraId="1B99038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多模式救治流程</w:t>
            </w:r>
          </w:p>
        </w:tc>
        <w:tc>
          <w:tcPr>
            <w:tcW w:w="5841" w:type="dxa"/>
            <w:vAlign w:val="center"/>
          </w:tcPr>
          <w:p w14:paraId="301352A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多模式救治流程全覆盖，根据不同的救治流程模式采集相应的关键事件信息，满足各模式救治流程的高效执行。</w:t>
            </w:r>
          </w:p>
        </w:tc>
        <w:tc>
          <w:tcPr>
            <w:tcW w:w="733" w:type="dxa"/>
            <w:vMerge w:val="continue"/>
            <w:vAlign w:val="center"/>
          </w:tcPr>
          <w:p w14:paraId="5252A51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AE304E1">
            <w:pPr>
              <w:jc w:val="center"/>
              <w:rPr>
                <w:rFonts w:hint="eastAsia" w:ascii="宋体" w:hAnsi="宋体" w:eastAsia="宋体" w:cs="宋体"/>
                <w:b w:val="0"/>
                <w:bCs w:val="0"/>
                <w:color w:val="auto"/>
                <w:kern w:val="0"/>
                <w:sz w:val="20"/>
                <w:szCs w:val="20"/>
                <w:highlight w:val="none"/>
                <w:lang w:val="en-US" w:eastAsia="zh-CN" w:bidi="ar-SA"/>
              </w:rPr>
            </w:pPr>
          </w:p>
        </w:tc>
      </w:tr>
      <w:tr w14:paraId="14243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013076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953</w:t>
            </w:r>
          </w:p>
        </w:tc>
        <w:tc>
          <w:tcPr>
            <w:tcW w:w="720" w:type="dxa"/>
            <w:vMerge w:val="continue"/>
            <w:vAlign w:val="center"/>
          </w:tcPr>
          <w:p w14:paraId="182FA7BE">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1A8840F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快速识别建档</w:t>
            </w:r>
          </w:p>
        </w:tc>
        <w:tc>
          <w:tcPr>
            <w:tcW w:w="884" w:type="dxa"/>
            <w:vAlign w:val="center"/>
          </w:tcPr>
          <w:p w14:paraId="190827B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快速识别建档</w:t>
            </w:r>
          </w:p>
        </w:tc>
        <w:tc>
          <w:tcPr>
            <w:tcW w:w="5841" w:type="dxa"/>
            <w:vAlign w:val="center"/>
          </w:tcPr>
          <w:p w14:paraId="2B1789E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内置卒中识别工具，医护人员根据卒中识别工具快速识别患者是否为疑似卒中。疑似卒中患者可一键完成快速建档。通过物联网设备快速采集患者身份信息，完成快速登记。</w:t>
            </w:r>
          </w:p>
        </w:tc>
        <w:tc>
          <w:tcPr>
            <w:tcW w:w="733" w:type="dxa"/>
            <w:vMerge w:val="continue"/>
            <w:vAlign w:val="center"/>
          </w:tcPr>
          <w:p w14:paraId="25F07BB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E48A466">
            <w:pPr>
              <w:jc w:val="center"/>
              <w:rPr>
                <w:rFonts w:hint="eastAsia" w:ascii="宋体" w:hAnsi="宋体" w:eastAsia="宋体" w:cs="宋体"/>
                <w:b w:val="0"/>
                <w:bCs w:val="0"/>
                <w:color w:val="auto"/>
                <w:kern w:val="0"/>
                <w:sz w:val="20"/>
                <w:szCs w:val="20"/>
                <w:highlight w:val="none"/>
                <w:lang w:val="en-US" w:eastAsia="zh-CN" w:bidi="ar-SA"/>
              </w:rPr>
            </w:pPr>
          </w:p>
        </w:tc>
      </w:tr>
      <w:tr w14:paraId="2D993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D7131F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954</w:t>
            </w:r>
          </w:p>
        </w:tc>
        <w:tc>
          <w:tcPr>
            <w:tcW w:w="720" w:type="dxa"/>
            <w:vMerge w:val="continue"/>
            <w:vAlign w:val="center"/>
          </w:tcPr>
          <w:p w14:paraId="2FB71B0D">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4CF6D01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新患者预警通知</w:t>
            </w:r>
          </w:p>
        </w:tc>
        <w:tc>
          <w:tcPr>
            <w:tcW w:w="884" w:type="dxa"/>
            <w:vAlign w:val="center"/>
          </w:tcPr>
          <w:p w14:paraId="5E2A6EA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新患者预警通知</w:t>
            </w:r>
          </w:p>
        </w:tc>
        <w:tc>
          <w:tcPr>
            <w:tcW w:w="5841" w:type="dxa"/>
            <w:vAlign w:val="center"/>
          </w:tcPr>
          <w:p w14:paraId="726BA23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卒中识别工具一旦识别到疑似卒中患者，系统立即向当前所有值班人员发出紧急预警通知，开通绿色通道，告知各科室相关医护人员做好紧急联合救治准备。</w:t>
            </w:r>
          </w:p>
        </w:tc>
        <w:tc>
          <w:tcPr>
            <w:tcW w:w="733" w:type="dxa"/>
            <w:vMerge w:val="continue"/>
            <w:vAlign w:val="center"/>
          </w:tcPr>
          <w:p w14:paraId="6A493E2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81C8630">
            <w:pPr>
              <w:jc w:val="center"/>
              <w:rPr>
                <w:rFonts w:hint="eastAsia" w:ascii="宋体" w:hAnsi="宋体" w:eastAsia="宋体" w:cs="宋体"/>
                <w:b w:val="0"/>
                <w:bCs w:val="0"/>
                <w:color w:val="auto"/>
                <w:kern w:val="0"/>
                <w:sz w:val="20"/>
                <w:szCs w:val="20"/>
                <w:highlight w:val="none"/>
                <w:lang w:val="en-US" w:eastAsia="zh-CN" w:bidi="ar-SA"/>
              </w:rPr>
            </w:pPr>
          </w:p>
        </w:tc>
      </w:tr>
      <w:tr w14:paraId="58149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8011A3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955</w:t>
            </w:r>
          </w:p>
        </w:tc>
        <w:tc>
          <w:tcPr>
            <w:tcW w:w="720" w:type="dxa"/>
            <w:vMerge w:val="continue"/>
            <w:vAlign w:val="center"/>
          </w:tcPr>
          <w:p w14:paraId="1D2315E6">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179F4DF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专业智能评分</w:t>
            </w:r>
          </w:p>
        </w:tc>
        <w:tc>
          <w:tcPr>
            <w:tcW w:w="884" w:type="dxa"/>
            <w:vAlign w:val="center"/>
          </w:tcPr>
          <w:p w14:paraId="46021E3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专业智能评分</w:t>
            </w:r>
          </w:p>
        </w:tc>
        <w:tc>
          <w:tcPr>
            <w:tcW w:w="5841" w:type="dxa"/>
            <w:vAlign w:val="center"/>
          </w:tcPr>
          <w:p w14:paraId="10A886A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提供专业的专病评分工具，医护人员通过点选方式智能计算评分分值及分级结果。重点评估评分可以多次记录。系统提供FAST-ED、NIHSS评分、GCS评分、MRS评分、TICI分级、APECTS评分等评分。</w:t>
            </w:r>
          </w:p>
        </w:tc>
        <w:tc>
          <w:tcPr>
            <w:tcW w:w="733" w:type="dxa"/>
            <w:vMerge w:val="continue"/>
            <w:vAlign w:val="center"/>
          </w:tcPr>
          <w:p w14:paraId="3F7571B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DDBDC61">
            <w:pPr>
              <w:jc w:val="center"/>
              <w:rPr>
                <w:rFonts w:hint="eastAsia" w:ascii="宋体" w:hAnsi="宋体" w:eastAsia="宋体" w:cs="宋体"/>
                <w:b w:val="0"/>
                <w:bCs w:val="0"/>
                <w:color w:val="auto"/>
                <w:kern w:val="0"/>
                <w:sz w:val="20"/>
                <w:szCs w:val="20"/>
                <w:highlight w:val="none"/>
                <w:lang w:val="en-US" w:eastAsia="zh-CN" w:bidi="ar-SA"/>
              </w:rPr>
            </w:pPr>
          </w:p>
        </w:tc>
      </w:tr>
      <w:tr w14:paraId="7CB4C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4DCB6A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956</w:t>
            </w:r>
          </w:p>
        </w:tc>
        <w:tc>
          <w:tcPr>
            <w:tcW w:w="720" w:type="dxa"/>
            <w:vMerge w:val="continue"/>
            <w:vAlign w:val="center"/>
          </w:tcPr>
          <w:p w14:paraId="0D6A2608">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1F0913F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临床数据实时共享</w:t>
            </w:r>
          </w:p>
        </w:tc>
        <w:tc>
          <w:tcPr>
            <w:tcW w:w="884" w:type="dxa"/>
            <w:vAlign w:val="center"/>
          </w:tcPr>
          <w:p w14:paraId="362EA47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临床数据实时共享</w:t>
            </w:r>
          </w:p>
        </w:tc>
        <w:tc>
          <w:tcPr>
            <w:tcW w:w="5841" w:type="dxa"/>
            <w:vAlign w:val="center"/>
          </w:tcPr>
          <w:p w14:paraId="6A7D952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临床检查报告以即时消息的形式推送。对接院内系统自动获取到报告后第一时间推送至移动端，医护可通过移动端查看患者相关实验室检查报告、影像检查报告等检验检查数据，有效协助临床医生提升诊疗效率。</w:t>
            </w:r>
          </w:p>
        </w:tc>
        <w:tc>
          <w:tcPr>
            <w:tcW w:w="733" w:type="dxa"/>
            <w:vMerge w:val="continue"/>
            <w:vAlign w:val="center"/>
          </w:tcPr>
          <w:p w14:paraId="52BC021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66B7D4B">
            <w:pPr>
              <w:jc w:val="center"/>
              <w:rPr>
                <w:rFonts w:hint="eastAsia" w:ascii="宋体" w:hAnsi="宋体" w:eastAsia="宋体" w:cs="宋体"/>
                <w:b w:val="0"/>
                <w:bCs w:val="0"/>
                <w:color w:val="auto"/>
                <w:kern w:val="0"/>
                <w:sz w:val="20"/>
                <w:szCs w:val="20"/>
                <w:highlight w:val="none"/>
                <w:lang w:val="en-US" w:eastAsia="zh-CN" w:bidi="ar-SA"/>
              </w:rPr>
            </w:pPr>
          </w:p>
        </w:tc>
      </w:tr>
      <w:tr w14:paraId="2B5EE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85CEBC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957</w:t>
            </w:r>
          </w:p>
        </w:tc>
        <w:tc>
          <w:tcPr>
            <w:tcW w:w="720" w:type="dxa"/>
            <w:vMerge w:val="continue"/>
            <w:vAlign w:val="center"/>
          </w:tcPr>
          <w:p w14:paraId="28C7C5BB">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120BB2C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自动创建救治小组</w:t>
            </w:r>
          </w:p>
        </w:tc>
        <w:tc>
          <w:tcPr>
            <w:tcW w:w="884" w:type="dxa"/>
            <w:vAlign w:val="center"/>
          </w:tcPr>
          <w:p w14:paraId="59F89D7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自动创建救治小组</w:t>
            </w:r>
          </w:p>
        </w:tc>
        <w:tc>
          <w:tcPr>
            <w:tcW w:w="5841" w:type="dxa"/>
            <w:vAlign w:val="center"/>
          </w:tcPr>
          <w:p w14:paraId="0531ED2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(1)一旦识别疑似卒中患者，则系统自动创建该患者救治小组。</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(2)救治小组创建后，相关救治人员自动入组。</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(3)手动邀请医护人员加入救治小组参与讨论。</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(4)救治小组讨论消息留痕。</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(5)救治小组多种讨论形式，包括文字、语音、图片、视频等，群组成员可实时获取的相关信息传递。</w:t>
            </w:r>
          </w:p>
        </w:tc>
        <w:tc>
          <w:tcPr>
            <w:tcW w:w="733" w:type="dxa"/>
            <w:vMerge w:val="continue"/>
            <w:vAlign w:val="center"/>
          </w:tcPr>
          <w:p w14:paraId="1E42B53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83C974C">
            <w:pPr>
              <w:jc w:val="center"/>
              <w:rPr>
                <w:rFonts w:hint="eastAsia" w:ascii="宋体" w:hAnsi="宋体" w:eastAsia="宋体" w:cs="宋体"/>
                <w:b w:val="0"/>
                <w:bCs w:val="0"/>
                <w:color w:val="auto"/>
                <w:kern w:val="0"/>
                <w:sz w:val="20"/>
                <w:szCs w:val="20"/>
                <w:highlight w:val="none"/>
                <w:lang w:val="en-US" w:eastAsia="zh-CN" w:bidi="ar-SA"/>
              </w:rPr>
            </w:pPr>
          </w:p>
        </w:tc>
      </w:tr>
      <w:tr w14:paraId="77714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05A706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958</w:t>
            </w:r>
          </w:p>
        </w:tc>
        <w:tc>
          <w:tcPr>
            <w:tcW w:w="720" w:type="dxa"/>
            <w:vMerge w:val="continue"/>
            <w:vAlign w:val="center"/>
          </w:tcPr>
          <w:p w14:paraId="54414254">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68C93B8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知情同意谈话辅助工具</w:t>
            </w:r>
          </w:p>
        </w:tc>
        <w:tc>
          <w:tcPr>
            <w:tcW w:w="884" w:type="dxa"/>
            <w:vAlign w:val="center"/>
          </w:tcPr>
          <w:p w14:paraId="59DEB60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知情同意谈话辅助工具</w:t>
            </w:r>
          </w:p>
        </w:tc>
        <w:tc>
          <w:tcPr>
            <w:tcW w:w="5841" w:type="dxa"/>
            <w:vAlign w:val="center"/>
          </w:tcPr>
          <w:p w14:paraId="6B35F37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提供卒中知情同意谈话辅助工具，方便患者及家属的快速理解，有效提高谈话效率。</w:t>
            </w:r>
          </w:p>
        </w:tc>
        <w:tc>
          <w:tcPr>
            <w:tcW w:w="733" w:type="dxa"/>
            <w:vMerge w:val="continue"/>
            <w:vAlign w:val="center"/>
          </w:tcPr>
          <w:p w14:paraId="2C3F5B9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043CCDE">
            <w:pPr>
              <w:jc w:val="center"/>
              <w:rPr>
                <w:rFonts w:hint="eastAsia" w:ascii="宋体" w:hAnsi="宋体" w:eastAsia="宋体" w:cs="宋体"/>
                <w:b w:val="0"/>
                <w:bCs w:val="0"/>
                <w:color w:val="auto"/>
                <w:kern w:val="0"/>
                <w:sz w:val="20"/>
                <w:szCs w:val="20"/>
                <w:highlight w:val="none"/>
                <w:lang w:val="en-US" w:eastAsia="zh-CN" w:bidi="ar-SA"/>
              </w:rPr>
            </w:pPr>
          </w:p>
        </w:tc>
      </w:tr>
      <w:tr w14:paraId="646D9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D84A5B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959</w:t>
            </w:r>
          </w:p>
        </w:tc>
        <w:tc>
          <w:tcPr>
            <w:tcW w:w="720" w:type="dxa"/>
            <w:vMerge w:val="continue"/>
            <w:vAlign w:val="center"/>
          </w:tcPr>
          <w:p w14:paraId="3B45C31D">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12EBD8A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病案质控提醒</w:t>
            </w:r>
          </w:p>
        </w:tc>
        <w:tc>
          <w:tcPr>
            <w:tcW w:w="884" w:type="dxa"/>
            <w:vAlign w:val="center"/>
          </w:tcPr>
          <w:p w14:paraId="19D136A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病案质控提醒</w:t>
            </w:r>
          </w:p>
        </w:tc>
        <w:tc>
          <w:tcPr>
            <w:tcW w:w="5841" w:type="dxa"/>
            <w:vAlign w:val="center"/>
          </w:tcPr>
          <w:p w14:paraId="106BD8C6">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系统自动校验关键质控项是否完成登记，关键质控项未完成登记的强制提醒。</w:t>
            </w:r>
          </w:p>
        </w:tc>
        <w:tc>
          <w:tcPr>
            <w:tcW w:w="733" w:type="dxa"/>
            <w:vMerge w:val="continue"/>
            <w:vAlign w:val="center"/>
          </w:tcPr>
          <w:p w14:paraId="66EB952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C894F86">
            <w:pPr>
              <w:jc w:val="center"/>
              <w:rPr>
                <w:rFonts w:hint="eastAsia" w:ascii="宋体" w:hAnsi="宋体" w:eastAsia="宋体" w:cs="宋体"/>
                <w:b w:val="0"/>
                <w:bCs w:val="0"/>
                <w:color w:val="auto"/>
                <w:kern w:val="0"/>
                <w:sz w:val="20"/>
                <w:szCs w:val="20"/>
                <w:highlight w:val="none"/>
                <w:lang w:val="en-US" w:eastAsia="zh-CN" w:bidi="ar-SA"/>
              </w:rPr>
            </w:pPr>
          </w:p>
        </w:tc>
      </w:tr>
      <w:tr w14:paraId="2E880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E98957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960</w:t>
            </w:r>
          </w:p>
        </w:tc>
        <w:tc>
          <w:tcPr>
            <w:tcW w:w="720" w:type="dxa"/>
            <w:vMerge w:val="continue"/>
            <w:vAlign w:val="center"/>
          </w:tcPr>
          <w:p w14:paraId="12FC1B8E">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7372001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病历填报</w:t>
            </w:r>
          </w:p>
        </w:tc>
        <w:tc>
          <w:tcPr>
            <w:tcW w:w="884" w:type="dxa"/>
            <w:vAlign w:val="center"/>
          </w:tcPr>
          <w:p w14:paraId="0267E01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病历填报</w:t>
            </w:r>
          </w:p>
        </w:tc>
        <w:tc>
          <w:tcPr>
            <w:tcW w:w="5841" w:type="dxa"/>
            <w:vAlign w:val="center"/>
          </w:tcPr>
          <w:p w14:paraId="41638BD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按国家标准病历进行填报，内容包括：患者信息、诊断信息、生命体征、急诊部分、辅助检查、治疗部分、转归等数据的查询与编辑。</w:t>
            </w:r>
          </w:p>
        </w:tc>
        <w:tc>
          <w:tcPr>
            <w:tcW w:w="733" w:type="dxa"/>
            <w:vMerge w:val="continue"/>
            <w:vAlign w:val="center"/>
          </w:tcPr>
          <w:p w14:paraId="48AEEDA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83178CC">
            <w:pPr>
              <w:jc w:val="center"/>
              <w:rPr>
                <w:rFonts w:hint="eastAsia" w:ascii="宋体" w:hAnsi="宋体" w:eastAsia="宋体" w:cs="宋体"/>
                <w:b w:val="0"/>
                <w:bCs w:val="0"/>
                <w:color w:val="auto"/>
                <w:kern w:val="0"/>
                <w:sz w:val="20"/>
                <w:szCs w:val="20"/>
                <w:highlight w:val="none"/>
                <w:lang w:val="en-US" w:eastAsia="zh-CN" w:bidi="ar-SA"/>
              </w:rPr>
            </w:pPr>
          </w:p>
        </w:tc>
      </w:tr>
      <w:tr w14:paraId="605E4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9C057D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961</w:t>
            </w:r>
          </w:p>
        </w:tc>
        <w:tc>
          <w:tcPr>
            <w:tcW w:w="720" w:type="dxa"/>
            <w:vMerge w:val="continue"/>
            <w:vAlign w:val="center"/>
          </w:tcPr>
          <w:p w14:paraId="4744DA37">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2EE4CA8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质控分析</w:t>
            </w:r>
          </w:p>
        </w:tc>
        <w:tc>
          <w:tcPr>
            <w:tcW w:w="884" w:type="dxa"/>
            <w:vAlign w:val="center"/>
          </w:tcPr>
          <w:p w14:paraId="5B96B5F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质控分析</w:t>
            </w:r>
          </w:p>
        </w:tc>
        <w:tc>
          <w:tcPr>
            <w:tcW w:w="5841" w:type="dxa"/>
            <w:vAlign w:val="center"/>
          </w:tcPr>
          <w:p w14:paraId="5B3557F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将已产生的数据进行挖掘分析，数据通过列表、饼状图等方式进行展现。质控统计的内容包括并不限于以下的内容：卒中执行时间分布情况、卒中执行情况、卒中中心人次详情等。</w:t>
            </w:r>
          </w:p>
        </w:tc>
        <w:tc>
          <w:tcPr>
            <w:tcW w:w="733" w:type="dxa"/>
            <w:vMerge w:val="continue"/>
            <w:vAlign w:val="center"/>
          </w:tcPr>
          <w:p w14:paraId="7D282EB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F62185C">
            <w:pPr>
              <w:jc w:val="center"/>
              <w:rPr>
                <w:rFonts w:hint="eastAsia" w:ascii="宋体" w:hAnsi="宋体" w:eastAsia="宋体" w:cs="宋体"/>
                <w:b w:val="0"/>
                <w:bCs w:val="0"/>
                <w:color w:val="auto"/>
                <w:kern w:val="0"/>
                <w:sz w:val="20"/>
                <w:szCs w:val="20"/>
                <w:highlight w:val="none"/>
                <w:lang w:val="en-US" w:eastAsia="zh-CN" w:bidi="ar-SA"/>
              </w:rPr>
            </w:pPr>
          </w:p>
        </w:tc>
      </w:tr>
      <w:tr w14:paraId="1074E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60855BA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962</w:t>
            </w:r>
          </w:p>
        </w:tc>
        <w:tc>
          <w:tcPr>
            <w:tcW w:w="720" w:type="dxa"/>
            <w:vMerge w:val="continue"/>
            <w:vAlign w:val="center"/>
          </w:tcPr>
          <w:p w14:paraId="46626BAF">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7C1B5EC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卒中中心认证数据采集上报</w:t>
            </w:r>
          </w:p>
        </w:tc>
        <w:tc>
          <w:tcPr>
            <w:tcW w:w="884" w:type="dxa"/>
            <w:vAlign w:val="center"/>
          </w:tcPr>
          <w:p w14:paraId="696A6439">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卒中中心认证数据采集上报</w:t>
            </w:r>
          </w:p>
        </w:tc>
        <w:tc>
          <w:tcPr>
            <w:tcW w:w="5841" w:type="dxa"/>
            <w:vAlign w:val="center"/>
          </w:tcPr>
          <w:p w14:paraId="70171F0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对接国家卒中中心上报系统进行数据上报。</w:t>
            </w:r>
          </w:p>
        </w:tc>
        <w:tc>
          <w:tcPr>
            <w:tcW w:w="733" w:type="dxa"/>
            <w:vMerge w:val="continue"/>
            <w:vAlign w:val="center"/>
          </w:tcPr>
          <w:p w14:paraId="0A94F92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CA08EF7">
            <w:pPr>
              <w:jc w:val="center"/>
              <w:rPr>
                <w:rFonts w:hint="eastAsia" w:ascii="宋体" w:hAnsi="宋体" w:eastAsia="宋体" w:cs="宋体"/>
                <w:b w:val="0"/>
                <w:bCs w:val="0"/>
                <w:color w:val="auto"/>
                <w:kern w:val="0"/>
                <w:sz w:val="20"/>
                <w:szCs w:val="20"/>
                <w:highlight w:val="none"/>
                <w:lang w:val="en-US" w:eastAsia="zh-CN" w:bidi="ar-SA"/>
              </w:rPr>
            </w:pPr>
          </w:p>
        </w:tc>
      </w:tr>
      <w:tr w14:paraId="0129D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38F42EB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963</w:t>
            </w:r>
          </w:p>
        </w:tc>
        <w:tc>
          <w:tcPr>
            <w:tcW w:w="720" w:type="dxa"/>
            <w:vMerge w:val="restart"/>
            <w:vAlign w:val="center"/>
          </w:tcPr>
          <w:p w14:paraId="270A0B9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创伤中心</w:t>
            </w:r>
          </w:p>
        </w:tc>
        <w:tc>
          <w:tcPr>
            <w:tcW w:w="875" w:type="dxa"/>
            <w:vAlign w:val="center"/>
          </w:tcPr>
          <w:p w14:paraId="0497B6D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关键时间智能采集</w:t>
            </w:r>
          </w:p>
        </w:tc>
        <w:tc>
          <w:tcPr>
            <w:tcW w:w="884" w:type="dxa"/>
            <w:vAlign w:val="center"/>
          </w:tcPr>
          <w:p w14:paraId="51C8E42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关键时间智能采集</w:t>
            </w:r>
          </w:p>
        </w:tc>
        <w:tc>
          <w:tcPr>
            <w:tcW w:w="5841" w:type="dxa"/>
            <w:vAlign w:val="center"/>
          </w:tcPr>
          <w:p w14:paraId="6178F9E3">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通过无线感应设备进行患者时间节点采集，时间点自动导入患者时间轨迹，比如：患者到达医院时间、患者到达导管室时间。医护人员通过移动PDA扫描二维码方式、点选的方式、医疗数据中采集的方式等进行时间节点采集，时间点自动导入患者时间轨迹。</w:t>
            </w:r>
          </w:p>
        </w:tc>
        <w:tc>
          <w:tcPr>
            <w:tcW w:w="733" w:type="dxa"/>
            <w:vMerge w:val="restart"/>
            <w:vAlign w:val="center"/>
          </w:tcPr>
          <w:p w14:paraId="1A90CF9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4919D48D">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27</w:t>
            </w:r>
          </w:p>
        </w:tc>
      </w:tr>
      <w:tr w14:paraId="20276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7A1F942">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964</w:t>
            </w:r>
          </w:p>
        </w:tc>
        <w:tc>
          <w:tcPr>
            <w:tcW w:w="720" w:type="dxa"/>
            <w:vMerge w:val="continue"/>
            <w:vAlign w:val="center"/>
          </w:tcPr>
          <w:p w14:paraId="43F6AAE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875" w:type="dxa"/>
            <w:vAlign w:val="center"/>
          </w:tcPr>
          <w:p w14:paraId="7E20F23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时间路径展现</w:t>
            </w:r>
          </w:p>
        </w:tc>
        <w:tc>
          <w:tcPr>
            <w:tcW w:w="884" w:type="dxa"/>
            <w:vAlign w:val="center"/>
          </w:tcPr>
          <w:p w14:paraId="6F834E9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时间路径展现</w:t>
            </w:r>
          </w:p>
        </w:tc>
        <w:tc>
          <w:tcPr>
            <w:tcW w:w="5841" w:type="dxa"/>
            <w:vAlign w:val="center"/>
          </w:tcPr>
          <w:p w14:paraId="7C55E00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创伤时间路径展现患者诊疗过程重要时间节点，异常质控时间点提醒，异常质控时间点的异常说明记录。</w:t>
            </w:r>
          </w:p>
        </w:tc>
        <w:tc>
          <w:tcPr>
            <w:tcW w:w="733" w:type="dxa"/>
            <w:vMerge w:val="continue"/>
            <w:vAlign w:val="center"/>
          </w:tcPr>
          <w:p w14:paraId="66D066D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3E14523">
            <w:pPr>
              <w:jc w:val="center"/>
              <w:rPr>
                <w:rFonts w:hint="eastAsia" w:ascii="宋体" w:hAnsi="宋体" w:eastAsia="宋体" w:cs="宋体"/>
                <w:b w:val="0"/>
                <w:bCs w:val="0"/>
                <w:color w:val="auto"/>
                <w:kern w:val="0"/>
                <w:sz w:val="20"/>
                <w:szCs w:val="20"/>
                <w:highlight w:val="none"/>
                <w:lang w:val="en-US" w:eastAsia="zh-CN" w:bidi="ar-SA"/>
              </w:rPr>
            </w:pPr>
          </w:p>
        </w:tc>
      </w:tr>
      <w:tr w14:paraId="086AC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2BA1D93">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965</w:t>
            </w:r>
          </w:p>
        </w:tc>
        <w:tc>
          <w:tcPr>
            <w:tcW w:w="720" w:type="dxa"/>
            <w:vMerge w:val="continue"/>
            <w:vAlign w:val="center"/>
          </w:tcPr>
          <w:p w14:paraId="4796281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875" w:type="dxa"/>
            <w:vAlign w:val="center"/>
          </w:tcPr>
          <w:p w14:paraId="0EE761B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关键事件轨迹质控</w:t>
            </w:r>
          </w:p>
        </w:tc>
        <w:tc>
          <w:tcPr>
            <w:tcW w:w="884" w:type="dxa"/>
            <w:vAlign w:val="center"/>
          </w:tcPr>
          <w:p w14:paraId="023447E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关键事件轨迹质控</w:t>
            </w:r>
          </w:p>
        </w:tc>
        <w:tc>
          <w:tcPr>
            <w:tcW w:w="5841" w:type="dxa"/>
            <w:vAlign w:val="center"/>
          </w:tcPr>
          <w:p w14:paraId="48FDFFD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创伤患者关键事件的可视化展示，创伤诊疗关键事件耗时跟踪。</w:t>
            </w:r>
          </w:p>
        </w:tc>
        <w:tc>
          <w:tcPr>
            <w:tcW w:w="733" w:type="dxa"/>
            <w:vMerge w:val="continue"/>
            <w:vAlign w:val="center"/>
          </w:tcPr>
          <w:p w14:paraId="4CFC8A2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BB360C1">
            <w:pPr>
              <w:jc w:val="center"/>
              <w:rPr>
                <w:rFonts w:hint="eastAsia" w:ascii="宋体" w:hAnsi="宋体" w:eastAsia="宋体" w:cs="宋体"/>
                <w:b w:val="0"/>
                <w:bCs w:val="0"/>
                <w:color w:val="auto"/>
                <w:kern w:val="0"/>
                <w:sz w:val="20"/>
                <w:szCs w:val="20"/>
                <w:highlight w:val="none"/>
                <w:lang w:val="en-US" w:eastAsia="zh-CN" w:bidi="ar-SA"/>
              </w:rPr>
            </w:pPr>
          </w:p>
        </w:tc>
      </w:tr>
      <w:tr w14:paraId="4C9D1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09679422">
            <w:pPr>
              <w:spacing w:line="300" w:lineRule="exact"/>
              <w:jc w:val="center"/>
              <w:rPr>
                <w:rFonts w:hint="eastAsia" w:ascii="仿宋" w:hAnsi="仿宋" w:eastAsia="仿宋" w:cs="宋体"/>
                <w:b/>
                <w:bCs/>
                <w:color w:val="auto"/>
                <w:sz w:val="22"/>
                <w:szCs w:val="22"/>
                <w:highlight w:val="none"/>
                <w:lang w:val="en-US" w:eastAsia="zh-CN"/>
              </w:rPr>
            </w:pPr>
            <w:r>
              <w:rPr>
                <w:rFonts w:hint="eastAsia" w:ascii="仿宋" w:hAnsi="仿宋" w:eastAsia="仿宋" w:cs="宋体"/>
                <w:color w:val="auto"/>
                <w:sz w:val="22"/>
                <w:szCs w:val="22"/>
                <w:highlight w:val="none"/>
                <w:lang w:val="en-US" w:eastAsia="zh-CN"/>
              </w:rPr>
              <w:t>966</w:t>
            </w:r>
          </w:p>
        </w:tc>
        <w:tc>
          <w:tcPr>
            <w:tcW w:w="720" w:type="dxa"/>
            <w:vMerge w:val="continue"/>
            <w:vAlign w:val="center"/>
          </w:tcPr>
          <w:p w14:paraId="670D941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p>
        </w:tc>
        <w:tc>
          <w:tcPr>
            <w:tcW w:w="875" w:type="dxa"/>
            <w:vAlign w:val="center"/>
          </w:tcPr>
          <w:p w14:paraId="1B652EDE">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时间窗质控</w:t>
            </w:r>
          </w:p>
        </w:tc>
        <w:tc>
          <w:tcPr>
            <w:tcW w:w="884" w:type="dxa"/>
            <w:vAlign w:val="center"/>
          </w:tcPr>
          <w:p w14:paraId="40C2A25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时间窗质控</w:t>
            </w:r>
          </w:p>
        </w:tc>
        <w:tc>
          <w:tcPr>
            <w:tcW w:w="5841" w:type="dxa"/>
            <w:vAlign w:val="center"/>
          </w:tcPr>
          <w:p w14:paraId="2FAFDA65">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根据医院自定义时间窗质控规则展示时间窗质控结果，时间窗质控结果的醒目颜色标识是否达标。时间窗质控未达标结果落后值的有效提醒。</w:t>
            </w:r>
          </w:p>
        </w:tc>
        <w:tc>
          <w:tcPr>
            <w:tcW w:w="733" w:type="dxa"/>
            <w:vMerge w:val="continue"/>
            <w:vAlign w:val="center"/>
          </w:tcPr>
          <w:p w14:paraId="03F0716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89E67B8">
            <w:pPr>
              <w:jc w:val="center"/>
              <w:rPr>
                <w:rFonts w:hint="eastAsia" w:ascii="宋体" w:hAnsi="宋体" w:eastAsia="宋体" w:cs="宋体"/>
                <w:b w:val="0"/>
                <w:bCs w:val="0"/>
                <w:color w:val="auto"/>
                <w:kern w:val="0"/>
                <w:sz w:val="20"/>
                <w:szCs w:val="20"/>
                <w:highlight w:val="none"/>
                <w:lang w:val="en-US" w:eastAsia="zh-CN" w:bidi="ar-SA"/>
              </w:rPr>
            </w:pPr>
          </w:p>
        </w:tc>
      </w:tr>
      <w:tr w14:paraId="39AF8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D583CC5">
            <w:pPr>
              <w:spacing w:line="300" w:lineRule="exact"/>
              <w:jc w:val="center"/>
              <w:rPr>
                <w:rFonts w:hint="eastAsia" w:ascii="仿宋" w:hAnsi="仿宋" w:eastAsia="仿宋" w:cs="宋体"/>
                <w:b/>
                <w:bCs/>
                <w:color w:val="auto"/>
                <w:sz w:val="22"/>
                <w:szCs w:val="22"/>
                <w:highlight w:val="none"/>
                <w:lang w:val="en-US" w:eastAsia="zh-CN"/>
              </w:rPr>
            </w:pPr>
            <w:r>
              <w:rPr>
                <w:rFonts w:hint="eastAsia" w:ascii="仿宋" w:hAnsi="仿宋" w:eastAsia="仿宋" w:cs="宋体"/>
                <w:color w:val="auto"/>
                <w:sz w:val="22"/>
                <w:szCs w:val="22"/>
                <w:highlight w:val="none"/>
                <w:lang w:val="en-US" w:eastAsia="zh-CN"/>
              </w:rPr>
              <w:t>967</w:t>
            </w:r>
          </w:p>
        </w:tc>
        <w:tc>
          <w:tcPr>
            <w:tcW w:w="720" w:type="dxa"/>
            <w:vMerge w:val="continue"/>
            <w:vAlign w:val="center"/>
          </w:tcPr>
          <w:p w14:paraId="79F9AE90">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5270331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多模式救治流程</w:t>
            </w:r>
          </w:p>
        </w:tc>
        <w:tc>
          <w:tcPr>
            <w:tcW w:w="884" w:type="dxa"/>
            <w:vAlign w:val="center"/>
          </w:tcPr>
          <w:p w14:paraId="37B94DC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多模式救治流程</w:t>
            </w:r>
          </w:p>
        </w:tc>
        <w:tc>
          <w:tcPr>
            <w:tcW w:w="5841" w:type="dxa"/>
            <w:vAlign w:val="center"/>
          </w:tcPr>
          <w:p w14:paraId="79FC4C6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多模式救治流程全覆盖，根据不同的救治流程模式采集相应的关键事件信息，满足各模式救治流程的高效执行。</w:t>
            </w:r>
          </w:p>
        </w:tc>
        <w:tc>
          <w:tcPr>
            <w:tcW w:w="733" w:type="dxa"/>
            <w:vMerge w:val="continue"/>
            <w:vAlign w:val="center"/>
          </w:tcPr>
          <w:p w14:paraId="2A8185E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AC849DA">
            <w:pPr>
              <w:jc w:val="center"/>
              <w:rPr>
                <w:rFonts w:hint="eastAsia" w:ascii="宋体" w:hAnsi="宋体" w:eastAsia="宋体" w:cs="宋体"/>
                <w:b w:val="0"/>
                <w:bCs w:val="0"/>
                <w:color w:val="auto"/>
                <w:kern w:val="0"/>
                <w:sz w:val="20"/>
                <w:szCs w:val="20"/>
                <w:highlight w:val="none"/>
                <w:lang w:val="en-US" w:eastAsia="zh-CN" w:bidi="ar-SA"/>
              </w:rPr>
            </w:pPr>
          </w:p>
        </w:tc>
      </w:tr>
      <w:tr w14:paraId="4D69B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4B1973D5">
            <w:pPr>
              <w:spacing w:line="300" w:lineRule="exact"/>
              <w:jc w:val="center"/>
              <w:rPr>
                <w:rFonts w:hint="eastAsia" w:ascii="仿宋" w:hAnsi="仿宋" w:eastAsia="仿宋" w:cs="宋体"/>
                <w:b/>
                <w:bCs/>
                <w:color w:val="auto"/>
                <w:sz w:val="22"/>
                <w:szCs w:val="22"/>
                <w:highlight w:val="none"/>
                <w:lang w:val="en-US" w:eastAsia="zh-CN"/>
              </w:rPr>
            </w:pPr>
            <w:r>
              <w:rPr>
                <w:rFonts w:hint="eastAsia" w:ascii="仿宋" w:hAnsi="仿宋" w:eastAsia="仿宋" w:cs="宋体"/>
                <w:color w:val="auto"/>
                <w:sz w:val="22"/>
                <w:szCs w:val="22"/>
                <w:highlight w:val="none"/>
                <w:lang w:val="en-US" w:eastAsia="zh-CN"/>
              </w:rPr>
              <w:t>968</w:t>
            </w:r>
          </w:p>
        </w:tc>
        <w:tc>
          <w:tcPr>
            <w:tcW w:w="720" w:type="dxa"/>
            <w:vMerge w:val="continue"/>
            <w:vAlign w:val="center"/>
          </w:tcPr>
          <w:p w14:paraId="3AB4F595">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105FE73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快速识别建档</w:t>
            </w:r>
          </w:p>
        </w:tc>
        <w:tc>
          <w:tcPr>
            <w:tcW w:w="884" w:type="dxa"/>
            <w:vAlign w:val="center"/>
          </w:tcPr>
          <w:p w14:paraId="24B5066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快速识别建档</w:t>
            </w:r>
          </w:p>
        </w:tc>
        <w:tc>
          <w:tcPr>
            <w:tcW w:w="5841" w:type="dxa"/>
            <w:vAlign w:val="center"/>
          </w:tcPr>
          <w:p w14:paraId="05C992E9">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内置创伤识别工具，医护人员根据创伤识别工具快速识别患者是否为创伤。创伤患者可一键完成快速建档。通过物联网设备快速采集患者身份信息，完成快速登记。</w:t>
            </w:r>
          </w:p>
        </w:tc>
        <w:tc>
          <w:tcPr>
            <w:tcW w:w="733" w:type="dxa"/>
            <w:vMerge w:val="continue"/>
            <w:vAlign w:val="center"/>
          </w:tcPr>
          <w:p w14:paraId="5B3389A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3F923D6">
            <w:pPr>
              <w:jc w:val="center"/>
              <w:rPr>
                <w:rFonts w:hint="eastAsia" w:ascii="宋体" w:hAnsi="宋体" w:eastAsia="宋体" w:cs="宋体"/>
                <w:b w:val="0"/>
                <w:bCs w:val="0"/>
                <w:color w:val="auto"/>
                <w:kern w:val="0"/>
                <w:sz w:val="20"/>
                <w:szCs w:val="20"/>
                <w:highlight w:val="none"/>
                <w:lang w:val="en-US" w:eastAsia="zh-CN" w:bidi="ar-SA"/>
              </w:rPr>
            </w:pPr>
          </w:p>
        </w:tc>
      </w:tr>
      <w:tr w14:paraId="52D8F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B16150E">
            <w:pPr>
              <w:spacing w:line="300" w:lineRule="exact"/>
              <w:jc w:val="center"/>
              <w:rPr>
                <w:rFonts w:hint="eastAsia" w:ascii="仿宋" w:hAnsi="仿宋" w:eastAsia="仿宋" w:cs="宋体"/>
                <w:b/>
                <w:bCs/>
                <w:color w:val="auto"/>
                <w:sz w:val="22"/>
                <w:szCs w:val="22"/>
                <w:highlight w:val="none"/>
                <w:lang w:val="en-US" w:eastAsia="zh-CN"/>
              </w:rPr>
            </w:pPr>
            <w:r>
              <w:rPr>
                <w:rFonts w:hint="eastAsia" w:ascii="仿宋" w:hAnsi="仿宋" w:eastAsia="仿宋" w:cs="宋体"/>
                <w:color w:val="auto"/>
                <w:sz w:val="22"/>
                <w:szCs w:val="22"/>
                <w:highlight w:val="none"/>
                <w:lang w:val="en-US" w:eastAsia="zh-CN"/>
              </w:rPr>
              <w:t>969</w:t>
            </w:r>
          </w:p>
        </w:tc>
        <w:tc>
          <w:tcPr>
            <w:tcW w:w="720" w:type="dxa"/>
            <w:vMerge w:val="continue"/>
            <w:vAlign w:val="center"/>
          </w:tcPr>
          <w:p w14:paraId="0983772E">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711B33C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新患者预警通知</w:t>
            </w:r>
          </w:p>
        </w:tc>
        <w:tc>
          <w:tcPr>
            <w:tcW w:w="884" w:type="dxa"/>
            <w:vAlign w:val="center"/>
          </w:tcPr>
          <w:p w14:paraId="4FF0117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新患者预警通知</w:t>
            </w:r>
          </w:p>
        </w:tc>
        <w:tc>
          <w:tcPr>
            <w:tcW w:w="5841" w:type="dxa"/>
            <w:vAlign w:val="center"/>
          </w:tcPr>
          <w:p w14:paraId="0A4E5E4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创伤识别工具一旦识别到创伤患者，系统立即向当前所有值班人员发出紧急预警通知，开通绿色通道，告知各科室相关医护人员做好紧急联合救治准备。</w:t>
            </w:r>
          </w:p>
        </w:tc>
        <w:tc>
          <w:tcPr>
            <w:tcW w:w="733" w:type="dxa"/>
            <w:vMerge w:val="continue"/>
            <w:vAlign w:val="center"/>
          </w:tcPr>
          <w:p w14:paraId="25AC3E9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50A90E8">
            <w:pPr>
              <w:jc w:val="center"/>
              <w:rPr>
                <w:rFonts w:hint="eastAsia" w:ascii="宋体" w:hAnsi="宋体" w:eastAsia="宋体" w:cs="宋体"/>
                <w:b w:val="0"/>
                <w:bCs w:val="0"/>
                <w:color w:val="auto"/>
                <w:kern w:val="0"/>
                <w:sz w:val="20"/>
                <w:szCs w:val="20"/>
                <w:highlight w:val="none"/>
                <w:lang w:val="en-US" w:eastAsia="zh-CN" w:bidi="ar-SA"/>
              </w:rPr>
            </w:pPr>
          </w:p>
        </w:tc>
      </w:tr>
      <w:tr w14:paraId="72393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2A0C331">
            <w:pPr>
              <w:spacing w:line="300" w:lineRule="exact"/>
              <w:jc w:val="center"/>
              <w:rPr>
                <w:rFonts w:hint="eastAsia" w:ascii="仿宋" w:hAnsi="仿宋" w:eastAsia="仿宋" w:cs="宋体"/>
                <w:b/>
                <w:bCs/>
                <w:color w:val="auto"/>
                <w:sz w:val="22"/>
                <w:szCs w:val="22"/>
                <w:highlight w:val="none"/>
                <w:lang w:val="en-US" w:eastAsia="zh-CN"/>
              </w:rPr>
            </w:pPr>
            <w:r>
              <w:rPr>
                <w:rFonts w:hint="eastAsia" w:ascii="仿宋" w:hAnsi="仿宋" w:eastAsia="仿宋" w:cs="宋体"/>
                <w:color w:val="auto"/>
                <w:sz w:val="22"/>
                <w:szCs w:val="22"/>
                <w:highlight w:val="none"/>
                <w:lang w:val="en-US" w:eastAsia="zh-CN"/>
              </w:rPr>
              <w:t>970</w:t>
            </w:r>
          </w:p>
        </w:tc>
        <w:tc>
          <w:tcPr>
            <w:tcW w:w="720" w:type="dxa"/>
            <w:vMerge w:val="continue"/>
            <w:vAlign w:val="center"/>
          </w:tcPr>
          <w:p w14:paraId="4B6CCDF2">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4E71225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专业智能评分</w:t>
            </w:r>
          </w:p>
        </w:tc>
        <w:tc>
          <w:tcPr>
            <w:tcW w:w="884" w:type="dxa"/>
            <w:vAlign w:val="center"/>
          </w:tcPr>
          <w:p w14:paraId="5AF1A2C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专业智能评分</w:t>
            </w:r>
          </w:p>
        </w:tc>
        <w:tc>
          <w:tcPr>
            <w:tcW w:w="5841" w:type="dxa"/>
            <w:vAlign w:val="center"/>
          </w:tcPr>
          <w:p w14:paraId="123961A1">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提供专业的专病评分工具，医护人员通过点选方式智能计算评分分值及分级结果。重点评估评分可以多次记录。系统提供ABCDE评分、ISS评分、GCS评分、RTS评分、TI评分、疼痛评分等内容。</w:t>
            </w:r>
          </w:p>
        </w:tc>
        <w:tc>
          <w:tcPr>
            <w:tcW w:w="733" w:type="dxa"/>
            <w:vMerge w:val="continue"/>
            <w:vAlign w:val="center"/>
          </w:tcPr>
          <w:p w14:paraId="0041C27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D967E97">
            <w:pPr>
              <w:jc w:val="center"/>
              <w:rPr>
                <w:rFonts w:hint="eastAsia" w:ascii="宋体" w:hAnsi="宋体" w:eastAsia="宋体" w:cs="宋体"/>
                <w:b w:val="0"/>
                <w:bCs w:val="0"/>
                <w:color w:val="auto"/>
                <w:kern w:val="0"/>
                <w:sz w:val="20"/>
                <w:szCs w:val="20"/>
                <w:highlight w:val="none"/>
                <w:lang w:val="en-US" w:eastAsia="zh-CN" w:bidi="ar-SA"/>
              </w:rPr>
            </w:pPr>
          </w:p>
        </w:tc>
      </w:tr>
      <w:tr w14:paraId="0C1D3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61BE0AB">
            <w:pPr>
              <w:spacing w:line="300" w:lineRule="exact"/>
              <w:jc w:val="center"/>
              <w:rPr>
                <w:rFonts w:hint="eastAsia" w:ascii="仿宋" w:hAnsi="仿宋" w:eastAsia="仿宋" w:cs="宋体"/>
                <w:b/>
                <w:bCs/>
                <w:color w:val="auto"/>
                <w:sz w:val="22"/>
                <w:szCs w:val="22"/>
                <w:highlight w:val="none"/>
                <w:lang w:val="en-US" w:eastAsia="zh-CN"/>
              </w:rPr>
            </w:pPr>
            <w:r>
              <w:rPr>
                <w:rFonts w:hint="eastAsia" w:ascii="仿宋" w:hAnsi="仿宋" w:eastAsia="仿宋" w:cs="宋体"/>
                <w:color w:val="auto"/>
                <w:sz w:val="22"/>
                <w:szCs w:val="22"/>
                <w:highlight w:val="none"/>
                <w:lang w:val="en-US" w:eastAsia="zh-CN"/>
              </w:rPr>
              <w:t>971</w:t>
            </w:r>
          </w:p>
        </w:tc>
        <w:tc>
          <w:tcPr>
            <w:tcW w:w="720" w:type="dxa"/>
            <w:vMerge w:val="continue"/>
            <w:vAlign w:val="center"/>
          </w:tcPr>
          <w:p w14:paraId="7399707A">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699740D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临床数据实时共享</w:t>
            </w:r>
          </w:p>
        </w:tc>
        <w:tc>
          <w:tcPr>
            <w:tcW w:w="884" w:type="dxa"/>
            <w:vAlign w:val="center"/>
          </w:tcPr>
          <w:p w14:paraId="14EE195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临床数据实时共享</w:t>
            </w:r>
          </w:p>
        </w:tc>
        <w:tc>
          <w:tcPr>
            <w:tcW w:w="5841" w:type="dxa"/>
            <w:vAlign w:val="center"/>
          </w:tcPr>
          <w:p w14:paraId="561BBE6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临床检查报告以即时消息的形式推送。对接院内系统自动获取到报告后第一时间推送至移动端，医护可通过移动端查看患者相关实验室检查报告、影像检查报告等检验检查数据，有效协助临床医生提升诊疗效率。</w:t>
            </w:r>
          </w:p>
        </w:tc>
        <w:tc>
          <w:tcPr>
            <w:tcW w:w="733" w:type="dxa"/>
            <w:vMerge w:val="continue"/>
            <w:vAlign w:val="center"/>
          </w:tcPr>
          <w:p w14:paraId="68DB3E6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4D26B3F">
            <w:pPr>
              <w:jc w:val="center"/>
              <w:rPr>
                <w:rFonts w:hint="eastAsia" w:ascii="宋体" w:hAnsi="宋体" w:eastAsia="宋体" w:cs="宋体"/>
                <w:b w:val="0"/>
                <w:bCs w:val="0"/>
                <w:color w:val="auto"/>
                <w:kern w:val="0"/>
                <w:sz w:val="20"/>
                <w:szCs w:val="20"/>
                <w:highlight w:val="none"/>
                <w:lang w:val="en-US" w:eastAsia="zh-CN" w:bidi="ar-SA"/>
              </w:rPr>
            </w:pPr>
          </w:p>
        </w:tc>
      </w:tr>
      <w:tr w14:paraId="4CB13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A360D2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972</w:t>
            </w:r>
          </w:p>
        </w:tc>
        <w:tc>
          <w:tcPr>
            <w:tcW w:w="720" w:type="dxa"/>
            <w:vMerge w:val="continue"/>
            <w:vAlign w:val="center"/>
          </w:tcPr>
          <w:p w14:paraId="1FEE959A">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244CAFB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自动创建救治小组</w:t>
            </w:r>
          </w:p>
        </w:tc>
        <w:tc>
          <w:tcPr>
            <w:tcW w:w="884" w:type="dxa"/>
            <w:vAlign w:val="center"/>
          </w:tcPr>
          <w:p w14:paraId="60BE78A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自动创建救治小组</w:t>
            </w:r>
          </w:p>
        </w:tc>
        <w:tc>
          <w:tcPr>
            <w:tcW w:w="5841" w:type="dxa"/>
            <w:vAlign w:val="center"/>
          </w:tcPr>
          <w:p w14:paraId="266040A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(1)一旦发现创伤患者，则系统自动创建该患者救治小组。</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(2)救治小组创建后，相关救治人员自动入组。</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(3)手动邀请医护人员加入救治小组参与讨论。</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(4)救治小组讨论消息留痕。</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(5)救治小组多种讨论形式，包括文字、语音、图片、视频等，群组成员可实时获取的相关信息传递。</w:t>
            </w:r>
          </w:p>
        </w:tc>
        <w:tc>
          <w:tcPr>
            <w:tcW w:w="733" w:type="dxa"/>
            <w:vMerge w:val="continue"/>
            <w:vAlign w:val="center"/>
          </w:tcPr>
          <w:p w14:paraId="78AC241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5461799">
            <w:pPr>
              <w:jc w:val="center"/>
              <w:rPr>
                <w:rFonts w:hint="eastAsia" w:ascii="宋体" w:hAnsi="宋体" w:eastAsia="宋体" w:cs="宋体"/>
                <w:b w:val="0"/>
                <w:bCs w:val="0"/>
                <w:color w:val="auto"/>
                <w:kern w:val="0"/>
                <w:sz w:val="20"/>
                <w:szCs w:val="20"/>
                <w:highlight w:val="none"/>
                <w:lang w:val="en-US" w:eastAsia="zh-CN" w:bidi="ar-SA"/>
              </w:rPr>
            </w:pPr>
          </w:p>
        </w:tc>
      </w:tr>
      <w:tr w14:paraId="2E4CD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5B5AA28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973</w:t>
            </w:r>
          </w:p>
        </w:tc>
        <w:tc>
          <w:tcPr>
            <w:tcW w:w="720" w:type="dxa"/>
            <w:vMerge w:val="continue"/>
            <w:vAlign w:val="center"/>
          </w:tcPr>
          <w:p w14:paraId="1AAB9807">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64CD494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病案质控提醒</w:t>
            </w:r>
          </w:p>
        </w:tc>
        <w:tc>
          <w:tcPr>
            <w:tcW w:w="884" w:type="dxa"/>
            <w:vAlign w:val="center"/>
          </w:tcPr>
          <w:p w14:paraId="18AA7B6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病案质控提醒</w:t>
            </w:r>
          </w:p>
        </w:tc>
        <w:tc>
          <w:tcPr>
            <w:tcW w:w="5841" w:type="dxa"/>
            <w:vAlign w:val="center"/>
          </w:tcPr>
          <w:p w14:paraId="429299D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系统自动校验关键质控项是否完成登记，关键质控项未完成登记的强制提醒。</w:t>
            </w:r>
          </w:p>
        </w:tc>
        <w:tc>
          <w:tcPr>
            <w:tcW w:w="733" w:type="dxa"/>
            <w:vMerge w:val="continue"/>
            <w:vAlign w:val="center"/>
          </w:tcPr>
          <w:p w14:paraId="3B0894B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CCD8203">
            <w:pPr>
              <w:jc w:val="center"/>
              <w:rPr>
                <w:rFonts w:hint="eastAsia" w:ascii="宋体" w:hAnsi="宋体" w:eastAsia="宋体" w:cs="宋体"/>
                <w:b w:val="0"/>
                <w:bCs w:val="0"/>
                <w:color w:val="auto"/>
                <w:kern w:val="0"/>
                <w:sz w:val="20"/>
                <w:szCs w:val="20"/>
                <w:highlight w:val="none"/>
                <w:lang w:val="en-US" w:eastAsia="zh-CN" w:bidi="ar-SA"/>
              </w:rPr>
            </w:pPr>
          </w:p>
        </w:tc>
      </w:tr>
      <w:tr w14:paraId="6389A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3EF3B5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974</w:t>
            </w:r>
          </w:p>
        </w:tc>
        <w:tc>
          <w:tcPr>
            <w:tcW w:w="720" w:type="dxa"/>
            <w:vMerge w:val="continue"/>
            <w:vAlign w:val="center"/>
          </w:tcPr>
          <w:p w14:paraId="74B46D39">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6253284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病历填报</w:t>
            </w:r>
          </w:p>
        </w:tc>
        <w:tc>
          <w:tcPr>
            <w:tcW w:w="884" w:type="dxa"/>
            <w:vAlign w:val="center"/>
          </w:tcPr>
          <w:p w14:paraId="1FC97FE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病历填报</w:t>
            </w:r>
          </w:p>
        </w:tc>
        <w:tc>
          <w:tcPr>
            <w:tcW w:w="5841" w:type="dxa"/>
            <w:vAlign w:val="center"/>
          </w:tcPr>
          <w:p w14:paraId="7A8310F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按国家标准病历进行填报，内容包括：患者信息、诊断信息、生命体征、急诊部分、辅助检查、治疗部分、转归等数据的查询与编辑。</w:t>
            </w:r>
          </w:p>
        </w:tc>
        <w:tc>
          <w:tcPr>
            <w:tcW w:w="733" w:type="dxa"/>
            <w:vMerge w:val="continue"/>
            <w:vAlign w:val="center"/>
          </w:tcPr>
          <w:p w14:paraId="1E1AF22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F0834CD">
            <w:pPr>
              <w:jc w:val="center"/>
              <w:rPr>
                <w:rFonts w:hint="eastAsia" w:ascii="宋体" w:hAnsi="宋体" w:eastAsia="宋体" w:cs="宋体"/>
                <w:b w:val="0"/>
                <w:bCs w:val="0"/>
                <w:color w:val="auto"/>
                <w:kern w:val="0"/>
                <w:sz w:val="20"/>
                <w:szCs w:val="20"/>
                <w:highlight w:val="none"/>
                <w:lang w:val="en-US" w:eastAsia="zh-CN" w:bidi="ar-SA"/>
              </w:rPr>
            </w:pPr>
          </w:p>
        </w:tc>
      </w:tr>
      <w:tr w14:paraId="69C18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2E3695C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975</w:t>
            </w:r>
          </w:p>
        </w:tc>
        <w:tc>
          <w:tcPr>
            <w:tcW w:w="720" w:type="dxa"/>
            <w:vMerge w:val="continue"/>
            <w:vAlign w:val="center"/>
          </w:tcPr>
          <w:p w14:paraId="2E3439AD">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2E7AF8C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质控分析</w:t>
            </w:r>
          </w:p>
        </w:tc>
        <w:tc>
          <w:tcPr>
            <w:tcW w:w="884" w:type="dxa"/>
            <w:vAlign w:val="center"/>
          </w:tcPr>
          <w:p w14:paraId="4AD4127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质控分析</w:t>
            </w:r>
          </w:p>
        </w:tc>
        <w:tc>
          <w:tcPr>
            <w:tcW w:w="5841" w:type="dxa"/>
            <w:vAlign w:val="center"/>
          </w:tcPr>
          <w:p w14:paraId="74E8FFF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将已产生的数据进行挖掘分析，数据通过列表、饼状图等方式进行展现。质控统计的内容包括并不限于以下的内容：抢救室滞留时间、创伤执行时间分布情况、严重创伤患者抢救成功率等。</w:t>
            </w:r>
          </w:p>
        </w:tc>
        <w:tc>
          <w:tcPr>
            <w:tcW w:w="733" w:type="dxa"/>
            <w:vMerge w:val="continue"/>
            <w:vAlign w:val="center"/>
          </w:tcPr>
          <w:p w14:paraId="0DC5548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F6B0F58">
            <w:pPr>
              <w:jc w:val="center"/>
              <w:rPr>
                <w:rFonts w:hint="eastAsia" w:ascii="宋体" w:hAnsi="宋体" w:eastAsia="宋体" w:cs="宋体"/>
                <w:b w:val="0"/>
                <w:bCs w:val="0"/>
                <w:color w:val="auto"/>
                <w:kern w:val="0"/>
                <w:sz w:val="20"/>
                <w:szCs w:val="20"/>
                <w:highlight w:val="none"/>
                <w:lang w:val="en-US" w:eastAsia="zh-CN" w:bidi="ar-SA"/>
              </w:rPr>
            </w:pPr>
          </w:p>
        </w:tc>
      </w:tr>
      <w:tr w14:paraId="7D91F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14:paraId="7F7E614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976</w:t>
            </w:r>
          </w:p>
        </w:tc>
        <w:tc>
          <w:tcPr>
            <w:tcW w:w="720" w:type="dxa"/>
            <w:vMerge w:val="continue"/>
            <w:vAlign w:val="center"/>
          </w:tcPr>
          <w:p w14:paraId="6A8C2E79">
            <w:pPr>
              <w:jc w:val="center"/>
              <w:rPr>
                <w:rFonts w:hint="eastAsia" w:ascii="宋体" w:hAnsi="宋体" w:eastAsia="宋体" w:cs="宋体"/>
                <w:b/>
                <w:color w:val="auto"/>
                <w:sz w:val="24"/>
                <w:szCs w:val="24"/>
                <w:highlight w:val="none"/>
                <w:vertAlign w:val="baseline"/>
                <w:lang w:eastAsia="zh-CN"/>
              </w:rPr>
            </w:pPr>
          </w:p>
        </w:tc>
        <w:tc>
          <w:tcPr>
            <w:tcW w:w="875" w:type="dxa"/>
            <w:vAlign w:val="center"/>
          </w:tcPr>
          <w:p w14:paraId="3D83252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创伤数据采集上报</w:t>
            </w:r>
          </w:p>
        </w:tc>
        <w:tc>
          <w:tcPr>
            <w:tcW w:w="884" w:type="dxa"/>
            <w:vAlign w:val="center"/>
          </w:tcPr>
          <w:p w14:paraId="1243D14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创伤数据采集上报</w:t>
            </w:r>
          </w:p>
        </w:tc>
        <w:tc>
          <w:tcPr>
            <w:tcW w:w="5841" w:type="dxa"/>
            <w:vAlign w:val="center"/>
          </w:tcPr>
          <w:p w14:paraId="28CC0BD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创伤中心数据上报到指定数据平台。</w:t>
            </w:r>
          </w:p>
        </w:tc>
        <w:tc>
          <w:tcPr>
            <w:tcW w:w="733" w:type="dxa"/>
            <w:vMerge w:val="continue"/>
            <w:vAlign w:val="center"/>
          </w:tcPr>
          <w:p w14:paraId="4EF7B0F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6D732AF">
            <w:pPr>
              <w:jc w:val="center"/>
              <w:rPr>
                <w:rFonts w:hint="eastAsia" w:ascii="宋体" w:hAnsi="宋体" w:eastAsia="宋体" w:cs="宋体"/>
                <w:b w:val="0"/>
                <w:bCs w:val="0"/>
                <w:color w:val="auto"/>
                <w:kern w:val="0"/>
                <w:sz w:val="20"/>
                <w:szCs w:val="20"/>
                <w:highlight w:val="none"/>
                <w:lang w:val="en-US" w:eastAsia="zh-CN" w:bidi="ar-SA"/>
              </w:rPr>
            </w:pPr>
          </w:p>
        </w:tc>
      </w:tr>
    </w:tbl>
    <w:p w14:paraId="791D282D">
      <w:pPr>
        <w:pStyle w:val="2"/>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highlight w:val="yellow"/>
          <w:lang w:val="en-US" w:eastAsia="zh-CN"/>
        </w:rPr>
        <w:t>（二）-19：HIS接口改造</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625"/>
        <w:gridCol w:w="2525"/>
        <w:gridCol w:w="5075"/>
        <w:gridCol w:w="733"/>
        <w:gridCol w:w="714"/>
      </w:tblGrid>
      <w:tr w14:paraId="040D3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3529778B">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序号</w:t>
            </w:r>
          </w:p>
        </w:tc>
        <w:tc>
          <w:tcPr>
            <w:tcW w:w="3150" w:type="dxa"/>
            <w:gridSpan w:val="2"/>
            <w:vAlign w:val="center"/>
          </w:tcPr>
          <w:p w14:paraId="5AD8B48E">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建设概要</w:t>
            </w:r>
          </w:p>
        </w:tc>
        <w:tc>
          <w:tcPr>
            <w:tcW w:w="5075" w:type="dxa"/>
            <w:vAlign w:val="center"/>
          </w:tcPr>
          <w:p w14:paraId="10080A27">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1C76986B">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单位</w:t>
            </w:r>
          </w:p>
        </w:tc>
        <w:tc>
          <w:tcPr>
            <w:tcW w:w="714" w:type="dxa"/>
            <w:vAlign w:val="center"/>
          </w:tcPr>
          <w:p w14:paraId="2EADD999">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数量</w:t>
            </w:r>
          </w:p>
        </w:tc>
      </w:tr>
      <w:tr w14:paraId="5340F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678" w:type="dxa"/>
            <w:vAlign w:val="center"/>
          </w:tcPr>
          <w:p w14:paraId="715B1F3D">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977</w:t>
            </w:r>
          </w:p>
        </w:tc>
        <w:tc>
          <w:tcPr>
            <w:tcW w:w="625" w:type="dxa"/>
            <w:vMerge w:val="restart"/>
            <w:vAlign w:val="center"/>
          </w:tcPr>
          <w:p w14:paraId="369904AE">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互联网医院对接</w:t>
            </w:r>
          </w:p>
        </w:tc>
        <w:tc>
          <w:tcPr>
            <w:tcW w:w="2525" w:type="dxa"/>
            <w:vAlign w:val="center"/>
          </w:tcPr>
          <w:p w14:paraId="646B962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预约挂号判断</w:t>
            </w:r>
          </w:p>
        </w:tc>
        <w:tc>
          <w:tcPr>
            <w:tcW w:w="5075" w:type="dxa"/>
            <w:vAlign w:val="center"/>
          </w:tcPr>
          <w:p w14:paraId="2C74FE9A">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对互联网医院提供预约挂号判断接口。</w:t>
            </w:r>
          </w:p>
        </w:tc>
        <w:tc>
          <w:tcPr>
            <w:tcW w:w="733" w:type="dxa"/>
            <w:vMerge w:val="restart"/>
            <w:vAlign w:val="center"/>
          </w:tcPr>
          <w:p w14:paraId="53F16B3B">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10FEA70C">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12</w:t>
            </w:r>
          </w:p>
        </w:tc>
      </w:tr>
      <w:tr w14:paraId="5897C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073F58D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978</w:t>
            </w:r>
          </w:p>
        </w:tc>
        <w:tc>
          <w:tcPr>
            <w:tcW w:w="625" w:type="dxa"/>
            <w:vMerge w:val="continue"/>
            <w:vAlign w:val="center"/>
          </w:tcPr>
          <w:p w14:paraId="0B98E455">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6E7E149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挂号信息回写</w:t>
            </w:r>
          </w:p>
        </w:tc>
        <w:tc>
          <w:tcPr>
            <w:tcW w:w="5075" w:type="dxa"/>
            <w:vAlign w:val="center"/>
          </w:tcPr>
          <w:p w14:paraId="0A269920">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对互联网医院提供挂号信息回写接口。</w:t>
            </w:r>
          </w:p>
        </w:tc>
        <w:tc>
          <w:tcPr>
            <w:tcW w:w="733" w:type="dxa"/>
            <w:vMerge w:val="continue"/>
            <w:vAlign w:val="center"/>
          </w:tcPr>
          <w:p w14:paraId="22237FA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1014383">
            <w:pPr>
              <w:jc w:val="center"/>
              <w:rPr>
                <w:rFonts w:hint="eastAsia" w:ascii="宋体" w:hAnsi="宋体" w:eastAsia="宋体" w:cs="宋体"/>
                <w:b w:val="0"/>
                <w:bCs w:val="0"/>
                <w:color w:val="auto"/>
                <w:kern w:val="0"/>
                <w:sz w:val="20"/>
                <w:szCs w:val="20"/>
                <w:highlight w:val="none"/>
                <w:lang w:val="en-US" w:eastAsia="zh-CN" w:bidi="ar-SA"/>
              </w:rPr>
            </w:pPr>
          </w:p>
        </w:tc>
      </w:tr>
      <w:tr w14:paraId="30C76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42C161D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979</w:t>
            </w:r>
          </w:p>
        </w:tc>
        <w:tc>
          <w:tcPr>
            <w:tcW w:w="625" w:type="dxa"/>
            <w:vMerge w:val="continue"/>
            <w:vAlign w:val="center"/>
          </w:tcPr>
          <w:p w14:paraId="271CF95E">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4ECC019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处方条件判断</w:t>
            </w:r>
          </w:p>
        </w:tc>
        <w:tc>
          <w:tcPr>
            <w:tcW w:w="5075" w:type="dxa"/>
            <w:vAlign w:val="center"/>
          </w:tcPr>
          <w:p w14:paraId="73B397D3">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对互联网医院提供处方条件判断接口。</w:t>
            </w:r>
          </w:p>
        </w:tc>
        <w:tc>
          <w:tcPr>
            <w:tcW w:w="733" w:type="dxa"/>
            <w:vMerge w:val="continue"/>
            <w:vAlign w:val="center"/>
          </w:tcPr>
          <w:p w14:paraId="0AB5A01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74C91DF">
            <w:pPr>
              <w:jc w:val="center"/>
              <w:rPr>
                <w:rFonts w:hint="eastAsia" w:ascii="宋体" w:hAnsi="宋体" w:eastAsia="宋体" w:cs="宋体"/>
                <w:b w:val="0"/>
                <w:bCs w:val="0"/>
                <w:color w:val="auto"/>
                <w:kern w:val="0"/>
                <w:sz w:val="20"/>
                <w:szCs w:val="20"/>
                <w:highlight w:val="none"/>
                <w:lang w:val="en-US" w:eastAsia="zh-CN" w:bidi="ar-SA"/>
              </w:rPr>
            </w:pPr>
          </w:p>
        </w:tc>
      </w:tr>
      <w:tr w14:paraId="03D3E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0CE0185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980</w:t>
            </w:r>
          </w:p>
        </w:tc>
        <w:tc>
          <w:tcPr>
            <w:tcW w:w="625" w:type="dxa"/>
            <w:vMerge w:val="continue"/>
            <w:vAlign w:val="center"/>
          </w:tcPr>
          <w:p w14:paraId="3AFEDA69">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3E32926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处方、检查、检验信息回写</w:t>
            </w:r>
          </w:p>
        </w:tc>
        <w:tc>
          <w:tcPr>
            <w:tcW w:w="5075" w:type="dxa"/>
            <w:vAlign w:val="center"/>
          </w:tcPr>
          <w:p w14:paraId="6CBEA8FF">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对互联网医院提供处方、检查、检验信息回写接口。</w:t>
            </w:r>
          </w:p>
        </w:tc>
        <w:tc>
          <w:tcPr>
            <w:tcW w:w="733" w:type="dxa"/>
            <w:vMerge w:val="continue"/>
            <w:vAlign w:val="center"/>
          </w:tcPr>
          <w:p w14:paraId="2F9EBA9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F43CCD8">
            <w:pPr>
              <w:jc w:val="center"/>
              <w:rPr>
                <w:rFonts w:hint="eastAsia" w:ascii="宋体" w:hAnsi="宋体" w:eastAsia="宋体" w:cs="宋体"/>
                <w:b w:val="0"/>
                <w:bCs w:val="0"/>
                <w:color w:val="auto"/>
                <w:kern w:val="0"/>
                <w:sz w:val="20"/>
                <w:szCs w:val="20"/>
                <w:highlight w:val="none"/>
                <w:lang w:val="en-US" w:eastAsia="zh-CN" w:bidi="ar-SA"/>
              </w:rPr>
            </w:pPr>
          </w:p>
        </w:tc>
      </w:tr>
      <w:tr w14:paraId="0F91F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474BB4D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981</w:t>
            </w:r>
          </w:p>
        </w:tc>
        <w:tc>
          <w:tcPr>
            <w:tcW w:w="625" w:type="dxa"/>
            <w:vMerge w:val="continue"/>
            <w:vAlign w:val="center"/>
          </w:tcPr>
          <w:p w14:paraId="1B0F52A5">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694BBC6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挂号费退费判断</w:t>
            </w:r>
          </w:p>
        </w:tc>
        <w:tc>
          <w:tcPr>
            <w:tcW w:w="5075" w:type="dxa"/>
            <w:vAlign w:val="center"/>
          </w:tcPr>
          <w:p w14:paraId="4CA651D5">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对互联网医院提供挂号费退费判断接口。</w:t>
            </w:r>
          </w:p>
        </w:tc>
        <w:tc>
          <w:tcPr>
            <w:tcW w:w="733" w:type="dxa"/>
            <w:vMerge w:val="continue"/>
            <w:vAlign w:val="center"/>
          </w:tcPr>
          <w:p w14:paraId="4ADE9B6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9A6EB08">
            <w:pPr>
              <w:jc w:val="center"/>
              <w:rPr>
                <w:rFonts w:hint="eastAsia" w:ascii="宋体" w:hAnsi="宋体" w:eastAsia="宋体" w:cs="宋体"/>
                <w:b w:val="0"/>
                <w:bCs w:val="0"/>
                <w:color w:val="auto"/>
                <w:kern w:val="0"/>
                <w:sz w:val="20"/>
                <w:szCs w:val="20"/>
                <w:highlight w:val="none"/>
                <w:lang w:val="en-US" w:eastAsia="zh-CN" w:bidi="ar-SA"/>
              </w:rPr>
            </w:pPr>
          </w:p>
        </w:tc>
      </w:tr>
      <w:tr w14:paraId="10906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5EFC227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982</w:t>
            </w:r>
          </w:p>
        </w:tc>
        <w:tc>
          <w:tcPr>
            <w:tcW w:w="625" w:type="dxa"/>
            <w:vMerge w:val="continue"/>
            <w:vAlign w:val="center"/>
          </w:tcPr>
          <w:p w14:paraId="3D29DE34">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168AD88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挂号退费完成通知</w:t>
            </w:r>
          </w:p>
        </w:tc>
        <w:tc>
          <w:tcPr>
            <w:tcW w:w="5075" w:type="dxa"/>
            <w:vAlign w:val="center"/>
          </w:tcPr>
          <w:p w14:paraId="156C709D">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对互联网医院提供挂号退费完成通知接口。</w:t>
            </w:r>
          </w:p>
        </w:tc>
        <w:tc>
          <w:tcPr>
            <w:tcW w:w="733" w:type="dxa"/>
            <w:vMerge w:val="continue"/>
            <w:vAlign w:val="center"/>
          </w:tcPr>
          <w:p w14:paraId="5FA840A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DDE6C5E">
            <w:pPr>
              <w:jc w:val="center"/>
              <w:rPr>
                <w:rFonts w:hint="eastAsia" w:ascii="宋体" w:hAnsi="宋体" w:eastAsia="宋体" w:cs="宋体"/>
                <w:b w:val="0"/>
                <w:bCs w:val="0"/>
                <w:color w:val="auto"/>
                <w:kern w:val="0"/>
                <w:sz w:val="20"/>
                <w:szCs w:val="20"/>
                <w:highlight w:val="none"/>
                <w:lang w:val="en-US" w:eastAsia="zh-CN" w:bidi="ar-SA"/>
              </w:rPr>
            </w:pPr>
          </w:p>
        </w:tc>
      </w:tr>
      <w:tr w14:paraId="7CBFD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4661266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983</w:t>
            </w:r>
          </w:p>
        </w:tc>
        <w:tc>
          <w:tcPr>
            <w:tcW w:w="625" w:type="dxa"/>
            <w:vMerge w:val="continue"/>
            <w:vAlign w:val="center"/>
          </w:tcPr>
          <w:p w14:paraId="63003A84">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029C126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就诊完成后患者诊断等信息</w:t>
            </w:r>
          </w:p>
        </w:tc>
        <w:tc>
          <w:tcPr>
            <w:tcW w:w="5075" w:type="dxa"/>
            <w:vAlign w:val="center"/>
          </w:tcPr>
          <w:p w14:paraId="76975E37">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对互联网医院提供就诊完成后患者诊断等信息接口。</w:t>
            </w:r>
          </w:p>
        </w:tc>
        <w:tc>
          <w:tcPr>
            <w:tcW w:w="733" w:type="dxa"/>
            <w:vMerge w:val="continue"/>
            <w:vAlign w:val="center"/>
          </w:tcPr>
          <w:p w14:paraId="3A9D0CB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0D55ABF">
            <w:pPr>
              <w:jc w:val="center"/>
              <w:rPr>
                <w:rFonts w:hint="eastAsia" w:ascii="宋体" w:hAnsi="宋体" w:eastAsia="宋体" w:cs="宋体"/>
                <w:b w:val="0"/>
                <w:bCs w:val="0"/>
                <w:color w:val="auto"/>
                <w:kern w:val="0"/>
                <w:sz w:val="20"/>
                <w:szCs w:val="20"/>
                <w:highlight w:val="none"/>
                <w:lang w:val="en-US" w:eastAsia="zh-CN" w:bidi="ar-SA"/>
              </w:rPr>
            </w:pPr>
          </w:p>
        </w:tc>
      </w:tr>
      <w:tr w14:paraId="0B048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6BAA265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984</w:t>
            </w:r>
          </w:p>
        </w:tc>
        <w:tc>
          <w:tcPr>
            <w:tcW w:w="625" w:type="dxa"/>
            <w:vMerge w:val="continue"/>
            <w:vAlign w:val="center"/>
          </w:tcPr>
          <w:p w14:paraId="6B9AE2EB">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6C297C3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药师端发药信息回传</w:t>
            </w:r>
          </w:p>
        </w:tc>
        <w:tc>
          <w:tcPr>
            <w:tcW w:w="5075" w:type="dxa"/>
            <w:vAlign w:val="center"/>
          </w:tcPr>
          <w:p w14:paraId="55C9EF78">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对互联网医院提供药师端发药信息回传接口。</w:t>
            </w:r>
          </w:p>
        </w:tc>
        <w:tc>
          <w:tcPr>
            <w:tcW w:w="733" w:type="dxa"/>
            <w:vMerge w:val="continue"/>
            <w:vAlign w:val="center"/>
          </w:tcPr>
          <w:p w14:paraId="7DB0C03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9D0D9E2">
            <w:pPr>
              <w:jc w:val="center"/>
              <w:rPr>
                <w:rFonts w:hint="eastAsia" w:ascii="宋体" w:hAnsi="宋体" w:eastAsia="宋体" w:cs="宋体"/>
                <w:b w:val="0"/>
                <w:bCs w:val="0"/>
                <w:color w:val="auto"/>
                <w:kern w:val="0"/>
                <w:sz w:val="20"/>
                <w:szCs w:val="20"/>
                <w:highlight w:val="none"/>
                <w:lang w:val="en-US" w:eastAsia="zh-CN" w:bidi="ar-SA"/>
              </w:rPr>
            </w:pPr>
          </w:p>
        </w:tc>
      </w:tr>
      <w:tr w14:paraId="513C3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7C1608C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985</w:t>
            </w:r>
          </w:p>
        </w:tc>
        <w:tc>
          <w:tcPr>
            <w:tcW w:w="625" w:type="dxa"/>
            <w:vMerge w:val="continue"/>
            <w:vAlign w:val="center"/>
          </w:tcPr>
          <w:p w14:paraId="77215D70">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150B30F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缴费单退费判断</w:t>
            </w:r>
          </w:p>
        </w:tc>
        <w:tc>
          <w:tcPr>
            <w:tcW w:w="5075" w:type="dxa"/>
            <w:vAlign w:val="center"/>
          </w:tcPr>
          <w:p w14:paraId="229F54BD">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对互联网医院提供缴费单退费判断接口。</w:t>
            </w:r>
          </w:p>
        </w:tc>
        <w:tc>
          <w:tcPr>
            <w:tcW w:w="733" w:type="dxa"/>
            <w:vMerge w:val="continue"/>
            <w:vAlign w:val="center"/>
          </w:tcPr>
          <w:p w14:paraId="415F9A3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4F3D760">
            <w:pPr>
              <w:jc w:val="center"/>
              <w:rPr>
                <w:rFonts w:hint="eastAsia" w:ascii="宋体" w:hAnsi="宋体" w:eastAsia="宋体" w:cs="宋体"/>
                <w:b w:val="0"/>
                <w:bCs w:val="0"/>
                <w:color w:val="auto"/>
                <w:kern w:val="0"/>
                <w:sz w:val="20"/>
                <w:szCs w:val="20"/>
                <w:highlight w:val="none"/>
                <w:lang w:val="en-US" w:eastAsia="zh-CN" w:bidi="ar-SA"/>
              </w:rPr>
            </w:pPr>
          </w:p>
        </w:tc>
      </w:tr>
      <w:tr w14:paraId="77A7D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491E061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986</w:t>
            </w:r>
          </w:p>
        </w:tc>
        <w:tc>
          <w:tcPr>
            <w:tcW w:w="625" w:type="dxa"/>
            <w:vMerge w:val="continue"/>
            <w:vAlign w:val="center"/>
          </w:tcPr>
          <w:p w14:paraId="3BCDE9B3">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0A0EEB9B">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云端缴费单退费信息回传</w:t>
            </w:r>
          </w:p>
        </w:tc>
        <w:tc>
          <w:tcPr>
            <w:tcW w:w="5075" w:type="dxa"/>
            <w:vAlign w:val="center"/>
          </w:tcPr>
          <w:p w14:paraId="14CA1C1E">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对互联网医院提供云端缴费单退费信息回传接口。</w:t>
            </w:r>
          </w:p>
        </w:tc>
        <w:tc>
          <w:tcPr>
            <w:tcW w:w="733" w:type="dxa"/>
            <w:vMerge w:val="continue"/>
            <w:vAlign w:val="center"/>
          </w:tcPr>
          <w:p w14:paraId="4277194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27A958C">
            <w:pPr>
              <w:jc w:val="center"/>
              <w:rPr>
                <w:rFonts w:hint="eastAsia" w:ascii="宋体" w:hAnsi="宋体" w:eastAsia="宋体" w:cs="宋体"/>
                <w:b w:val="0"/>
                <w:bCs w:val="0"/>
                <w:color w:val="auto"/>
                <w:kern w:val="0"/>
                <w:sz w:val="20"/>
                <w:szCs w:val="20"/>
                <w:highlight w:val="none"/>
                <w:lang w:val="en-US" w:eastAsia="zh-CN" w:bidi="ar-SA"/>
              </w:rPr>
            </w:pPr>
          </w:p>
        </w:tc>
      </w:tr>
      <w:tr w14:paraId="78673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32D43E2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987</w:t>
            </w:r>
          </w:p>
        </w:tc>
        <w:tc>
          <w:tcPr>
            <w:tcW w:w="625" w:type="dxa"/>
            <w:vMerge w:val="continue"/>
            <w:vAlign w:val="center"/>
          </w:tcPr>
          <w:p w14:paraId="574D8942">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0D5FBD9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HIS发药消息回写</w:t>
            </w:r>
          </w:p>
        </w:tc>
        <w:tc>
          <w:tcPr>
            <w:tcW w:w="5075" w:type="dxa"/>
            <w:vAlign w:val="center"/>
          </w:tcPr>
          <w:p w14:paraId="724E2BE9">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对互联网医院提供HIS发药消息回写接口。</w:t>
            </w:r>
          </w:p>
        </w:tc>
        <w:tc>
          <w:tcPr>
            <w:tcW w:w="733" w:type="dxa"/>
            <w:vMerge w:val="continue"/>
            <w:vAlign w:val="center"/>
          </w:tcPr>
          <w:p w14:paraId="413F8E3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8CC4C03">
            <w:pPr>
              <w:jc w:val="center"/>
              <w:rPr>
                <w:rFonts w:hint="eastAsia" w:ascii="宋体" w:hAnsi="宋体" w:eastAsia="宋体" w:cs="宋体"/>
                <w:b w:val="0"/>
                <w:bCs w:val="0"/>
                <w:color w:val="auto"/>
                <w:kern w:val="0"/>
                <w:sz w:val="20"/>
                <w:szCs w:val="20"/>
                <w:highlight w:val="none"/>
                <w:lang w:val="en-US" w:eastAsia="zh-CN" w:bidi="ar-SA"/>
              </w:rPr>
            </w:pPr>
          </w:p>
        </w:tc>
      </w:tr>
      <w:tr w14:paraId="782B7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03F43C7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988</w:t>
            </w:r>
          </w:p>
        </w:tc>
        <w:tc>
          <w:tcPr>
            <w:tcW w:w="625" w:type="dxa"/>
            <w:vMerge w:val="continue"/>
            <w:vAlign w:val="center"/>
          </w:tcPr>
          <w:p w14:paraId="4644DD80">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361835B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线下退挂号费，同步线上</w:t>
            </w:r>
          </w:p>
        </w:tc>
        <w:tc>
          <w:tcPr>
            <w:tcW w:w="5075" w:type="dxa"/>
            <w:vAlign w:val="center"/>
          </w:tcPr>
          <w:p w14:paraId="00F75E52">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对互联网医院提供线下退挂号费，同步线上接口。</w:t>
            </w:r>
          </w:p>
        </w:tc>
        <w:tc>
          <w:tcPr>
            <w:tcW w:w="733" w:type="dxa"/>
            <w:vMerge w:val="continue"/>
            <w:vAlign w:val="center"/>
          </w:tcPr>
          <w:p w14:paraId="43AD489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29C248F">
            <w:pPr>
              <w:jc w:val="center"/>
              <w:rPr>
                <w:rFonts w:hint="eastAsia" w:ascii="宋体" w:hAnsi="宋体" w:eastAsia="宋体" w:cs="宋体"/>
                <w:b w:val="0"/>
                <w:bCs w:val="0"/>
                <w:color w:val="auto"/>
                <w:kern w:val="0"/>
                <w:sz w:val="20"/>
                <w:szCs w:val="20"/>
                <w:highlight w:val="none"/>
                <w:lang w:val="en-US" w:eastAsia="zh-CN" w:bidi="ar-SA"/>
              </w:rPr>
            </w:pPr>
          </w:p>
        </w:tc>
      </w:tr>
      <w:tr w14:paraId="666EC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10CD33D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989</w:t>
            </w:r>
          </w:p>
        </w:tc>
        <w:tc>
          <w:tcPr>
            <w:tcW w:w="625" w:type="dxa"/>
            <w:vMerge w:val="continue"/>
            <w:vAlign w:val="center"/>
          </w:tcPr>
          <w:p w14:paraId="650471FE">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7FA0768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线下退缴费单，同步线上</w:t>
            </w:r>
          </w:p>
        </w:tc>
        <w:tc>
          <w:tcPr>
            <w:tcW w:w="5075" w:type="dxa"/>
            <w:vAlign w:val="center"/>
          </w:tcPr>
          <w:p w14:paraId="29A2A8A4">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对互联网医院提供线下退缴费单，同步线上接口。</w:t>
            </w:r>
          </w:p>
        </w:tc>
        <w:tc>
          <w:tcPr>
            <w:tcW w:w="733" w:type="dxa"/>
            <w:vMerge w:val="continue"/>
            <w:vAlign w:val="center"/>
          </w:tcPr>
          <w:p w14:paraId="589AC57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F87EE82">
            <w:pPr>
              <w:jc w:val="center"/>
              <w:rPr>
                <w:rFonts w:hint="eastAsia" w:ascii="宋体" w:hAnsi="宋体" w:eastAsia="宋体" w:cs="宋体"/>
                <w:b w:val="0"/>
                <w:bCs w:val="0"/>
                <w:color w:val="auto"/>
                <w:kern w:val="0"/>
                <w:sz w:val="20"/>
                <w:szCs w:val="20"/>
                <w:highlight w:val="none"/>
                <w:lang w:val="en-US" w:eastAsia="zh-CN" w:bidi="ar-SA"/>
              </w:rPr>
            </w:pPr>
          </w:p>
        </w:tc>
      </w:tr>
      <w:tr w14:paraId="1DC40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05115D6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990</w:t>
            </w:r>
          </w:p>
        </w:tc>
        <w:tc>
          <w:tcPr>
            <w:tcW w:w="625" w:type="dxa"/>
            <w:vMerge w:val="continue"/>
            <w:vAlign w:val="center"/>
          </w:tcPr>
          <w:p w14:paraId="3EEBAB14">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378CB89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互联网电子病历回写到EMR</w:t>
            </w:r>
          </w:p>
        </w:tc>
        <w:tc>
          <w:tcPr>
            <w:tcW w:w="5075" w:type="dxa"/>
            <w:vAlign w:val="center"/>
          </w:tcPr>
          <w:p w14:paraId="4E9B442E">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对互联网医院提供互联网电子病历回写到EMR接口。</w:t>
            </w:r>
          </w:p>
        </w:tc>
        <w:tc>
          <w:tcPr>
            <w:tcW w:w="733" w:type="dxa"/>
            <w:vMerge w:val="continue"/>
            <w:vAlign w:val="center"/>
          </w:tcPr>
          <w:p w14:paraId="30E08C1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FC8B2F4">
            <w:pPr>
              <w:jc w:val="center"/>
              <w:rPr>
                <w:rFonts w:hint="eastAsia" w:ascii="宋体" w:hAnsi="宋体" w:eastAsia="宋体" w:cs="宋体"/>
                <w:b w:val="0"/>
                <w:bCs w:val="0"/>
                <w:color w:val="auto"/>
                <w:kern w:val="0"/>
                <w:sz w:val="20"/>
                <w:szCs w:val="20"/>
                <w:highlight w:val="none"/>
                <w:lang w:val="en-US" w:eastAsia="zh-CN" w:bidi="ar-SA"/>
              </w:rPr>
            </w:pPr>
          </w:p>
        </w:tc>
      </w:tr>
      <w:tr w14:paraId="51033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167C006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991</w:t>
            </w:r>
          </w:p>
        </w:tc>
        <w:tc>
          <w:tcPr>
            <w:tcW w:w="625" w:type="dxa"/>
            <w:vMerge w:val="continue"/>
            <w:vAlign w:val="center"/>
          </w:tcPr>
          <w:p w14:paraId="15B800C1">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7DF433D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可开立药品查询字典</w:t>
            </w:r>
          </w:p>
        </w:tc>
        <w:tc>
          <w:tcPr>
            <w:tcW w:w="5075" w:type="dxa"/>
            <w:vAlign w:val="center"/>
          </w:tcPr>
          <w:p w14:paraId="006A03A3">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对互联网医院提供可开立药品查询字典（南北院）接口。</w:t>
            </w:r>
          </w:p>
        </w:tc>
        <w:tc>
          <w:tcPr>
            <w:tcW w:w="733" w:type="dxa"/>
            <w:vMerge w:val="continue"/>
            <w:vAlign w:val="center"/>
          </w:tcPr>
          <w:p w14:paraId="1FC2049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2B6282C">
            <w:pPr>
              <w:jc w:val="center"/>
              <w:rPr>
                <w:rFonts w:hint="eastAsia" w:ascii="宋体" w:hAnsi="宋体" w:eastAsia="宋体" w:cs="宋体"/>
                <w:b w:val="0"/>
                <w:bCs w:val="0"/>
                <w:color w:val="auto"/>
                <w:kern w:val="0"/>
                <w:sz w:val="20"/>
                <w:szCs w:val="20"/>
                <w:highlight w:val="none"/>
                <w:lang w:val="en-US" w:eastAsia="zh-CN" w:bidi="ar-SA"/>
              </w:rPr>
            </w:pPr>
          </w:p>
        </w:tc>
      </w:tr>
      <w:tr w14:paraId="51E9C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478B189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992</w:t>
            </w:r>
          </w:p>
        </w:tc>
        <w:tc>
          <w:tcPr>
            <w:tcW w:w="625" w:type="dxa"/>
            <w:vMerge w:val="continue"/>
            <w:vAlign w:val="center"/>
          </w:tcPr>
          <w:p w14:paraId="3D7E944E">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74E990D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检查项目字典</w:t>
            </w:r>
          </w:p>
        </w:tc>
        <w:tc>
          <w:tcPr>
            <w:tcW w:w="5075" w:type="dxa"/>
            <w:vAlign w:val="center"/>
          </w:tcPr>
          <w:p w14:paraId="0805F2F9">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对互联网医院提供检查项目字典接口。</w:t>
            </w:r>
          </w:p>
        </w:tc>
        <w:tc>
          <w:tcPr>
            <w:tcW w:w="733" w:type="dxa"/>
            <w:vMerge w:val="continue"/>
            <w:vAlign w:val="center"/>
          </w:tcPr>
          <w:p w14:paraId="3F7565B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DD86023">
            <w:pPr>
              <w:jc w:val="center"/>
              <w:rPr>
                <w:rFonts w:hint="eastAsia" w:ascii="宋体" w:hAnsi="宋体" w:eastAsia="宋体" w:cs="宋体"/>
                <w:b w:val="0"/>
                <w:bCs w:val="0"/>
                <w:color w:val="auto"/>
                <w:kern w:val="0"/>
                <w:sz w:val="20"/>
                <w:szCs w:val="20"/>
                <w:highlight w:val="none"/>
                <w:lang w:val="en-US" w:eastAsia="zh-CN" w:bidi="ar-SA"/>
              </w:rPr>
            </w:pPr>
          </w:p>
        </w:tc>
      </w:tr>
      <w:tr w14:paraId="6AE03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232E9284">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993</w:t>
            </w:r>
          </w:p>
        </w:tc>
        <w:tc>
          <w:tcPr>
            <w:tcW w:w="625" w:type="dxa"/>
            <w:vMerge w:val="continue"/>
            <w:vAlign w:val="center"/>
          </w:tcPr>
          <w:p w14:paraId="10191CB3">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3C3F816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检验项目字典</w:t>
            </w:r>
          </w:p>
        </w:tc>
        <w:tc>
          <w:tcPr>
            <w:tcW w:w="5075" w:type="dxa"/>
            <w:vAlign w:val="center"/>
          </w:tcPr>
          <w:p w14:paraId="1629EA9C">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对互联网医院提供检验项目字典接口。</w:t>
            </w:r>
          </w:p>
        </w:tc>
        <w:tc>
          <w:tcPr>
            <w:tcW w:w="733" w:type="dxa"/>
            <w:vMerge w:val="continue"/>
            <w:vAlign w:val="center"/>
          </w:tcPr>
          <w:p w14:paraId="2B41241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D5713A7">
            <w:pPr>
              <w:jc w:val="center"/>
              <w:rPr>
                <w:rFonts w:hint="eastAsia" w:ascii="宋体" w:hAnsi="宋体" w:eastAsia="宋体" w:cs="宋体"/>
                <w:b w:val="0"/>
                <w:bCs w:val="0"/>
                <w:color w:val="auto"/>
                <w:kern w:val="0"/>
                <w:sz w:val="20"/>
                <w:szCs w:val="20"/>
                <w:highlight w:val="none"/>
                <w:lang w:val="en-US" w:eastAsia="zh-CN" w:bidi="ar-SA"/>
              </w:rPr>
            </w:pPr>
          </w:p>
        </w:tc>
      </w:tr>
      <w:tr w14:paraId="79E29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2B387EE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994</w:t>
            </w:r>
          </w:p>
        </w:tc>
        <w:tc>
          <w:tcPr>
            <w:tcW w:w="625" w:type="dxa"/>
            <w:vMerge w:val="restart"/>
            <w:vAlign w:val="center"/>
          </w:tcPr>
          <w:p w14:paraId="3D440E04">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院内急诊对接</w:t>
            </w:r>
          </w:p>
        </w:tc>
        <w:tc>
          <w:tcPr>
            <w:tcW w:w="2525" w:type="dxa"/>
            <w:vAlign w:val="center"/>
          </w:tcPr>
          <w:p w14:paraId="3FA9DEF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人员字典</w:t>
            </w:r>
          </w:p>
        </w:tc>
        <w:tc>
          <w:tcPr>
            <w:tcW w:w="5075" w:type="dxa"/>
            <w:vAlign w:val="center"/>
          </w:tcPr>
          <w:p w14:paraId="5B627C7A">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对院内急诊提供人员字典接口。</w:t>
            </w:r>
          </w:p>
        </w:tc>
        <w:tc>
          <w:tcPr>
            <w:tcW w:w="733" w:type="dxa"/>
            <w:vMerge w:val="restart"/>
            <w:vAlign w:val="center"/>
          </w:tcPr>
          <w:p w14:paraId="55227A8C">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372354CB">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22</w:t>
            </w:r>
          </w:p>
        </w:tc>
      </w:tr>
      <w:tr w14:paraId="6EEF7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66DF393C">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995</w:t>
            </w:r>
          </w:p>
        </w:tc>
        <w:tc>
          <w:tcPr>
            <w:tcW w:w="625" w:type="dxa"/>
            <w:vMerge w:val="continue"/>
            <w:vAlign w:val="center"/>
          </w:tcPr>
          <w:p w14:paraId="07FD6080">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6D3CA04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科室字典</w:t>
            </w:r>
          </w:p>
        </w:tc>
        <w:tc>
          <w:tcPr>
            <w:tcW w:w="5075" w:type="dxa"/>
            <w:vAlign w:val="center"/>
          </w:tcPr>
          <w:p w14:paraId="323E66F1">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对院内急诊提供科室字典接口。</w:t>
            </w:r>
          </w:p>
        </w:tc>
        <w:tc>
          <w:tcPr>
            <w:tcW w:w="733" w:type="dxa"/>
            <w:vMerge w:val="continue"/>
            <w:vAlign w:val="center"/>
          </w:tcPr>
          <w:p w14:paraId="1FB37FB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49AC047">
            <w:pPr>
              <w:jc w:val="center"/>
              <w:rPr>
                <w:rFonts w:hint="eastAsia" w:ascii="宋体" w:hAnsi="宋体" w:eastAsia="宋体" w:cs="宋体"/>
                <w:b w:val="0"/>
                <w:bCs w:val="0"/>
                <w:color w:val="auto"/>
                <w:kern w:val="0"/>
                <w:sz w:val="20"/>
                <w:szCs w:val="20"/>
                <w:highlight w:val="none"/>
                <w:lang w:val="en-US" w:eastAsia="zh-CN" w:bidi="ar-SA"/>
              </w:rPr>
            </w:pPr>
          </w:p>
        </w:tc>
      </w:tr>
      <w:tr w14:paraId="0F1DD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215A3D3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996</w:t>
            </w:r>
          </w:p>
        </w:tc>
        <w:tc>
          <w:tcPr>
            <w:tcW w:w="625" w:type="dxa"/>
            <w:vMerge w:val="continue"/>
            <w:vAlign w:val="center"/>
          </w:tcPr>
          <w:p w14:paraId="5251D848">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6AB5EBA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床位字典</w:t>
            </w:r>
          </w:p>
        </w:tc>
        <w:tc>
          <w:tcPr>
            <w:tcW w:w="5075" w:type="dxa"/>
            <w:vAlign w:val="center"/>
          </w:tcPr>
          <w:p w14:paraId="792A093A">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对院内急诊提供床位字典接口。</w:t>
            </w:r>
          </w:p>
        </w:tc>
        <w:tc>
          <w:tcPr>
            <w:tcW w:w="733" w:type="dxa"/>
            <w:vMerge w:val="continue"/>
            <w:vAlign w:val="center"/>
          </w:tcPr>
          <w:p w14:paraId="2804F80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8EBCC77">
            <w:pPr>
              <w:jc w:val="center"/>
              <w:rPr>
                <w:rFonts w:hint="eastAsia" w:ascii="宋体" w:hAnsi="宋体" w:eastAsia="宋体" w:cs="宋体"/>
                <w:b w:val="0"/>
                <w:bCs w:val="0"/>
                <w:color w:val="auto"/>
                <w:kern w:val="0"/>
                <w:sz w:val="20"/>
                <w:szCs w:val="20"/>
                <w:highlight w:val="none"/>
                <w:lang w:val="en-US" w:eastAsia="zh-CN" w:bidi="ar-SA"/>
              </w:rPr>
            </w:pPr>
          </w:p>
        </w:tc>
      </w:tr>
      <w:tr w14:paraId="34606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6394A16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997</w:t>
            </w:r>
          </w:p>
        </w:tc>
        <w:tc>
          <w:tcPr>
            <w:tcW w:w="625" w:type="dxa"/>
            <w:vMerge w:val="continue"/>
            <w:vAlign w:val="center"/>
          </w:tcPr>
          <w:p w14:paraId="1477A481">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7497D64B">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医嘱频次字典</w:t>
            </w:r>
          </w:p>
        </w:tc>
        <w:tc>
          <w:tcPr>
            <w:tcW w:w="5075" w:type="dxa"/>
            <w:vAlign w:val="center"/>
          </w:tcPr>
          <w:p w14:paraId="51D009E1">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对院内急诊提供医嘱频次字典接口。</w:t>
            </w:r>
          </w:p>
        </w:tc>
        <w:tc>
          <w:tcPr>
            <w:tcW w:w="733" w:type="dxa"/>
            <w:vMerge w:val="continue"/>
            <w:vAlign w:val="center"/>
          </w:tcPr>
          <w:p w14:paraId="076437C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4CC8019">
            <w:pPr>
              <w:jc w:val="center"/>
              <w:rPr>
                <w:rFonts w:hint="eastAsia" w:ascii="宋体" w:hAnsi="宋体" w:eastAsia="宋体" w:cs="宋体"/>
                <w:b w:val="0"/>
                <w:bCs w:val="0"/>
                <w:color w:val="auto"/>
                <w:kern w:val="0"/>
                <w:sz w:val="20"/>
                <w:szCs w:val="20"/>
                <w:highlight w:val="none"/>
                <w:lang w:val="en-US" w:eastAsia="zh-CN" w:bidi="ar-SA"/>
              </w:rPr>
            </w:pPr>
          </w:p>
        </w:tc>
      </w:tr>
      <w:tr w14:paraId="1B462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43FCB91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998</w:t>
            </w:r>
          </w:p>
        </w:tc>
        <w:tc>
          <w:tcPr>
            <w:tcW w:w="625" w:type="dxa"/>
            <w:vMerge w:val="continue"/>
            <w:vAlign w:val="center"/>
          </w:tcPr>
          <w:p w14:paraId="113A440D">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4B343AC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医嘱频次拆分字典</w:t>
            </w:r>
          </w:p>
        </w:tc>
        <w:tc>
          <w:tcPr>
            <w:tcW w:w="5075" w:type="dxa"/>
            <w:vAlign w:val="center"/>
          </w:tcPr>
          <w:p w14:paraId="49BB6B11">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对院内急诊提供医嘱频次拆分字典接口。</w:t>
            </w:r>
          </w:p>
        </w:tc>
        <w:tc>
          <w:tcPr>
            <w:tcW w:w="733" w:type="dxa"/>
            <w:vMerge w:val="continue"/>
            <w:vAlign w:val="center"/>
          </w:tcPr>
          <w:p w14:paraId="33C8D81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4E91D35">
            <w:pPr>
              <w:jc w:val="center"/>
              <w:rPr>
                <w:rFonts w:hint="eastAsia" w:ascii="宋体" w:hAnsi="宋体" w:eastAsia="宋体" w:cs="宋体"/>
                <w:b w:val="0"/>
                <w:bCs w:val="0"/>
                <w:color w:val="auto"/>
                <w:kern w:val="0"/>
                <w:sz w:val="20"/>
                <w:szCs w:val="20"/>
                <w:highlight w:val="none"/>
                <w:lang w:val="en-US" w:eastAsia="zh-CN" w:bidi="ar-SA"/>
              </w:rPr>
            </w:pPr>
          </w:p>
        </w:tc>
      </w:tr>
      <w:tr w14:paraId="62B03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7807E9A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999</w:t>
            </w:r>
          </w:p>
        </w:tc>
        <w:tc>
          <w:tcPr>
            <w:tcW w:w="625" w:type="dxa"/>
            <w:vMerge w:val="continue"/>
            <w:vAlign w:val="center"/>
          </w:tcPr>
          <w:p w14:paraId="549A7D27">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2B33079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药品用法字典</w:t>
            </w:r>
          </w:p>
        </w:tc>
        <w:tc>
          <w:tcPr>
            <w:tcW w:w="5075" w:type="dxa"/>
            <w:vAlign w:val="center"/>
          </w:tcPr>
          <w:p w14:paraId="7010626D">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对院内急诊提供药品用法字典接口。</w:t>
            </w:r>
          </w:p>
        </w:tc>
        <w:tc>
          <w:tcPr>
            <w:tcW w:w="733" w:type="dxa"/>
            <w:vMerge w:val="continue"/>
            <w:vAlign w:val="center"/>
          </w:tcPr>
          <w:p w14:paraId="7BE7610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76BBEA3">
            <w:pPr>
              <w:jc w:val="center"/>
              <w:rPr>
                <w:rFonts w:hint="eastAsia" w:ascii="宋体" w:hAnsi="宋体" w:eastAsia="宋体" w:cs="宋体"/>
                <w:b w:val="0"/>
                <w:bCs w:val="0"/>
                <w:color w:val="auto"/>
                <w:kern w:val="0"/>
                <w:sz w:val="20"/>
                <w:szCs w:val="20"/>
                <w:highlight w:val="none"/>
                <w:lang w:val="en-US" w:eastAsia="zh-CN" w:bidi="ar-SA"/>
              </w:rPr>
            </w:pPr>
          </w:p>
        </w:tc>
      </w:tr>
      <w:tr w14:paraId="5D8B5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726F0BB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1000</w:t>
            </w:r>
          </w:p>
        </w:tc>
        <w:tc>
          <w:tcPr>
            <w:tcW w:w="625" w:type="dxa"/>
            <w:vMerge w:val="continue"/>
            <w:vAlign w:val="center"/>
          </w:tcPr>
          <w:p w14:paraId="3F03CB9E">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463FE00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费别字典</w:t>
            </w:r>
          </w:p>
        </w:tc>
        <w:tc>
          <w:tcPr>
            <w:tcW w:w="5075" w:type="dxa"/>
            <w:vAlign w:val="center"/>
          </w:tcPr>
          <w:p w14:paraId="651474A1">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对院内急诊提供费别字典接口。</w:t>
            </w:r>
          </w:p>
        </w:tc>
        <w:tc>
          <w:tcPr>
            <w:tcW w:w="733" w:type="dxa"/>
            <w:vMerge w:val="continue"/>
            <w:vAlign w:val="center"/>
          </w:tcPr>
          <w:p w14:paraId="1041116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20A80E5">
            <w:pPr>
              <w:jc w:val="center"/>
              <w:rPr>
                <w:rFonts w:hint="eastAsia" w:ascii="宋体" w:hAnsi="宋体" w:eastAsia="宋体" w:cs="宋体"/>
                <w:b w:val="0"/>
                <w:bCs w:val="0"/>
                <w:color w:val="auto"/>
                <w:kern w:val="0"/>
                <w:sz w:val="20"/>
                <w:szCs w:val="20"/>
                <w:highlight w:val="none"/>
                <w:lang w:val="en-US" w:eastAsia="zh-CN" w:bidi="ar-SA"/>
              </w:rPr>
            </w:pPr>
          </w:p>
        </w:tc>
      </w:tr>
      <w:tr w14:paraId="74FA0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24EF1498">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1001</w:t>
            </w:r>
          </w:p>
        </w:tc>
        <w:tc>
          <w:tcPr>
            <w:tcW w:w="625" w:type="dxa"/>
            <w:vMerge w:val="continue"/>
            <w:vAlign w:val="center"/>
          </w:tcPr>
          <w:p w14:paraId="7D6A7E0F">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073B27B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民族字典</w:t>
            </w:r>
          </w:p>
        </w:tc>
        <w:tc>
          <w:tcPr>
            <w:tcW w:w="5075" w:type="dxa"/>
            <w:vAlign w:val="center"/>
          </w:tcPr>
          <w:p w14:paraId="57DC8156">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对院内急诊提供民族字典接口。</w:t>
            </w:r>
          </w:p>
        </w:tc>
        <w:tc>
          <w:tcPr>
            <w:tcW w:w="733" w:type="dxa"/>
            <w:vMerge w:val="continue"/>
            <w:vAlign w:val="center"/>
          </w:tcPr>
          <w:p w14:paraId="5C5ED36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63D137B">
            <w:pPr>
              <w:jc w:val="center"/>
              <w:rPr>
                <w:rFonts w:hint="eastAsia" w:ascii="宋体" w:hAnsi="宋体" w:eastAsia="宋体" w:cs="宋体"/>
                <w:b w:val="0"/>
                <w:bCs w:val="0"/>
                <w:color w:val="auto"/>
                <w:kern w:val="0"/>
                <w:sz w:val="20"/>
                <w:szCs w:val="20"/>
                <w:highlight w:val="none"/>
                <w:lang w:val="en-US" w:eastAsia="zh-CN" w:bidi="ar-SA"/>
              </w:rPr>
            </w:pPr>
          </w:p>
        </w:tc>
      </w:tr>
      <w:tr w14:paraId="67C4A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08513DA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1002</w:t>
            </w:r>
          </w:p>
        </w:tc>
        <w:tc>
          <w:tcPr>
            <w:tcW w:w="625" w:type="dxa"/>
            <w:vMerge w:val="continue"/>
            <w:vAlign w:val="center"/>
          </w:tcPr>
          <w:p w14:paraId="2C81160D">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2D0A368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国籍字典</w:t>
            </w:r>
          </w:p>
        </w:tc>
        <w:tc>
          <w:tcPr>
            <w:tcW w:w="5075" w:type="dxa"/>
            <w:vAlign w:val="center"/>
          </w:tcPr>
          <w:p w14:paraId="2B7D654F">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对院内急诊提供国籍字典接口。</w:t>
            </w:r>
          </w:p>
        </w:tc>
        <w:tc>
          <w:tcPr>
            <w:tcW w:w="733" w:type="dxa"/>
            <w:vMerge w:val="continue"/>
            <w:vAlign w:val="center"/>
          </w:tcPr>
          <w:p w14:paraId="15975F3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5257118">
            <w:pPr>
              <w:jc w:val="center"/>
              <w:rPr>
                <w:rFonts w:hint="eastAsia" w:ascii="宋体" w:hAnsi="宋体" w:eastAsia="宋体" w:cs="宋体"/>
                <w:b w:val="0"/>
                <w:bCs w:val="0"/>
                <w:color w:val="auto"/>
                <w:kern w:val="0"/>
                <w:sz w:val="20"/>
                <w:szCs w:val="20"/>
                <w:highlight w:val="none"/>
                <w:lang w:val="en-US" w:eastAsia="zh-CN" w:bidi="ar-SA"/>
              </w:rPr>
            </w:pPr>
          </w:p>
        </w:tc>
      </w:tr>
      <w:tr w14:paraId="0233F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49F5CB8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1003</w:t>
            </w:r>
          </w:p>
        </w:tc>
        <w:tc>
          <w:tcPr>
            <w:tcW w:w="625" w:type="dxa"/>
            <w:vMerge w:val="continue"/>
            <w:vAlign w:val="center"/>
          </w:tcPr>
          <w:p w14:paraId="61826375">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2EABF6F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诊断字典</w:t>
            </w:r>
          </w:p>
        </w:tc>
        <w:tc>
          <w:tcPr>
            <w:tcW w:w="5075" w:type="dxa"/>
            <w:vAlign w:val="center"/>
          </w:tcPr>
          <w:p w14:paraId="4C181AEC">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对院内急诊提供诊断字典接口。</w:t>
            </w:r>
          </w:p>
        </w:tc>
        <w:tc>
          <w:tcPr>
            <w:tcW w:w="733" w:type="dxa"/>
            <w:vMerge w:val="continue"/>
            <w:vAlign w:val="center"/>
          </w:tcPr>
          <w:p w14:paraId="494805E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A870E2F">
            <w:pPr>
              <w:jc w:val="center"/>
              <w:rPr>
                <w:rFonts w:hint="eastAsia" w:ascii="宋体" w:hAnsi="宋体" w:eastAsia="宋体" w:cs="宋体"/>
                <w:b w:val="0"/>
                <w:bCs w:val="0"/>
                <w:color w:val="auto"/>
                <w:kern w:val="0"/>
                <w:sz w:val="20"/>
                <w:szCs w:val="20"/>
                <w:highlight w:val="none"/>
                <w:lang w:val="en-US" w:eastAsia="zh-CN" w:bidi="ar-SA"/>
              </w:rPr>
            </w:pPr>
          </w:p>
        </w:tc>
      </w:tr>
      <w:tr w14:paraId="010BE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0E24019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1004</w:t>
            </w:r>
          </w:p>
        </w:tc>
        <w:tc>
          <w:tcPr>
            <w:tcW w:w="625" w:type="dxa"/>
            <w:vMerge w:val="continue"/>
            <w:vAlign w:val="center"/>
          </w:tcPr>
          <w:p w14:paraId="2F123631">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67098E5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获取患者档案信息</w:t>
            </w:r>
          </w:p>
        </w:tc>
        <w:tc>
          <w:tcPr>
            <w:tcW w:w="5075" w:type="dxa"/>
            <w:vAlign w:val="center"/>
          </w:tcPr>
          <w:p w14:paraId="0E3C3B78">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对院内急诊提供获取患者档案信息接口。</w:t>
            </w:r>
          </w:p>
        </w:tc>
        <w:tc>
          <w:tcPr>
            <w:tcW w:w="733" w:type="dxa"/>
            <w:vMerge w:val="continue"/>
            <w:vAlign w:val="center"/>
          </w:tcPr>
          <w:p w14:paraId="03C51E4F">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E8B003C">
            <w:pPr>
              <w:jc w:val="center"/>
              <w:rPr>
                <w:rFonts w:hint="eastAsia" w:ascii="宋体" w:hAnsi="宋体" w:eastAsia="宋体" w:cs="宋体"/>
                <w:b w:val="0"/>
                <w:bCs w:val="0"/>
                <w:color w:val="auto"/>
                <w:kern w:val="0"/>
                <w:sz w:val="20"/>
                <w:szCs w:val="20"/>
                <w:highlight w:val="none"/>
                <w:lang w:val="en-US" w:eastAsia="zh-CN" w:bidi="ar-SA"/>
              </w:rPr>
            </w:pPr>
          </w:p>
        </w:tc>
      </w:tr>
      <w:tr w14:paraId="5454A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7255E98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1005</w:t>
            </w:r>
          </w:p>
        </w:tc>
        <w:tc>
          <w:tcPr>
            <w:tcW w:w="625" w:type="dxa"/>
            <w:vMerge w:val="continue"/>
            <w:vAlign w:val="center"/>
          </w:tcPr>
          <w:p w14:paraId="57CBD5C9">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494FB59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获取患者挂号信息</w:t>
            </w:r>
          </w:p>
        </w:tc>
        <w:tc>
          <w:tcPr>
            <w:tcW w:w="5075" w:type="dxa"/>
            <w:vAlign w:val="center"/>
          </w:tcPr>
          <w:p w14:paraId="6C4ECEFE">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对院内急诊提供获取患者挂号信息接口。</w:t>
            </w:r>
          </w:p>
        </w:tc>
        <w:tc>
          <w:tcPr>
            <w:tcW w:w="733" w:type="dxa"/>
            <w:vMerge w:val="continue"/>
            <w:vAlign w:val="center"/>
          </w:tcPr>
          <w:p w14:paraId="6165A6F8">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45CE1B5">
            <w:pPr>
              <w:jc w:val="center"/>
              <w:rPr>
                <w:rFonts w:hint="eastAsia" w:ascii="宋体" w:hAnsi="宋体" w:eastAsia="宋体" w:cs="宋体"/>
                <w:b w:val="0"/>
                <w:bCs w:val="0"/>
                <w:color w:val="auto"/>
                <w:kern w:val="0"/>
                <w:sz w:val="20"/>
                <w:szCs w:val="20"/>
                <w:highlight w:val="none"/>
                <w:lang w:val="en-US" w:eastAsia="zh-CN" w:bidi="ar-SA"/>
              </w:rPr>
            </w:pPr>
          </w:p>
        </w:tc>
      </w:tr>
      <w:tr w14:paraId="3E680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103CC7B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1006</w:t>
            </w:r>
          </w:p>
        </w:tc>
        <w:tc>
          <w:tcPr>
            <w:tcW w:w="625" w:type="dxa"/>
            <w:vMerge w:val="continue"/>
            <w:vAlign w:val="center"/>
          </w:tcPr>
          <w:p w14:paraId="4F63277A">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6377E8F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急诊调用HIS建档接口</w:t>
            </w:r>
          </w:p>
        </w:tc>
        <w:tc>
          <w:tcPr>
            <w:tcW w:w="5075" w:type="dxa"/>
            <w:vAlign w:val="center"/>
          </w:tcPr>
          <w:p w14:paraId="6A738B3E">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对院内急诊提供HIS建档接口。</w:t>
            </w:r>
          </w:p>
        </w:tc>
        <w:tc>
          <w:tcPr>
            <w:tcW w:w="733" w:type="dxa"/>
            <w:vMerge w:val="continue"/>
            <w:vAlign w:val="center"/>
          </w:tcPr>
          <w:p w14:paraId="40F2E9B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CC87CBE">
            <w:pPr>
              <w:jc w:val="center"/>
              <w:rPr>
                <w:rFonts w:hint="eastAsia" w:ascii="宋体" w:hAnsi="宋体" w:eastAsia="宋体" w:cs="宋体"/>
                <w:b w:val="0"/>
                <w:bCs w:val="0"/>
                <w:color w:val="auto"/>
                <w:kern w:val="0"/>
                <w:sz w:val="20"/>
                <w:szCs w:val="20"/>
                <w:highlight w:val="none"/>
                <w:lang w:val="en-US" w:eastAsia="zh-CN" w:bidi="ar-SA"/>
              </w:rPr>
            </w:pPr>
          </w:p>
        </w:tc>
      </w:tr>
      <w:tr w14:paraId="4C1F9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3CA9291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1007</w:t>
            </w:r>
          </w:p>
        </w:tc>
        <w:tc>
          <w:tcPr>
            <w:tcW w:w="625" w:type="dxa"/>
            <w:vMerge w:val="continue"/>
            <w:vAlign w:val="center"/>
          </w:tcPr>
          <w:p w14:paraId="04456F5A">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68EEBC0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急诊调用挂号接口</w:t>
            </w:r>
          </w:p>
        </w:tc>
        <w:tc>
          <w:tcPr>
            <w:tcW w:w="5075" w:type="dxa"/>
            <w:vAlign w:val="center"/>
          </w:tcPr>
          <w:p w14:paraId="572081CE">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对院内急诊提供挂号接口。</w:t>
            </w:r>
          </w:p>
        </w:tc>
        <w:tc>
          <w:tcPr>
            <w:tcW w:w="733" w:type="dxa"/>
            <w:vMerge w:val="continue"/>
            <w:vAlign w:val="center"/>
          </w:tcPr>
          <w:p w14:paraId="3FABA9B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6FAE45F0">
            <w:pPr>
              <w:jc w:val="center"/>
              <w:rPr>
                <w:rFonts w:hint="eastAsia" w:ascii="宋体" w:hAnsi="宋体" w:eastAsia="宋体" w:cs="宋体"/>
                <w:b w:val="0"/>
                <w:bCs w:val="0"/>
                <w:color w:val="auto"/>
                <w:kern w:val="0"/>
                <w:sz w:val="20"/>
                <w:szCs w:val="20"/>
                <w:highlight w:val="none"/>
                <w:lang w:val="en-US" w:eastAsia="zh-CN" w:bidi="ar-SA"/>
              </w:rPr>
            </w:pPr>
          </w:p>
        </w:tc>
      </w:tr>
      <w:tr w14:paraId="19B4D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3680D8B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1008</w:t>
            </w:r>
          </w:p>
        </w:tc>
        <w:tc>
          <w:tcPr>
            <w:tcW w:w="625" w:type="dxa"/>
            <w:vMerge w:val="continue"/>
            <w:vAlign w:val="center"/>
          </w:tcPr>
          <w:p w14:paraId="2262E71D">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3132BAC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推送分诊信息</w:t>
            </w:r>
          </w:p>
        </w:tc>
        <w:tc>
          <w:tcPr>
            <w:tcW w:w="5075" w:type="dxa"/>
            <w:vAlign w:val="center"/>
          </w:tcPr>
          <w:p w14:paraId="4C0BBB99">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对院内急诊推送分诊信息接口。</w:t>
            </w:r>
          </w:p>
        </w:tc>
        <w:tc>
          <w:tcPr>
            <w:tcW w:w="733" w:type="dxa"/>
            <w:vMerge w:val="continue"/>
            <w:vAlign w:val="center"/>
          </w:tcPr>
          <w:p w14:paraId="6E2B81FB">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BC8F91B">
            <w:pPr>
              <w:jc w:val="center"/>
              <w:rPr>
                <w:rFonts w:hint="eastAsia" w:ascii="宋体" w:hAnsi="宋体" w:eastAsia="宋体" w:cs="宋体"/>
                <w:b w:val="0"/>
                <w:bCs w:val="0"/>
                <w:color w:val="auto"/>
                <w:kern w:val="0"/>
                <w:sz w:val="20"/>
                <w:szCs w:val="20"/>
                <w:highlight w:val="none"/>
                <w:lang w:val="en-US" w:eastAsia="zh-CN" w:bidi="ar-SA"/>
              </w:rPr>
            </w:pPr>
          </w:p>
        </w:tc>
      </w:tr>
      <w:tr w14:paraId="23A94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5C91C1D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1009</w:t>
            </w:r>
          </w:p>
        </w:tc>
        <w:tc>
          <w:tcPr>
            <w:tcW w:w="625" w:type="dxa"/>
            <w:vMerge w:val="continue"/>
            <w:vAlign w:val="center"/>
          </w:tcPr>
          <w:p w14:paraId="362EB110">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2D21C8A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诊断保存后回写</w:t>
            </w:r>
          </w:p>
        </w:tc>
        <w:tc>
          <w:tcPr>
            <w:tcW w:w="5075" w:type="dxa"/>
            <w:vAlign w:val="center"/>
          </w:tcPr>
          <w:p w14:paraId="04A60FEB">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对院内急诊提供诊断保存后回写接口。</w:t>
            </w:r>
          </w:p>
        </w:tc>
        <w:tc>
          <w:tcPr>
            <w:tcW w:w="733" w:type="dxa"/>
            <w:vMerge w:val="continue"/>
            <w:vAlign w:val="center"/>
          </w:tcPr>
          <w:p w14:paraId="2785F7E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1C52978">
            <w:pPr>
              <w:jc w:val="center"/>
              <w:rPr>
                <w:rFonts w:hint="eastAsia" w:ascii="宋体" w:hAnsi="宋体" w:eastAsia="宋体" w:cs="宋体"/>
                <w:b w:val="0"/>
                <w:bCs w:val="0"/>
                <w:color w:val="auto"/>
                <w:kern w:val="0"/>
                <w:sz w:val="20"/>
                <w:szCs w:val="20"/>
                <w:highlight w:val="none"/>
                <w:lang w:val="en-US" w:eastAsia="zh-CN" w:bidi="ar-SA"/>
              </w:rPr>
            </w:pPr>
          </w:p>
        </w:tc>
      </w:tr>
      <w:tr w14:paraId="65BC9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0BF2E1A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1010</w:t>
            </w:r>
          </w:p>
        </w:tc>
        <w:tc>
          <w:tcPr>
            <w:tcW w:w="625" w:type="dxa"/>
            <w:vMerge w:val="continue"/>
            <w:vAlign w:val="center"/>
          </w:tcPr>
          <w:p w14:paraId="1497E87F">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65E5CE2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绿通患者缴费结清返回急诊</w:t>
            </w:r>
          </w:p>
        </w:tc>
        <w:tc>
          <w:tcPr>
            <w:tcW w:w="5075" w:type="dxa"/>
            <w:vAlign w:val="center"/>
          </w:tcPr>
          <w:p w14:paraId="03CBB0BD">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对院内急诊提供绿通患者缴费结清返回急诊接口。</w:t>
            </w:r>
          </w:p>
        </w:tc>
        <w:tc>
          <w:tcPr>
            <w:tcW w:w="733" w:type="dxa"/>
            <w:vMerge w:val="continue"/>
            <w:vAlign w:val="center"/>
          </w:tcPr>
          <w:p w14:paraId="7D92A37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8914D7A">
            <w:pPr>
              <w:jc w:val="center"/>
              <w:rPr>
                <w:rFonts w:hint="eastAsia" w:ascii="宋体" w:hAnsi="宋体" w:eastAsia="宋体" w:cs="宋体"/>
                <w:b w:val="0"/>
                <w:bCs w:val="0"/>
                <w:color w:val="auto"/>
                <w:kern w:val="0"/>
                <w:sz w:val="20"/>
                <w:szCs w:val="20"/>
                <w:highlight w:val="none"/>
                <w:lang w:val="en-US" w:eastAsia="zh-CN" w:bidi="ar-SA"/>
              </w:rPr>
            </w:pPr>
          </w:p>
        </w:tc>
      </w:tr>
      <w:tr w14:paraId="09FB9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29B910B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1011</w:t>
            </w:r>
          </w:p>
        </w:tc>
        <w:tc>
          <w:tcPr>
            <w:tcW w:w="625" w:type="dxa"/>
            <w:vMerge w:val="continue"/>
            <w:vAlign w:val="center"/>
          </w:tcPr>
          <w:p w14:paraId="24CDE5BF">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4EB1C9C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急诊开立项目后回传</w:t>
            </w:r>
          </w:p>
        </w:tc>
        <w:tc>
          <w:tcPr>
            <w:tcW w:w="5075" w:type="dxa"/>
            <w:vAlign w:val="center"/>
          </w:tcPr>
          <w:p w14:paraId="736BC56F">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急诊开立项目后回传接口。</w:t>
            </w:r>
          </w:p>
        </w:tc>
        <w:tc>
          <w:tcPr>
            <w:tcW w:w="733" w:type="dxa"/>
            <w:vMerge w:val="continue"/>
            <w:vAlign w:val="center"/>
          </w:tcPr>
          <w:p w14:paraId="7882D1B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6F8D573">
            <w:pPr>
              <w:jc w:val="center"/>
              <w:rPr>
                <w:rFonts w:hint="eastAsia" w:ascii="宋体" w:hAnsi="宋体" w:eastAsia="宋体" w:cs="宋体"/>
                <w:b w:val="0"/>
                <w:bCs w:val="0"/>
                <w:color w:val="auto"/>
                <w:kern w:val="0"/>
                <w:sz w:val="20"/>
                <w:szCs w:val="20"/>
                <w:highlight w:val="none"/>
                <w:lang w:val="en-US" w:eastAsia="zh-CN" w:bidi="ar-SA"/>
              </w:rPr>
            </w:pPr>
          </w:p>
        </w:tc>
      </w:tr>
      <w:tr w14:paraId="0358B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29B0A97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1012</w:t>
            </w:r>
          </w:p>
        </w:tc>
        <w:tc>
          <w:tcPr>
            <w:tcW w:w="625" w:type="dxa"/>
            <w:vMerge w:val="continue"/>
            <w:vAlign w:val="center"/>
          </w:tcPr>
          <w:p w14:paraId="69218814">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2A06504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推送医嘱执行状态</w:t>
            </w:r>
          </w:p>
        </w:tc>
        <w:tc>
          <w:tcPr>
            <w:tcW w:w="5075" w:type="dxa"/>
            <w:vAlign w:val="center"/>
          </w:tcPr>
          <w:p w14:paraId="21C7FC44">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推送医嘱执行状态接口。</w:t>
            </w:r>
          </w:p>
        </w:tc>
        <w:tc>
          <w:tcPr>
            <w:tcW w:w="733" w:type="dxa"/>
            <w:vMerge w:val="continue"/>
            <w:vAlign w:val="center"/>
          </w:tcPr>
          <w:p w14:paraId="68836F5D">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B741DE9">
            <w:pPr>
              <w:jc w:val="center"/>
              <w:rPr>
                <w:rFonts w:hint="eastAsia" w:ascii="宋体" w:hAnsi="宋体" w:eastAsia="宋体" w:cs="宋体"/>
                <w:b w:val="0"/>
                <w:bCs w:val="0"/>
                <w:color w:val="auto"/>
                <w:kern w:val="0"/>
                <w:sz w:val="20"/>
                <w:szCs w:val="20"/>
                <w:highlight w:val="none"/>
                <w:lang w:val="en-US" w:eastAsia="zh-CN" w:bidi="ar-SA"/>
              </w:rPr>
            </w:pPr>
          </w:p>
        </w:tc>
      </w:tr>
      <w:tr w14:paraId="4F46B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6FA56C6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1013</w:t>
            </w:r>
          </w:p>
        </w:tc>
        <w:tc>
          <w:tcPr>
            <w:tcW w:w="625" w:type="dxa"/>
            <w:vMerge w:val="continue"/>
            <w:vAlign w:val="center"/>
          </w:tcPr>
          <w:p w14:paraId="2B4D25C5">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204DF04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推送医嘱皮试结果</w:t>
            </w:r>
          </w:p>
        </w:tc>
        <w:tc>
          <w:tcPr>
            <w:tcW w:w="5075" w:type="dxa"/>
            <w:vAlign w:val="center"/>
          </w:tcPr>
          <w:p w14:paraId="0538540C">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推送医嘱皮试结果接口。</w:t>
            </w:r>
          </w:p>
        </w:tc>
        <w:tc>
          <w:tcPr>
            <w:tcW w:w="733" w:type="dxa"/>
            <w:vMerge w:val="continue"/>
            <w:vAlign w:val="center"/>
          </w:tcPr>
          <w:p w14:paraId="18C056DC">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3425D07">
            <w:pPr>
              <w:jc w:val="center"/>
              <w:rPr>
                <w:rFonts w:hint="eastAsia" w:ascii="宋体" w:hAnsi="宋体" w:eastAsia="宋体" w:cs="宋体"/>
                <w:b w:val="0"/>
                <w:bCs w:val="0"/>
                <w:color w:val="auto"/>
                <w:kern w:val="0"/>
                <w:sz w:val="20"/>
                <w:szCs w:val="20"/>
                <w:highlight w:val="none"/>
                <w:lang w:val="en-US" w:eastAsia="zh-CN" w:bidi="ar-SA"/>
              </w:rPr>
            </w:pPr>
          </w:p>
        </w:tc>
      </w:tr>
      <w:tr w14:paraId="147DA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76C8BB3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1014</w:t>
            </w:r>
          </w:p>
        </w:tc>
        <w:tc>
          <w:tcPr>
            <w:tcW w:w="625" w:type="dxa"/>
            <w:vMerge w:val="continue"/>
            <w:vAlign w:val="center"/>
          </w:tcPr>
          <w:p w14:paraId="1F1ADDDD">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2FD9AA8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获取医嘱缴费状态</w:t>
            </w:r>
          </w:p>
        </w:tc>
        <w:tc>
          <w:tcPr>
            <w:tcW w:w="5075" w:type="dxa"/>
            <w:vAlign w:val="center"/>
          </w:tcPr>
          <w:p w14:paraId="7FB7B5D2">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获取医嘱缴费状态接口。</w:t>
            </w:r>
          </w:p>
        </w:tc>
        <w:tc>
          <w:tcPr>
            <w:tcW w:w="733" w:type="dxa"/>
            <w:vMerge w:val="continue"/>
            <w:vAlign w:val="center"/>
          </w:tcPr>
          <w:p w14:paraId="251E1C17">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FB6A21F">
            <w:pPr>
              <w:jc w:val="center"/>
              <w:rPr>
                <w:rFonts w:hint="eastAsia" w:ascii="宋体" w:hAnsi="宋体" w:eastAsia="宋体" w:cs="宋体"/>
                <w:b w:val="0"/>
                <w:bCs w:val="0"/>
                <w:color w:val="auto"/>
                <w:kern w:val="0"/>
                <w:sz w:val="20"/>
                <w:szCs w:val="20"/>
                <w:highlight w:val="none"/>
                <w:lang w:val="en-US" w:eastAsia="zh-CN" w:bidi="ar-SA"/>
              </w:rPr>
            </w:pPr>
          </w:p>
        </w:tc>
      </w:tr>
      <w:tr w14:paraId="38CC1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1C60458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1015</w:t>
            </w:r>
          </w:p>
        </w:tc>
        <w:tc>
          <w:tcPr>
            <w:tcW w:w="625" w:type="dxa"/>
            <w:vMerge w:val="continue"/>
            <w:vAlign w:val="center"/>
          </w:tcPr>
          <w:p w14:paraId="0FB4970D">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14DBBED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推送患者接诊信息</w:t>
            </w:r>
          </w:p>
        </w:tc>
        <w:tc>
          <w:tcPr>
            <w:tcW w:w="5075" w:type="dxa"/>
            <w:vAlign w:val="center"/>
          </w:tcPr>
          <w:p w14:paraId="651A4DDB">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推送患者接诊信息接口。</w:t>
            </w:r>
          </w:p>
        </w:tc>
        <w:tc>
          <w:tcPr>
            <w:tcW w:w="733" w:type="dxa"/>
            <w:vMerge w:val="continue"/>
            <w:vAlign w:val="center"/>
          </w:tcPr>
          <w:p w14:paraId="7230008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5435886">
            <w:pPr>
              <w:jc w:val="center"/>
              <w:rPr>
                <w:rFonts w:hint="eastAsia" w:ascii="宋体" w:hAnsi="宋体" w:eastAsia="宋体" w:cs="宋体"/>
                <w:b w:val="0"/>
                <w:bCs w:val="0"/>
                <w:color w:val="auto"/>
                <w:kern w:val="0"/>
                <w:sz w:val="20"/>
                <w:szCs w:val="20"/>
                <w:highlight w:val="none"/>
                <w:lang w:val="en-US" w:eastAsia="zh-CN" w:bidi="ar-SA"/>
              </w:rPr>
            </w:pPr>
          </w:p>
        </w:tc>
      </w:tr>
      <w:tr w14:paraId="105B5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2D8045B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1016</w:t>
            </w:r>
          </w:p>
        </w:tc>
        <w:tc>
          <w:tcPr>
            <w:tcW w:w="625" w:type="dxa"/>
            <w:vMerge w:val="continue"/>
            <w:vAlign w:val="center"/>
          </w:tcPr>
          <w:p w14:paraId="2FEC0C3F">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56629B8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推送患者取消就诊信息</w:t>
            </w:r>
          </w:p>
        </w:tc>
        <w:tc>
          <w:tcPr>
            <w:tcW w:w="5075" w:type="dxa"/>
            <w:vAlign w:val="center"/>
          </w:tcPr>
          <w:p w14:paraId="3F4EB4FB">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推送患者取消就诊信息接口。</w:t>
            </w:r>
          </w:p>
        </w:tc>
        <w:tc>
          <w:tcPr>
            <w:tcW w:w="733" w:type="dxa"/>
            <w:vMerge w:val="continue"/>
            <w:vAlign w:val="center"/>
          </w:tcPr>
          <w:p w14:paraId="1339E82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6CB4520">
            <w:pPr>
              <w:jc w:val="center"/>
              <w:rPr>
                <w:rFonts w:hint="eastAsia" w:ascii="宋体" w:hAnsi="宋体" w:eastAsia="宋体" w:cs="宋体"/>
                <w:b w:val="0"/>
                <w:bCs w:val="0"/>
                <w:color w:val="auto"/>
                <w:kern w:val="0"/>
                <w:sz w:val="20"/>
                <w:szCs w:val="20"/>
                <w:highlight w:val="none"/>
                <w:lang w:val="en-US" w:eastAsia="zh-CN" w:bidi="ar-SA"/>
              </w:rPr>
            </w:pPr>
          </w:p>
        </w:tc>
      </w:tr>
      <w:tr w14:paraId="6707F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5FA5176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1017</w:t>
            </w:r>
          </w:p>
        </w:tc>
        <w:tc>
          <w:tcPr>
            <w:tcW w:w="625" w:type="dxa"/>
            <w:vMerge w:val="continue"/>
            <w:vAlign w:val="center"/>
          </w:tcPr>
          <w:p w14:paraId="51AF1B58">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71D0F096">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推送患者出科信息</w:t>
            </w:r>
          </w:p>
        </w:tc>
        <w:tc>
          <w:tcPr>
            <w:tcW w:w="5075" w:type="dxa"/>
            <w:vAlign w:val="center"/>
          </w:tcPr>
          <w:p w14:paraId="103A0B10">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推送患者出科信息接口。</w:t>
            </w:r>
          </w:p>
        </w:tc>
        <w:tc>
          <w:tcPr>
            <w:tcW w:w="733" w:type="dxa"/>
            <w:vMerge w:val="continue"/>
            <w:vAlign w:val="center"/>
          </w:tcPr>
          <w:p w14:paraId="4ECA8DF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73595E3C">
            <w:pPr>
              <w:jc w:val="center"/>
              <w:rPr>
                <w:rFonts w:hint="eastAsia" w:ascii="宋体" w:hAnsi="宋体" w:eastAsia="宋体" w:cs="宋体"/>
                <w:b w:val="0"/>
                <w:bCs w:val="0"/>
                <w:color w:val="auto"/>
                <w:kern w:val="0"/>
                <w:sz w:val="20"/>
                <w:szCs w:val="20"/>
                <w:highlight w:val="none"/>
                <w:lang w:val="en-US" w:eastAsia="zh-CN" w:bidi="ar-SA"/>
              </w:rPr>
            </w:pPr>
          </w:p>
        </w:tc>
      </w:tr>
      <w:tr w14:paraId="403AE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6E30F067">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1018</w:t>
            </w:r>
          </w:p>
        </w:tc>
        <w:tc>
          <w:tcPr>
            <w:tcW w:w="625" w:type="dxa"/>
            <w:vMerge w:val="continue"/>
            <w:vAlign w:val="center"/>
          </w:tcPr>
          <w:p w14:paraId="5E05390C">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3F134FE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住院预约</w:t>
            </w:r>
          </w:p>
        </w:tc>
        <w:tc>
          <w:tcPr>
            <w:tcW w:w="5075" w:type="dxa"/>
            <w:vAlign w:val="center"/>
          </w:tcPr>
          <w:p w14:paraId="11D7868B">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对院内急诊提供住院预约接口。</w:t>
            </w:r>
          </w:p>
        </w:tc>
        <w:tc>
          <w:tcPr>
            <w:tcW w:w="733" w:type="dxa"/>
            <w:vMerge w:val="continue"/>
            <w:vAlign w:val="center"/>
          </w:tcPr>
          <w:p w14:paraId="708DD89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27257C5">
            <w:pPr>
              <w:jc w:val="center"/>
              <w:rPr>
                <w:rFonts w:hint="eastAsia" w:ascii="宋体" w:hAnsi="宋体" w:eastAsia="宋体" w:cs="宋体"/>
                <w:b w:val="0"/>
                <w:bCs w:val="0"/>
                <w:color w:val="auto"/>
                <w:kern w:val="0"/>
                <w:sz w:val="20"/>
                <w:szCs w:val="20"/>
                <w:highlight w:val="none"/>
                <w:lang w:val="en-US" w:eastAsia="zh-CN" w:bidi="ar-SA"/>
              </w:rPr>
            </w:pPr>
          </w:p>
        </w:tc>
      </w:tr>
      <w:tr w14:paraId="146C4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02C9EA5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1019</w:t>
            </w:r>
          </w:p>
        </w:tc>
        <w:tc>
          <w:tcPr>
            <w:tcW w:w="625" w:type="dxa"/>
            <w:vMerge w:val="continue"/>
            <w:vAlign w:val="center"/>
          </w:tcPr>
          <w:p w14:paraId="58865E1F">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71E5A096">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取消住院预约</w:t>
            </w:r>
          </w:p>
        </w:tc>
        <w:tc>
          <w:tcPr>
            <w:tcW w:w="5075" w:type="dxa"/>
            <w:vAlign w:val="center"/>
          </w:tcPr>
          <w:p w14:paraId="7E88B5C1">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取消住院预约接口。</w:t>
            </w:r>
          </w:p>
        </w:tc>
        <w:tc>
          <w:tcPr>
            <w:tcW w:w="733" w:type="dxa"/>
            <w:vMerge w:val="continue"/>
            <w:vAlign w:val="center"/>
          </w:tcPr>
          <w:p w14:paraId="31A0A6FA">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7517E59">
            <w:pPr>
              <w:jc w:val="center"/>
              <w:rPr>
                <w:rFonts w:hint="eastAsia" w:ascii="宋体" w:hAnsi="宋体" w:eastAsia="宋体" w:cs="宋体"/>
                <w:b w:val="0"/>
                <w:bCs w:val="0"/>
                <w:color w:val="auto"/>
                <w:kern w:val="0"/>
                <w:sz w:val="20"/>
                <w:szCs w:val="20"/>
                <w:highlight w:val="none"/>
                <w:lang w:val="en-US" w:eastAsia="zh-CN" w:bidi="ar-SA"/>
              </w:rPr>
            </w:pPr>
          </w:p>
        </w:tc>
      </w:tr>
      <w:tr w14:paraId="5997B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14F5A90F">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1020</w:t>
            </w:r>
          </w:p>
        </w:tc>
        <w:tc>
          <w:tcPr>
            <w:tcW w:w="625" w:type="dxa"/>
            <w:vMerge w:val="continue"/>
            <w:vAlign w:val="center"/>
          </w:tcPr>
          <w:p w14:paraId="755C6A25">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79C39C2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接收患者入院状态</w:t>
            </w:r>
          </w:p>
        </w:tc>
        <w:tc>
          <w:tcPr>
            <w:tcW w:w="5075" w:type="dxa"/>
            <w:vAlign w:val="center"/>
          </w:tcPr>
          <w:p w14:paraId="612BC894">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对院内急诊提供接收患者入院状态接口。</w:t>
            </w:r>
          </w:p>
        </w:tc>
        <w:tc>
          <w:tcPr>
            <w:tcW w:w="733" w:type="dxa"/>
            <w:vMerge w:val="continue"/>
            <w:vAlign w:val="center"/>
          </w:tcPr>
          <w:p w14:paraId="490854B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FB9F251">
            <w:pPr>
              <w:jc w:val="center"/>
              <w:rPr>
                <w:rFonts w:hint="eastAsia" w:ascii="宋体" w:hAnsi="宋体" w:eastAsia="宋体" w:cs="宋体"/>
                <w:b w:val="0"/>
                <w:bCs w:val="0"/>
                <w:color w:val="auto"/>
                <w:kern w:val="0"/>
                <w:sz w:val="20"/>
                <w:szCs w:val="20"/>
                <w:highlight w:val="none"/>
                <w:lang w:val="en-US" w:eastAsia="zh-CN" w:bidi="ar-SA"/>
              </w:rPr>
            </w:pPr>
          </w:p>
        </w:tc>
      </w:tr>
      <w:tr w14:paraId="32E25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1CC9511E">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1021</w:t>
            </w:r>
          </w:p>
        </w:tc>
        <w:tc>
          <w:tcPr>
            <w:tcW w:w="625" w:type="dxa"/>
            <w:vMerge w:val="continue"/>
            <w:vAlign w:val="center"/>
          </w:tcPr>
          <w:p w14:paraId="4A75976B">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459C86E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会诊业务</w:t>
            </w:r>
          </w:p>
        </w:tc>
        <w:tc>
          <w:tcPr>
            <w:tcW w:w="5075" w:type="dxa"/>
            <w:vAlign w:val="center"/>
          </w:tcPr>
          <w:p w14:paraId="266A5B37">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对院内急诊提供会诊业务接口。</w:t>
            </w:r>
          </w:p>
        </w:tc>
        <w:tc>
          <w:tcPr>
            <w:tcW w:w="733" w:type="dxa"/>
            <w:vMerge w:val="continue"/>
            <w:vAlign w:val="center"/>
          </w:tcPr>
          <w:p w14:paraId="57108CC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07CB7660">
            <w:pPr>
              <w:jc w:val="center"/>
              <w:rPr>
                <w:rFonts w:hint="eastAsia" w:ascii="宋体" w:hAnsi="宋体" w:eastAsia="宋体" w:cs="宋体"/>
                <w:b w:val="0"/>
                <w:bCs w:val="0"/>
                <w:color w:val="auto"/>
                <w:kern w:val="0"/>
                <w:sz w:val="20"/>
                <w:szCs w:val="20"/>
                <w:highlight w:val="none"/>
                <w:lang w:val="en-US" w:eastAsia="zh-CN" w:bidi="ar-SA"/>
              </w:rPr>
            </w:pPr>
          </w:p>
        </w:tc>
      </w:tr>
      <w:tr w14:paraId="7AAAA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05E57573">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1022</w:t>
            </w:r>
          </w:p>
        </w:tc>
        <w:tc>
          <w:tcPr>
            <w:tcW w:w="625" w:type="dxa"/>
            <w:vMerge w:val="continue"/>
            <w:vAlign w:val="center"/>
          </w:tcPr>
          <w:p w14:paraId="347D6BF6">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6D19E47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推送急诊病历</w:t>
            </w:r>
          </w:p>
        </w:tc>
        <w:tc>
          <w:tcPr>
            <w:tcW w:w="5075" w:type="dxa"/>
            <w:vAlign w:val="center"/>
          </w:tcPr>
          <w:p w14:paraId="399A377F">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对院内急诊提供推送急诊病历接口。</w:t>
            </w:r>
          </w:p>
        </w:tc>
        <w:tc>
          <w:tcPr>
            <w:tcW w:w="733" w:type="dxa"/>
            <w:vMerge w:val="continue"/>
            <w:vAlign w:val="center"/>
          </w:tcPr>
          <w:p w14:paraId="414DF5D2">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2E556B2">
            <w:pPr>
              <w:jc w:val="center"/>
              <w:rPr>
                <w:rFonts w:hint="eastAsia" w:ascii="宋体" w:hAnsi="宋体" w:eastAsia="宋体" w:cs="宋体"/>
                <w:b w:val="0"/>
                <w:bCs w:val="0"/>
                <w:color w:val="auto"/>
                <w:kern w:val="0"/>
                <w:sz w:val="20"/>
                <w:szCs w:val="20"/>
                <w:highlight w:val="none"/>
                <w:lang w:val="en-US" w:eastAsia="zh-CN" w:bidi="ar-SA"/>
              </w:rPr>
            </w:pPr>
          </w:p>
        </w:tc>
      </w:tr>
      <w:tr w14:paraId="5059A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6AB65A1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1023</w:t>
            </w:r>
          </w:p>
        </w:tc>
        <w:tc>
          <w:tcPr>
            <w:tcW w:w="625" w:type="dxa"/>
            <w:vMerge w:val="continue"/>
            <w:vAlign w:val="center"/>
          </w:tcPr>
          <w:p w14:paraId="4CEC5384">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32B1051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集成门诊病历</w:t>
            </w:r>
          </w:p>
        </w:tc>
        <w:tc>
          <w:tcPr>
            <w:tcW w:w="5075" w:type="dxa"/>
            <w:vAlign w:val="center"/>
          </w:tcPr>
          <w:p w14:paraId="1DEE7237">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对院内急诊提供集成门诊病历方式。</w:t>
            </w:r>
          </w:p>
        </w:tc>
        <w:tc>
          <w:tcPr>
            <w:tcW w:w="733" w:type="dxa"/>
            <w:vMerge w:val="continue"/>
            <w:vAlign w:val="center"/>
          </w:tcPr>
          <w:p w14:paraId="12AB590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46219CA">
            <w:pPr>
              <w:jc w:val="center"/>
              <w:rPr>
                <w:rFonts w:hint="eastAsia" w:ascii="宋体" w:hAnsi="宋体" w:eastAsia="宋体" w:cs="宋体"/>
                <w:b w:val="0"/>
                <w:bCs w:val="0"/>
                <w:color w:val="auto"/>
                <w:kern w:val="0"/>
                <w:sz w:val="20"/>
                <w:szCs w:val="20"/>
                <w:highlight w:val="none"/>
                <w:lang w:val="en-US" w:eastAsia="zh-CN" w:bidi="ar-SA"/>
              </w:rPr>
            </w:pPr>
          </w:p>
        </w:tc>
      </w:tr>
      <w:tr w14:paraId="2FDCE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08D0AB72">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1024</w:t>
            </w:r>
          </w:p>
        </w:tc>
        <w:tc>
          <w:tcPr>
            <w:tcW w:w="625" w:type="dxa"/>
            <w:vMerge w:val="continue"/>
            <w:vAlign w:val="center"/>
          </w:tcPr>
          <w:p w14:paraId="22243897">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480AB3B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急诊系统调阅患者360视图</w:t>
            </w:r>
          </w:p>
        </w:tc>
        <w:tc>
          <w:tcPr>
            <w:tcW w:w="5075" w:type="dxa"/>
            <w:vAlign w:val="center"/>
          </w:tcPr>
          <w:p w14:paraId="65A1D27A">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急诊系统调阅患者360视图调用地址。</w:t>
            </w:r>
          </w:p>
        </w:tc>
        <w:tc>
          <w:tcPr>
            <w:tcW w:w="733" w:type="dxa"/>
            <w:vMerge w:val="continue"/>
            <w:vAlign w:val="center"/>
          </w:tcPr>
          <w:p w14:paraId="5F76F3A0">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1AE6A2D7">
            <w:pPr>
              <w:jc w:val="center"/>
              <w:rPr>
                <w:rFonts w:hint="eastAsia" w:ascii="宋体" w:hAnsi="宋体" w:eastAsia="宋体" w:cs="宋体"/>
                <w:b w:val="0"/>
                <w:bCs w:val="0"/>
                <w:color w:val="auto"/>
                <w:kern w:val="0"/>
                <w:sz w:val="20"/>
                <w:szCs w:val="20"/>
                <w:highlight w:val="none"/>
                <w:lang w:val="en-US" w:eastAsia="zh-CN" w:bidi="ar-SA"/>
              </w:rPr>
            </w:pPr>
          </w:p>
        </w:tc>
      </w:tr>
      <w:tr w14:paraId="0EAAB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109ED06B">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1025</w:t>
            </w:r>
          </w:p>
        </w:tc>
        <w:tc>
          <w:tcPr>
            <w:tcW w:w="625" w:type="dxa"/>
            <w:vMerge w:val="restart"/>
            <w:vAlign w:val="center"/>
          </w:tcPr>
          <w:p w14:paraId="2ABF62D3">
            <w:pPr>
              <w:jc w:val="center"/>
              <w:rPr>
                <w:rFonts w:hint="eastAsia" w:ascii="宋体" w:hAnsi="宋体" w:eastAsia="宋体" w:cs="宋体"/>
                <w:b/>
                <w:color w:val="auto"/>
                <w:sz w:val="24"/>
                <w:szCs w:val="24"/>
                <w:highlight w:val="none"/>
                <w:vertAlign w:val="baseline"/>
                <w:lang w:eastAsia="zh-CN"/>
              </w:rPr>
            </w:pPr>
            <w:r>
              <w:rPr>
                <w:rFonts w:hint="eastAsia" w:ascii="宋体" w:hAnsi="宋体" w:eastAsia="宋体" w:cs="宋体"/>
                <w:b w:val="0"/>
                <w:bCs w:val="0"/>
                <w:color w:val="auto"/>
                <w:kern w:val="0"/>
                <w:sz w:val="20"/>
                <w:szCs w:val="20"/>
                <w:highlight w:val="none"/>
                <w:lang w:val="en-US" w:eastAsia="zh-CN" w:bidi="ar-SA"/>
              </w:rPr>
              <w:t>院内急诊专病中心对接</w:t>
            </w:r>
          </w:p>
        </w:tc>
        <w:tc>
          <w:tcPr>
            <w:tcW w:w="2525" w:type="dxa"/>
            <w:vAlign w:val="center"/>
          </w:tcPr>
          <w:p w14:paraId="58D5BA9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门诊患者信息</w:t>
            </w:r>
          </w:p>
        </w:tc>
        <w:tc>
          <w:tcPr>
            <w:tcW w:w="5075" w:type="dxa"/>
            <w:vAlign w:val="center"/>
          </w:tcPr>
          <w:p w14:paraId="328B2AAF">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对院内急诊专病中心提供门诊患者信息接口。</w:t>
            </w:r>
          </w:p>
        </w:tc>
        <w:tc>
          <w:tcPr>
            <w:tcW w:w="733" w:type="dxa"/>
            <w:vMerge w:val="restart"/>
            <w:vAlign w:val="center"/>
          </w:tcPr>
          <w:p w14:paraId="18CE1366">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人月</w:t>
            </w:r>
          </w:p>
        </w:tc>
        <w:tc>
          <w:tcPr>
            <w:tcW w:w="714" w:type="dxa"/>
            <w:vMerge w:val="restart"/>
            <w:vAlign w:val="center"/>
          </w:tcPr>
          <w:p w14:paraId="76CB1852">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6</w:t>
            </w:r>
          </w:p>
        </w:tc>
      </w:tr>
      <w:tr w14:paraId="7CF83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00B7ADB1">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1026</w:t>
            </w:r>
          </w:p>
        </w:tc>
        <w:tc>
          <w:tcPr>
            <w:tcW w:w="625" w:type="dxa"/>
            <w:vMerge w:val="continue"/>
            <w:vAlign w:val="center"/>
          </w:tcPr>
          <w:p w14:paraId="3F014698">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3B3D46A6">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用户信息</w:t>
            </w:r>
          </w:p>
        </w:tc>
        <w:tc>
          <w:tcPr>
            <w:tcW w:w="5075" w:type="dxa"/>
            <w:vAlign w:val="center"/>
          </w:tcPr>
          <w:p w14:paraId="7F729AF4">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对院内急诊专病中心提供用户信息接口。</w:t>
            </w:r>
          </w:p>
        </w:tc>
        <w:tc>
          <w:tcPr>
            <w:tcW w:w="733" w:type="dxa"/>
            <w:vMerge w:val="continue"/>
            <w:vAlign w:val="center"/>
          </w:tcPr>
          <w:p w14:paraId="61115046">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623E9B9">
            <w:pPr>
              <w:jc w:val="center"/>
              <w:rPr>
                <w:rFonts w:hint="eastAsia" w:ascii="宋体" w:hAnsi="宋体" w:eastAsia="宋体" w:cs="宋体"/>
                <w:b w:val="0"/>
                <w:bCs w:val="0"/>
                <w:color w:val="auto"/>
                <w:kern w:val="0"/>
                <w:sz w:val="20"/>
                <w:szCs w:val="20"/>
                <w:highlight w:val="none"/>
                <w:lang w:val="en-US" w:eastAsia="zh-CN" w:bidi="ar-SA"/>
              </w:rPr>
            </w:pPr>
          </w:p>
        </w:tc>
      </w:tr>
      <w:tr w14:paraId="0B4AF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6AE5E16A">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1027</w:t>
            </w:r>
          </w:p>
        </w:tc>
        <w:tc>
          <w:tcPr>
            <w:tcW w:w="625" w:type="dxa"/>
            <w:vMerge w:val="continue"/>
            <w:vAlign w:val="center"/>
          </w:tcPr>
          <w:p w14:paraId="7429AEEE">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0AABCA8B">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科室信息</w:t>
            </w:r>
          </w:p>
        </w:tc>
        <w:tc>
          <w:tcPr>
            <w:tcW w:w="5075" w:type="dxa"/>
            <w:vAlign w:val="center"/>
          </w:tcPr>
          <w:p w14:paraId="177AEC3C">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对院内急诊专病中心提供科室信息接口。</w:t>
            </w:r>
          </w:p>
        </w:tc>
        <w:tc>
          <w:tcPr>
            <w:tcW w:w="733" w:type="dxa"/>
            <w:vMerge w:val="continue"/>
            <w:vAlign w:val="center"/>
          </w:tcPr>
          <w:p w14:paraId="39CCA0B9">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24D88F0">
            <w:pPr>
              <w:jc w:val="center"/>
              <w:rPr>
                <w:rFonts w:hint="eastAsia" w:ascii="宋体" w:hAnsi="宋体" w:eastAsia="宋体" w:cs="宋体"/>
                <w:b w:val="0"/>
                <w:bCs w:val="0"/>
                <w:color w:val="auto"/>
                <w:kern w:val="0"/>
                <w:sz w:val="20"/>
                <w:szCs w:val="20"/>
                <w:highlight w:val="none"/>
                <w:lang w:val="en-US" w:eastAsia="zh-CN" w:bidi="ar-SA"/>
              </w:rPr>
            </w:pPr>
          </w:p>
        </w:tc>
      </w:tr>
      <w:tr w14:paraId="1C7D3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54983F35">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1028</w:t>
            </w:r>
          </w:p>
        </w:tc>
        <w:tc>
          <w:tcPr>
            <w:tcW w:w="625" w:type="dxa"/>
            <w:vMerge w:val="continue"/>
            <w:vAlign w:val="center"/>
          </w:tcPr>
          <w:p w14:paraId="54551F17">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7F4FF2D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住院患者信息</w:t>
            </w:r>
          </w:p>
        </w:tc>
        <w:tc>
          <w:tcPr>
            <w:tcW w:w="5075" w:type="dxa"/>
            <w:vAlign w:val="center"/>
          </w:tcPr>
          <w:p w14:paraId="3569468B">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对院内急诊专病中心提供住院患者信息接口。</w:t>
            </w:r>
          </w:p>
        </w:tc>
        <w:tc>
          <w:tcPr>
            <w:tcW w:w="733" w:type="dxa"/>
            <w:vMerge w:val="continue"/>
            <w:vAlign w:val="center"/>
          </w:tcPr>
          <w:p w14:paraId="75FA5D14">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3FEC1ADC">
            <w:pPr>
              <w:jc w:val="center"/>
              <w:rPr>
                <w:rFonts w:hint="eastAsia" w:ascii="宋体" w:hAnsi="宋体" w:eastAsia="宋体" w:cs="宋体"/>
                <w:b w:val="0"/>
                <w:bCs w:val="0"/>
                <w:color w:val="auto"/>
                <w:kern w:val="0"/>
                <w:sz w:val="20"/>
                <w:szCs w:val="20"/>
                <w:highlight w:val="none"/>
                <w:lang w:val="en-US" w:eastAsia="zh-CN" w:bidi="ar-SA"/>
              </w:rPr>
            </w:pPr>
          </w:p>
        </w:tc>
      </w:tr>
      <w:tr w14:paraId="62AB4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3505585D">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1029</w:t>
            </w:r>
          </w:p>
        </w:tc>
        <w:tc>
          <w:tcPr>
            <w:tcW w:w="625" w:type="dxa"/>
            <w:vMerge w:val="continue"/>
            <w:vAlign w:val="center"/>
          </w:tcPr>
          <w:p w14:paraId="093FB433">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0DC6D36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诊断信息</w:t>
            </w:r>
          </w:p>
        </w:tc>
        <w:tc>
          <w:tcPr>
            <w:tcW w:w="5075" w:type="dxa"/>
            <w:vAlign w:val="center"/>
          </w:tcPr>
          <w:p w14:paraId="5903997E">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对院内急诊专病中心提供诊断信息接口。</w:t>
            </w:r>
          </w:p>
        </w:tc>
        <w:tc>
          <w:tcPr>
            <w:tcW w:w="733" w:type="dxa"/>
            <w:vMerge w:val="continue"/>
            <w:vAlign w:val="center"/>
          </w:tcPr>
          <w:p w14:paraId="7C60560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431A7974">
            <w:pPr>
              <w:jc w:val="center"/>
              <w:rPr>
                <w:rFonts w:hint="eastAsia" w:ascii="宋体" w:hAnsi="宋体" w:eastAsia="宋体" w:cs="宋体"/>
                <w:b w:val="0"/>
                <w:bCs w:val="0"/>
                <w:color w:val="auto"/>
                <w:kern w:val="0"/>
                <w:sz w:val="20"/>
                <w:szCs w:val="20"/>
                <w:highlight w:val="none"/>
                <w:lang w:val="en-US" w:eastAsia="zh-CN" w:bidi="ar-SA"/>
              </w:rPr>
            </w:pPr>
          </w:p>
        </w:tc>
      </w:tr>
      <w:tr w14:paraId="0CDD1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7C3CE800">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1030</w:t>
            </w:r>
          </w:p>
        </w:tc>
        <w:tc>
          <w:tcPr>
            <w:tcW w:w="625" w:type="dxa"/>
            <w:vMerge w:val="continue"/>
            <w:vAlign w:val="center"/>
          </w:tcPr>
          <w:p w14:paraId="475E2712">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633D29A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患者医嘱信息</w:t>
            </w:r>
          </w:p>
        </w:tc>
        <w:tc>
          <w:tcPr>
            <w:tcW w:w="5075" w:type="dxa"/>
            <w:vAlign w:val="center"/>
          </w:tcPr>
          <w:p w14:paraId="6B234596">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对院内急诊专病中心提供患者医嘱信息接口。</w:t>
            </w:r>
          </w:p>
        </w:tc>
        <w:tc>
          <w:tcPr>
            <w:tcW w:w="733" w:type="dxa"/>
            <w:vMerge w:val="continue"/>
            <w:vAlign w:val="center"/>
          </w:tcPr>
          <w:p w14:paraId="1C69064E">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9D25EEA">
            <w:pPr>
              <w:jc w:val="center"/>
              <w:rPr>
                <w:rFonts w:hint="eastAsia" w:ascii="宋体" w:hAnsi="宋体" w:eastAsia="宋体" w:cs="宋体"/>
                <w:b w:val="0"/>
                <w:bCs w:val="0"/>
                <w:color w:val="auto"/>
                <w:kern w:val="0"/>
                <w:sz w:val="20"/>
                <w:szCs w:val="20"/>
                <w:highlight w:val="none"/>
                <w:lang w:val="en-US" w:eastAsia="zh-CN" w:bidi="ar-SA"/>
              </w:rPr>
            </w:pPr>
          </w:p>
        </w:tc>
      </w:tr>
      <w:tr w14:paraId="39E23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0BBE0649">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1031</w:t>
            </w:r>
          </w:p>
        </w:tc>
        <w:tc>
          <w:tcPr>
            <w:tcW w:w="625" w:type="dxa"/>
            <w:vMerge w:val="continue"/>
            <w:vAlign w:val="center"/>
          </w:tcPr>
          <w:p w14:paraId="39681B51">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6805006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结构化病历内容</w:t>
            </w:r>
          </w:p>
        </w:tc>
        <w:tc>
          <w:tcPr>
            <w:tcW w:w="5075" w:type="dxa"/>
            <w:vAlign w:val="center"/>
          </w:tcPr>
          <w:p w14:paraId="597B0169">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对院内急诊专病中心提供结构化病历内容接口。</w:t>
            </w:r>
          </w:p>
        </w:tc>
        <w:tc>
          <w:tcPr>
            <w:tcW w:w="733" w:type="dxa"/>
            <w:vMerge w:val="continue"/>
            <w:vAlign w:val="center"/>
          </w:tcPr>
          <w:p w14:paraId="6D203295">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274A310">
            <w:pPr>
              <w:jc w:val="center"/>
              <w:rPr>
                <w:rFonts w:hint="eastAsia" w:ascii="宋体" w:hAnsi="宋体" w:eastAsia="宋体" w:cs="宋体"/>
                <w:b w:val="0"/>
                <w:bCs w:val="0"/>
                <w:color w:val="auto"/>
                <w:kern w:val="0"/>
                <w:sz w:val="20"/>
                <w:szCs w:val="20"/>
                <w:highlight w:val="none"/>
                <w:lang w:val="en-US" w:eastAsia="zh-CN" w:bidi="ar-SA"/>
              </w:rPr>
            </w:pPr>
          </w:p>
        </w:tc>
      </w:tr>
      <w:tr w14:paraId="0232B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8" w:type="dxa"/>
            <w:vAlign w:val="center"/>
          </w:tcPr>
          <w:p w14:paraId="15629AB6">
            <w:pPr>
              <w:spacing w:line="300" w:lineRule="exact"/>
              <w:jc w:val="center"/>
              <w:rPr>
                <w:rFonts w:hint="eastAsia"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1032</w:t>
            </w:r>
          </w:p>
        </w:tc>
        <w:tc>
          <w:tcPr>
            <w:tcW w:w="625" w:type="dxa"/>
            <w:vMerge w:val="continue"/>
            <w:vAlign w:val="center"/>
          </w:tcPr>
          <w:p w14:paraId="3FA6D6DA">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78D221F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分诊列表</w:t>
            </w:r>
          </w:p>
        </w:tc>
        <w:tc>
          <w:tcPr>
            <w:tcW w:w="5075" w:type="dxa"/>
            <w:vAlign w:val="center"/>
          </w:tcPr>
          <w:p w14:paraId="47331D43">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对院内急诊专病中心提供分诊列表接口。</w:t>
            </w:r>
          </w:p>
        </w:tc>
        <w:tc>
          <w:tcPr>
            <w:tcW w:w="733" w:type="dxa"/>
            <w:vMerge w:val="continue"/>
            <w:vAlign w:val="center"/>
          </w:tcPr>
          <w:p w14:paraId="747888B3">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5A5714D3">
            <w:pPr>
              <w:jc w:val="center"/>
              <w:rPr>
                <w:rFonts w:hint="eastAsia" w:ascii="宋体" w:hAnsi="宋体" w:eastAsia="宋体" w:cs="宋体"/>
                <w:b w:val="0"/>
                <w:bCs w:val="0"/>
                <w:color w:val="auto"/>
                <w:kern w:val="0"/>
                <w:sz w:val="20"/>
                <w:szCs w:val="20"/>
                <w:highlight w:val="none"/>
                <w:lang w:val="en-US" w:eastAsia="zh-CN" w:bidi="ar-SA"/>
              </w:rPr>
            </w:pPr>
          </w:p>
        </w:tc>
      </w:tr>
      <w:tr w14:paraId="77C4A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47AF3CA4">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1033</w:t>
            </w:r>
          </w:p>
        </w:tc>
        <w:tc>
          <w:tcPr>
            <w:tcW w:w="625" w:type="dxa"/>
            <w:vMerge w:val="continue"/>
            <w:vAlign w:val="center"/>
          </w:tcPr>
          <w:p w14:paraId="61CD03CA">
            <w:pPr>
              <w:jc w:val="center"/>
              <w:rPr>
                <w:rFonts w:hint="eastAsia" w:ascii="宋体" w:hAnsi="宋体" w:eastAsia="宋体" w:cs="宋体"/>
                <w:b/>
                <w:color w:val="auto"/>
                <w:sz w:val="24"/>
                <w:szCs w:val="24"/>
                <w:highlight w:val="none"/>
                <w:vertAlign w:val="baseline"/>
                <w:lang w:eastAsia="zh-CN"/>
              </w:rPr>
            </w:pPr>
          </w:p>
        </w:tc>
        <w:tc>
          <w:tcPr>
            <w:tcW w:w="2525" w:type="dxa"/>
            <w:vAlign w:val="center"/>
          </w:tcPr>
          <w:p w14:paraId="5277E13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查询门急诊患者信息</w:t>
            </w:r>
          </w:p>
        </w:tc>
        <w:tc>
          <w:tcPr>
            <w:tcW w:w="5075" w:type="dxa"/>
            <w:vAlign w:val="center"/>
          </w:tcPr>
          <w:p w14:paraId="40EDDE95">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查询门急诊患者信息接口。</w:t>
            </w:r>
          </w:p>
        </w:tc>
        <w:tc>
          <w:tcPr>
            <w:tcW w:w="733" w:type="dxa"/>
            <w:vMerge w:val="continue"/>
            <w:vAlign w:val="center"/>
          </w:tcPr>
          <w:p w14:paraId="66BD7411">
            <w:pPr>
              <w:jc w:val="center"/>
              <w:rPr>
                <w:rFonts w:hint="eastAsia" w:ascii="宋体" w:hAnsi="宋体" w:eastAsia="宋体" w:cs="宋体"/>
                <w:b w:val="0"/>
                <w:bCs w:val="0"/>
                <w:color w:val="auto"/>
                <w:kern w:val="0"/>
                <w:sz w:val="20"/>
                <w:szCs w:val="20"/>
                <w:highlight w:val="none"/>
                <w:lang w:val="en-US" w:eastAsia="zh-CN" w:bidi="ar-SA"/>
              </w:rPr>
            </w:pPr>
          </w:p>
        </w:tc>
        <w:tc>
          <w:tcPr>
            <w:tcW w:w="714" w:type="dxa"/>
            <w:vMerge w:val="continue"/>
            <w:vAlign w:val="center"/>
          </w:tcPr>
          <w:p w14:paraId="22D898BC">
            <w:pPr>
              <w:jc w:val="center"/>
              <w:rPr>
                <w:rFonts w:hint="eastAsia" w:ascii="宋体" w:hAnsi="宋体" w:eastAsia="宋体" w:cs="宋体"/>
                <w:b w:val="0"/>
                <w:bCs w:val="0"/>
                <w:color w:val="auto"/>
                <w:kern w:val="0"/>
                <w:sz w:val="20"/>
                <w:szCs w:val="20"/>
                <w:highlight w:val="none"/>
                <w:lang w:val="en-US" w:eastAsia="zh-CN" w:bidi="ar-SA"/>
              </w:rPr>
            </w:pPr>
          </w:p>
        </w:tc>
      </w:tr>
    </w:tbl>
    <w:p w14:paraId="56B210B8">
      <w:pPr>
        <w:pStyle w:val="2"/>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highlight w:val="yellow"/>
          <w:lang w:val="en-US" w:eastAsia="zh-CN"/>
        </w:rPr>
        <w:t>（二）-20：数据中心（硬件）</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441"/>
        <w:gridCol w:w="6767"/>
        <w:gridCol w:w="733"/>
        <w:gridCol w:w="714"/>
      </w:tblGrid>
      <w:tr w14:paraId="0D892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695" w:type="dxa"/>
            <w:vAlign w:val="center"/>
          </w:tcPr>
          <w:p w14:paraId="3CC19B4A">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序号</w:t>
            </w:r>
          </w:p>
        </w:tc>
        <w:tc>
          <w:tcPr>
            <w:tcW w:w="1441" w:type="dxa"/>
            <w:vAlign w:val="center"/>
          </w:tcPr>
          <w:p w14:paraId="2ACAE3A5">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产品名称</w:t>
            </w:r>
          </w:p>
        </w:tc>
        <w:tc>
          <w:tcPr>
            <w:tcW w:w="6767" w:type="dxa"/>
            <w:vAlign w:val="center"/>
          </w:tcPr>
          <w:p w14:paraId="2F50F7A4">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576EE6BA">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单位</w:t>
            </w:r>
          </w:p>
        </w:tc>
        <w:tc>
          <w:tcPr>
            <w:tcW w:w="714" w:type="dxa"/>
            <w:vAlign w:val="center"/>
          </w:tcPr>
          <w:p w14:paraId="050C51C5">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数量</w:t>
            </w:r>
          </w:p>
        </w:tc>
      </w:tr>
      <w:tr w14:paraId="3FAE0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10350" w:type="dxa"/>
            <w:gridSpan w:val="5"/>
            <w:vAlign w:val="center"/>
          </w:tcPr>
          <w:p w14:paraId="674420FA">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二期主机房外网</w:t>
            </w:r>
          </w:p>
        </w:tc>
      </w:tr>
      <w:tr w14:paraId="49CB5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6C99DD9C">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1034</w:t>
            </w:r>
          </w:p>
        </w:tc>
        <w:tc>
          <w:tcPr>
            <w:tcW w:w="1441" w:type="dxa"/>
            <w:vAlign w:val="center"/>
          </w:tcPr>
          <w:p w14:paraId="7E97AA1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外网出口防火墙</w:t>
            </w:r>
          </w:p>
        </w:tc>
        <w:tc>
          <w:tcPr>
            <w:tcW w:w="6767" w:type="dxa"/>
            <w:vAlign w:val="center"/>
          </w:tcPr>
          <w:p w14:paraId="13B108A6">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1、1U机架式设备，产品支持智能DNS 、NAT功能、应用审计、带宽限速、DDOS攻击防御、入侵防御、防病毒、虚拟防火墙、数据防泄漏、URL过滤、服务器负载均衡、链路负载均衡、SSL VPN功能；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2、配置≥4个千兆光电复用口+8个万兆光口，主机吞吐量≥20Gbps，最大并发连接数≥200万，每秒新建连接数≥10万；</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3、支持威胁情报、IP信誉功能、DNS域名信誉功能，提供产品功能界面截图；</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4、支持网页诊断功能，用于当内网用户访问网页出现故障时，对网络进行基本的诊断，并给出故障原因；</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支持虚拟防火墙的创建、启动、删除，可独立分配虚拟设备的CPU、内存等资源，虚拟设备可独立管理、独立保存配置，虚拟设备具备独立会话管理、NAT、路由等功能，提供虚拟防火墙资源独立分配功能界面截图；</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6、支持高可靠集群部署，设备集群后可作为1台设备来统一配置管理；</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7、终端流量流经设备时，设备可分析并提取出终端信息，支持在终端信息发生变更时向用户发送日志；</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8、实配智能DNS 、NAT功能、DDOS攻击防御、数据防泄漏、服务器负载均衡、链路负载均衡、SSL VPN功能，配置3年应用识别功能模块、1年URL功能模块。</w:t>
            </w:r>
          </w:p>
        </w:tc>
        <w:tc>
          <w:tcPr>
            <w:tcW w:w="733" w:type="dxa"/>
            <w:vAlign w:val="center"/>
          </w:tcPr>
          <w:p w14:paraId="0A37CF1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1212D85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2</w:t>
            </w:r>
          </w:p>
        </w:tc>
      </w:tr>
      <w:tr w14:paraId="74BDF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314AAC07">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1035</w:t>
            </w:r>
          </w:p>
        </w:tc>
        <w:tc>
          <w:tcPr>
            <w:tcW w:w="1441" w:type="dxa"/>
            <w:vAlign w:val="center"/>
          </w:tcPr>
          <w:p w14:paraId="7106126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外网WAF</w:t>
            </w:r>
          </w:p>
        </w:tc>
        <w:tc>
          <w:tcPr>
            <w:tcW w:w="6767" w:type="dxa"/>
            <w:shd w:val="clear" w:color="auto" w:fill="auto"/>
            <w:vAlign w:val="center"/>
          </w:tcPr>
          <w:p w14:paraId="0285190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1、业务接口：千兆电口8个，光口2个，扩展槽2个，双交流电源；</w:t>
            </w:r>
          </w:p>
          <w:p w14:paraId="4E24BD9C">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 xml:space="preserve">2、网络层吞吐量4Gbps，并发连接400万,新建3万； </w:t>
            </w:r>
          </w:p>
          <w:p w14:paraId="23494EBA">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 xml:space="preserve">3、支持请求行正规化、头域负载正规化、Cookie正规化、漏洞攻击防护（sql注入、命令行注入、XSS跨站脚本等）、信息泄露防护、上传文件检查、网络爬虫防护、网页盗链防护、CC攻击防护、慢速DDoS防护、下载文件检查、敏感字过滤、HTTP访问控制、CSRF防护、文件扫描防护、弱口令防护、参数篡改防护、密码破解防护等web防护； </w:t>
            </w:r>
          </w:p>
          <w:p w14:paraId="6F94FC3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 xml:space="preserve">4、支持黑名单联动、网页防篡改、基于五元组防护控制功能、基于地理位置的访问控制能力、网站一键下线、网站一键锁定、DDoS防护等功能 </w:t>
            </w:r>
          </w:p>
          <w:p w14:paraId="2EEC9922">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5、支持透明部署、反向代理、旁路部署模式</w:t>
            </w:r>
          </w:p>
          <w:p w14:paraId="2447DD34">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b w:val="0"/>
                <w:bCs w:val="0"/>
                <w:color w:val="auto"/>
                <w:kern w:val="0"/>
                <w:sz w:val="20"/>
                <w:szCs w:val="20"/>
                <w:highlight w:val="yellow"/>
                <w:lang w:val="en-US" w:eastAsia="zh-CN" w:bidi="ar-SA"/>
              </w:rPr>
            </w:pPr>
            <w:r>
              <w:rPr>
                <w:rFonts w:hint="eastAsia" w:ascii="宋体" w:hAnsi="宋体" w:eastAsia="宋体" w:cs="宋体"/>
                <w:b w:val="0"/>
                <w:bCs w:val="0"/>
                <w:color w:val="auto"/>
                <w:kern w:val="0"/>
                <w:sz w:val="20"/>
                <w:szCs w:val="20"/>
                <w:highlight w:val="none"/>
                <w:lang w:val="en-US" w:eastAsia="zh-CN" w:bidi="ar-SA"/>
              </w:rPr>
              <w:t>6、支持对Web流量的镜像阻断功能，并且支持指定阻断报文发送接口。                                                                         7、支持通过虚拟化技术实现将一台物理设备虚拟成不少于1000个虚拟WAF；并且可对每个虚拟WAF使用的资源进行限制，例如会话数、新建速率、吞吐量、CPU及内存使用率。</w:t>
            </w:r>
          </w:p>
          <w:p w14:paraId="3D1D4A1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b w:val="0"/>
                <w:bCs w:val="0"/>
                <w:color w:val="auto"/>
                <w:kern w:val="0"/>
                <w:sz w:val="20"/>
                <w:szCs w:val="20"/>
                <w:highlight w:val="yellow"/>
                <w:lang w:val="en-US" w:eastAsia="zh-CN" w:bidi="ar-SA"/>
              </w:rPr>
            </w:pPr>
            <w:r>
              <w:rPr>
                <w:rFonts w:hint="eastAsia" w:ascii="宋体" w:hAnsi="宋体" w:eastAsia="宋体" w:cs="宋体"/>
                <w:b w:val="0"/>
                <w:bCs w:val="0"/>
                <w:color w:val="auto"/>
                <w:kern w:val="0"/>
                <w:sz w:val="20"/>
                <w:szCs w:val="20"/>
                <w:highlight w:val="yellow"/>
                <w:lang w:val="en-US" w:eastAsia="zh-CN" w:bidi="ar-SA"/>
              </w:rPr>
              <w:t xml:space="preserve"> </w:t>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 xml:space="preserve">8、支持通过设定前置参数名、正则表达式、参数范围等匹配特定的主机名、URL，对容易被篡改或者篡改会产生重大风险的参数名的取值进行限定。（提供CNAS或CMA标识的检测报告原件彩色扫描件或复印件加盖投标人公章）                                                                                                                   </w:t>
            </w:r>
          </w:p>
          <w:p w14:paraId="3D903730">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 xml:space="preserve">9、支持跨物理设备的端口聚合，扩展带宽节省链路资源以及方便部署。 </w:t>
            </w:r>
            <w:r>
              <w:rPr>
                <w:rFonts w:hint="eastAsia" w:ascii="宋体" w:hAnsi="宋体" w:eastAsia="宋体" w:cs="宋体"/>
                <w:b w:val="0"/>
                <w:bCs w:val="0"/>
                <w:color w:val="auto"/>
                <w:kern w:val="0"/>
                <w:sz w:val="20"/>
                <w:szCs w:val="20"/>
                <w:highlight w:val="yellow"/>
                <w:lang w:val="en-US" w:eastAsia="zh-CN" w:bidi="ar-SA"/>
              </w:rPr>
              <w:t xml:space="preserve">                                                                         </w:t>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10、支持对访问的URL流量进行控制，支持设定最大上行速率、最大下行速率，确保网站在遇到大流量访问时可以正常运行。（提供CNAS或CMA标识的检测报告原件彩色扫描件或复印件加盖投标人公章）</w:t>
            </w:r>
          </w:p>
        </w:tc>
        <w:tc>
          <w:tcPr>
            <w:tcW w:w="733" w:type="dxa"/>
            <w:vAlign w:val="center"/>
          </w:tcPr>
          <w:p w14:paraId="602CFEC6">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4D88BB5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7ECA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64AA285C">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1036</w:t>
            </w:r>
          </w:p>
        </w:tc>
        <w:tc>
          <w:tcPr>
            <w:tcW w:w="1441" w:type="dxa"/>
            <w:vAlign w:val="center"/>
          </w:tcPr>
          <w:p w14:paraId="6BD6D74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外网日志审计</w:t>
            </w:r>
          </w:p>
        </w:tc>
        <w:tc>
          <w:tcPr>
            <w:tcW w:w="6767" w:type="dxa"/>
            <w:vAlign w:val="center"/>
          </w:tcPr>
          <w:p w14:paraId="1F2D2A0F">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1、系统主机(含系统软件)。性能：综合日志处理性能≥10000EPS，日志采集处理均值≥15000EPS。硬件规格：标准机箱，≥6个千兆电口，≥2个扩展插槽（可选2万兆光、4千兆电、4千兆光、PCI-E密码卡），1个Console接口，单电源，≥2TB硬盘。包含35个日志源授权。</w:t>
            </w:r>
          </w:p>
          <w:p w14:paraId="4CDB89FA">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2、采用B/S模式，无需安装客户端，使用WEB浏览器访问管理中心，浏览器端无需安装Java运行环境。支持chrome浏览。</w:t>
            </w:r>
          </w:p>
          <w:p w14:paraId="7D5C1143">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3、系统可自动识别收集的日志并自动选择范化策略，也可由人工设置设备的范化策略。针对匹配的多条范化策略，系统支持用户手工设置策略匹配优先级，保证最佳范化策略匹配。</w:t>
            </w:r>
          </w:p>
          <w:p w14:paraId="429747E2">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4、所投产品须支持对日志中的源和目的IP地址进行自动补全，补全IP地址的国家、区域和城市等信息；</w:t>
            </w:r>
          </w:p>
          <w:p w14:paraId="0AC5DB5A">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5、解析时间格式字段时能够自动匹配推荐格式。范化绑定支持添加多IP；范化策略可以进行复制操作，下面的二级策略也可以一同复制。新建策略时进行自动编号。字段查询，支持使用汉语拼音首字母查询。</w:t>
            </w:r>
          </w:p>
          <w:p w14:paraId="2BF02B62">
            <w:pPr>
              <w:keepNext w:val="0"/>
              <w:keepLines w:val="0"/>
              <w:widowControl/>
              <w:suppressLineNumbers w:val="0"/>
              <w:jc w:val="both"/>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6、系统支持即席在线查询，支持嵌套查询，可针对查询结果任意回退，收敛事件范围；用户可根据需要配置事件显示的字段内容等。查询结果可支持加密导出。</w:t>
            </w:r>
          </w:p>
        </w:tc>
        <w:tc>
          <w:tcPr>
            <w:tcW w:w="733" w:type="dxa"/>
            <w:vAlign w:val="center"/>
          </w:tcPr>
          <w:p w14:paraId="1A6B892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22FCA27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3C9A1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0350" w:type="dxa"/>
            <w:gridSpan w:val="5"/>
            <w:vAlign w:val="center"/>
          </w:tcPr>
          <w:p w14:paraId="4D29DC09">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二期主机房内网</w:t>
            </w:r>
          </w:p>
        </w:tc>
      </w:tr>
      <w:tr w14:paraId="6323C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343B8DA9">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1037</w:t>
            </w:r>
          </w:p>
        </w:tc>
        <w:tc>
          <w:tcPr>
            <w:tcW w:w="1441" w:type="dxa"/>
            <w:vAlign w:val="center"/>
          </w:tcPr>
          <w:p w14:paraId="3B6C2B7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虚拟化服务器</w:t>
            </w:r>
          </w:p>
        </w:tc>
        <w:tc>
          <w:tcPr>
            <w:tcW w:w="6767" w:type="dxa"/>
            <w:vAlign w:val="center"/>
          </w:tcPr>
          <w:p w14:paraId="1B84123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1、机架式服务器，配置原厂导轨,支持≥10个PCIE4.0插槽；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2、配置2颗性能不低于2.1GHz、24核处理器，配置768GB DDR4内存，可扩展≥32根DDR4内存；</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3、实配≥2*960G SATA SSD硬盘，配置≥8个2.5寸热插拔硬盘槽位；</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4、配置独立Raid阵列卡，支持RAID0/1/10/5/6/50/60，≥2GB缓存，支持缓存数据保护，且后备保护时间不受限制；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5、配置≥4个千兆以太网电接口+4个万兆以太网光接口，配置≥2个16Gb单端口HBA卡；</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6、支持≥4个企业级GPU，配置VGA、USB3.0接口；</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7、实配热插拔冗余电源，热插拔冗余风扇≥4个；</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8、配置≥1Gb独立的远程管理控制端口，配置虚拟KVM功能, 可实现远程的开机、关机、重启、更新Firmware、虚拟光驱、虚拟文件夹等操作。</w:t>
            </w:r>
          </w:p>
        </w:tc>
        <w:tc>
          <w:tcPr>
            <w:tcW w:w="733" w:type="dxa"/>
            <w:vAlign w:val="center"/>
          </w:tcPr>
          <w:p w14:paraId="4F4324B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7D4E230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6</w:t>
            </w:r>
          </w:p>
        </w:tc>
      </w:tr>
      <w:tr w14:paraId="1DF2D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112CFB3B">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1038</w:t>
            </w:r>
          </w:p>
        </w:tc>
        <w:tc>
          <w:tcPr>
            <w:tcW w:w="1441" w:type="dxa"/>
            <w:vAlign w:val="center"/>
          </w:tcPr>
          <w:p w14:paraId="738BB09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虚拟化软件扩容</w:t>
            </w:r>
          </w:p>
        </w:tc>
        <w:tc>
          <w:tcPr>
            <w:tcW w:w="6767" w:type="dxa"/>
            <w:vAlign w:val="center"/>
          </w:tcPr>
          <w:p w14:paraId="69120BDB">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1、虚拟化软件应基于KVM开发，可维护性好，支持市场上主流的国内外操作系统，包括Windows、RedHat、CentOS、Ubuntu、SUSE、Fedora、FreeBSD、统信、银河麒麟、中标麒麟、普华、深度、一铭、凝思等；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2、提供统一的虚拟机管理界面，在同一界面上提供虚拟机启动、暂停、恢复、休眠、重启、关闭、关闭电源、克隆、迁移、备份、模板导出、快照等功能；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3、支持批量修改虚拟机的配置参数，包括：I/O优先级、启动优先级、是否自动迁移、CPU调度优先级、CPU个数、内存大小等；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4、支持虚拟交换机端口分布和虚拟机网卡出入流量的图形化展示；</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5、支持根据业务的负载情况实现业务系统虚拟机的动态扩展和回收，可根据虚拟机CPU、内存、连接数、存储容量、磁盘IO等参数动态地克隆或删除虚拟机，满足业务突发流量响应需求；</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6、支持当虚拟机的CPU、内存利用率超过设置的阈值时，系统将自动为该虚拟机增加相应的CPU和内存资源，无需人工干预（提供产品功能截图加盖投标人公章后的彩色扫描件）；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7、支持存储一键清除功能，对共享存储中无效的存储卷可以进行集中清除（提供CNAS或CMA标识的检测报告原件彩色扫描件或复印件加盖投标人公章后的彩色扫描件）；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8、虚拟化管理平台支持通过拖拽虚拟设备图标和连线完成网络拓扑的构建，快速实现整个业务逻辑，提升运维管理的工作效率。</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9、虚拟化软件界面支持界面背景、产品LOGO、产品名称等信息的客户定制化修改；</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10、可兼容现网虚拟化管理平台，纳入统一集群统一纳管，新建虚拟化集群可与现网虚拟化集群互为容灾集群，无需借助第三方软件。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11、配置12个CPU授权许可。</w:t>
            </w:r>
          </w:p>
        </w:tc>
        <w:tc>
          <w:tcPr>
            <w:tcW w:w="733" w:type="dxa"/>
            <w:vAlign w:val="center"/>
          </w:tcPr>
          <w:p w14:paraId="6CD206F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0F7B274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1DB1B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582846AB">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1039</w:t>
            </w:r>
          </w:p>
        </w:tc>
        <w:tc>
          <w:tcPr>
            <w:tcW w:w="1441" w:type="dxa"/>
            <w:vAlign w:val="center"/>
          </w:tcPr>
          <w:p w14:paraId="28D0436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虚拟化杀毒软件扩容</w:t>
            </w:r>
          </w:p>
        </w:tc>
        <w:tc>
          <w:tcPr>
            <w:tcW w:w="6767" w:type="dxa"/>
            <w:vAlign w:val="center"/>
          </w:tcPr>
          <w:p w14:paraId="294DC5E0">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1.1个控制中心,11个linux服务器终端授权许可。原厂三年程序版本与三年病毒库升级服务</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 其自主研发恶意代码检测引擎为三家或以上国内安全企业提供OEM。</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 要求控制中心平台可以部署在以下操作系统上：Windows 7、Windows 8、Windows 8.1、Windows 10、Windows Server 2003、Windows Server 2008、Windows Server 2012、Windows Server 2016、Windows Server 2019、Ubuntu 16.04、Ubuntu 22.04、CentOS 7、CentOS 8、RedHat6.1、openSUSE 15、UOS-20（统信）、Kylin-v10-sp1 (麒麟)等。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 要求客户端安装后占用硬盘空间60M以内， 病毒库大小不超过10M，日常使用内存占用30M左右，有效节省电脑资源。</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 要求中心支持容灾备份功能，可使用linux控制台进行异构备份，当主中心计算机遭受如宕机、断电、硬件/软件故障等意外情况或人为操作错误导致主中心计算机无法正常使用时，备用中心将自动顶替宕机的主中心且同步数据。</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 支持违规外联功能可实现外联能力探测，检测到违规外联后进行重启或者断网。</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 Windows 7或以上系统，Windows2008或以上系统，具有终端动态口令验证功能，当终端用户登录计算机时都将弹出动态口令安全认证窗口，若用户设置了计算机密码，该弹窗将在用户输入正确的账户密码后弹出。用户需再次输入正确的动态口令才可登入计算机，且可设置应用范围：远程登录时启用或本地登录时启用。阻止终端遭遇密码泄露、弱口令暴破、撞库等黑客破解行为带来的危害。</w:t>
            </w:r>
          </w:p>
        </w:tc>
        <w:tc>
          <w:tcPr>
            <w:tcW w:w="733" w:type="dxa"/>
            <w:vAlign w:val="center"/>
          </w:tcPr>
          <w:p w14:paraId="257ADE5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1AA9094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17320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368D27A3">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1040</w:t>
            </w:r>
          </w:p>
        </w:tc>
        <w:tc>
          <w:tcPr>
            <w:tcW w:w="1441" w:type="dxa"/>
            <w:vAlign w:val="center"/>
          </w:tcPr>
          <w:p w14:paraId="1874993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虚拟化存储扩容</w:t>
            </w:r>
          </w:p>
        </w:tc>
        <w:tc>
          <w:tcPr>
            <w:tcW w:w="6767" w:type="dxa"/>
            <w:vAlign w:val="center"/>
          </w:tcPr>
          <w:p w14:paraId="0684B40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1、硬盘笼扩容：扩容1个硬盘笼，要求新扩容的硬盘笼与现网存储系统兼容适配，不影响现有系统的稳定运行。</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2、硬盘供应：提供5.76TB SSD硬盘，用于提升系统的高性能存储能力。提供84TB HDD硬盘，用于扩充系统的总存储容量。</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3、配置数据容灾复制功能许可证和双活许可，无容量限制。要求支持存储系统之间、存储系统到存储集群、存储集群之间的多对一数据复制、双向数据复制。要求对Oracle, Exchange, MS Sql Server等应用必须配置一致性数据卷组保护功能；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4、技术安装服务：供应商需提供原厂技术服务。</w:t>
            </w:r>
          </w:p>
        </w:tc>
        <w:tc>
          <w:tcPr>
            <w:tcW w:w="733" w:type="dxa"/>
            <w:vAlign w:val="center"/>
          </w:tcPr>
          <w:p w14:paraId="230084B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0BA3D88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1E0B4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75E384C1">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1041</w:t>
            </w:r>
          </w:p>
        </w:tc>
        <w:tc>
          <w:tcPr>
            <w:tcW w:w="1441" w:type="dxa"/>
            <w:vAlign w:val="center"/>
          </w:tcPr>
          <w:p w14:paraId="1524CF2B">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云存储</w:t>
            </w:r>
          </w:p>
        </w:tc>
        <w:tc>
          <w:tcPr>
            <w:tcW w:w="6767" w:type="dxa"/>
            <w:vAlign w:val="center"/>
          </w:tcPr>
          <w:p w14:paraId="65277F0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1、横向扩展的分布式架构，节点间完全对称，无需独立的元数据物理服务器或索引服务器；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bidi="ar-SA"/>
              </w:rPr>
              <w:t>2、</w:t>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同一节点可同时提供块、文件、对象存储（提供CNAS或CMA标识的检测报告原件彩色扫描件或复印件加盖投标人公章后的彩色扫描件）。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3、每台配置≥2颗性能不低于2.2GHz、24核、缓存≥256GB，配置硬盘≥2* 480G SSD+4* 3.2T NVMe SSD+30* 12T HDD，配置≥4个万兆以太网光接口（含模块）；</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4、支持iSCSI连接，支持Windows、Linux、UNIX、Mac OS、Vmware ESXi等操作系统，支持KVM、vSphere、Xen、Hyper-V等虚拟化平台；</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集群最大支持卷数量≥80000个，单卷最大支持容量≥64TB，单个节点IOPS性能≥1.2万；支持基于时间点的卷克隆，实现跨故障域的数据保护，支持重新同步和自动实时同步；支持完全的卷拷贝，支持立即拷贝和手动拷贝，支持暂停拷贝和重新启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6、支持精简配置技术，应用实际写数据时才分配相应的物理存储空间；支持厚配置，根据业务需求分配固定的物理存储空间；</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7、兼容POSIX标准接口，支持NFS、CIFS、FTP共享（提供CNAS或CMA标识的检测报告原件彩色扫描件或复印件加盖投标人公章后的彩色扫描件）；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8、单个文件规模支持≥64TB，系统最大支持文件数≥100亿个，单个目录最大支持文件数≥100万个，系统最大支持创建≥5000万个目录，单个节点大文件带宽性能≥1.6GB/s；</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提供鉴权认证功能，包括用户鉴权、匿名鉴权、AD鉴权、LDAP认证、CHAP鉴权；提供权限控制功能，包括完全控制、读写、只读、禁止等；提供配额管理功能，包括目录配额、用户配额、容量配额、文件数配额、计算配额、强制配额等；</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10、支持文件回收站功能，支持文件删除后自动保存一段时间，可以从回收站恢复文件，支持文件过期后自动删除（提供CNAS或CMA标识的检测报告原件彩色扫描件或复印件加盖投标人公章后的彩色扫描件）；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11、兼容S3、Swift接口，支持通过http或CLI进行管理；</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yellow"/>
                <w:lang w:val="en-US" w:eastAsia="zh-CN"/>
              </w:rPr>
              <w:t>▲</w:t>
            </w:r>
            <w:r>
              <w:rPr>
                <w:rFonts w:hint="eastAsia" w:ascii="宋体" w:hAnsi="宋体" w:eastAsia="宋体" w:cs="宋体"/>
                <w:b w:val="0"/>
                <w:bCs w:val="0"/>
                <w:color w:val="auto"/>
                <w:kern w:val="0"/>
                <w:sz w:val="20"/>
                <w:szCs w:val="20"/>
                <w:highlight w:val="yellow"/>
                <w:lang w:val="en-US" w:eastAsia="zh-CN" w:bidi="ar-SA"/>
              </w:rPr>
              <w:t>12、每TB数据重构恢复时间≤15分钟（提供CNAS或CMA标识的检测报告原件彩色扫描件或复印件加盖投标人公章后的彩色扫描件）；</w:t>
            </w:r>
            <w:r>
              <w:rPr>
                <w:rFonts w:hint="eastAsia" w:ascii="宋体" w:hAnsi="宋体" w:eastAsia="宋体" w:cs="宋体"/>
                <w:b w:val="0"/>
                <w:bCs w:val="0"/>
                <w:color w:val="3B3BFF"/>
                <w:kern w:val="0"/>
                <w:sz w:val="20"/>
                <w:szCs w:val="20"/>
                <w:highlight w:val="yellow"/>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13、支持多副本保护，支持2到8个副本；</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14、支持N+1到N+4的纠删码保护，最大支持任意4个节点故障而数据不丢失、系统不停机；</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15、支持快照数据保护，支持创建只读快照、可写快照、定时快照、一致性组快照；支持管理节点HA高可用，管理平台部署于主备两个节点，主节点故障时，自动完成主备切换；提供对存储系统各个参数的实时监测，管理界面内可查看各个存储池的信息，包括冗余策略、所属硬盘池、数据健康度和状态等，支持对硬盘容量、硬盘负载、内存占用、CPU占用的监控；</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16、支持智能化一键巡检，支持针对不同存储业务类型各个时间段（部署、升级、扩容等）的一键巡检、支持问题定位分析、支持场景参数检查等功能。</w:t>
            </w:r>
          </w:p>
        </w:tc>
        <w:tc>
          <w:tcPr>
            <w:tcW w:w="733" w:type="dxa"/>
            <w:vAlign w:val="center"/>
          </w:tcPr>
          <w:p w14:paraId="4102693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5BABE31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w:t>
            </w:r>
          </w:p>
        </w:tc>
      </w:tr>
      <w:tr w14:paraId="21EA2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1BA33C13">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1042</w:t>
            </w:r>
          </w:p>
        </w:tc>
        <w:tc>
          <w:tcPr>
            <w:tcW w:w="1441" w:type="dxa"/>
            <w:vAlign w:val="center"/>
          </w:tcPr>
          <w:p w14:paraId="35D6E1F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48口千兆管理交换机</w:t>
            </w:r>
          </w:p>
        </w:tc>
        <w:tc>
          <w:tcPr>
            <w:tcW w:w="6767" w:type="dxa"/>
            <w:vAlign w:val="center"/>
          </w:tcPr>
          <w:p w14:paraId="0B2B25A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1、交换容量≥430Gbps，包转发率≥166Mpps（以官网最小值为准），整机提供≥48个千兆以太网电口+4个万兆以太网光口；</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2、MAC地址表≥16K，路由表容量≥1K，ARP表容量≥1K，ACL容量≥1K，最大VLAN数≥4K，支持RIP、OSPF。</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3、最大堆叠台数≥9台，支持通过标准以太端口进行堆叠（万兆或千兆均支持）；</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4、端口防雷≥10KV；</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5、支持 Telemetry 技术，实时采集设备数据并上送至网络分析组件平台，实现流量可视化。</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6、实现CPU保护功能，能限制非法报文对CPU的攻击，保护交换机在各种环境下稳定工作。</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7、支持G.8032（ERPS）标准环网协议，故障倒换收敛时间小于50毫秒，</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8、配置智能管理平台，对网络整体运维管理，实现整网拓扑可视，实现在对整网交换机的统一管理。</w:t>
            </w:r>
          </w:p>
        </w:tc>
        <w:tc>
          <w:tcPr>
            <w:tcW w:w="733" w:type="dxa"/>
            <w:vAlign w:val="center"/>
          </w:tcPr>
          <w:p w14:paraId="231F2C5D">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229E2D6F">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w:t>
            </w:r>
          </w:p>
        </w:tc>
      </w:tr>
      <w:tr w14:paraId="0C68B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33F7C124">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1043</w:t>
            </w:r>
          </w:p>
        </w:tc>
        <w:tc>
          <w:tcPr>
            <w:tcW w:w="1441" w:type="dxa"/>
            <w:vAlign w:val="center"/>
          </w:tcPr>
          <w:p w14:paraId="7D63610A">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万兆多模光模块</w:t>
            </w:r>
          </w:p>
        </w:tc>
        <w:tc>
          <w:tcPr>
            <w:tcW w:w="6767" w:type="dxa"/>
            <w:vAlign w:val="center"/>
          </w:tcPr>
          <w:p w14:paraId="5943A627">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波长：850nm            传输距离：300米</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接口类型：LC           传输速率：10Gbps（万兆）</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封装形式：SFP+</w:t>
            </w:r>
          </w:p>
        </w:tc>
        <w:tc>
          <w:tcPr>
            <w:tcW w:w="733" w:type="dxa"/>
            <w:vAlign w:val="center"/>
          </w:tcPr>
          <w:p w14:paraId="76DDDCD7">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个</w:t>
            </w:r>
          </w:p>
        </w:tc>
        <w:tc>
          <w:tcPr>
            <w:tcW w:w="714" w:type="dxa"/>
            <w:vAlign w:val="center"/>
          </w:tcPr>
          <w:p w14:paraId="07004F10">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52</w:t>
            </w:r>
          </w:p>
        </w:tc>
      </w:tr>
      <w:tr w14:paraId="4CF3C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10350" w:type="dxa"/>
            <w:gridSpan w:val="5"/>
            <w:vAlign w:val="center"/>
          </w:tcPr>
          <w:p w14:paraId="6086D2CD">
            <w:pPr>
              <w:jc w:val="lef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bidi="ar-SA"/>
              </w:rPr>
              <w:t>其他设备</w:t>
            </w:r>
          </w:p>
        </w:tc>
      </w:tr>
      <w:tr w14:paraId="1FB2F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46F70A7E">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1044</w:t>
            </w:r>
          </w:p>
        </w:tc>
        <w:tc>
          <w:tcPr>
            <w:tcW w:w="1441" w:type="dxa"/>
            <w:vAlign w:val="center"/>
          </w:tcPr>
          <w:p w14:paraId="42A20011">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等保测评</w:t>
            </w:r>
          </w:p>
        </w:tc>
        <w:tc>
          <w:tcPr>
            <w:tcW w:w="6767" w:type="dxa"/>
            <w:vAlign w:val="center"/>
          </w:tcPr>
          <w:p w14:paraId="5B69AD2C">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bidi="ar-SA"/>
              </w:rPr>
              <w:t>每套系统按照国家要求完成等保三级测评，1次</w:t>
            </w:r>
          </w:p>
        </w:tc>
        <w:tc>
          <w:tcPr>
            <w:tcW w:w="733" w:type="dxa"/>
            <w:vAlign w:val="center"/>
          </w:tcPr>
          <w:p w14:paraId="76ACF7A3">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套</w:t>
            </w:r>
          </w:p>
        </w:tc>
        <w:tc>
          <w:tcPr>
            <w:tcW w:w="714" w:type="dxa"/>
            <w:vAlign w:val="center"/>
          </w:tcPr>
          <w:p w14:paraId="17908142">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4</w:t>
            </w:r>
          </w:p>
        </w:tc>
      </w:tr>
    </w:tbl>
    <w:p w14:paraId="79F6F7F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highlight w:val="yellow"/>
          <w:lang w:val="en-US" w:eastAsia="zh-CN"/>
        </w:rPr>
        <w:t>（二）-21：院内急诊与专病信息化平台（硬件）</w:t>
      </w:r>
    </w:p>
    <w:tbl>
      <w:tblPr>
        <w:tblStyle w:val="14"/>
        <w:tblW w:w="1035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483"/>
        <w:gridCol w:w="6725"/>
        <w:gridCol w:w="733"/>
        <w:gridCol w:w="714"/>
      </w:tblGrid>
      <w:tr w14:paraId="5B785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95" w:type="dxa"/>
            <w:vAlign w:val="center"/>
          </w:tcPr>
          <w:p w14:paraId="19EAD486">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仿宋" w:hAnsi="仿宋" w:eastAsia="仿宋" w:cs="宋体"/>
                <w:color w:val="auto"/>
                <w:sz w:val="22"/>
                <w:szCs w:val="22"/>
                <w:highlight w:val="none"/>
                <w:lang w:val="en-US" w:eastAsia="zh-CN"/>
              </w:rPr>
            </w:pPr>
            <w:r>
              <w:rPr>
                <w:rFonts w:hint="eastAsia" w:ascii="宋体" w:hAnsi="宋体" w:eastAsia="宋体" w:cs="宋体"/>
                <w:b/>
                <w:bCs/>
                <w:color w:val="auto"/>
                <w:kern w:val="0"/>
                <w:sz w:val="20"/>
                <w:szCs w:val="20"/>
                <w:highlight w:val="none"/>
                <w:lang w:val="en-US" w:eastAsia="zh-CN"/>
              </w:rPr>
              <w:t>序号</w:t>
            </w:r>
          </w:p>
        </w:tc>
        <w:tc>
          <w:tcPr>
            <w:tcW w:w="1483" w:type="dxa"/>
            <w:vAlign w:val="center"/>
          </w:tcPr>
          <w:p w14:paraId="678B6159">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产品名称</w:t>
            </w:r>
          </w:p>
        </w:tc>
        <w:tc>
          <w:tcPr>
            <w:tcW w:w="6725" w:type="dxa"/>
            <w:vAlign w:val="center"/>
          </w:tcPr>
          <w:p w14:paraId="59CE877C">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eastAsia="zh-CN"/>
              </w:rPr>
              <w:t>技术参数</w:t>
            </w:r>
            <w:r>
              <w:rPr>
                <w:rFonts w:hint="eastAsia" w:ascii="宋体" w:hAnsi="宋体" w:eastAsia="宋体" w:cs="宋体"/>
                <w:b/>
                <w:bCs/>
                <w:color w:val="auto"/>
                <w:kern w:val="0"/>
                <w:sz w:val="20"/>
                <w:szCs w:val="20"/>
                <w:highlight w:val="none"/>
                <w:lang w:val="en-US" w:eastAsia="zh-CN"/>
              </w:rPr>
              <w:t>/要求</w:t>
            </w:r>
          </w:p>
        </w:tc>
        <w:tc>
          <w:tcPr>
            <w:tcW w:w="733" w:type="dxa"/>
            <w:vAlign w:val="center"/>
          </w:tcPr>
          <w:p w14:paraId="0EA39065">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单位</w:t>
            </w:r>
          </w:p>
        </w:tc>
        <w:tc>
          <w:tcPr>
            <w:tcW w:w="714" w:type="dxa"/>
            <w:vAlign w:val="center"/>
          </w:tcPr>
          <w:p w14:paraId="54516439">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数量</w:t>
            </w:r>
          </w:p>
        </w:tc>
      </w:tr>
      <w:tr w14:paraId="41A79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51188309">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1045</w:t>
            </w:r>
          </w:p>
        </w:tc>
        <w:tc>
          <w:tcPr>
            <w:tcW w:w="1483" w:type="dxa"/>
            <w:vAlign w:val="center"/>
          </w:tcPr>
          <w:p w14:paraId="4E1311C4">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定位基站</w:t>
            </w:r>
          </w:p>
        </w:tc>
        <w:tc>
          <w:tcPr>
            <w:tcW w:w="6725" w:type="dxa"/>
            <w:vAlign w:val="center"/>
          </w:tcPr>
          <w:p w14:paraId="36C27FAD">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 xml:space="preserve">1、频段范围：2.4GHz-2.485GHz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2、定位原理：AOA</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3、定位精度：无遮挡最高精度≤30cm</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4、协议标准：Bluetooth 4.0及以上</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5、兼容性：终端系统兼容 iOS/Android，终端应用程序兼容APP/小程序</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6、网络接口：10/100/1000M RJ45，可内置4G/Wi-Fi模块</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7、系统架构：采用标准以太网架构，不使用额外时间同步设备</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8、ID标识：唯一ID标识</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9、天线类型：内置全向天线</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10、供电方式：IEEE 802.3af POE</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11、升级方式：OTA</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12、颜色尺寸：白色，≤230mm×230mm×35mm</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13、安装方式：吸顶、吊装，最大安装高度20m</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14、基站功率：≤2W</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15、工作温度：-20℃-70℃</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16、工作湿度：10%-90%无凝结</w:t>
            </w:r>
          </w:p>
        </w:tc>
        <w:tc>
          <w:tcPr>
            <w:tcW w:w="733" w:type="dxa"/>
            <w:vAlign w:val="center"/>
          </w:tcPr>
          <w:p w14:paraId="0120E67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5E14ADC6">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7</w:t>
            </w:r>
          </w:p>
        </w:tc>
      </w:tr>
      <w:tr w14:paraId="7EAAA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3AB9A8CE">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1046</w:t>
            </w:r>
          </w:p>
        </w:tc>
        <w:tc>
          <w:tcPr>
            <w:tcW w:w="1483" w:type="dxa"/>
            <w:vAlign w:val="center"/>
          </w:tcPr>
          <w:p w14:paraId="6BEB1D68">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发卡器</w:t>
            </w:r>
          </w:p>
        </w:tc>
        <w:tc>
          <w:tcPr>
            <w:tcW w:w="6725" w:type="dxa"/>
            <w:vAlign w:val="center"/>
          </w:tcPr>
          <w:p w14:paraId="4D5E4538">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1、支持系统： Window XP、7、8、10，Linux</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2、指示灯： LED指示灯，指示电源或通讯状态</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3、其他特性： 提供通用接口函数库，可支持多种操作系统和语言开发平台,支持定制开发</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4、符合标准： EMV、PBOC3.0 L1、qPBOC3.0L1、卫健委、住建部</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5、通讯线： 附1.5M长的连接通讯线</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6、工作环境： 温度：-10°C~50°C;相对湿度：5%~93%(非冷凝)</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7、存储环境： 温度：-20°C~60°C;相对湿度：5%~95%(非冷凝)</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8、通讯接口： USB、RS232</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9、接触式卡： 支持1个ISO7816标准卡</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10、非接触卡： 支持ISO14443 TypeA/B标准感应IC卡</w:t>
            </w:r>
          </w:p>
        </w:tc>
        <w:tc>
          <w:tcPr>
            <w:tcW w:w="733" w:type="dxa"/>
            <w:vAlign w:val="center"/>
          </w:tcPr>
          <w:p w14:paraId="59B64D4F">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092BB6DF">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w:t>
            </w:r>
          </w:p>
        </w:tc>
      </w:tr>
      <w:tr w14:paraId="71766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02CDA1AC">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1047</w:t>
            </w:r>
          </w:p>
        </w:tc>
        <w:tc>
          <w:tcPr>
            <w:tcW w:w="1483" w:type="dxa"/>
            <w:vAlign w:val="center"/>
          </w:tcPr>
          <w:p w14:paraId="7F30AF85">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手环标签</w:t>
            </w:r>
          </w:p>
        </w:tc>
        <w:tc>
          <w:tcPr>
            <w:tcW w:w="6725" w:type="dxa"/>
            <w:vAlign w:val="center"/>
          </w:tcPr>
          <w:p w14:paraId="49DAD172">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1、高精度定位，定位精度可达0.1~1m</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2、亲肤材质腕带，佩戴感受高度舒适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 xml:space="preserve">3、频段范围：2.4GHz-2.485GHz </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4、天线类型：内置全向天线</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5、测距精度：0.1~1m</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6、刷新率：0.1Hz~30Hz，可调</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7、产品编号：全球唯一固化ID，不可更改</w:t>
            </w:r>
          </w:p>
        </w:tc>
        <w:tc>
          <w:tcPr>
            <w:tcW w:w="733" w:type="dxa"/>
            <w:vAlign w:val="center"/>
          </w:tcPr>
          <w:p w14:paraId="43B049CD">
            <w:pPr>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194BC338">
            <w:pPr>
              <w:jc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60</w:t>
            </w:r>
          </w:p>
        </w:tc>
      </w:tr>
      <w:tr w14:paraId="76B20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47ADD845">
            <w:pPr>
              <w:spacing w:line="300" w:lineRule="exact"/>
              <w:jc w:val="center"/>
              <w:rPr>
                <w:rFonts w:hint="default" w:ascii="仿宋" w:hAnsi="仿宋" w:eastAsia="仿宋" w:cs="宋体"/>
                <w:color w:val="auto"/>
                <w:sz w:val="22"/>
                <w:szCs w:val="22"/>
                <w:highlight w:val="none"/>
                <w:lang w:val="en-US" w:eastAsia="zh-CN"/>
              </w:rPr>
            </w:pPr>
            <w:r>
              <w:rPr>
                <w:rFonts w:hint="eastAsia" w:ascii="仿宋" w:hAnsi="仿宋" w:eastAsia="仿宋" w:cs="宋体"/>
                <w:color w:val="auto"/>
                <w:sz w:val="22"/>
                <w:szCs w:val="22"/>
                <w:highlight w:val="none"/>
                <w:lang w:val="en-US" w:eastAsia="zh-CN"/>
              </w:rPr>
              <w:t>1048</w:t>
            </w:r>
          </w:p>
        </w:tc>
        <w:tc>
          <w:tcPr>
            <w:tcW w:w="1483" w:type="dxa"/>
            <w:vAlign w:val="center"/>
          </w:tcPr>
          <w:p w14:paraId="09425BD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移动PDA</w:t>
            </w:r>
          </w:p>
        </w:tc>
        <w:tc>
          <w:tcPr>
            <w:tcW w:w="6725" w:type="dxa"/>
            <w:vAlign w:val="center"/>
          </w:tcPr>
          <w:p w14:paraId="5A3DFCEA">
            <w:pPr>
              <w:keepNext w:val="0"/>
              <w:keepLines w:val="0"/>
              <w:widowControl/>
              <w:suppressLineNumbers w:val="0"/>
              <w:jc w:val="left"/>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1、高通八核处理器，频率≥2.0GHZ</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2、操作系统≥Android 11.0</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3、运行内存≥4GB</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4、存储内存≥64GB</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5、续航能力：配置可充电的锂离子电池，容量≥5000mAh，工作时间≥10小时</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6、屏幕分辨率≥1440*720</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7、键盘：为便于消毒清洗设备正面必须为触控按键，不得有实体按键</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8、防摔抗震：可承受1.5m高处到地面的多次跌落，室温下6个面每面不少于2次跌落</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9、外壳材料：白色抑菌材料，可耐受医用酒精、医用过氧化氢等医院常用消毒剂（含屏幕部分），整机支持紫外线消毒</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10、防水防尘工业等级：≥IP68</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11、WIFI网络：支持802.11a/b/g/n/ac协议，2.4G/5G双频，支持wifi6</w:t>
            </w:r>
            <w:r>
              <w:rPr>
                <w:rFonts w:hint="eastAsia" w:ascii="宋体" w:hAnsi="宋体" w:eastAsia="宋体" w:cs="宋体"/>
                <w:b w:val="0"/>
                <w:bCs w:val="0"/>
                <w:color w:val="auto"/>
                <w:kern w:val="0"/>
                <w:sz w:val="20"/>
                <w:szCs w:val="20"/>
                <w:highlight w:val="none"/>
                <w:lang w:val="en-US" w:eastAsia="zh-CN" w:bidi="ar-SA"/>
              </w:rPr>
              <w:br w:type="textWrapping"/>
            </w:r>
            <w:r>
              <w:rPr>
                <w:rFonts w:hint="eastAsia" w:ascii="宋体" w:hAnsi="宋体" w:eastAsia="宋体" w:cs="宋体"/>
                <w:b w:val="0"/>
                <w:bCs w:val="0"/>
                <w:color w:val="auto"/>
                <w:kern w:val="0"/>
                <w:sz w:val="20"/>
                <w:szCs w:val="20"/>
                <w:highlight w:val="none"/>
                <w:lang w:val="en-US" w:eastAsia="zh-CN" w:bidi="ar-SA"/>
              </w:rPr>
              <w:t>12、条码扫描引擎：专业条码解码引擎，支持一维条码和二维条码读取</w:t>
            </w:r>
          </w:p>
        </w:tc>
        <w:tc>
          <w:tcPr>
            <w:tcW w:w="733" w:type="dxa"/>
            <w:vAlign w:val="center"/>
          </w:tcPr>
          <w:p w14:paraId="3ADBE9AC">
            <w:pPr>
              <w:keepNext w:val="0"/>
              <w:keepLines w:val="0"/>
              <w:widowControl/>
              <w:suppressLineNumbers w:val="0"/>
              <w:jc w:val="center"/>
              <w:textAlignment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台</w:t>
            </w:r>
          </w:p>
        </w:tc>
        <w:tc>
          <w:tcPr>
            <w:tcW w:w="714" w:type="dxa"/>
            <w:vAlign w:val="center"/>
          </w:tcPr>
          <w:p w14:paraId="01FFEF8C">
            <w:pPr>
              <w:keepNext w:val="0"/>
              <w:keepLines w:val="0"/>
              <w:widowControl/>
              <w:suppressLineNumbers w:val="0"/>
              <w:jc w:val="center"/>
              <w:textAlignment w:val="center"/>
              <w:rPr>
                <w:rFonts w:hint="default"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6</w:t>
            </w:r>
          </w:p>
        </w:tc>
      </w:tr>
    </w:tbl>
    <w:p w14:paraId="00628238">
      <w:pPr>
        <w:pStyle w:val="11"/>
        <w:spacing w:beforeAutospacing="0" w:afterAutospacing="0"/>
        <w:jc w:val="both"/>
        <w:rPr>
          <w:color w:val="auto"/>
          <w:highlight w:val="none"/>
        </w:rPr>
      </w:pPr>
    </w:p>
    <w:p w14:paraId="446E8114">
      <w:pPr>
        <w:pStyle w:val="11"/>
        <w:spacing w:beforeAutospacing="0" w:afterAutospacing="0"/>
        <w:jc w:val="both"/>
        <w:rPr>
          <w:color w:val="auto"/>
          <w:highlight w:val="none"/>
        </w:rPr>
      </w:pPr>
    </w:p>
    <w:p w14:paraId="6EE67D82">
      <w:pPr>
        <w:pStyle w:val="11"/>
        <w:spacing w:beforeAutospacing="0" w:afterAutospacing="0"/>
        <w:jc w:val="both"/>
        <w:rPr>
          <w:color w:val="auto"/>
          <w:highlight w:val="none"/>
        </w:rPr>
      </w:pPr>
    </w:p>
    <w:p w14:paraId="36E612A0">
      <w:pPr>
        <w:pStyle w:val="11"/>
        <w:spacing w:beforeAutospacing="0" w:afterAutospacing="0"/>
        <w:jc w:val="both"/>
        <w:rPr>
          <w:color w:val="auto"/>
          <w:highlight w:val="none"/>
        </w:rPr>
      </w:pPr>
    </w:p>
    <w:p w14:paraId="1DCDEBCA">
      <w:pPr>
        <w:pStyle w:val="11"/>
        <w:spacing w:beforeAutospacing="0" w:afterAutospacing="0"/>
        <w:jc w:val="both"/>
        <w:rPr>
          <w:color w:val="auto"/>
          <w:highlight w:val="none"/>
        </w:rPr>
      </w:pPr>
    </w:p>
    <w:p w14:paraId="65EC1D2B">
      <w:pPr>
        <w:pStyle w:val="11"/>
        <w:spacing w:beforeAutospacing="0" w:afterAutospacing="0"/>
        <w:jc w:val="both"/>
        <w:rPr>
          <w:color w:val="auto"/>
          <w:highlight w:val="none"/>
        </w:rPr>
      </w:pPr>
    </w:p>
    <w:p w14:paraId="698ADE2A">
      <w:pPr>
        <w:pStyle w:val="11"/>
        <w:spacing w:beforeAutospacing="0" w:afterAutospacing="0"/>
        <w:jc w:val="both"/>
        <w:rPr>
          <w:color w:val="auto"/>
          <w:highlight w:val="none"/>
        </w:rPr>
      </w:pPr>
    </w:p>
    <w:p w14:paraId="66B4B626">
      <w:pPr>
        <w:pStyle w:val="11"/>
        <w:spacing w:beforeAutospacing="0" w:afterAutospacing="0"/>
        <w:jc w:val="both"/>
        <w:rPr>
          <w:color w:val="auto"/>
          <w:highlight w:val="none"/>
        </w:rPr>
      </w:pPr>
    </w:p>
    <w:p w14:paraId="0BA160DB">
      <w:pPr>
        <w:pStyle w:val="11"/>
        <w:spacing w:beforeAutospacing="0" w:afterAutospacing="0"/>
        <w:jc w:val="both"/>
        <w:rPr>
          <w:color w:val="auto"/>
          <w:highlight w:val="none"/>
        </w:rPr>
      </w:pPr>
    </w:p>
    <w:p w14:paraId="61D2C2F1">
      <w:pPr>
        <w:pStyle w:val="11"/>
        <w:spacing w:beforeAutospacing="0" w:afterAutospacing="0"/>
        <w:jc w:val="both"/>
        <w:rPr>
          <w:color w:val="auto"/>
          <w:highlight w:val="none"/>
        </w:rPr>
      </w:pPr>
    </w:p>
    <w:p w14:paraId="350355A2">
      <w:pPr>
        <w:pStyle w:val="11"/>
        <w:spacing w:beforeAutospacing="0" w:afterAutospacing="0"/>
        <w:jc w:val="both"/>
        <w:rPr>
          <w:color w:val="auto"/>
          <w:highlight w:val="none"/>
        </w:rPr>
      </w:pPr>
    </w:p>
    <w:p w14:paraId="1BC2114F">
      <w:pPr>
        <w:pStyle w:val="11"/>
        <w:spacing w:beforeAutospacing="0" w:afterAutospacing="0"/>
        <w:jc w:val="both"/>
        <w:rPr>
          <w:color w:val="auto"/>
          <w:highlight w:val="none"/>
        </w:rPr>
      </w:pPr>
    </w:p>
    <w:p w14:paraId="64B86DE8">
      <w:pPr>
        <w:pStyle w:val="11"/>
        <w:spacing w:beforeAutospacing="0" w:afterAutospacing="0"/>
        <w:jc w:val="both"/>
        <w:rPr>
          <w:color w:val="auto"/>
          <w:highlight w:val="none"/>
        </w:rPr>
      </w:pPr>
    </w:p>
    <w:p w14:paraId="24917B7E">
      <w:pPr>
        <w:pStyle w:val="11"/>
        <w:spacing w:beforeAutospacing="0" w:afterAutospacing="0"/>
        <w:jc w:val="both"/>
        <w:rPr>
          <w:color w:val="auto"/>
          <w:highlight w:val="none"/>
        </w:rPr>
      </w:pPr>
    </w:p>
    <w:p w14:paraId="394793B9">
      <w:pPr>
        <w:pStyle w:val="11"/>
        <w:spacing w:beforeAutospacing="0" w:afterAutospacing="0"/>
        <w:jc w:val="both"/>
        <w:rPr>
          <w:color w:val="auto"/>
          <w:highlight w:val="none"/>
        </w:rPr>
      </w:pPr>
    </w:p>
    <w:p w14:paraId="01B2D1AF">
      <w:pPr>
        <w:pStyle w:val="11"/>
        <w:spacing w:beforeAutospacing="0" w:afterAutospacing="0"/>
        <w:jc w:val="both"/>
        <w:rPr>
          <w:color w:val="auto"/>
          <w:highlight w:val="none"/>
        </w:rPr>
      </w:pPr>
    </w:p>
    <w:p w14:paraId="468601A1">
      <w:pPr>
        <w:pStyle w:val="11"/>
        <w:spacing w:beforeAutospacing="0" w:afterAutospacing="0"/>
        <w:jc w:val="both"/>
        <w:rPr>
          <w:color w:val="auto"/>
          <w:highlight w:val="none"/>
        </w:rPr>
      </w:pPr>
    </w:p>
    <w:p w14:paraId="5B6314FF">
      <w:pPr>
        <w:pStyle w:val="11"/>
        <w:spacing w:beforeAutospacing="0" w:afterAutospacing="0"/>
        <w:jc w:val="both"/>
        <w:rPr>
          <w:color w:val="auto"/>
          <w:highlight w:val="none"/>
        </w:rPr>
      </w:pPr>
    </w:p>
    <w:p w14:paraId="4D30C6ED">
      <w:pPr>
        <w:pStyle w:val="11"/>
        <w:spacing w:beforeAutospacing="0" w:afterAutospacing="0"/>
        <w:jc w:val="both"/>
        <w:rPr>
          <w:color w:val="auto"/>
          <w:highlight w:val="none"/>
        </w:rPr>
      </w:pPr>
    </w:p>
    <w:p w14:paraId="19034AF2">
      <w:pPr>
        <w:pStyle w:val="11"/>
        <w:spacing w:beforeAutospacing="0" w:afterAutospacing="0"/>
        <w:jc w:val="both"/>
        <w:rPr>
          <w:color w:val="auto"/>
          <w:highlight w:val="none"/>
        </w:rPr>
      </w:pPr>
    </w:p>
    <w:p w14:paraId="65641861">
      <w:pPr>
        <w:pStyle w:val="11"/>
        <w:spacing w:beforeAutospacing="0" w:afterAutospacing="0"/>
        <w:jc w:val="both"/>
        <w:rPr>
          <w:color w:val="auto"/>
          <w:highlight w:val="none"/>
        </w:rPr>
      </w:pPr>
    </w:p>
    <w:p w14:paraId="3CE94F99">
      <w:pPr>
        <w:pStyle w:val="11"/>
        <w:spacing w:beforeAutospacing="0" w:afterAutospacing="0"/>
        <w:jc w:val="both"/>
        <w:rPr>
          <w:color w:val="auto"/>
          <w:highlight w:val="none"/>
        </w:rPr>
      </w:pPr>
    </w:p>
    <w:p w14:paraId="179D5E07">
      <w:pPr>
        <w:pStyle w:val="11"/>
        <w:spacing w:beforeAutospacing="0" w:afterAutospacing="0"/>
        <w:jc w:val="both"/>
        <w:rPr>
          <w:color w:val="auto"/>
          <w:highlight w:val="none"/>
        </w:rPr>
      </w:pPr>
    </w:p>
    <w:p w14:paraId="6DF6BA4E">
      <w:pPr>
        <w:pStyle w:val="11"/>
        <w:spacing w:beforeAutospacing="0" w:afterAutospacing="0"/>
        <w:jc w:val="both"/>
        <w:rPr>
          <w:color w:val="auto"/>
          <w:highlight w:val="none"/>
        </w:rPr>
      </w:pPr>
    </w:p>
    <w:p w14:paraId="0F94BA02">
      <w:pPr>
        <w:pStyle w:val="11"/>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eastAsia="zh-CN"/>
        </w:rPr>
        <w:t>一</w:t>
      </w:r>
      <w:r>
        <w:rPr>
          <w:rFonts w:hint="eastAsia" w:ascii="黑体" w:hAnsi="宋体" w:eastAsia="黑体" w:cs="黑体"/>
          <w:b/>
          <w:color w:val="auto"/>
          <w:sz w:val="32"/>
          <w:szCs w:val="32"/>
          <w:highlight w:val="none"/>
        </w:rPr>
        <w:t>、技术要求响应及偏离表</w:t>
      </w:r>
    </w:p>
    <w:tbl>
      <w:tblPr>
        <w:tblStyle w:val="13"/>
        <w:tblpPr w:leftFromText="180" w:rightFromText="180" w:vertAnchor="text" w:horzAnchor="page" w:tblpX="1860" w:tblpY="155"/>
        <w:tblOverlap w:val="never"/>
        <w:tblW w:w="8520" w:type="dxa"/>
        <w:tblCellSpacing w:w="0" w:type="dxa"/>
        <w:tblInd w:w="0" w:type="dxa"/>
        <w:tblLayout w:type="fixed"/>
        <w:tblCellMar>
          <w:top w:w="0" w:type="dxa"/>
          <w:left w:w="108" w:type="dxa"/>
          <w:bottom w:w="0" w:type="dxa"/>
          <w:right w:w="108" w:type="dxa"/>
        </w:tblCellMar>
      </w:tblPr>
      <w:tblGrid>
        <w:gridCol w:w="538"/>
        <w:gridCol w:w="3026"/>
        <w:gridCol w:w="2608"/>
        <w:gridCol w:w="1247"/>
        <w:gridCol w:w="1101"/>
      </w:tblGrid>
      <w:tr w14:paraId="389E584C">
        <w:tblPrEx>
          <w:tblCellMar>
            <w:top w:w="0" w:type="dxa"/>
            <w:left w:w="108" w:type="dxa"/>
            <w:bottom w:w="0" w:type="dxa"/>
            <w:right w:w="108" w:type="dxa"/>
          </w:tblCellMar>
        </w:tblPrEx>
        <w:trPr>
          <w:trHeight w:val="807"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544D0">
            <w:pPr>
              <w:pStyle w:val="11"/>
              <w:spacing w:beforeAutospacing="0" w:afterAutospacing="0"/>
              <w:jc w:val="center"/>
              <w:rPr>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77187">
            <w:pPr>
              <w:pStyle w:val="11"/>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1842B">
            <w:pPr>
              <w:pStyle w:val="11"/>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CDEC8">
            <w:pPr>
              <w:pStyle w:val="11"/>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59580">
            <w:pPr>
              <w:pStyle w:val="11"/>
              <w:spacing w:beforeAutospacing="0" w:afterAutospacing="0"/>
              <w:jc w:val="center"/>
              <w:rPr>
                <w:color w:val="auto"/>
                <w:highlight w:val="none"/>
              </w:rPr>
            </w:pPr>
            <w:r>
              <w:rPr>
                <w:rFonts w:hint="eastAsia" w:ascii="宋体" w:hAnsi="宋体" w:eastAsia="宋体" w:cs="宋体"/>
                <w:color w:val="auto"/>
                <w:highlight w:val="none"/>
              </w:rPr>
              <w:t>证明</w:t>
            </w:r>
          </w:p>
          <w:p w14:paraId="7420B5B7">
            <w:pPr>
              <w:pStyle w:val="11"/>
              <w:spacing w:beforeAutospacing="0" w:afterAutospacing="0"/>
              <w:jc w:val="center"/>
              <w:rPr>
                <w:color w:val="auto"/>
                <w:highlight w:val="none"/>
              </w:rPr>
            </w:pPr>
            <w:r>
              <w:rPr>
                <w:rFonts w:hint="eastAsia" w:ascii="宋体" w:hAnsi="宋体" w:eastAsia="宋体" w:cs="宋体"/>
                <w:color w:val="auto"/>
                <w:highlight w:val="none"/>
              </w:rPr>
              <w:t>材料</w:t>
            </w:r>
          </w:p>
        </w:tc>
      </w:tr>
      <w:tr w14:paraId="36B886E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10B13">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8EDA8">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DCDF3">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B1382">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7567E">
            <w:pPr>
              <w:pStyle w:val="11"/>
              <w:spacing w:beforeAutospacing="0" w:afterAutospacing="0"/>
              <w:jc w:val="center"/>
              <w:rPr>
                <w:color w:val="auto"/>
                <w:highlight w:val="none"/>
              </w:rPr>
            </w:pPr>
            <w:r>
              <w:rPr>
                <w:color w:val="auto"/>
                <w:highlight w:val="none"/>
              </w:rPr>
              <w:t> </w:t>
            </w:r>
          </w:p>
        </w:tc>
      </w:tr>
      <w:tr w14:paraId="0719C74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D6F7E">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985DF">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56C3F">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1C7CB">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B51DB">
            <w:pPr>
              <w:pStyle w:val="11"/>
              <w:spacing w:beforeAutospacing="0" w:afterAutospacing="0"/>
              <w:jc w:val="center"/>
              <w:rPr>
                <w:color w:val="auto"/>
                <w:highlight w:val="none"/>
              </w:rPr>
            </w:pPr>
            <w:r>
              <w:rPr>
                <w:color w:val="auto"/>
                <w:highlight w:val="none"/>
              </w:rPr>
              <w:t> </w:t>
            </w:r>
          </w:p>
        </w:tc>
      </w:tr>
      <w:tr w14:paraId="40B1446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7F760">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A4B7D">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6C69A">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57FE5">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C2C19">
            <w:pPr>
              <w:pStyle w:val="11"/>
              <w:spacing w:beforeAutospacing="0" w:afterAutospacing="0"/>
              <w:jc w:val="center"/>
              <w:rPr>
                <w:color w:val="auto"/>
                <w:highlight w:val="none"/>
              </w:rPr>
            </w:pPr>
            <w:r>
              <w:rPr>
                <w:color w:val="auto"/>
                <w:highlight w:val="none"/>
              </w:rPr>
              <w:t> </w:t>
            </w:r>
          </w:p>
        </w:tc>
      </w:tr>
      <w:tr w14:paraId="20B8D9D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5C6F9">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7D14C">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54FC3">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F3BB9">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46582">
            <w:pPr>
              <w:pStyle w:val="11"/>
              <w:spacing w:beforeAutospacing="0" w:afterAutospacing="0"/>
              <w:jc w:val="center"/>
              <w:rPr>
                <w:color w:val="auto"/>
                <w:highlight w:val="none"/>
              </w:rPr>
            </w:pPr>
            <w:r>
              <w:rPr>
                <w:color w:val="auto"/>
                <w:highlight w:val="none"/>
              </w:rPr>
              <w:t> </w:t>
            </w:r>
          </w:p>
        </w:tc>
      </w:tr>
      <w:tr w14:paraId="46FCD30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6CC2C">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0D531">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F48A4">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6F9F8">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43E61">
            <w:pPr>
              <w:pStyle w:val="11"/>
              <w:spacing w:beforeAutospacing="0" w:afterAutospacing="0"/>
              <w:jc w:val="center"/>
              <w:rPr>
                <w:color w:val="auto"/>
                <w:highlight w:val="none"/>
              </w:rPr>
            </w:pPr>
            <w:r>
              <w:rPr>
                <w:color w:val="auto"/>
                <w:highlight w:val="none"/>
              </w:rPr>
              <w:t> </w:t>
            </w:r>
          </w:p>
        </w:tc>
      </w:tr>
      <w:tr w14:paraId="26CBAA4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B8816">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0B0D6">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AA1DB">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344ED">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7D412">
            <w:pPr>
              <w:pStyle w:val="11"/>
              <w:spacing w:beforeAutospacing="0" w:afterAutospacing="0"/>
              <w:jc w:val="center"/>
              <w:rPr>
                <w:color w:val="auto"/>
                <w:highlight w:val="none"/>
              </w:rPr>
            </w:pPr>
            <w:r>
              <w:rPr>
                <w:color w:val="auto"/>
                <w:highlight w:val="none"/>
              </w:rPr>
              <w:t> </w:t>
            </w:r>
          </w:p>
        </w:tc>
      </w:tr>
      <w:tr w14:paraId="0280770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9A6FB">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E7C5E">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F98BF">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BC16B">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9A791">
            <w:pPr>
              <w:pStyle w:val="11"/>
              <w:spacing w:beforeAutospacing="0" w:afterAutospacing="0"/>
              <w:jc w:val="center"/>
              <w:rPr>
                <w:color w:val="auto"/>
                <w:highlight w:val="none"/>
              </w:rPr>
            </w:pPr>
            <w:r>
              <w:rPr>
                <w:color w:val="auto"/>
                <w:highlight w:val="none"/>
              </w:rPr>
              <w:t> </w:t>
            </w:r>
          </w:p>
        </w:tc>
      </w:tr>
      <w:tr w14:paraId="225EF5F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3BF9D">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70843">
            <w:pPr>
              <w:pStyle w:val="11"/>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86829">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E00A9">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23378">
            <w:pPr>
              <w:pStyle w:val="11"/>
              <w:spacing w:beforeAutospacing="0" w:afterAutospacing="0"/>
              <w:jc w:val="center"/>
              <w:rPr>
                <w:color w:val="auto"/>
                <w:highlight w:val="none"/>
              </w:rPr>
            </w:pPr>
            <w:r>
              <w:rPr>
                <w:color w:val="auto"/>
                <w:highlight w:val="none"/>
              </w:rPr>
              <w:t> </w:t>
            </w:r>
          </w:p>
        </w:tc>
      </w:tr>
    </w:tbl>
    <w:p w14:paraId="0C880E17">
      <w:pPr>
        <w:pStyle w:val="11"/>
        <w:spacing w:beforeAutospacing="0" w:afterAutospacing="0"/>
        <w:ind w:firstLine="480" w:firstLineChars="200"/>
        <w:jc w:val="both"/>
        <w:rPr>
          <w:rFonts w:hint="eastAsia" w:ascii="宋体" w:hAnsi="宋体" w:eastAsia="宋体" w:cs="宋体"/>
          <w:color w:val="auto"/>
          <w:highlight w:val="none"/>
        </w:rPr>
      </w:pPr>
    </w:p>
    <w:p w14:paraId="680C6B93">
      <w:pPr>
        <w:pStyle w:val="11"/>
        <w:spacing w:beforeAutospacing="0" w:afterAutospacing="0"/>
        <w:ind w:firstLine="720" w:firstLineChars="300"/>
        <w:jc w:val="both"/>
        <w:rPr>
          <w:rFonts w:hint="eastAsia" w:ascii="宋体" w:hAnsi="宋体" w:eastAsia="宋体" w:cs="宋体"/>
          <w:color w:val="auto"/>
          <w:highlight w:val="none"/>
        </w:rPr>
      </w:pPr>
      <w:r>
        <w:rPr>
          <w:rFonts w:hint="eastAsia" w:ascii="宋体" w:hAnsi="宋体" w:eastAsia="宋体" w:cs="宋体"/>
          <w:color w:val="auto"/>
          <w:highlight w:val="none"/>
        </w:rPr>
        <w:t>注： 行数不够，可自行添加。</w:t>
      </w:r>
    </w:p>
    <w:p w14:paraId="29D7B01C">
      <w:pPr>
        <w:pStyle w:val="11"/>
        <w:spacing w:beforeAutospacing="0" w:afterAutospacing="0"/>
        <w:ind w:firstLine="720" w:firstLineChars="300"/>
        <w:jc w:val="both"/>
        <w:rPr>
          <w:rFonts w:hint="eastAsia" w:ascii="宋体" w:hAnsi="宋体" w:eastAsia="宋体" w:cs="宋体"/>
          <w:color w:val="auto"/>
          <w:highlight w:val="none"/>
        </w:rPr>
      </w:pPr>
    </w:p>
    <w:p w14:paraId="176318F7">
      <w:pPr>
        <w:pStyle w:val="11"/>
        <w:spacing w:beforeAutospacing="0" w:afterAutospacing="0" w:line="0" w:lineRule="atLeast"/>
        <w:ind w:right="180" w:firstLine="360"/>
        <w:jc w:val="right"/>
        <w:rPr>
          <w:color w:val="auto"/>
          <w:highlight w:val="none"/>
        </w:rPr>
      </w:pPr>
      <w:r>
        <w:rPr>
          <w:color w:val="auto"/>
          <w:highlight w:val="none"/>
        </w:rPr>
        <w:t> </w:t>
      </w:r>
      <w:r>
        <w:rPr>
          <w:rFonts w:hint="eastAsia" w:ascii="宋体" w:hAnsi="宋体" w:eastAsia="宋体" w:cs="宋体"/>
          <w:color w:val="auto"/>
          <w:highlight w:val="none"/>
        </w:rPr>
        <w:t>企业名称（加盖CA电子公章）：</w:t>
      </w:r>
    </w:p>
    <w:p w14:paraId="014F51B6">
      <w:pPr>
        <w:pStyle w:val="11"/>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52377D83">
      <w:pPr>
        <w:pStyle w:val="11"/>
        <w:spacing w:beforeAutospacing="0" w:afterAutospacing="0"/>
        <w:ind w:firstLine="720" w:firstLineChars="300"/>
        <w:jc w:val="both"/>
        <w:rPr>
          <w:rFonts w:hint="eastAsia" w:ascii="宋体" w:hAnsi="宋体" w:eastAsia="宋体" w:cs="宋体"/>
          <w:color w:val="auto"/>
          <w:highlight w:val="none"/>
        </w:rPr>
      </w:pPr>
    </w:p>
    <w:p w14:paraId="41CC95A4">
      <w:pPr>
        <w:pStyle w:val="11"/>
        <w:spacing w:beforeAutospacing="0" w:afterAutospacing="0"/>
        <w:jc w:val="center"/>
        <w:rPr>
          <w:color w:val="auto"/>
          <w:highlight w:val="none"/>
        </w:rPr>
      </w:pPr>
      <w:r>
        <w:rPr>
          <w:color w:val="auto"/>
          <w:highlight w:val="none"/>
        </w:rPr>
        <w:t> </w:t>
      </w:r>
    </w:p>
    <w:p w14:paraId="0C0192B3">
      <w:pPr>
        <w:pStyle w:val="11"/>
        <w:spacing w:beforeAutospacing="0" w:afterAutospacing="0"/>
        <w:jc w:val="center"/>
        <w:rPr>
          <w:color w:val="auto"/>
          <w:highlight w:val="none"/>
        </w:rPr>
      </w:pPr>
      <w:r>
        <w:rPr>
          <w:color w:val="auto"/>
          <w:highlight w:val="none"/>
        </w:rPr>
        <w:t> </w:t>
      </w:r>
    </w:p>
    <w:p w14:paraId="7B5E1F0B">
      <w:pPr>
        <w:pStyle w:val="11"/>
        <w:spacing w:beforeAutospacing="0" w:afterAutospacing="0"/>
        <w:jc w:val="center"/>
        <w:rPr>
          <w:color w:val="auto"/>
          <w:highlight w:val="none"/>
        </w:rPr>
      </w:pPr>
      <w:r>
        <w:rPr>
          <w:color w:val="auto"/>
          <w:highlight w:val="none"/>
        </w:rPr>
        <w:t> </w:t>
      </w:r>
    </w:p>
    <w:p w14:paraId="64DD254B">
      <w:pPr>
        <w:pStyle w:val="11"/>
        <w:spacing w:beforeAutospacing="0" w:afterAutospacing="0"/>
        <w:jc w:val="center"/>
        <w:rPr>
          <w:color w:val="auto"/>
          <w:highlight w:val="none"/>
        </w:rPr>
      </w:pPr>
      <w:r>
        <w:rPr>
          <w:color w:val="auto"/>
          <w:highlight w:val="none"/>
        </w:rPr>
        <w:t> </w:t>
      </w:r>
    </w:p>
    <w:p w14:paraId="11DD0466">
      <w:pPr>
        <w:pStyle w:val="11"/>
        <w:spacing w:beforeAutospacing="0" w:afterAutospacing="0"/>
        <w:jc w:val="both"/>
        <w:rPr>
          <w:color w:val="auto"/>
          <w:highlight w:val="none"/>
        </w:rPr>
      </w:pPr>
      <w:r>
        <w:rPr>
          <w:color w:val="auto"/>
          <w:highlight w:val="none"/>
        </w:rPr>
        <w:t> </w:t>
      </w:r>
    </w:p>
    <w:p w14:paraId="411840DB">
      <w:pPr>
        <w:pStyle w:val="11"/>
        <w:spacing w:beforeAutospacing="0" w:afterAutospacing="0"/>
        <w:jc w:val="both"/>
        <w:rPr>
          <w:color w:val="auto"/>
          <w:highlight w:val="none"/>
        </w:rPr>
      </w:pPr>
      <w:r>
        <w:rPr>
          <w:color w:val="auto"/>
          <w:highlight w:val="none"/>
        </w:rPr>
        <w:t> </w:t>
      </w:r>
    </w:p>
    <w:p w14:paraId="55BA850E">
      <w:pPr>
        <w:pStyle w:val="11"/>
        <w:spacing w:beforeAutospacing="0" w:afterAutospacing="0"/>
        <w:jc w:val="both"/>
        <w:rPr>
          <w:color w:val="auto"/>
          <w:highlight w:val="none"/>
        </w:rPr>
      </w:pPr>
      <w:r>
        <w:rPr>
          <w:color w:val="auto"/>
          <w:highlight w:val="none"/>
        </w:rPr>
        <w:t> </w:t>
      </w:r>
    </w:p>
    <w:p w14:paraId="398924F9">
      <w:pPr>
        <w:pStyle w:val="11"/>
        <w:spacing w:beforeAutospacing="0" w:afterAutospacing="0"/>
        <w:jc w:val="both"/>
        <w:rPr>
          <w:color w:val="auto"/>
          <w:highlight w:val="none"/>
        </w:rPr>
      </w:pPr>
      <w:r>
        <w:rPr>
          <w:color w:val="auto"/>
          <w:highlight w:val="none"/>
        </w:rPr>
        <w:t> </w:t>
      </w:r>
    </w:p>
    <w:p w14:paraId="399209B6">
      <w:pPr>
        <w:pStyle w:val="11"/>
        <w:spacing w:beforeAutospacing="0" w:afterAutospacing="0"/>
        <w:jc w:val="both"/>
        <w:rPr>
          <w:color w:val="auto"/>
          <w:highlight w:val="none"/>
        </w:rPr>
      </w:pPr>
      <w:r>
        <w:rPr>
          <w:color w:val="auto"/>
          <w:highlight w:val="none"/>
        </w:rPr>
        <w:t> </w:t>
      </w:r>
    </w:p>
    <w:p w14:paraId="6C677070">
      <w:pPr>
        <w:pStyle w:val="11"/>
        <w:spacing w:beforeAutospacing="0" w:afterAutospacing="0"/>
        <w:jc w:val="both"/>
        <w:rPr>
          <w:color w:val="auto"/>
          <w:highlight w:val="none"/>
        </w:rPr>
      </w:pPr>
    </w:p>
    <w:p w14:paraId="347B6CFE">
      <w:pPr>
        <w:pStyle w:val="11"/>
        <w:spacing w:beforeAutospacing="0" w:afterAutospacing="0"/>
        <w:jc w:val="both"/>
        <w:rPr>
          <w:color w:val="auto"/>
          <w:highlight w:val="none"/>
        </w:rPr>
      </w:pPr>
    </w:p>
    <w:p w14:paraId="17B69FEB">
      <w:pPr>
        <w:pStyle w:val="11"/>
        <w:spacing w:beforeAutospacing="0" w:afterAutospacing="0"/>
        <w:jc w:val="both"/>
        <w:rPr>
          <w:color w:val="auto"/>
          <w:highlight w:val="none"/>
        </w:rPr>
      </w:pPr>
    </w:p>
    <w:p w14:paraId="7D232131">
      <w:pPr>
        <w:pStyle w:val="11"/>
        <w:spacing w:beforeAutospacing="0" w:afterAutospacing="0"/>
        <w:jc w:val="both"/>
        <w:rPr>
          <w:color w:val="auto"/>
          <w:highlight w:val="none"/>
        </w:rPr>
      </w:pPr>
    </w:p>
    <w:p w14:paraId="300356A9">
      <w:pPr>
        <w:pStyle w:val="11"/>
        <w:spacing w:beforeAutospacing="0" w:afterAutospacing="0"/>
        <w:jc w:val="both"/>
        <w:rPr>
          <w:color w:val="auto"/>
          <w:highlight w:val="none"/>
        </w:rPr>
      </w:pPr>
    </w:p>
    <w:p w14:paraId="7F420A6D">
      <w:pPr>
        <w:pStyle w:val="11"/>
        <w:spacing w:beforeAutospacing="0" w:afterAutospacing="0"/>
        <w:jc w:val="both"/>
        <w:rPr>
          <w:color w:val="auto"/>
          <w:highlight w:val="none"/>
        </w:rPr>
      </w:pPr>
    </w:p>
    <w:p w14:paraId="0968A632">
      <w:pPr>
        <w:pStyle w:val="11"/>
        <w:spacing w:beforeAutospacing="0" w:afterAutospacing="0"/>
        <w:jc w:val="center"/>
        <w:rPr>
          <w:color w:val="auto"/>
          <w:highlight w:val="none"/>
        </w:rPr>
      </w:pPr>
      <w:bookmarkStart w:id="190" w:name="_Hlt26955054"/>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eastAsia="zh-CN"/>
        </w:rPr>
        <w:t>二</w:t>
      </w:r>
      <w:r>
        <w:rPr>
          <w:rFonts w:hint="eastAsia" w:ascii="黑体" w:hAnsi="宋体" w:eastAsia="黑体" w:cs="黑体"/>
          <w:b/>
          <w:color w:val="auto"/>
          <w:sz w:val="32"/>
          <w:szCs w:val="32"/>
          <w:highlight w:val="none"/>
        </w:rPr>
        <w:t>、商务要求响应及偏离表</w:t>
      </w:r>
    </w:p>
    <w:tbl>
      <w:tblPr>
        <w:tblStyle w:val="13"/>
        <w:tblpPr w:leftFromText="180" w:rightFromText="180" w:vertAnchor="text" w:horzAnchor="page" w:tblpX="1927" w:tblpY="243"/>
        <w:tblOverlap w:val="never"/>
        <w:tblW w:w="8520" w:type="dxa"/>
        <w:tblCellSpacing w:w="0" w:type="dxa"/>
        <w:tblInd w:w="0" w:type="dxa"/>
        <w:tblLayout w:type="fixed"/>
        <w:tblCellMar>
          <w:top w:w="0" w:type="dxa"/>
          <w:left w:w="108" w:type="dxa"/>
          <w:bottom w:w="0" w:type="dxa"/>
          <w:right w:w="108" w:type="dxa"/>
        </w:tblCellMar>
      </w:tblPr>
      <w:tblGrid>
        <w:gridCol w:w="538"/>
        <w:gridCol w:w="3026"/>
        <w:gridCol w:w="2608"/>
        <w:gridCol w:w="1247"/>
        <w:gridCol w:w="1101"/>
      </w:tblGrid>
      <w:tr w14:paraId="7D5B5D2F">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F24B1">
            <w:pPr>
              <w:pStyle w:val="11"/>
              <w:spacing w:beforeAutospacing="0" w:afterAutospacing="0"/>
              <w:jc w:val="center"/>
              <w:rPr>
                <w:color w:val="auto"/>
                <w:highlight w:val="none"/>
              </w:rPr>
            </w:pPr>
            <w:bookmarkStart w:id="191" w:name="_Hlt26671372"/>
            <w:bookmarkStart w:id="192" w:name="_Hlt24879081"/>
            <w:bookmarkStart w:id="193" w:name="_Hlt26782999"/>
            <w:bookmarkStart w:id="194" w:name="_Hlt26955064"/>
            <w:bookmarkStart w:id="195" w:name="_Hlt26580838"/>
            <w:bookmarkStart w:id="196" w:name="_Hlt26671343"/>
            <w:bookmarkStart w:id="197" w:name="_Hlt26955056"/>
            <w:bookmarkStart w:id="198" w:name="_Hlt26609391"/>
            <w:r>
              <w:rPr>
                <w:rFonts w:hint="eastAsia" w:ascii="宋体" w:hAnsi="宋体" w:eastAsia="宋体" w:cs="宋体"/>
                <w:color w:val="auto"/>
                <w:highlight w:val="none"/>
              </w:rPr>
              <w:t>序号</w:t>
            </w:r>
          </w:p>
          <w:bookmarkEnd w:id="191"/>
          <w:bookmarkEnd w:id="192"/>
          <w:bookmarkEnd w:id="193"/>
          <w:bookmarkEnd w:id="194"/>
          <w:bookmarkEnd w:id="195"/>
          <w:bookmarkEnd w:id="196"/>
          <w:bookmarkEnd w:id="197"/>
          <w:bookmarkEnd w:id="198"/>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700D9">
            <w:pPr>
              <w:pStyle w:val="11"/>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D6A18">
            <w:pPr>
              <w:pStyle w:val="11"/>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04C0B">
            <w:pPr>
              <w:pStyle w:val="11"/>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69A88">
            <w:pPr>
              <w:pStyle w:val="11"/>
              <w:spacing w:beforeAutospacing="0" w:afterAutospacing="0"/>
              <w:jc w:val="center"/>
              <w:rPr>
                <w:color w:val="auto"/>
                <w:highlight w:val="none"/>
              </w:rPr>
            </w:pPr>
            <w:r>
              <w:rPr>
                <w:rFonts w:hint="eastAsia" w:ascii="宋体" w:hAnsi="宋体" w:eastAsia="宋体" w:cs="宋体"/>
                <w:color w:val="auto"/>
                <w:highlight w:val="none"/>
              </w:rPr>
              <w:t>证明</w:t>
            </w:r>
          </w:p>
          <w:p w14:paraId="62DBB8DD">
            <w:pPr>
              <w:pStyle w:val="11"/>
              <w:spacing w:beforeAutospacing="0" w:afterAutospacing="0"/>
              <w:jc w:val="center"/>
              <w:rPr>
                <w:color w:val="auto"/>
                <w:highlight w:val="none"/>
              </w:rPr>
            </w:pPr>
            <w:r>
              <w:rPr>
                <w:rFonts w:hint="eastAsia" w:ascii="宋体" w:hAnsi="宋体" w:eastAsia="宋体" w:cs="宋体"/>
                <w:color w:val="auto"/>
                <w:highlight w:val="none"/>
              </w:rPr>
              <w:t>材料</w:t>
            </w:r>
          </w:p>
        </w:tc>
      </w:tr>
      <w:tr w14:paraId="31CA0CE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D3BD9">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B8B88">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C4F39">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20998">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3A1E4">
            <w:pPr>
              <w:pStyle w:val="11"/>
              <w:spacing w:beforeAutospacing="0" w:afterAutospacing="0"/>
              <w:jc w:val="center"/>
              <w:rPr>
                <w:color w:val="auto"/>
                <w:highlight w:val="none"/>
              </w:rPr>
            </w:pPr>
            <w:r>
              <w:rPr>
                <w:color w:val="auto"/>
                <w:highlight w:val="none"/>
              </w:rPr>
              <w:t> </w:t>
            </w:r>
          </w:p>
        </w:tc>
      </w:tr>
      <w:tr w14:paraId="73BBCD8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068A3">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D4820">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D3A3C">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E40AC">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44A05">
            <w:pPr>
              <w:pStyle w:val="11"/>
              <w:spacing w:beforeAutospacing="0" w:afterAutospacing="0"/>
              <w:jc w:val="center"/>
              <w:rPr>
                <w:color w:val="auto"/>
                <w:highlight w:val="none"/>
              </w:rPr>
            </w:pPr>
            <w:r>
              <w:rPr>
                <w:color w:val="auto"/>
                <w:highlight w:val="none"/>
              </w:rPr>
              <w:t> </w:t>
            </w:r>
          </w:p>
        </w:tc>
      </w:tr>
      <w:tr w14:paraId="5D14851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DF0C9">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02D44">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41EA4">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2BDF8">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B61DA">
            <w:pPr>
              <w:pStyle w:val="11"/>
              <w:spacing w:beforeAutospacing="0" w:afterAutospacing="0"/>
              <w:jc w:val="center"/>
              <w:rPr>
                <w:color w:val="auto"/>
                <w:highlight w:val="none"/>
              </w:rPr>
            </w:pPr>
            <w:r>
              <w:rPr>
                <w:color w:val="auto"/>
                <w:highlight w:val="none"/>
              </w:rPr>
              <w:t> </w:t>
            </w:r>
          </w:p>
        </w:tc>
      </w:tr>
      <w:tr w14:paraId="5FCF8F3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EE168">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091B5">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D6E53">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43B48">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F4DBB">
            <w:pPr>
              <w:pStyle w:val="11"/>
              <w:spacing w:beforeAutospacing="0" w:afterAutospacing="0"/>
              <w:jc w:val="center"/>
              <w:rPr>
                <w:color w:val="auto"/>
                <w:highlight w:val="none"/>
              </w:rPr>
            </w:pPr>
            <w:r>
              <w:rPr>
                <w:color w:val="auto"/>
                <w:highlight w:val="none"/>
              </w:rPr>
              <w:t> </w:t>
            </w:r>
          </w:p>
        </w:tc>
      </w:tr>
      <w:tr w14:paraId="6BE790A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68A0B">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CBD33">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DA97A">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70CE9">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E7706">
            <w:pPr>
              <w:pStyle w:val="11"/>
              <w:spacing w:beforeAutospacing="0" w:afterAutospacing="0"/>
              <w:jc w:val="center"/>
              <w:rPr>
                <w:color w:val="auto"/>
                <w:highlight w:val="none"/>
              </w:rPr>
            </w:pPr>
            <w:r>
              <w:rPr>
                <w:color w:val="auto"/>
                <w:highlight w:val="none"/>
              </w:rPr>
              <w:t> </w:t>
            </w:r>
          </w:p>
        </w:tc>
      </w:tr>
      <w:tr w14:paraId="1C83B35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DF64D">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B37ED">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01678">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D392B">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3E389">
            <w:pPr>
              <w:pStyle w:val="11"/>
              <w:spacing w:beforeAutospacing="0" w:afterAutospacing="0"/>
              <w:jc w:val="center"/>
              <w:rPr>
                <w:color w:val="auto"/>
                <w:highlight w:val="none"/>
              </w:rPr>
            </w:pPr>
            <w:r>
              <w:rPr>
                <w:color w:val="auto"/>
                <w:highlight w:val="none"/>
              </w:rPr>
              <w:t> </w:t>
            </w:r>
          </w:p>
        </w:tc>
      </w:tr>
      <w:tr w14:paraId="0EADBE8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199ED">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FC99A">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8693C">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78AE2">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1256A">
            <w:pPr>
              <w:pStyle w:val="11"/>
              <w:spacing w:beforeAutospacing="0" w:afterAutospacing="0"/>
              <w:jc w:val="center"/>
              <w:rPr>
                <w:color w:val="auto"/>
                <w:highlight w:val="none"/>
              </w:rPr>
            </w:pPr>
            <w:r>
              <w:rPr>
                <w:color w:val="auto"/>
                <w:highlight w:val="none"/>
              </w:rPr>
              <w:t> </w:t>
            </w:r>
          </w:p>
        </w:tc>
      </w:tr>
      <w:tr w14:paraId="63B4310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EA1B5">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867F9">
            <w:pPr>
              <w:pStyle w:val="11"/>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33D79">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99F00">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703B9">
            <w:pPr>
              <w:pStyle w:val="11"/>
              <w:spacing w:beforeAutospacing="0" w:afterAutospacing="0"/>
              <w:jc w:val="center"/>
              <w:rPr>
                <w:color w:val="auto"/>
                <w:highlight w:val="none"/>
              </w:rPr>
            </w:pPr>
            <w:r>
              <w:rPr>
                <w:color w:val="auto"/>
                <w:highlight w:val="none"/>
              </w:rPr>
              <w:t> </w:t>
            </w:r>
          </w:p>
        </w:tc>
      </w:tr>
    </w:tbl>
    <w:p w14:paraId="0BD63E53">
      <w:pPr>
        <w:pStyle w:val="11"/>
        <w:spacing w:beforeAutospacing="0" w:afterAutospacing="0"/>
        <w:jc w:val="both"/>
        <w:rPr>
          <w:rFonts w:hint="eastAsia" w:ascii="宋体" w:hAnsi="宋体" w:eastAsia="宋体" w:cs="宋体"/>
          <w:color w:val="auto"/>
          <w:highlight w:val="none"/>
        </w:rPr>
      </w:pPr>
    </w:p>
    <w:p w14:paraId="00D8E780">
      <w:pPr>
        <w:pStyle w:val="11"/>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注： 行数不够，可自行添加。</w:t>
      </w:r>
    </w:p>
    <w:p w14:paraId="5E432598">
      <w:pPr>
        <w:pStyle w:val="11"/>
        <w:spacing w:beforeAutospacing="0" w:afterAutospacing="0"/>
        <w:ind w:firstLine="480" w:firstLineChars="200"/>
        <w:jc w:val="both"/>
        <w:rPr>
          <w:rFonts w:hint="eastAsia" w:ascii="宋体" w:hAnsi="宋体" w:eastAsia="宋体" w:cs="宋体"/>
          <w:color w:val="auto"/>
          <w:highlight w:val="none"/>
        </w:rPr>
      </w:pPr>
    </w:p>
    <w:p w14:paraId="57E816EF">
      <w:pPr>
        <w:pStyle w:val="11"/>
        <w:spacing w:beforeAutospacing="0" w:afterAutospacing="0" w:line="0" w:lineRule="atLeast"/>
        <w:ind w:right="180" w:firstLine="360"/>
        <w:jc w:val="right"/>
        <w:rPr>
          <w:color w:val="auto"/>
          <w:highlight w:val="none"/>
        </w:rPr>
      </w:pPr>
      <w:r>
        <w:rPr>
          <w:color w:val="auto"/>
          <w:highlight w:val="none"/>
        </w:rPr>
        <w:t> </w:t>
      </w:r>
      <w:r>
        <w:rPr>
          <w:rFonts w:hint="eastAsia" w:ascii="宋体" w:hAnsi="宋体" w:eastAsia="宋体" w:cs="宋体"/>
          <w:color w:val="auto"/>
          <w:highlight w:val="none"/>
        </w:rPr>
        <w:t>企业名称（加盖CA电子公章）：</w:t>
      </w:r>
    </w:p>
    <w:p w14:paraId="3ED5126E">
      <w:pPr>
        <w:pStyle w:val="11"/>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1FE8B00C">
      <w:pPr>
        <w:pStyle w:val="11"/>
        <w:spacing w:beforeAutospacing="0" w:afterAutospacing="0"/>
        <w:ind w:firstLine="480" w:firstLineChars="200"/>
        <w:jc w:val="both"/>
        <w:rPr>
          <w:rFonts w:hint="eastAsia" w:ascii="宋体" w:hAnsi="宋体" w:eastAsia="宋体" w:cs="宋体"/>
          <w:color w:val="auto"/>
          <w:highlight w:val="none"/>
        </w:rPr>
      </w:pPr>
    </w:p>
    <w:p w14:paraId="72967443">
      <w:pPr>
        <w:pStyle w:val="11"/>
        <w:spacing w:beforeAutospacing="0" w:afterAutospacing="0" w:line="480" w:lineRule="auto"/>
        <w:jc w:val="both"/>
        <w:rPr>
          <w:color w:val="auto"/>
          <w:highlight w:val="none"/>
        </w:rPr>
      </w:pPr>
      <w:r>
        <w:rPr>
          <w:color w:val="auto"/>
          <w:highlight w:val="none"/>
        </w:rPr>
        <w:t> </w:t>
      </w:r>
    </w:p>
    <w:p w14:paraId="4F79D3AA">
      <w:pPr>
        <w:pStyle w:val="11"/>
        <w:spacing w:beforeAutospacing="0" w:afterAutospacing="0" w:line="480" w:lineRule="auto"/>
        <w:jc w:val="both"/>
        <w:rPr>
          <w:color w:val="auto"/>
          <w:highlight w:val="none"/>
        </w:rPr>
      </w:pPr>
      <w:r>
        <w:rPr>
          <w:color w:val="auto"/>
          <w:highlight w:val="none"/>
        </w:rPr>
        <w:t> </w:t>
      </w:r>
    </w:p>
    <w:p w14:paraId="6EE3D98C">
      <w:pPr>
        <w:pStyle w:val="11"/>
        <w:spacing w:beforeAutospacing="0" w:afterAutospacing="0"/>
        <w:jc w:val="center"/>
        <w:rPr>
          <w:color w:val="auto"/>
          <w:highlight w:val="none"/>
        </w:rPr>
      </w:pPr>
      <w:bookmarkStart w:id="199" w:name="_Hlt26671374"/>
      <w:bookmarkStart w:id="200" w:name="_Toc462564146"/>
      <w:bookmarkStart w:id="201" w:name="_Hlt26955066"/>
      <w:bookmarkStart w:id="202" w:name="_格式2__法定代表人授权书"/>
      <w:bookmarkStart w:id="203" w:name="_Hlt26609389"/>
      <w:r>
        <w:rPr>
          <w:color w:val="auto"/>
          <w:highlight w:val="none"/>
        </w:rPr>
        <w:t> </w:t>
      </w:r>
    </w:p>
    <w:p w14:paraId="5E5A843E">
      <w:pPr>
        <w:pStyle w:val="11"/>
        <w:spacing w:beforeAutospacing="0" w:afterAutospacing="0"/>
        <w:jc w:val="center"/>
        <w:rPr>
          <w:color w:val="auto"/>
          <w:highlight w:val="none"/>
        </w:rPr>
      </w:pPr>
      <w:r>
        <w:rPr>
          <w:color w:val="auto"/>
          <w:highlight w:val="none"/>
        </w:rPr>
        <w:t> </w:t>
      </w:r>
    </w:p>
    <w:p w14:paraId="4FE4D4A2">
      <w:pPr>
        <w:pStyle w:val="11"/>
        <w:spacing w:beforeAutospacing="0" w:afterAutospacing="0"/>
        <w:jc w:val="center"/>
        <w:rPr>
          <w:color w:val="auto"/>
          <w:highlight w:val="none"/>
        </w:rPr>
      </w:pPr>
      <w:r>
        <w:rPr>
          <w:color w:val="auto"/>
          <w:highlight w:val="none"/>
        </w:rPr>
        <w:t> </w:t>
      </w:r>
    </w:p>
    <w:p w14:paraId="1ABAE9F5">
      <w:pPr>
        <w:pStyle w:val="11"/>
        <w:spacing w:beforeAutospacing="0" w:afterAutospacing="0"/>
        <w:jc w:val="center"/>
        <w:rPr>
          <w:color w:val="auto"/>
          <w:highlight w:val="none"/>
        </w:rPr>
      </w:pPr>
      <w:r>
        <w:rPr>
          <w:color w:val="auto"/>
          <w:highlight w:val="none"/>
        </w:rPr>
        <w:t> </w:t>
      </w:r>
    </w:p>
    <w:p w14:paraId="5DEB3D9F">
      <w:pPr>
        <w:pStyle w:val="11"/>
        <w:spacing w:beforeAutospacing="0" w:afterAutospacing="0"/>
        <w:jc w:val="center"/>
        <w:rPr>
          <w:color w:val="auto"/>
          <w:highlight w:val="none"/>
        </w:rPr>
      </w:pPr>
      <w:r>
        <w:rPr>
          <w:color w:val="auto"/>
          <w:highlight w:val="none"/>
        </w:rPr>
        <w:t> </w:t>
      </w:r>
    </w:p>
    <w:p w14:paraId="4C33D0CB">
      <w:pPr>
        <w:pStyle w:val="11"/>
        <w:spacing w:beforeAutospacing="0" w:afterAutospacing="0"/>
        <w:jc w:val="center"/>
        <w:rPr>
          <w:color w:val="auto"/>
          <w:highlight w:val="none"/>
        </w:rPr>
      </w:pPr>
      <w:r>
        <w:rPr>
          <w:color w:val="auto"/>
          <w:highlight w:val="none"/>
        </w:rPr>
        <w:t> </w:t>
      </w:r>
    </w:p>
    <w:p w14:paraId="15D463EC">
      <w:pPr>
        <w:pStyle w:val="11"/>
        <w:spacing w:beforeAutospacing="0" w:afterAutospacing="0"/>
        <w:jc w:val="center"/>
        <w:rPr>
          <w:color w:val="auto"/>
          <w:highlight w:val="none"/>
        </w:rPr>
      </w:pPr>
    </w:p>
    <w:p w14:paraId="2D1608AF">
      <w:pPr>
        <w:pStyle w:val="11"/>
        <w:spacing w:beforeAutospacing="0" w:afterAutospacing="0"/>
        <w:jc w:val="center"/>
        <w:rPr>
          <w:color w:val="auto"/>
          <w:highlight w:val="none"/>
        </w:rPr>
      </w:pPr>
    </w:p>
    <w:p w14:paraId="0E8BF808">
      <w:pPr>
        <w:pStyle w:val="11"/>
        <w:spacing w:beforeAutospacing="0" w:afterAutospacing="0"/>
        <w:jc w:val="center"/>
        <w:rPr>
          <w:color w:val="auto"/>
          <w:highlight w:val="none"/>
        </w:rPr>
      </w:pPr>
    </w:p>
    <w:p w14:paraId="6990F62B">
      <w:pPr>
        <w:pStyle w:val="11"/>
        <w:spacing w:beforeAutospacing="0" w:afterAutospacing="0"/>
        <w:jc w:val="center"/>
        <w:rPr>
          <w:color w:val="auto"/>
          <w:highlight w:val="none"/>
        </w:rPr>
      </w:pPr>
    </w:p>
    <w:p w14:paraId="15A46138">
      <w:pPr>
        <w:pStyle w:val="11"/>
        <w:spacing w:beforeAutospacing="0" w:afterAutospacing="0"/>
        <w:jc w:val="center"/>
        <w:rPr>
          <w:color w:val="auto"/>
          <w:highlight w:val="none"/>
        </w:rPr>
      </w:pPr>
    </w:p>
    <w:p w14:paraId="1D6776B8">
      <w:pPr>
        <w:pStyle w:val="11"/>
        <w:spacing w:beforeAutospacing="0" w:afterAutospacing="0"/>
        <w:jc w:val="center"/>
        <w:rPr>
          <w:color w:val="auto"/>
          <w:highlight w:val="none"/>
        </w:rPr>
      </w:pPr>
    </w:p>
    <w:p w14:paraId="3841D52D">
      <w:pPr>
        <w:pStyle w:val="11"/>
        <w:spacing w:beforeAutospacing="0" w:afterAutospacing="0"/>
        <w:jc w:val="center"/>
        <w:rPr>
          <w:color w:val="auto"/>
          <w:highlight w:val="none"/>
        </w:rPr>
      </w:pPr>
    </w:p>
    <w:p w14:paraId="297007EE">
      <w:pPr>
        <w:pStyle w:val="11"/>
        <w:spacing w:beforeAutospacing="0" w:afterAutospacing="0"/>
        <w:jc w:val="center"/>
        <w:rPr>
          <w:color w:val="auto"/>
          <w:highlight w:val="none"/>
        </w:rPr>
      </w:pPr>
    </w:p>
    <w:p w14:paraId="293BBD75">
      <w:pPr>
        <w:pStyle w:val="11"/>
        <w:spacing w:beforeAutospacing="0" w:afterAutospacing="0"/>
        <w:jc w:val="both"/>
        <w:rPr>
          <w:color w:val="auto"/>
          <w:highlight w:val="none"/>
        </w:rPr>
      </w:pPr>
      <w:r>
        <w:rPr>
          <w:color w:val="auto"/>
          <w:highlight w:val="none"/>
        </w:rPr>
        <w:t> </w:t>
      </w:r>
    </w:p>
    <w:p w14:paraId="5FFDABBD">
      <w:pPr>
        <w:pStyle w:val="11"/>
        <w:spacing w:beforeAutospacing="0" w:afterAutospacing="0"/>
        <w:jc w:val="center"/>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eastAsia="zh-CN"/>
        </w:rPr>
        <w:t>三</w:t>
      </w:r>
      <w:r>
        <w:rPr>
          <w:rFonts w:hint="eastAsia" w:ascii="黑体" w:hAnsi="宋体" w:eastAsia="黑体" w:cs="黑体"/>
          <w:b/>
          <w:i/>
          <w:color w:val="auto"/>
          <w:sz w:val="32"/>
          <w:szCs w:val="32"/>
          <w:highlight w:val="none"/>
          <w:u w:val="single"/>
        </w:rPr>
        <w:t>、开标一览表</w:t>
      </w:r>
    </w:p>
    <w:p w14:paraId="59ABC136">
      <w:pPr>
        <w:pStyle w:val="11"/>
        <w:spacing w:beforeAutospacing="0" w:afterAutospacing="0"/>
        <w:ind w:firstLine="480"/>
        <w:jc w:val="both"/>
        <w:rPr>
          <w:rFonts w:hint="eastAsia" w:ascii="宋体" w:hAnsi="宋体" w:eastAsia="宋体" w:cs="宋体"/>
          <w:color w:val="auto"/>
          <w:highlight w:val="none"/>
        </w:rPr>
      </w:pPr>
    </w:p>
    <w:p w14:paraId="5C512990">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color w:val="auto"/>
          <w:highlight w:val="none"/>
        </w:rPr>
      </w:pPr>
      <w:r>
        <w:rPr>
          <w:rFonts w:hint="eastAsia" w:ascii="宋体" w:hAnsi="宋体" w:eastAsia="宋体" w:cs="宋体"/>
          <w:color w:val="auto"/>
          <w:highlight w:val="none"/>
        </w:rPr>
        <w:t>投标人全称（加盖CA电子签章）：</w:t>
      </w:r>
    </w:p>
    <w:p w14:paraId="08A81965">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color w:val="auto"/>
          <w:highlight w:val="none"/>
        </w:rPr>
      </w:pPr>
      <w:r>
        <w:rPr>
          <w:rFonts w:hint="eastAsia" w:ascii="宋体" w:hAnsi="宋体" w:eastAsia="宋体" w:cs="宋体"/>
          <w:color w:val="auto"/>
          <w:highlight w:val="none"/>
        </w:rPr>
        <w:t>项目名称：</w:t>
      </w:r>
    </w:p>
    <w:p w14:paraId="2AA2E0BA">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招标编号：</w:t>
      </w:r>
    </w:p>
    <w:p w14:paraId="4CD49A70">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分包号：</w:t>
      </w:r>
      <w:r>
        <w:rPr>
          <w:rFonts w:hint="eastAsia" w:ascii="宋体" w:hAnsi="宋体" w:eastAsia="宋体" w:cs="宋体"/>
          <w:color w:val="auto"/>
          <w:highlight w:val="none"/>
          <w:lang w:val="en-US" w:eastAsia="zh-CN"/>
        </w:rPr>
        <w:t>/</w:t>
      </w:r>
    </w:p>
    <w:p w14:paraId="0EC924CB">
      <w:pPr>
        <w:pStyle w:val="11"/>
        <w:spacing w:beforeAutospacing="0" w:afterAutospacing="0"/>
        <w:ind w:firstLine="480"/>
        <w:jc w:val="both"/>
        <w:rPr>
          <w:rFonts w:hint="eastAsia" w:ascii="宋体" w:hAnsi="宋体" w:eastAsia="宋体" w:cs="宋体"/>
          <w:color w:val="auto"/>
          <w:highlight w:val="none"/>
          <w:lang w:val="en-US" w:eastAsia="zh-CN"/>
        </w:rPr>
      </w:pPr>
    </w:p>
    <w:tbl>
      <w:tblPr>
        <w:tblStyle w:val="13"/>
        <w:tblW w:w="8414" w:type="dxa"/>
        <w:tblCellSpacing w:w="0" w:type="dxa"/>
        <w:tblInd w:w="118" w:type="dxa"/>
        <w:tblLayout w:type="fixed"/>
        <w:tblCellMar>
          <w:top w:w="0" w:type="dxa"/>
          <w:left w:w="108" w:type="dxa"/>
          <w:bottom w:w="0" w:type="dxa"/>
          <w:right w:w="108" w:type="dxa"/>
        </w:tblCellMar>
      </w:tblPr>
      <w:tblGrid>
        <w:gridCol w:w="2582"/>
        <w:gridCol w:w="5832"/>
      </w:tblGrid>
      <w:tr w14:paraId="1D538D90">
        <w:tblPrEx>
          <w:tblCellMar>
            <w:top w:w="0" w:type="dxa"/>
            <w:left w:w="108" w:type="dxa"/>
            <w:bottom w:w="0" w:type="dxa"/>
            <w:right w:w="108" w:type="dxa"/>
          </w:tblCellMar>
        </w:tblPrEx>
        <w:trPr>
          <w:trHeight w:val="725" w:hRule="atLeast"/>
          <w:tblCellSpacing w:w="0" w:type="dxa"/>
        </w:trPr>
        <w:tc>
          <w:tcPr>
            <w:tcW w:w="84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3DFDA7">
            <w:pPr>
              <w:pStyle w:val="11"/>
              <w:spacing w:beforeAutospacing="0" w:afterAutospacing="0"/>
              <w:jc w:val="both"/>
              <w:rPr>
                <w:color w:val="auto"/>
                <w:highlight w:val="none"/>
              </w:rPr>
            </w:pPr>
            <w:r>
              <w:rPr>
                <w:rFonts w:hint="eastAsia" w:ascii="宋体" w:hAnsi="宋体" w:eastAsia="宋体" w:cs="宋体"/>
                <w:color w:val="auto"/>
                <w:highlight w:val="none"/>
              </w:rPr>
              <w:t>            投标总报价</w:t>
            </w:r>
          </w:p>
        </w:tc>
      </w:tr>
      <w:tr w14:paraId="75BB01A2">
        <w:tblPrEx>
          <w:tblCellMar>
            <w:top w:w="0" w:type="dxa"/>
            <w:left w:w="108" w:type="dxa"/>
            <w:bottom w:w="0" w:type="dxa"/>
            <w:right w:w="108" w:type="dxa"/>
          </w:tblCellMar>
        </w:tblPrEx>
        <w:trPr>
          <w:trHeight w:val="612" w:hRule="atLeast"/>
          <w:tblCellSpacing w:w="0" w:type="dxa"/>
        </w:trPr>
        <w:tc>
          <w:tcPr>
            <w:tcW w:w="84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049FE3">
            <w:pPr>
              <w:pStyle w:val="11"/>
              <w:spacing w:beforeAutospacing="0" w:afterAutospacing="0" w:line="0" w:lineRule="atLeast"/>
              <w:rPr>
                <w:color w:val="auto"/>
                <w:highlight w:val="none"/>
              </w:rPr>
            </w:pPr>
            <w:r>
              <w:rPr>
                <w:rFonts w:hint="eastAsia" w:ascii="宋体" w:hAnsi="宋体" w:cs="宋体"/>
                <w:color w:val="auto"/>
                <w:kern w:val="0"/>
                <w:sz w:val="24"/>
                <w:szCs w:val="24"/>
                <w:highlight w:val="none"/>
              </w:rPr>
              <w:t>人民币</w:t>
            </w:r>
            <w:r>
              <w:rPr>
                <w:rFonts w:hint="eastAsia" w:ascii="宋体" w:hAnsi="宋体" w:eastAsia="宋体" w:cs="宋体"/>
                <w:color w:val="auto"/>
                <w:highlight w:val="none"/>
              </w:rPr>
              <w:t>小写：</w:t>
            </w:r>
            <w:r>
              <w:rPr>
                <w:rFonts w:hint="eastAsia" w:ascii="宋体" w:hAnsi="宋体" w:eastAsia="宋体" w:cs="宋体"/>
                <w:color w:val="auto"/>
                <w:highlight w:val="none"/>
                <w:u w:val="single"/>
              </w:rPr>
              <w:t>        </w:t>
            </w:r>
            <w:r>
              <w:rPr>
                <w:rFonts w:hint="eastAsia" w:ascii="宋体" w:hAnsi="宋体" w:eastAsia="宋体" w:cs="宋体"/>
                <w:color w:val="auto"/>
                <w:highlight w:val="none"/>
                <w:u w:val="none"/>
                <w:lang w:eastAsia="zh-CN"/>
              </w:rPr>
              <w:t>元；</w:t>
            </w:r>
            <w:r>
              <w:rPr>
                <w:rFonts w:hint="eastAsia" w:ascii="宋体" w:hAnsi="宋体" w:cs="宋体"/>
                <w:color w:val="auto"/>
                <w:kern w:val="0"/>
                <w:sz w:val="24"/>
                <w:szCs w:val="24"/>
                <w:highlight w:val="none"/>
              </w:rPr>
              <w:t>人民币</w:t>
            </w:r>
            <w:r>
              <w:rPr>
                <w:rFonts w:hint="eastAsia" w:ascii="宋体" w:hAnsi="宋体" w:cs="宋体"/>
                <w:color w:val="auto"/>
                <w:kern w:val="0"/>
                <w:sz w:val="24"/>
                <w:szCs w:val="24"/>
                <w:highlight w:val="none"/>
                <w:lang w:val="en-US" w:eastAsia="zh-CN"/>
              </w:rPr>
              <w:t>大写：</w:t>
            </w:r>
            <w:r>
              <w:rPr>
                <w:rFonts w:hint="eastAsia" w:ascii="宋体" w:hAnsi="宋体" w:cs="宋体"/>
                <w:color w:val="auto"/>
                <w:kern w:val="0"/>
                <w:sz w:val="24"/>
                <w:szCs w:val="24"/>
                <w:highlight w:val="none"/>
                <w:u w:val="single"/>
                <w:lang w:val="en-US" w:eastAsia="zh-CN"/>
              </w:rPr>
              <w:t xml:space="preserve">                 </w:t>
            </w:r>
          </w:p>
        </w:tc>
      </w:tr>
      <w:tr w14:paraId="266A79D6">
        <w:tblPrEx>
          <w:tblCellMar>
            <w:top w:w="0" w:type="dxa"/>
            <w:left w:w="108" w:type="dxa"/>
            <w:bottom w:w="0" w:type="dxa"/>
            <w:right w:w="108" w:type="dxa"/>
          </w:tblCellMar>
        </w:tblPrEx>
        <w:trPr>
          <w:trHeight w:val="612" w:hRule="atLeast"/>
          <w:tblCellSpacing w:w="0" w:type="dxa"/>
        </w:trPr>
        <w:tc>
          <w:tcPr>
            <w:tcW w:w="2582" w:type="dxa"/>
            <w:tcBorders>
              <w:top w:val="single" w:color="000000" w:sz="4" w:space="0"/>
              <w:left w:val="single" w:color="000000" w:sz="4" w:space="0"/>
              <w:bottom w:val="single" w:color="000000" w:sz="4" w:space="0"/>
              <w:right w:val="single" w:color="auto" w:sz="4" w:space="0"/>
            </w:tcBorders>
            <w:shd w:val="clear" w:color="auto" w:fill="auto"/>
            <w:vAlign w:val="center"/>
          </w:tcPr>
          <w:p w14:paraId="51DB4004">
            <w:pPr>
              <w:pStyle w:val="11"/>
              <w:spacing w:beforeAutospacing="0" w:afterAutospacing="0" w:line="0" w:lineRule="atLeast"/>
              <w:jc w:val="center"/>
              <w:rPr>
                <w:rFonts w:hint="eastAsia" w:ascii="宋体" w:hAnsi="宋体" w:cs="宋体"/>
                <w:color w:val="auto"/>
                <w:kern w:val="0"/>
                <w:sz w:val="24"/>
                <w:szCs w:val="24"/>
                <w:highlight w:val="none"/>
              </w:rPr>
            </w:pPr>
            <w:r>
              <w:rPr>
                <w:rFonts w:hint="eastAsia" w:ascii="宋体" w:hAnsi="宋体" w:eastAsia="宋体" w:cs="宋体"/>
                <w:color w:val="auto"/>
                <w:highlight w:val="none"/>
              </w:rPr>
              <w:t>核心产品品牌</w:t>
            </w:r>
          </w:p>
        </w:tc>
        <w:tc>
          <w:tcPr>
            <w:tcW w:w="5832" w:type="dxa"/>
            <w:tcBorders>
              <w:top w:val="single" w:color="000000" w:sz="4" w:space="0"/>
              <w:left w:val="single" w:color="auto" w:sz="4" w:space="0"/>
              <w:bottom w:val="single" w:color="000000" w:sz="4" w:space="0"/>
              <w:right w:val="single" w:color="000000" w:sz="4" w:space="0"/>
            </w:tcBorders>
            <w:shd w:val="clear" w:color="auto" w:fill="auto"/>
            <w:vAlign w:val="center"/>
          </w:tcPr>
          <w:p w14:paraId="79251818">
            <w:pPr>
              <w:pStyle w:val="11"/>
              <w:spacing w:beforeAutospacing="0" w:afterAutospacing="0" w:line="0" w:lineRule="atLeast"/>
              <w:rPr>
                <w:rFonts w:hint="eastAsia" w:ascii="宋体" w:hAnsi="宋体" w:cs="宋体"/>
                <w:color w:val="auto"/>
                <w:kern w:val="0"/>
                <w:sz w:val="24"/>
                <w:szCs w:val="24"/>
                <w:highlight w:val="none"/>
              </w:rPr>
            </w:pPr>
          </w:p>
        </w:tc>
      </w:tr>
    </w:tbl>
    <w:p w14:paraId="5B1AB72B">
      <w:pPr>
        <w:pStyle w:val="11"/>
        <w:spacing w:beforeAutospacing="0" w:afterAutospacing="0"/>
        <w:jc w:val="both"/>
        <w:rPr>
          <w:color w:val="auto"/>
          <w:highlight w:val="none"/>
        </w:rPr>
      </w:pPr>
      <w:r>
        <w:rPr>
          <w:color w:val="auto"/>
          <w:highlight w:val="none"/>
        </w:rPr>
        <w:t> </w:t>
      </w:r>
    </w:p>
    <w:p w14:paraId="213CB0D9">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企业名称（加盖CA电子公章）：</w:t>
      </w:r>
    </w:p>
    <w:p w14:paraId="2ED7C481">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5584" w:firstLineChars="2327"/>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日  期：</w:t>
      </w:r>
    </w:p>
    <w:p w14:paraId="6D1C9BE4">
      <w:pPr>
        <w:pStyle w:val="11"/>
        <w:spacing w:beforeAutospacing="0" w:afterAutospacing="0"/>
        <w:ind w:firstLine="480"/>
        <w:jc w:val="both"/>
        <w:rPr>
          <w:color w:val="auto"/>
          <w:highlight w:val="none"/>
        </w:rPr>
      </w:pPr>
    </w:p>
    <w:p w14:paraId="51AE3A7A">
      <w:pPr>
        <w:pStyle w:val="11"/>
        <w:spacing w:beforeAutospacing="0" w:afterAutospacing="0"/>
        <w:ind w:firstLine="480"/>
        <w:jc w:val="both"/>
        <w:rPr>
          <w:color w:val="auto"/>
          <w:highlight w:val="none"/>
        </w:rPr>
      </w:pPr>
      <w:r>
        <w:rPr>
          <w:color w:val="auto"/>
          <w:highlight w:val="none"/>
        </w:rPr>
        <w:t> </w:t>
      </w:r>
    </w:p>
    <w:p w14:paraId="0677141D">
      <w:pPr>
        <w:pStyle w:val="11"/>
        <w:spacing w:beforeAutospacing="0" w:afterAutospacing="0"/>
        <w:ind w:firstLine="480"/>
        <w:jc w:val="both"/>
        <w:rPr>
          <w:color w:val="auto"/>
          <w:highlight w:val="none"/>
        </w:rPr>
      </w:pPr>
      <w:r>
        <w:rPr>
          <w:color w:val="auto"/>
          <w:highlight w:val="none"/>
        </w:rPr>
        <w:t> </w:t>
      </w:r>
    </w:p>
    <w:p w14:paraId="5136082C">
      <w:pPr>
        <w:pStyle w:val="11"/>
        <w:spacing w:beforeAutospacing="0" w:afterAutospacing="0"/>
        <w:ind w:firstLine="480"/>
        <w:jc w:val="both"/>
        <w:rPr>
          <w:color w:val="auto"/>
          <w:highlight w:val="none"/>
        </w:rPr>
      </w:pPr>
    </w:p>
    <w:p w14:paraId="6960365D">
      <w:pPr>
        <w:pStyle w:val="11"/>
        <w:spacing w:beforeAutospacing="0" w:afterAutospacing="0"/>
        <w:ind w:firstLine="480"/>
        <w:jc w:val="both"/>
        <w:rPr>
          <w:color w:val="auto"/>
          <w:highlight w:val="none"/>
        </w:rPr>
      </w:pPr>
    </w:p>
    <w:p w14:paraId="209FEB3B">
      <w:pPr>
        <w:pStyle w:val="11"/>
        <w:spacing w:beforeAutospacing="0" w:afterAutospacing="0"/>
        <w:ind w:firstLine="480"/>
        <w:jc w:val="both"/>
        <w:rPr>
          <w:color w:val="auto"/>
          <w:highlight w:val="none"/>
        </w:rPr>
      </w:pPr>
    </w:p>
    <w:p w14:paraId="06C8E424">
      <w:pPr>
        <w:pStyle w:val="11"/>
        <w:spacing w:beforeAutospacing="0" w:afterAutospacing="0"/>
        <w:ind w:firstLine="480"/>
        <w:jc w:val="both"/>
        <w:rPr>
          <w:color w:val="auto"/>
          <w:highlight w:val="none"/>
        </w:rPr>
      </w:pPr>
    </w:p>
    <w:p w14:paraId="7F5BDAFC">
      <w:pPr>
        <w:pStyle w:val="11"/>
        <w:spacing w:beforeAutospacing="0" w:afterAutospacing="0"/>
        <w:jc w:val="center"/>
        <w:rPr>
          <w:color w:val="auto"/>
          <w:highlight w:val="none"/>
        </w:rPr>
      </w:pPr>
      <w:r>
        <w:rPr>
          <w:color w:val="auto"/>
          <w:highlight w:val="none"/>
        </w:rPr>
        <w:t> </w:t>
      </w:r>
    </w:p>
    <w:p w14:paraId="48CAE2FF">
      <w:pPr>
        <w:pStyle w:val="11"/>
        <w:spacing w:beforeAutospacing="0" w:afterAutospacing="0"/>
        <w:jc w:val="both"/>
        <w:rPr>
          <w:color w:val="auto"/>
          <w:highlight w:val="none"/>
        </w:rPr>
      </w:pPr>
      <w:r>
        <w:rPr>
          <w:color w:val="auto"/>
          <w:highlight w:val="none"/>
        </w:rPr>
        <w:t> </w:t>
      </w:r>
    </w:p>
    <w:p w14:paraId="6702C273">
      <w:pPr>
        <w:pStyle w:val="11"/>
        <w:spacing w:beforeAutospacing="0" w:afterAutospacing="0"/>
        <w:jc w:val="center"/>
        <w:rPr>
          <w:rFonts w:ascii="宋体" w:hAnsi="宋体" w:eastAsia="宋体" w:cs="宋体"/>
          <w:b/>
          <w:color w:val="auto"/>
          <w:sz w:val="32"/>
          <w:szCs w:val="32"/>
          <w:highlight w:val="none"/>
        </w:rPr>
      </w:pPr>
    </w:p>
    <w:p w14:paraId="6744AB94">
      <w:pPr>
        <w:pStyle w:val="11"/>
        <w:spacing w:beforeAutospacing="0" w:afterAutospacing="0"/>
        <w:rPr>
          <w:rFonts w:ascii="宋体" w:hAnsi="宋体" w:eastAsia="宋体" w:cs="宋体"/>
          <w:b/>
          <w:color w:val="auto"/>
          <w:sz w:val="32"/>
          <w:szCs w:val="32"/>
          <w:highlight w:val="none"/>
        </w:rPr>
      </w:pPr>
    </w:p>
    <w:p w14:paraId="0C77C510">
      <w:pPr>
        <w:pStyle w:val="11"/>
        <w:spacing w:beforeAutospacing="0" w:afterAutospacing="0"/>
        <w:rPr>
          <w:rFonts w:ascii="宋体" w:hAnsi="宋体" w:eastAsia="宋体" w:cs="宋体"/>
          <w:b/>
          <w:color w:val="auto"/>
          <w:sz w:val="32"/>
          <w:szCs w:val="32"/>
          <w:highlight w:val="none"/>
        </w:rPr>
      </w:pPr>
    </w:p>
    <w:p w14:paraId="6E1EA93C">
      <w:pPr>
        <w:pStyle w:val="11"/>
        <w:spacing w:beforeAutospacing="0" w:afterAutospacing="0"/>
        <w:rPr>
          <w:rFonts w:ascii="宋体" w:hAnsi="宋体" w:eastAsia="宋体" w:cs="宋体"/>
          <w:b/>
          <w:color w:val="auto"/>
          <w:sz w:val="32"/>
          <w:szCs w:val="32"/>
          <w:highlight w:val="none"/>
        </w:rPr>
      </w:pPr>
    </w:p>
    <w:p w14:paraId="042AF988">
      <w:pPr>
        <w:pStyle w:val="11"/>
        <w:spacing w:beforeAutospacing="0" w:afterAutospacing="0"/>
        <w:rPr>
          <w:rFonts w:ascii="宋体" w:hAnsi="宋体" w:eastAsia="宋体" w:cs="宋体"/>
          <w:b/>
          <w:color w:val="auto"/>
          <w:sz w:val="32"/>
          <w:szCs w:val="32"/>
          <w:highlight w:val="none"/>
        </w:rPr>
      </w:pPr>
    </w:p>
    <w:p w14:paraId="71CEFA1A">
      <w:pPr>
        <w:widowControl/>
        <w:numPr>
          <w:ilvl w:val="0"/>
          <w:numId w:val="0"/>
        </w:numPr>
        <w:spacing w:before="50" w:after="50"/>
        <w:jc w:val="center"/>
        <w:rPr>
          <w:color w:val="auto"/>
          <w:highlight w:val="none"/>
        </w:rPr>
      </w:pPr>
      <w:r>
        <w:rPr>
          <w:color w:val="auto"/>
          <w:highlight w:val="none"/>
        </w:rPr>
        <w:tab/>
      </w:r>
      <w:r>
        <w:rPr>
          <w:rFonts w:hint="eastAsia" w:ascii="宋体" w:hAnsi="宋体" w:eastAsia="宋体" w:cs="宋体"/>
          <w:b/>
          <w:bCs/>
          <w:color w:val="auto"/>
          <w:sz w:val="32"/>
          <w:szCs w:val="32"/>
          <w:highlight w:val="none"/>
          <w:lang w:eastAsia="zh-CN"/>
        </w:rPr>
        <w:t>十四、</w:t>
      </w:r>
      <w:r>
        <w:rPr>
          <w:rFonts w:hint="eastAsia" w:ascii="宋体" w:hAnsi="宋体" w:eastAsia="宋体" w:cs="宋体"/>
          <w:b/>
          <w:bCs/>
          <w:color w:val="auto"/>
          <w:sz w:val="32"/>
          <w:szCs w:val="32"/>
          <w:highlight w:val="none"/>
        </w:rPr>
        <w:t>技术方案</w:t>
      </w:r>
    </w:p>
    <w:p w14:paraId="593F75F9">
      <w:pPr>
        <w:widowControl/>
        <w:spacing w:before="50" w:after="50"/>
        <w:jc w:val="center"/>
        <w:rPr>
          <w:rFonts w:ascii="宋体" w:hAnsi="宋体" w:eastAsia="宋体" w:cs="宋体"/>
          <w:color w:val="auto"/>
          <w:sz w:val="24"/>
          <w:highlight w:val="none"/>
        </w:rPr>
      </w:pPr>
      <w:r>
        <w:rPr>
          <w:rFonts w:hint="eastAsia"/>
          <w:color w:val="auto"/>
          <w:sz w:val="28"/>
          <w:szCs w:val="28"/>
          <w:highlight w:val="none"/>
        </w:rPr>
        <w:t>根据</w:t>
      </w:r>
      <w:r>
        <w:rPr>
          <w:rFonts w:hint="eastAsia"/>
          <w:color w:val="auto"/>
          <w:sz w:val="28"/>
          <w:szCs w:val="28"/>
          <w:highlight w:val="none"/>
          <w:lang w:eastAsia="zh-CN"/>
        </w:rPr>
        <w:t>招标</w:t>
      </w:r>
      <w:r>
        <w:rPr>
          <w:rFonts w:hint="eastAsia"/>
          <w:color w:val="auto"/>
          <w:sz w:val="28"/>
          <w:szCs w:val="28"/>
          <w:highlight w:val="none"/>
        </w:rPr>
        <w:t>文件和评标办法自行编制</w:t>
      </w:r>
      <w:r>
        <w:rPr>
          <w:rFonts w:hint="eastAsia"/>
          <w:color w:val="auto"/>
          <w:sz w:val="28"/>
          <w:szCs w:val="28"/>
          <w:highlight w:val="none"/>
          <w:lang w:eastAsia="zh-CN"/>
        </w:rPr>
        <w:t>，格式自拟</w:t>
      </w:r>
      <w:r>
        <w:rPr>
          <w:rFonts w:hint="eastAsia"/>
          <w:color w:val="auto"/>
          <w:sz w:val="28"/>
          <w:szCs w:val="28"/>
          <w:highlight w:val="none"/>
        </w:rPr>
        <w:t>。</w:t>
      </w:r>
    </w:p>
    <w:p w14:paraId="02714816">
      <w:pPr>
        <w:pStyle w:val="11"/>
        <w:spacing w:beforeAutospacing="0" w:afterAutospacing="0"/>
        <w:jc w:val="center"/>
        <w:rPr>
          <w:rFonts w:ascii="宋体" w:hAnsi="宋体" w:eastAsia="宋体" w:cs="宋体"/>
          <w:b/>
          <w:color w:val="auto"/>
          <w:sz w:val="32"/>
          <w:szCs w:val="32"/>
          <w:highlight w:val="none"/>
        </w:rPr>
      </w:pPr>
    </w:p>
    <w:p w14:paraId="1191B60F">
      <w:pPr>
        <w:widowControl/>
        <w:numPr>
          <w:ilvl w:val="0"/>
          <w:numId w:val="0"/>
        </w:numPr>
        <w:spacing w:before="50" w:after="50"/>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十五、盐城市政府采购事前信用承诺书</w:t>
      </w:r>
    </w:p>
    <w:p w14:paraId="5CC142A2">
      <w:pPr>
        <w:keepNext w:val="0"/>
        <w:keepLines w:val="0"/>
        <w:pageBreakBefore w:val="0"/>
        <w:widowControl/>
        <w:kinsoku/>
        <w:wordWrap/>
        <w:overflowPunct/>
        <w:topLinePunct w:val="0"/>
        <w:autoSpaceDE/>
        <w:autoSpaceDN/>
        <w:bidi w:val="0"/>
        <w:adjustRightInd/>
        <w:snapToGrid/>
        <w:spacing w:line="420" w:lineRule="exact"/>
        <w:ind w:firstLine="480"/>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179BE237">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39DA754">
      <w:pPr>
        <w:keepNext w:val="0"/>
        <w:keepLines w:val="0"/>
        <w:pageBreakBefore w:val="0"/>
        <w:widowControl/>
        <w:kinsoku/>
        <w:wordWrap/>
        <w:overflowPunct/>
        <w:topLinePunct w:val="0"/>
        <w:autoSpaceDE/>
        <w:autoSpaceDN/>
        <w:bidi w:val="0"/>
        <w:adjustRightInd/>
        <w:snapToGrid/>
        <w:spacing w:line="420" w:lineRule="exact"/>
        <w:ind w:firstLine="480"/>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671B951">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3B39654E">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（四）严格遵守即时信息公示规定，及时维护和更新维护和更新盐城市政府采购网中与本单位相关的信息；</w:t>
      </w:r>
    </w:p>
    <w:p w14:paraId="17EDB4F6">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C669EB3">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10B4CF02">
      <w:pPr>
        <w:keepNext w:val="0"/>
        <w:keepLines w:val="0"/>
        <w:pageBreakBefore w:val="0"/>
        <w:widowControl/>
        <w:kinsoku/>
        <w:wordWrap/>
        <w:overflowPunct/>
        <w:topLinePunct w:val="0"/>
        <w:autoSpaceDE/>
        <w:autoSpaceDN/>
        <w:bidi w:val="0"/>
        <w:adjustRightInd/>
        <w:snapToGrid/>
        <w:spacing w:line="420" w:lineRule="exact"/>
        <w:ind w:firstLine="480"/>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9D09AD5">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7D155F6C">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w:t>
      </w:r>
      <w:r>
        <w:rPr>
          <w:rFonts w:hint="eastAsia" w:ascii="宋体" w:hAnsi="宋体" w:eastAsia="宋体" w:cs="宋体"/>
          <w:color w:val="auto"/>
          <w:sz w:val="24"/>
          <w:highlight w:val="none"/>
          <w:lang w:val="en-US" w:eastAsia="zh-CN"/>
        </w:rPr>
        <w:t xml:space="preserve">           </w:t>
      </w:r>
    </w:p>
    <w:p w14:paraId="22924AA2">
      <w:pPr>
        <w:keepNext w:val="0"/>
        <w:keepLines w:val="0"/>
        <w:pageBreakBefore w:val="0"/>
        <w:widowControl/>
        <w:kinsoku/>
        <w:wordWrap/>
        <w:overflowPunct/>
        <w:topLinePunct w:val="0"/>
        <w:autoSpaceDE/>
        <w:autoSpaceDN/>
        <w:bidi w:val="0"/>
        <w:adjustRightInd/>
        <w:snapToGrid/>
        <w:spacing w:line="420" w:lineRule="exact"/>
        <w:ind w:firstLine="5760" w:firstLineChars="2400"/>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法定代表人签名</w:t>
      </w:r>
      <w:r>
        <w:rPr>
          <w:rFonts w:hint="eastAsia" w:ascii="宋体" w:hAnsi="宋体" w:eastAsia="宋体" w:cs="宋体"/>
          <w:color w:val="auto"/>
          <w:sz w:val="24"/>
          <w:highlight w:val="none"/>
          <w:lang w:eastAsia="zh-CN"/>
        </w:rPr>
        <w:t>或盖章</w:t>
      </w:r>
      <w:r>
        <w:rPr>
          <w:rFonts w:hint="eastAsia" w:ascii="宋体" w:hAnsi="宋体" w:eastAsia="宋体" w:cs="宋体"/>
          <w:color w:val="auto"/>
          <w:sz w:val="24"/>
          <w:highlight w:val="none"/>
        </w:rPr>
        <w:t>：</w:t>
      </w:r>
    </w:p>
    <w:p w14:paraId="7934753B">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353EC60D">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                      年月日</w:t>
      </w:r>
    </w:p>
    <w:p w14:paraId="7251BDF0">
      <w:pPr>
        <w:pStyle w:val="11"/>
        <w:spacing w:beforeAutospacing="0" w:afterAutospacing="0"/>
        <w:jc w:val="center"/>
        <w:rPr>
          <w:color w:val="auto"/>
          <w:highlight w:val="none"/>
        </w:rPr>
      </w:pPr>
    </w:p>
    <w:bookmarkEnd w:id="6"/>
    <w:bookmarkEnd w:id="49"/>
    <w:bookmarkEnd w:id="96"/>
    <w:bookmarkEnd w:id="97"/>
    <w:bookmarkEnd w:id="98"/>
    <w:bookmarkEnd w:id="99"/>
    <w:bookmarkEnd w:id="100"/>
    <w:bookmarkEnd w:id="101"/>
    <w:bookmarkEnd w:id="102"/>
    <w:bookmarkEnd w:id="103"/>
    <w:bookmarkEnd w:id="112"/>
    <w:bookmarkEnd w:id="113"/>
    <w:bookmarkEnd w:id="120"/>
    <w:bookmarkEnd w:id="173"/>
    <w:bookmarkEnd w:id="179"/>
    <w:bookmarkEnd w:id="183"/>
    <w:bookmarkEnd w:id="184"/>
    <w:bookmarkEnd w:id="185"/>
    <w:bookmarkEnd w:id="186"/>
    <w:bookmarkEnd w:id="187"/>
    <w:bookmarkEnd w:id="188"/>
    <w:bookmarkEnd w:id="189"/>
    <w:bookmarkEnd w:id="190"/>
    <w:bookmarkEnd w:id="199"/>
    <w:bookmarkEnd w:id="200"/>
    <w:bookmarkEnd w:id="201"/>
    <w:bookmarkEnd w:id="202"/>
    <w:bookmarkEnd w:id="203"/>
    <w:p w14:paraId="02349F6B">
      <w:pPr>
        <w:pStyle w:val="11"/>
        <w:spacing w:beforeAutospacing="0" w:afterAutospacing="0"/>
        <w:jc w:val="center"/>
        <w:rPr>
          <w:rFonts w:hint="eastAsia" w:ascii="宋体" w:hAnsi="宋体" w:eastAsia="宋体" w:cs="宋体"/>
          <w:b/>
          <w:color w:val="auto"/>
          <w:sz w:val="32"/>
          <w:szCs w:val="32"/>
          <w:highlight w:val="none"/>
        </w:rPr>
      </w:pPr>
    </w:p>
    <w:p w14:paraId="753C87C0">
      <w:pPr>
        <w:pStyle w:val="11"/>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19F7809C">
      <w:pPr>
        <w:pStyle w:val="11"/>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00CD9C9D">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D90A214">
      <w:pPr>
        <w:pStyle w:val="11"/>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548FF630">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B379C78">
      <w:pPr>
        <w:pStyle w:val="11"/>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D3C2BB1">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50B3F92D">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779C34B">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E342C1E">
      <w:pPr>
        <w:pStyle w:val="11"/>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8715CE3">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418D587F">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798F37B3">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3F0AF586">
      <w:pPr>
        <w:pStyle w:val="11"/>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335A2F74">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47D436C">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4473F07F">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0B6CAD89">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3FA9DB76">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442E0AD8">
      <w:pPr>
        <w:pStyle w:val="11"/>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4D373D52">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6525C048">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0276E2EE">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7BAC4C1E">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49664CE9">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2787764F">
      <w:pPr>
        <w:pStyle w:val="11"/>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011EF68B">
      <w:pPr>
        <w:pStyle w:val="11"/>
        <w:spacing w:beforeAutospacing="0" w:afterAutospacing="0" w:line="0" w:lineRule="atLeast"/>
        <w:jc w:val="both"/>
        <w:rPr>
          <w:rFonts w:hint="eastAsia" w:ascii="宋体" w:hAnsi="宋体" w:eastAsia="宋体" w:cs="宋体"/>
          <w:b/>
          <w:color w:val="auto"/>
          <w:highlight w:val="none"/>
        </w:rPr>
      </w:pPr>
    </w:p>
    <w:p w14:paraId="2031CFE6">
      <w:pPr>
        <w:pStyle w:val="11"/>
        <w:spacing w:beforeAutospacing="0" w:afterAutospacing="0" w:line="0" w:lineRule="atLeast"/>
        <w:jc w:val="both"/>
        <w:rPr>
          <w:rFonts w:hint="eastAsia" w:ascii="宋体" w:hAnsi="宋体" w:eastAsia="宋体" w:cs="宋体"/>
          <w:b/>
          <w:color w:val="auto"/>
          <w:highlight w:val="none"/>
        </w:rPr>
      </w:pPr>
    </w:p>
    <w:p w14:paraId="008EC76B">
      <w:pPr>
        <w:pStyle w:val="11"/>
        <w:spacing w:beforeAutospacing="0" w:afterAutospacing="0" w:line="0" w:lineRule="atLeast"/>
        <w:jc w:val="both"/>
        <w:rPr>
          <w:rFonts w:hint="eastAsia" w:ascii="宋体" w:hAnsi="宋体" w:eastAsia="宋体" w:cs="宋体"/>
          <w:b/>
          <w:color w:val="auto"/>
          <w:highlight w:val="none"/>
        </w:rPr>
      </w:pPr>
    </w:p>
    <w:p w14:paraId="737135A3">
      <w:pPr>
        <w:pStyle w:val="11"/>
        <w:spacing w:beforeAutospacing="0" w:afterAutospacing="0" w:line="0" w:lineRule="atLeast"/>
        <w:jc w:val="both"/>
        <w:rPr>
          <w:rFonts w:hint="eastAsia" w:ascii="宋体" w:hAnsi="宋体" w:eastAsia="宋体" w:cs="宋体"/>
          <w:b/>
          <w:color w:val="auto"/>
          <w:highlight w:val="none"/>
        </w:rPr>
      </w:pPr>
    </w:p>
    <w:p w14:paraId="27F49EF0">
      <w:pPr>
        <w:pStyle w:val="11"/>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b/>
          <w:color w:val="auto"/>
          <w:highlight w:val="none"/>
        </w:rPr>
      </w:pPr>
    </w:p>
    <w:p w14:paraId="40D95966">
      <w:pPr>
        <w:pStyle w:val="11"/>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5B49C466">
      <w:pPr>
        <w:pStyle w:val="11"/>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textAlignment w:val="auto"/>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2A7DA39E">
      <w:pPr>
        <w:pStyle w:val="11"/>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textAlignment w:val="auto"/>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B9A9DBE">
      <w:pPr>
        <w:pStyle w:val="11"/>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textAlignment w:val="auto"/>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39C8751E">
      <w:pPr>
        <w:pStyle w:val="11"/>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textAlignment w:val="auto"/>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45C86CC1">
      <w:pPr>
        <w:pStyle w:val="11"/>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textAlignment w:val="auto"/>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5C6BD7B5">
      <w:pPr>
        <w:pStyle w:val="11"/>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textAlignment w:val="auto"/>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40F519E6">
      <w:pPr>
        <w:pStyle w:val="11"/>
        <w:spacing w:beforeAutospacing="0" w:afterAutospacing="0"/>
        <w:rPr>
          <w:color w:val="auto"/>
          <w:highlight w:val="none"/>
        </w:rPr>
      </w:pPr>
    </w:p>
    <w:sectPr>
      <w:pgSz w:w="11906" w:h="16838"/>
      <w:pgMar w:top="1440" w:right="1440" w:bottom="1440"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华文楷体">
    <w:altName w:val="宋体"/>
    <w:panose1 w:val="02010600040101010101"/>
    <w:charset w:val="86"/>
    <w:family w:val="auto"/>
    <w:pitch w:val="default"/>
    <w:sig w:usb0="00000000" w:usb1="00000000" w:usb2="00000000" w:usb3="00000000" w:csb0="0004009F" w:csb1="DFD7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方正大标宋_GBK">
    <w:altName w:val="宋体"/>
    <w:panose1 w:val="00000000000000000000"/>
    <w:charset w:val="00"/>
    <w:family w:val="auto"/>
    <w:pitch w:val="default"/>
    <w:sig w:usb0="00000000" w:usb1="00000000" w:usb2="00000000" w:usb3="00000000" w:csb0="00000000" w:csb1="00000000"/>
  </w:font>
  <w:font w:name="华文中宋">
    <w:altName w:val="宋体"/>
    <w:panose1 w:val="02010600040101010101"/>
    <w:charset w:val="86"/>
    <w:family w:val="auto"/>
    <w:pitch w:val="default"/>
    <w:sig w:usb0="00000000" w:usb1="00000000" w:usb2="00000000" w:usb3="00000000" w:csb0="0004009F" w:csb1="DFD70000"/>
  </w:font>
  <w:font w:name="PMingLiU">
    <w:panose1 w:val="02020500000000000000"/>
    <w:charset w:val="88"/>
    <w:family w:val="auto"/>
    <w:pitch w:val="default"/>
    <w:sig w:usb0="A00002FF" w:usb1="28CFFCFA" w:usb2="00000016" w:usb3="00000000" w:csb0="0010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C5E74">
    <w:pPr>
      <w:pStyle w:val="29"/>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24</w:t>
    </w:r>
    <w:r>
      <w:rPr>
        <w:b/>
        <w:sz w:val="24"/>
        <w:szCs w:val="24"/>
      </w:rPr>
      <w:fldChar w:fldCharType="end"/>
    </w:r>
  </w:p>
  <w:p w14:paraId="719EF7A8">
    <w:pPr>
      <w:pStyle w:val="2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7B322D"/>
    <w:multiLevelType w:val="singleLevel"/>
    <w:tmpl w:val="897B322D"/>
    <w:lvl w:ilvl="0" w:tentative="0">
      <w:start w:val="681"/>
      <w:numFmt w:val="decimal"/>
      <w:lvlText w:val="%1"/>
      <w:lvlJc w:val="left"/>
      <w:pPr>
        <w:tabs>
          <w:tab w:val="left" w:pos="397"/>
        </w:tabs>
        <w:ind w:left="454" w:leftChars="0" w:hanging="454" w:firstLineChars="0"/>
      </w:pPr>
      <w:rPr>
        <w:rFonts w:hint="default"/>
      </w:rPr>
    </w:lvl>
  </w:abstractNum>
  <w:abstractNum w:abstractNumId="1">
    <w:nsid w:val="9D1591E3"/>
    <w:multiLevelType w:val="singleLevel"/>
    <w:tmpl w:val="9D1591E3"/>
    <w:lvl w:ilvl="0" w:tentative="0">
      <w:start w:val="2"/>
      <w:numFmt w:val="chineseCounting"/>
      <w:suff w:val="nothing"/>
      <w:lvlText w:val="%1、"/>
      <w:lvlJc w:val="left"/>
      <w:rPr>
        <w:rFonts w:hint="eastAsia"/>
      </w:rPr>
    </w:lvl>
  </w:abstractNum>
  <w:abstractNum w:abstractNumId="2">
    <w:nsid w:val="BB01FAEA"/>
    <w:multiLevelType w:val="singleLevel"/>
    <w:tmpl w:val="BB01FAEA"/>
    <w:lvl w:ilvl="0" w:tentative="0">
      <w:start w:val="1"/>
      <w:numFmt w:val="decimal"/>
      <w:suff w:val="space"/>
      <w:lvlText w:val="%1."/>
      <w:lvlJc w:val="left"/>
    </w:lvl>
  </w:abstractNum>
  <w:abstractNum w:abstractNumId="3">
    <w:nsid w:val="BF6BC116"/>
    <w:multiLevelType w:val="singleLevel"/>
    <w:tmpl w:val="BF6BC116"/>
    <w:lvl w:ilvl="0" w:tentative="0">
      <w:start w:val="16"/>
      <w:numFmt w:val="decimal"/>
      <w:suff w:val="space"/>
      <w:lvlText w:val="%1."/>
      <w:lvlJc w:val="left"/>
      <w:pPr>
        <w:ind w:left="0" w:firstLine="0"/>
      </w:pPr>
    </w:lvl>
  </w:abstractNum>
  <w:abstractNum w:abstractNumId="4">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D5B14649"/>
    <w:multiLevelType w:val="singleLevel"/>
    <w:tmpl w:val="D5B14649"/>
    <w:lvl w:ilvl="0" w:tentative="0">
      <w:start w:val="4"/>
      <w:numFmt w:val="decimal"/>
      <w:suff w:val="nothing"/>
      <w:lvlText w:val="（%1）"/>
      <w:lvlJc w:val="left"/>
      <w:pPr>
        <w:ind w:left="-60"/>
      </w:pPr>
    </w:lvl>
  </w:abstractNum>
  <w:abstractNum w:abstractNumId="6">
    <w:nsid w:val="DDECD3BC"/>
    <w:multiLevelType w:val="singleLevel"/>
    <w:tmpl w:val="DDECD3BC"/>
    <w:lvl w:ilvl="0" w:tentative="0">
      <w:start w:val="6"/>
      <w:numFmt w:val="decimal"/>
      <w:suff w:val="space"/>
      <w:lvlText w:val="%1."/>
      <w:lvlJc w:val="left"/>
      <w:pPr>
        <w:ind w:left="0" w:firstLine="0"/>
      </w:pPr>
    </w:lvl>
  </w:abstractNum>
  <w:abstractNum w:abstractNumId="7">
    <w:nsid w:val="DEABE1DB"/>
    <w:multiLevelType w:val="singleLevel"/>
    <w:tmpl w:val="DEABE1DB"/>
    <w:lvl w:ilvl="0" w:tentative="0">
      <w:start w:val="23"/>
      <w:numFmt w:val="decimal"/>
      <w:suff w:val="space"/>
      <w:lvlText w:val="%1."/>
      <w:lvlJc w:val="left"/>
      <w:pPr>
        <w:ind w:left="0" w:firstLine="0"/>
      </w:pPr>
    </w:lvl>
  </w:abstractNum>
  <w:abstractNum w:abstractNumId="8">
    <w:nsid w:val="ED680BF1"/>
    <w:multiLevelType w:val="singleLevel"/>
    <w:tmpl w:val="ED680BF1"/>
    <w:lvl w:ilvl="0" w:tentative="0">
      <w:start w:val="1"/>
      <w:numFmt w:val="decimal"/>
      <w:suff w:val="space"/>
      <w:lvlText w:val="%1."/>
      <w:lvlJc w:val="left"/>
    </w:lvl>
  </w:abstractNum>
  <w:abstractNum w:abstractNumId="9">
    <w:nsid w:val="0053208E"/>
    <w:multiLevelType w:val="multilevel"/>
    <w:tmpl w:val="0053208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3357AFD2"/>
    <w:multiLevelType w:val="singleLevel"/>
    <w:tmpl w:val="3357AFD2"/>
    <w:lvl w:ilvl="0" w:tentative="0">
      <w:start w:val="1"/>
      <w:numFmt w:val="decimal"/>
      <w:suff w:val="nothing"/>
      <w:lvlText w:val="%1、"/>
      <w:lvlJc w:val="left"/>
    </w:lvl>
  </w:abstractNum>
  <w:abstractNum w:abstractNumId="11">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5FA35971"/>
    <w:multiLevelType w:val="singleLevel"/>
    <w:tmpl w:val="5FA35971"/>
    <w:lvl w:ilvl="0" w:tentative="0">
      <w:start w:val="1"/>
      <w:numFmt w:val="decimal"/>
      <w:lvlText w:val="(%1)"/>
      <w:lvlJc w:val="left"/>
      <w:pPr>
        <w:tabs>
          <w:tab w:val="left" w:pos="312"/>
        </w:tabs>
      </w:pPr>
    </w:lvl>
  </w:abstractNum>
  <w:abstractNum w:abstractNumId="13">
    <w:nsid w:val="656E29FB"/>
    <w:multiLevelType w:val="singleLevel"/>
    <w:tmpl w:val="656E29FB"/>
    <w:lvl w:ilvl="0" w:tentative="0">
      <w:start w:val="619"/>
      <w:numFmt w:val="decimal"/>
      <w:lvlText w:val="%1"/>
      <w:lvlJc w:val="left"/>
      <w:pPr>
        <w:tabs>
          <w:tab w:val="left" w:pos="397"/>
        </w:tabs>
        <w:ind w:left="454" w:leftChars="0" w:hanging="454" w:firstLineChars="0"/>
      </w:pPr>
      <w:rPr>
        <w:rFonts w:hint="default"/>
      </w:rPr>
    </w:lvl>
  </w:abstractNum>
  <w:abstractNum w:abstractNumId="14">
    <w:nsid w:val="7938CFBD"/>
    <w:multiLevelType w:val="singleLevel"/>
    <w:tmpl w:val="7938CFBD"/>
    <w:lvl w:ilvl="0" w:tentative="0">
      <w:start w:val="8"/>
      <w:numFmt w:val="chineseCounting"/>
      <w:suff w:val="nothing"/>
      <w:lvlText w:val="%1、"/>
      <w:lvlJc w:val="left"/>
      <w:rPr>
        <w:rFonts w:hint="eastAsia"/>
      </w:rPr>
    </w:lvl>
  </w:abstractNum>
  <w:abstractNum w:abstractNumId="15">
    <w:nsid w:val="7C7FF9DA"/>
    <w:multiLevelType w:val="singleLevel"/>
    <w:tmpl w:val="7C7FF9DA"/>
    <w:lvl w:ilvl="0" w:tentative="0">
      <w:start w:val="1"/>
      <w:numFmt w:val="decimal"/>
      <w:lvlText w:val="%1."/>
      <w:lvlJc w:val="left"/>
      <w:pPr>
        <w:tabs>
          <w:tab w:val="left" w:pos="312"/>
        </w:tabs>
      </w:pPr>
    </w:lvl>
  </w:abstractNum>
  <w:num w:numId="1">
    <w:abstractNumId w:val="9"/>
  </w:num>
  <w:num w:numId="2">
    <w:abstractNumId w:val="4"/>
  </w:num>
  <w:num w:numId="3">
    <w:abstractNumId w:val="5"/>
  </w:num>
  <w:num w:numId="4">
    <w:abstractNumId w:val="11"/>
  </w:num>
  <w:num w:numId="5">
    <w:abstractNumId w:val="6"/>
    <w:lvlOverride w:ilvl="0">
      <w:startOverride w:val="6"/>
    </w:lvlOverride>
  </w:num>
  <w:num w:numId="6">
    <w:abstractNumId w:val="3"/>
    <w:lvlOverride w:ilvl="0">
      <w:startOverride w:val="16"/>
    </w:lvlOverride>
  </w:num>
  <w:num w:numId="7">
    <w:abstractNumId w:val="7"/>
    <w:lvlOverride w:ilvl="0">
      <w:startOverride w:val="23"/>
    </w:lvlOverride>
  </w:num>
  <w:num w:numId="8">
    <w:abstractNumId w:val="2"/>
  </w:num>
  <w:num w:numId="9">
    <w:abstractNumId w:val="15"/>
  </w:num>
  <w:num w:numId="10">
    <w:abstractNumId w:val="10"/>
  </w:num>
  <w:num w:numId="11">
    <w:abstractNumId w:val="8"/>
  </w:num>
  <w:num w:numId="12">
    <w:abstractNumId w:val="13"/>
  </w:num>
  <w:num w:numId="13">
    <w:abstractNumId w:val="0"/>
  </w:num>
  <w:num w:numId="14">
    <w:abstractNumId w:val="12"/>
  </w:num>
  <w:num w:numId="15">
    <w:abstractNumId w:val="14"/>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M4N2RiZjg3MzFiODlkMTUwMjczNWEyYjI3MzQ2NTIifQ=="/>
  </w:docVars>
  <w:rsids>
    <w:rsidRoot w:val="00172A27"/>
    <w:rsid w:val="00027397"/>
    <w:rsid w:val="0008414E"/>
    <w:rsid w:val="000B6FA8"/>
    <w:rsid w:val="000D6064"/>
    <w:rsid w:val="00106EC4"/>
    <w:rsid w:val="00111440"/>
    <w:rsid w:val="00112B63"/>
    <w:rsid w:val="00172A27"/>
    <w:rsid w:val="002B0C85"/>
    <w:rsid w:val="002E01C1"/>
    <w:rsid w:val="003C54BE"/>
    <w:rsid w:val="003F23CE"/>
    <w:rsid w:val="004125B1"/>
    <w:rsid w:val="00427F98"/>
    <w:rsid w:val="004529E6"/>
    <w:rsid w:val="004E0F29"/>
    <w:rsid w:val="005257A0"/>
    <w:rsid w:val="005F2EC1"/>
    <w:rsid w:val="0061007C"/>
    <w:rsid w:val="0069304D"/>
    <w:rsid w:val="00755D43"/>
    <w:rsid w:val="007C4780"/>
    <w:rsid w:val="007E3A7B"/>
    <w:rsid w:val="00822248"/>
    <w:rsid w:val="00927A3A"/>
    <w:rsid w:val="009620FE"/>
    <w:rsid w:val="00973C6A"/>
    <w:rsid w:val="009D4169"/>
    <w:rsid w:val="009E04AF"/>
    <w:rsid w:val="00A75D0F"/>
    <w:rsid w:val="00BD1A9C"/>
    <w:rsid w:val="00BF706B"/>
    <w:rsid w:val="00C90FDD"/>
    <w:rsid w:val="00CE1146"/>
    <w:rsid w:val="00CF47B8"/>
    <w:rsid w:val="00D00F3E"/>
    <w:rsid w:val="00D20B29"/>
    <w:rsid w:val="00D3382A"/>
    <w:rsid w:val="00D550E3"/>
    <w:rsid w:val="00D65A07"/>
    <w:rsid w:val="00D724D7"/>
    <w:rsid w:val="00ED0DA8"/>
    <w:rsid w:val="00F04D35"/>
    <w:rsid w:val="00F05E1E"/>
    <w:rsid w:val="00F65A6E"/>
    <w:rsid w:val="00FA4B2E"/>
    <w:rsid w:val="00FE0994"/>
    <w:rsid w:val="014036E0"/>
    <w:rsid w:val="015C3D17"/>
    <w:rsid w:val="01AE0C97"/>
    <w:rsid w:val="021B6523"/>
    <w:rsid w:val="022512B0"/>
    <w:rsid w:val="02553FFE"/>
    <w:rsid w:val="026E3C15"/>
    <w:rsid w:val="02851591"/>
    <w:rsid w:val="02867E41"/>
    <w:rsid w:val="028B748A"/>
    <w:rsid w:val="02BD5381"/>
    <w:rsid w:val="02C4564B"/>
    <w:rsid w:val="02D505AD"/>
    <w:rsid w:val="02F0175E"/>
    <w:rsid w:val="02FD7BA1"/>
    <w:rsid w:val="034115E7"/>
    <w:rsid w:val="034E4AD1"/>
    <w:rsid w:val="03516E26"/>
    <w:rsid w:val="0374238F"/>
    <w:rsid w:val="037E0789"/>
    <w:rsid w:val="03872EC4"/>
    <w:rsid w:val="042B5143"/>
    <w:rsid w:val="0438617D"/>
    <w:rsid w:val="047F723D"/>
    <w:rsid w:val="04CE5B50"/>
    <w:rsid w:val="04CF1FA6"/>
    <w:rsid w:val="05010BC4"/>
    <w:rsid w:val="053E74DA"/>
    <w:rsid w:val="056E5657"/>
    <w:rsid w:val="058663AA"/>
    <w:rsid w:val="05BF70EF"/>
    <w:rsid w:val="05D33E40"/>
    <w:rsid w:val="06163BD1"/>
    <w:rsid w:val="061A03F0"/>
    <w:rsid w:val="062C42CE"/>
    <w:rsid w:val="068A6E34"/>
    <w:rsid w:val="06D0672B"/>
    <w:rsid w:val="06F537E7"/>
    <w:rsid w:val="07994E3B"/>
    <w:rsid w:val="07A02A3F"/>
    <w:rsid w:val="07A40F48"/>
    <w:rsid w:val="07E95755"/>
    <w:rsid w:val="08224695"/>
    <w:rsid w:val="083420ED"/>
    <w:rsid w:val="0854758E"/>
    <w:rsid w:val="08992D34"/>
    <w:rsid w:val="08B7391C"/>
    <w:rsid w:val="08D102AE"/>
    <w:rsid w:val="09132265"/>
    <w:rsid w:val="092A7248"/>
    <w:rsid w:val="0959224E"/>
    <w:rsid w:val="095D46A1"/>
    <w:rsid w:val="096B3256"/>
    <w:rsid w:val="097529BD"/>
    <w:rsid w:val="0A143127"/>
    <w:rsid w:val="0A7315F2"/>
    <w:rsid w:val="0ABC363A"/>
    <w:rsid w:val="0AD8294B"/>
    <w:rsid w:val="0B454B41"/>
    <w:rsid w:val="0B4B3B00"/>
    <w:rsid w:val="0B641412"/>
    <w:rsid w:val="0B8A23C1"/>
    <w:rsid w:val="0B8D6901"/>
    <w:rsid w:val="0BAE3813"/>
    <w:rsid w:val="0BAF2412"/>
    <w:rsid w:val="0BB80A6B"/>
    <w:rsid w:val="0BD775D1"/>
    <w:rsid w:val="0BD97DF6"/>
    <w:rsid w:val="0C6329E2"/>
    <w:rsid w:val="0C6F7B97"/>
    <w:rsid w:val="0CD83322"/>
    <w:rsid w:val="0CF81CF5"/>
    <w:rsid w:val="0D4C7ED9"/>
    <w:rsid w:val="0D4D2FC1"/>
    <w:rsid w:val="0DB9570B"/>
    <w:rsid w:val="0DDA5F86"/>
    <w:rsid w:val="0DF06AB6"/>
    <w:rsid w:val="0E0362D5"/>
    <w:rsid w:val="0E0D7668"/>
    <w:rsid w:val="0E2A3F84"/>
    <w:rsid w:val="0E3D454F"/>
    <w:rsid w:val="0E70484F"/>
    <w:rsid w:val="0E966A8C"/>
    <w:rsid w:val="0E9C09EC"/>
    <w:rsid w:val="0EA73208"/>
    <w:rsid w:val="0EBE6916"/>
    <w:rsid w:val="0EE61CD2"/>
    <w:rsid w:val="0F22538D"/>
    <w:rsid w:val="0F470958"/>
    <w:rsid w:val="0F4B48EC"/>
    <w:rsid w:val="0F6D24BC"/>
    <w:rsid w:val="0F7D537E"/>
    <w:rsid w:val="0F8E2B94"/>
    <w:rsid w:val="0FD06B9F"/>
    <w:rsid w:val="0FDA6473"/>
    <w:rsid w:val="0FEB42BE"/>
    <w:rsid w:val="0FED59A3"/>
    <w:rsid w:val="0FF3288D"/>
    <w:rsid w:val="10007707"/>
    <w:rsid w:val="10030D22"/>
    <w:rsid w:val="102E38C6"/>
    <w:rsid w:val="102F7D69"/>
    <w:rsid w:val="105A3B37"/>
    <w:rsid w:val="10710382"/>
    <w:rsid w:val="10831E63"/>
    <w:rsid w:val="10993435"/>
    <w:rsid w:val="109A0F5B"/>
    <w:rsid w:val="10A61BCB"/>
    <w:rsid w:val="10D5322F"/>
    <w:rsid w:val="10D73F5D"/>
    <w:rsid w:val="10DE4159"/>
    <w:rsid w:val="11911E2E"/>
    <w:rsid w:val="119A49D5"/>
    <w:rsid w:val="11AB711C"/>
    <w:rsid w:val="11CC2A71"/>
    <w:rsid w:val="11E249A1"/>
    <w:rsid w:val="11E7300D"/>
    <w:rsid w:val="12431559"/>
    <w:rsid w:val="12696F23"/>
    <w:rsid w:val="126B0E01"/>
    <w:rsid w:val="127A5AD5"/>
    <w:rsid w:val="12937695"/>
    <w:rsid w:val="12CD7057"/>
    <w:rsid w:val="12EF1B96"/>
    <w:rsid w:val="12F015A0"/>
    <w:rsid w:val="133B14AD"/>
    <w:rsid w:val="137D2B9A"/>
    <w:rsid w:val="13D202B5"/>
    <w:rsid w:val="13DD7ADC"/>
    <w:rsid w:val="14477BA7"/>
    <w:rsid w:val="146F7B3F"/>
    <w:rsid w:val="148D1503"/>
    <w:rsid w:val="149169F1"/>
    <w:rsid w:val="149634DA"/>
    <w:rsid w:val="14FC0436"/>
    <w:rsid w:val="152A0AFF"/>
    <w:rsid w:val="156E6CB3"/>
    <w:rsid w:val="157E75CB"/>
    <w:rsid w:val="15B12FCF"/>
    <w:rsid w:val="15BF3E2F"/>
    <w:rsid w:val="15DF7B3C"/>
    <w:rsid w:val="15FF5C91"/>
    <w:rsid w:val="16633148"/>
    <w:rsid w:val="16633A7D"/>
    <w:rsid w:val="166F594F"/>
    <w:rsid w:val="169263C8"/>
    <w:rsid w:val="16A61788"/>
    <w:rsid w:val="16BA3E2C"/>
    <w:rsid w:val="16F413C5"/>
    <w:rsid w:val="16F5338F"/>
    <w:rsid w:val="17397BB2"/>
    <w:rsid w:val="173B3498"/>
    <w:rsid w:val="17666D47"/>
    <w:rsid w:val="177D585E"/>
    <w:rsid w:val="1783324B"/>
    <w:rsid w:val="1792502D"/>
    <w:rsid w:val="17C35773"/>
    <w:rsid w:val="182D6FD9"/>
    <w:rsid w:val="18363058"/>
    <w:rsid w:val="185A32DE"/>
    <w:rsid w:val="188318ED"/>
    <w:rsid w:val="18985C26"/>
    <w:rsid w:val="18A46A59"/>
    <w:rsid w:val="18BC4109"/>
    <w:rsid w:val="192F5D4A"/>
    <w:rsid w:val="193260E4"/>
    <w:rsid w:val="19421DBC"/>
    <w:rsid w:val="19835197"/>
    <w:rsid w:val="198A7DBF"/>
    <w:rsid w:val="19CF58B5"/>
    <w:rsid w:val="1A09570F"/>
    <w:rsid w:val="1A2577BE"/>
    <w:rsid w:val="1A2D3228"/>
    <w:rsid w:val="1A4F2C83"/>
    <w:rsid w:val="1A9133CF"/>
    <w:rsid w:val="1AC33AC2"/>
    <w:rsid w:val="1AD2708F"/>
    <w:rsid w:val="1B1E4E3E"/>
    <w:rsid w:val="1B4707DE"/>
    <w:rsid w:val="1B5F5046"/>
    <w:rsid w:val="1B7A5C97"/>
    <w:rsid w:val="1B7D4190"/>
    <w:rsid w:val="1B8D3B96"/>
    <w:rsid w:val="1B8F0D7E"/>
    <w:rsid w:val="1B9509DF"/>
    <w:rsid w:val="1BA002D8"/>
    <w:rsid w:val="1BB824B6"/>
    <w:rsid w:val="1BD31E0D"/>
    <w:rsid w:val="1BE85D46"/>
    <w:rsid w:val="1BF148BD"/>
    <w:rsid w:val="1C0863E1"/>
    <w:rsid w:val="1C934F54"/>
    <w:rsid w:val="1CA46C7E"/>
    <w:rsid w:val="1CAC4347"/>
    <w:rsid w:val="1D1C1092"/>
    <w:rsid w:val="1D4B1F5B"/>
    <w:rsid w:val="1D605A5A"/>
    <w:rsid w:val="1D854966"/>
    <w:rsid w:val="1DBC0763"/>
    <w:rsid w:val="1DEE30FC"/>
    <w:rsid w:val="1DFD1285"/>
    <w:rsid w:val="1E116D00"/>
    <w:rsid w:val="1E28404A"/>
    <w:rsid w:val="1E546BED"/>
    <w:rsid w:val="1E624AFE"/>
    <w:rsid w:val="1EA929A4"/>
    <w:rsid w:val="1EC31E73"/>
    <w:rsid w:val="1EC70509"/>
    <w:rsid w:val="1EEF7401"/>
    <w:rsid w:val="1EFA7794"/>
    <w:rsid w:val="1F4A0271"/>
    <w:rsid w:val="1F6D7B33"/>
    <w:rsid w:val="1F890B18"/>
    <w:rsid w:val="1FC7762D"/>
    <w:rsid w:val="1FC97EC3"/>
    <w:rsid w:val="200C01AF"/>
    <w:rsid w:val="20431205"/>
    <w:rsid w:val="2043454C"/>
    <w:rsid w:val="205730E8"/>
    <w:rsid w:val="206566C3"/>
    <w:rsid w:val="20733730"/>
    <w:rsid w:val="208246F5"/>
    <w:rsid w:val="20963D53"/>
    <w:rsid w:val="20A83FAF"/>
    <w:rsid w:val="20DC4876"/>
    <w:rsid w:val="20F21EF0"/>
    <w:rsid w:val="20F74FCB"/>
    <w:rsid w:val="210510A3"/>
    <w:rsid w:val="21106653"/>
    <w:rsid w:val="212D5EEC"/>
    <w:rsid w:val="215025DE"/>
    <w:rsid w:val="21581F02"/>
    <w:rsid w:val="2171360B"/>
    <w:rsid w:val="21AB746C"/>
    <w:rsid w:val="21B7196D"/>
    <w:rsid w:val="21C014D1"/>
    <w:rsid w:val="21CC717D"/>
    <w:rsid w:val="21E11C0A"/>
    <w:rsid w:val="21F4671D"/>
    <w:rsid w:val="21F7620D"/>
    <w:rsid w:val="22160D89"/>
    <w:rsid w:val="22424AA4"/>
    <w:rsid w:val="22F62B8A"/>
    <w:rsid w:val="23092164"/>
    <w:rsid w:val="231E427C"/>
    <w:rsid w:val="23254D08"/>
    <w:rsid w:val="233F1C1A"/>
    <w:rsid w:val="234F79E0"/>
    <w:rsid w:val="23534E2B"/>
    <w:rsid w:val="23ED3D6C"/>
    <w:rsid w:val="242C02D7"/>
    <w:rsid w:val="243A6885"/>
    <w:rsid w:val="24450BC8"/>
    <w:rsid w:val="24533DC2"/>
    <w:rsid w:val="245E67A0"/>
    <w:rsid w:val="246C70D4"/>
    <w:rsid w:val="24B52239"/>
    <w:rsid w:val="24D91E5B"/>
    <w:rsid w:val="24E84399"/>
    <w:rsid w:val="250A73DC"/>
    <w:rsid w:val="25293F80"/>
    <w:rsid w:val="2532334D"/>
    <w:rsid w:val="2543789A"/>
    <w:rsid w:val="25D6438C"/>
    <w:rsid w:val="26063AA3"/>
    <w:rsid w:val="260B04D9"/>
    <w:rsid w:val="26466E58"/>
    <w:rsid w:val="264C54A5"/>
    <w:rsid w:val="26750FF7"/>
    <w:rsid w:val="26D6553E"/>
    <w:rsid w:val="26E9418F"/>
    <w:rsid w:val="27194423"/>
    <w:rsid w:val="27290FC5"/>
    <w:rsid w:val="27726F11"/>
    <w:rsid w:val="27AC6781"/>
    <w:rsid w:val="284F637D"/>
    <w:rsid w:val="28A77F49"/>
    <w:rsid w:val="28CF0D04"/>
    <w:rsid w:val="28FC627B"/>
    <w:rsid w:val="28FE41FC"/>
    <w:rsid w:val="29345C52"/>
    <w:rsid w:val="2996274E"/>
    <w:rsid w:val="29AF163C"/>
    <w:rsid w:val="29B45500"/>
    <w:rsid w:val="29D52A75"/>
    <w:rsid w:val="2A2102CB"/>
    <w:rsid w:val="2A251F6F"/>
    <w:rsid w:val="2A4648B7"/>
    <w:rsid w:val="2A4B17EC"/>
    <w:rsid w:val="2A594F65"/>
    <w:rsid w:val="2A5F2B4C"/>
    <w:rsid w:val="2AAB4039"/>
    <w:rsid w:val="2AC1385C"/>
    <w:rsid w:val="2B005440"/>
    <w:rsid w:val="2B624E0A"/>
    <w:rsid w:val="2BA76DF0"/>
    <w:rsid w:val="2C03574A"/>
    <w:rsid w:val="2C117DB2"/>
    <w:rsid w:val="2C265BCC"/>
    <w:rsid w:val="2C700266"/>
    <w:rsid w:val="2C7768C8"/>
    <w:rsid w:val="2C7B3B05"/>
    <w:rsid w:val="2C8B5ED0"/>
    <w:rsid w:val="2C9C6D3A"/>
    <w:rsid w:val="2CC277F5"/>
    <w:rsid w:val="2CD31625"/>
    <w:rsid w:val="2D255327"/>
    <w:rsid w:val="2D67525C"/>
    <w:rsid w:val="2D682153"/>
    <w:rsid w:val="2D784F24"/>
    <w:rsid w:val="2D9B43E6"/>
    <w:rsid w:val="2DDF411E"/>
    <w:rsid w:val="2DE81100"/>
    <w:rsid w:val="2E0A6B39"/>
    <w:rsid w:val="2E227124"/>
    <w:rsid w:val="2E5A63B6"/>
    <w:rsid w:val="2E5E7AF7"/>
    <w:rsid w:val="2E742A33"/>
    <w:rsid w:val="2E8702E5"/>
    <w:rsid w:val="2E884DBD"/>
    <w:rsid w:val="2EA25753"/>
    <w:rsid w:val="2EB711FE"/>
    <w:rsid w:val="2ED00E83"/>
    <w:rsid w:val="2ED51684"/>
    <w:rsid w:val="2EE73822"/>
    <w:rsid w:val="2EFA10EB"/>
    <w:rsid w:val="2EFC4202"/>
    <w:rsid w:val="2F0A1DA3"/>
    <w:rsid w:val="2F4D56BE"/>
    <w:rsid w:val="2F776BDF"/>
    <w:rsid w:val="2F8310E0"/>
    <w:rsid w:val="2FAD4FD9"/>
    <w:rsid w:val="2FB03F14"/>
    <w:rsid w:val="2FB346FB"/>
    <w:rsid w:val="2FCD4A51"/>
    <w:rsid w:val="2FE63BE9"/>
    <w:rsid w:val="2FFA5778"/>
    <w:rsid w:val="302241EA"/>
    <w:rsid w:val="30495C84"/>
    <w:rsid w:val="30626EBE"/>
    <w:rsid w:val="30650005"/>
    <w:rsid w:val="30736862"/>
    <w:rsid w:val="30E10B0B"/>
    <w:rsid w:val="30F11F43"/>
    <w:rsid w:val="310333AD"/>
    <w:rsid w:val="31280191"/>
    <w:rsid w:val="31395673"/>
    <w:rsid w:val="31522189"/>
    <w:rsid w:val="318A49A8"/>
    <w:rsid w:val="31EF468C"/>
    <w:rsid w:val="32335040"/>
    <w:rsid w:val="323F1207"/>
    <w:rsid w:val="326951F3"/>
    <w:rsid w:val="329E6CD8"/>
    <w:rsid w:val="32B619E7"/>
    <w:rsid w:val="333379C1"/>
    <w:rsid w:val="33370B5F"/>
    <w:rsid w:val="33440753"/>
    <w:rsid w:val="334B61C4"/>
    <w:rsid w:val="33773E42"/>
    <w:rsid w:val="33A31D51"/>
    <w:rsid w:val="33A81E05"/>
    <w:rsid w:val="34034D7D"/>
    <w:rsid w:val="344922B1"/>
    <w:rsid w:val="34E14EA2"/>
    <w:rsid w:val="34E346A0"/>
    <w:rsid w:val="35343F24"/>
    <w:rsid w:val="359B1151"/>
    <w:rsid w:val="359F6E8B"/>
    <w:rsid w:val="35AD49A2"/>
    <w:rsid w:val="35C80195"/>
    <w:rsid w:val="35D757CB"/>
    <w:rsid w:val="35F00617"/>
    <w:rsid w:val="36172BC3"/>
    <w:rsid w:val="36452BA8"/>
    <w:rsid w:val="36750720"/>
    <w:rsid w:val="369C2236"/>
    <w:rsid w:val="36CC7C95"/>
    <w:rsid w:val="36CF07E3"/>
    <w:rsid w:val="36EB650A"/>
    <w:rsid w:val="378133A9"/>
    <w:rsid w:val="37841E99"/>
    <w:rsid w:val="383A233E"/>
    <w:rsid w:val="383E025E"/>
    <w:rsid w:val="3857135C"/>
    <w:rsid w:val="38642219"/>
    <w:rsid w:val="387150D1"/>
    <w:rsid w:val="38F34FAE"/>
    <w:rsid w:val="39101F1B"/>
    <w:rsid w:val="392D7EB3"/>
    <w:rsid w:val="393339A4"/>
    <w:rsid w:val="39720FC7"/>
    <w:rsid w:val="397E12D6"/>
    <w:rsid w:val="398A79D0"/>
    <w:rsid w:val="39B60304"/>
    <w:rsid w:val="39CD52E9"/>
    <w:rsid w:val="39DB72F7"/>
    <w:rsid w:val="3A3C334E"/>
    <w:rsid w:val="3A5547C8"/>
    <w:rsid w:val="3A60140C"/>
    <w:rsid w:val="3A64388F"/>
    <w:rsid w:val="3B0B043D"/>
    <w:rsid w:val="3B3955B9"/>
    <w:rsid w:val="3BA26D92"/>
    <w:rsid w:val="3BCB453B"/>
    <w:rsid w:val="3BDF2457"/>
    <w:rsid w:val="3BEA0202"/>
    <w:rsid w:val="3C044687"/>
    <w:rsid w:val="3C0579A8"/>
    <w:rsid w:val="3C3711A0"/>
    <w:rsid w:val="3C5C406E"/>
    <w:rsid w:val="3C8E39AA"/>
    <w:rsid w:val="3CA53635"/>
    <w:rsid w:val="3CCA5BA9"/>
    <w:rsid w:val="3CFB4C73"/>
    <w:rsid w:val="3D23372C"/>
    <w:rsid w:val="3D8A5E81"/>
    <w:rsid w:val="3D8D5F02"/>
    <w:rsid w:val="3D927662"/>
    <w:rsid w:val="3D9646D4"/>
    <w:rsid w:val="3DAB5EF3"/>
    <w:rsid w:val="3DB01C3A"/>
    <w:rsid w:val="3DBC439B"/>
    <w:rsid w:val="3DDE32D3"/>
    <w:rsid w:val="3DF80C94"/>
    <w:rsid w:val="3E064F5A"/>
    <w:rsid w:val="3E161B6B"/>
    <w:rsid w:val="3E5C10BE"/>
    <w:rsid w:val="3E7F5998"/>
    <w:rsid w:val="3EC21AAC"/>
    <w:rsid w:val="3F0056DB"/>
    <w:rsid w:val="3F1A3023"/>
    <w:rsid w:val="3F243A9D"/>
    <w:rsid w:val="3F890995"/>
    <w:rsid w:val="3F9A4950"/>
    <w:rsid w:val="3FC76DC7"/>
    <w:rsid w:val="3FCE25EF"/>
    <w:rsid w:val="3FD36E8B"/>
    <w:rsid w:val="401C5365"/>
    <w:rsid w:val="401D2E8B"/>
    <w:rsid w:val="401F30A7"/>
    <w:rsid w:val="40225DCC"/>
    <w:rsid w:val="40350295"/>
    <w:rsid w:val="40606F7B"/>
    <w:rsid w:val="406E1D8D"/>
    <w:rsid w:val="40923879"/>
    <w:rsid w:val="411E79D5"/>
    <w:rsid w:val="415D28F4"/>
    <w:rsid w:val="419F6289"/>
    <w:rsid w:val="41B65345"/>
    <w:rsid w:val="41C87591"/>
    <w:rsid w:val="41DE5213"/>
    <w:rsid w:val="42053C57"/>
    <w:rsid w:val="42214BD9"/>
    <w:rsid w:val="42324DFA"/>
    <w:rsid w:val="4277752C"/>
    <w:rsid w:val="42AB2B34"/>
    <w:rsid w:val="42C45840"/>
    <w:rsid w:val="42FA74B4"/>
    <w:rsid w:val="431353F3"/>
    <w:rsid w:val="43455446"/>
    <w:rsid w:val="43692E36"/>
    <w:rsid w:val="43EE04C7"/>
    <w:rsid w:val="4416031D"/>
    <w:rsid w:val="444F046F"/>
    <w:rsid w:val="44C70E65"/>
    <w:rsid w:val="44DA072F"/>
    <w:rsid w:val="44F310E6"/>
    <w:rsid w:val="4521341D"/>
    <w:rsid w:val="4538722C"/>
    <w:rsid w:val="454D0F8E"/>
    <w:rsid w:val="45816699"/>
    <w:rsid w:val="45A932D5"/>
    <w:rsid w:val="45FC0A54"/>
    <w:rsid w:val="461D469A"/>
    <w:rsid w:val="46586568"/>
    <w:rsid w:val="466976E6"/>
    <w:rsid w:val="468E063F"/>
    <w:rsid w:val="46EA0CE7"/>
    <w:rsid w:val="470D4256"/>
    <w:rsid w:val="472208AE"/>
    <w:rsid w:val="475F1299"/>
    <w:rsid w:val="4761678A"/>
    <w:rsid w:val="47704C41"/>
    <w:rsid w:val="47B925F3"/>
    <w:rsid w:val="47C00975"/>
    <w:rsid w:val="47D1506D"/>
    <w:rsid w:val="47E524E0"/>
    <w:rsid w:val="47F82926"/>
    <w:rsid w:val="485F6737"/>
    <w:rsid w:val="486C0E54"/>
    <w:rsid w:val="48910AEC"/>
    <w:rsid w:val="48934632"/>
    <w:rsid w:val="489F4D85"/>
    <w:rsid w:val="48A25043"/>
    <w:rsid w:val="48B0019E"/>
    <w:rsid w:val="48B3170D"/>
    <w:rsid w:val="48B41562"/>
    <w:rsid w:val="4915247E"/>
    <w:rsid w:val="4923660B"/>
    <w:rsid w:val="493C7DE9"/>
    <w:rsid w:val="49415E3C"/>
    <w:rsid w:val="498B70B7"/>
    <w:rsid w:val="49C53299"/>
    <w:rsid w:val="49F345BC"/>
    <w:rsid w:val="4A1E13B4"/>
    <w:rsid w:val="4A2C49B0"/>
    <w:rsid w:val="4A631DE2"/>
    <w:rsid w:val="4A7355AC"/>
    <w:rsid w:val="4A7D1B0F"/>
    <w:rsid w:val="4A802994"/>
    <w:rsid w:val="4A9B332A"/>
    <w:rsid w:val="4A9C3340"/>
    <w:rsid w:val="4AAC50D1"/>
    <w:rsid w:val="4AE82438"/>
    <w:rsid w:val="4B816722"/>
    <w:rsid w:val="4BB84560"/>
    <w:rsid w:val="4BC475D4"/>
    <w:rsid w:val="4BD4598C"/>
    <w:rsid w:val="4BE01E83"/>
    <w:rsid w:val="4C5A2B74"/>
    <w:rsid w:val="4C73113A"/>
    <w:rsid w:val="4C7B3413"/>
    <w:rsid w:val="4C855E76"/>
    <w:rsid w:val="4C957E25"/>
    <w:rsid w:val="4D0227B8"/>
    <w:rsid w:val="4D046EC0"/>
    <w:rsid w:val="4D2D20D9"/>
    <w:rsid w:val="4D3763FF"/>
    <w:rsid w:val="4D3F3B11"/>
    <w:rsid w:val="4D4B1038"/>
    <w:rsid w:val="4DA074F7"/>
    <w:rsid w:val="4DA33F07"/>
    <w:rsid w:val="4DCC47E4"/>
    <w:rsid w:val="4DD23F64"/>
    <w:rsid w:val="4DDE52C0"/>
    <w:rsid w:val="4DFB00F6"/>
    <w:rsid w:val="4E5464E9"/>
    <w:rsid w:val="4EA63D5A"/>
    <w:rsid w:val="4EF37BD9"/>
    <w:rsid w:val="4EF474AD"/>
    <w:rsid w:val="4F4F7809"/>
    <w:rsid w:val="4F5155E8"/>
    <w:rsid w:val="4F9361EE"/>
    <w:rsid w:val="4F964BD7"/>
    <w:rsid w:val="4FBE182C"/>
    <w:rsid w:val="508605D9"/>
    <w:rsid w:val="50A1397F"/>
    <w:rsid w:val="50CC79FC"/>
    <w:rsid w:val="50E16CEC"/>
    <w:rsid w:val="515E4EF1"/>
    <w:rsid w:val="51C404BD"/>
    <w:rsid w:val="51C75DFE"/>
    <w:rsid w:val="51DE0DD8"/>
    <w:rsid w:val="52496610"/>
    <w:rsid w:val="52741FCB"/>
    <w:rsid w:val="52AF02BB"/>
    <w:rsid w:val="52D06B10"/>
    <w:rsid w:val="534B0014"/>
    <w:rsid w:val="534D3F2D"/>
    <w:rsid w:val="53536515"/>
    <w:rsid w:val="5366378B"/>
    <w:rsid w:val="536B21BA"/>
    <w:rsid w:val="53A862CC"/>
    <w:rsid w:val="53E45D42"/>
    <w:rsid w:val="54121636"/>
    <w:rsid w:val="541A45F2"/>
    <w:rsid w:val="5425781E"/>
    <w:rsid w:val="542A0FDA"/>
    <w:rsid w:val="544D7D8B"/>
    <w:rsid w:val="54604111"/>
    <w:rsid w:val="54C067AF"/>
    <w:rsid w:val="54C73CC3"/>
    <w:rsid w:val="54E877FB"/>
    <w:rsid w:val="54ED53D0"/>
    <w:rsid w:val="55091CCC"/>
    <w:rsid w:val="550B2446"/>
    <w:rsid w:val="55367BF4"/>
    <w:rsid w:val="55482300"/>
    <w:rsid w:val="560A5808"/>
    <w:rsid w:val="5612303A"/>
    <w:rsid w:val="561A3C9D"/>
    <w:rsid w:val="561D3D90"/>
    <w:rsid w:val="56307253"/>
    <w:rsid w:val="56453199"/>
    <w:rsid w:val="564B4B24"/>
    <w:rsid w:val="56541269"/>
    <w:rsid w:val="56795BFB"/>
    <w:rsid w:val="569F23F4"/>
    <w:rsid w:val="56E04EE6"/>
    <w:rsid w:val="5797379E"/>
    <w:rsid w:val="57A929AA"/>
    <w:rsid w:val="57BD5228"/>
    <w:rsid w:val="57C34AFB"/>
    <w:rsid w:val="57C75274"/>
    <w:rsid w:val="57F30C49"/>
    <w:rsid w:val="580314B3"/>
    <w:rsid w:val="582F6DAB"/>
    <w:rsid w:val="588767A9"/>
    <w:rsid w:val="58AD45AF"/>
    <w:rsid w:val="58B71D9D"/>
    <w:rsid w:val="58D4718C"/>
    <w:rsid w:val="58DA575B"/>
    <w:rsid w:val="58E34AAF"/>
    <w:rsid w:val="59017396"/>
    <w:rsid w:val="593C67D8"/>
    <w:rsid w:val="59581771"/>
    <w:rsid w:val="59A82CA5"/>
    <w:rsid w:val="59C63049"/>
    <w:rsid w:val="5A1804F3"/>
    <w:rsid w:val="5AD536B4"/>
    <w:rsid w:val="5AEA4CCC"/>
    <w:rsid w:val="5AF87CA0"/>
    <w:rsid w:val="5B031B11"/>
    <w:rsid w:val="5B8C4D8C"/>
    <w:rsid w:val="5B96574B"/>
    <w:rsid w:val="5B9C6E4B"/>
    <w:rsid w:val="5BB4249E"/>
    <w:rsid w:val="5C2A6C04"/>
    <w:rsid w:val="5C335AB8"/>
    <w:rsid w:val="5C5A652B"/>
    <w:rsid w:val="5C950521"/>
    <w:rsid w:val="5CD474BD"/>
    <w:rsid w:val="5D187041"/>
    <w:rsid w:val="5D320FC0"/>
    <w:rsid w:val="5D3F4885"/>
    <w:rsid w:val="5D4E550A"/>
    <w:rsid w:val="5D544B97"/>
    <w:rsid w:val="5D7A500B"/>
    <w:rsid w:val="5DB11FC5"/>
    <w:rsid w:val="5DE138D8"/>
    <w:rsid w:val="5DEF1EB3"/>
    <w:rsid w:val="5E1921ED"/>
    <w:rsid w:val="5E3B6EA6"/>
    <w:rsid w:val="5ECD6548"/>
    <w:rsid w:val="5EDB106D"/>
    <w:rsid w:val="5EDF3CD6"/>
    <w:rsid w:val="5EE035AA"/>
    <w:rsid w:val="5F0B3DC6"/>
    <w:rsid w:val="5F7D5E8E"/>
    <w:rsid w:val="5F7F522A"/>
    <w:rsid w:val="5FB213EA"/>
    <w:rsid w:val="5FBD772A"/>
    <w:rsid w:val="5FCC2AA9"/>
    <w:rsid w:val="601337BB"/>
    <w:rsid w:val="606A165C"/>
    <w:rsid w:val="60E94998"/>
    <w:rsid w:val="61730705"/>
    <w:rsid w:val="619104D9"/>
    <w:rsid w:val="61BE4489"/>
    <w:rsid w:val="61DC0E2B"/>
    <w:rsid w:val="61EC7283"/>
    <w:rsid w:val="62281F6A"/>
    <w:rsid w:val="622C715E"/>
    <w:rsid w:val="623E1776"/>
    <w:rsid w:val="62A87E16"/>
    <w:rsid w:val="62AC7750"/>
    <w:rsid w:val="62B463CC"/>
    <w:rsid w:val="62C353DF"/>
    <w:rsid w:val="62CA561A"/>
    <w:rsid w:val="63041798"/>
    <w:rsid w:val="6313315F"/>
    <w:rsid w:val="632F68AE"/>
    <w:rsid w:val="63531AF3"/>
    <w:rsid w:val="63537CD5"/>
    <w:rsid w:val="63795CCD"/>
    <w:rsid w:val="639A01CB"/>
    <w:rsid w:val="63A4086C"/>
    <w:rsid w:val="63AB3AFB"/>
    <w:rsid w:val="63CD6C1F"/>
    <w:rsid w:val="63E04EFF"/>
    <w:rsid w:val="640824C9"/>
    <w:rsid w:val="642A59F3"/>
    <w:rsid w:val="642D54E3"/>
    <w:rsid w:val="643A2D32"/>
    <w:rsid w:val="64904662"/>
    <w:rsid w:val="64A56430"/>
    <w:rsid w:val="64B654D9"/>
    <w:rsid w:val="64C52419"/>
    <w:rsid w:val="64CA11AE"/>
    <w:rsid w:val="65055217"/>
    <w:rsid w:val="652B74FB"/>
    <w:rsid w:val="65BB2793"/>
    <w:rsid w:val="65FF1B98"/>
    <w:rsid w:val="66293A88"/>
    <w:rsid w:val="664F5C5B"/>
    <w:rsid w:val="667027CF"/>
    <w:rsid w:val="6688694C"/>
    <w:rsid w:val="67112E9A"/>
    <w:rsid w:val="673752E8"/>
    <w:rsid w:val="676D28EC"/>
    <w:rsid w:val="67A410D5"/>
    <w:rsid w:val="67EA12F3"/>
    <w:rsid w:val="68245589"/>
    <w:rsid w:val="685B3631"/>
    <w:rsid w:val="686F60CA"/>
    <w:rsid w:val="687078B0"/>
    <w:rsid w:val="68777DD2"/>
    <w:rsid w:val="68BD3739"/>
    <w:rsid w:val="68CA5232"/>
    <w:rsid w:val="69201173"/>
    <w:rsid w:val="692D388F"/>
    <w:rsid w:val="693469CC"/>
    <w:rsid w:val="6938107D"/>
    <w:rsid w:val="69713A6A"/>
    <w:rsid w:val="69961721"/>
    <w:rsid w:val="69983CE0"/>
    <w:rsid w:val="6A1C1694"/>
    <w:rsid w:val="6A751DB0"/>
    <w:rsid w:val="6A7D0FBA"/>
    <w:rsid w:val="6AA277E9"/>
    <w:rsid w:val="6AB76F68"/>
    <w:rsid w:val="6AB95533"/>
    <w:rsid w:val="6B037E0E"/>
    <w:rsid w:val="6B2B5474"/>
    <w:rsid w:val="6B453112"/>
    <w:rsid w:val="6B463D2E"/>
    <w:rsid w:val="6B5E2426"/>
    <w:rsid w:val="6B601CFA"/>
    <w:rsid w:val="6B966935"/>
    <w:rsid w:val="6B9876E6"/>
    <w:rsid w:val="6BAC3463"/>
    <w:rsid w:val="6BDE41BB"/>
    <w:rsid w:val="6BF41FF2"/>
    <w:rsid w:val="6C1C1043"/>
    <w:rsid w:val="6C363346"/>
    <w:rsid w:val="6C3E2962"/>
    <w:rsid w:val="6C4E2D8B"/>
    <w:rsid w:val="6C52377B"/>
    <w:rsid w:val="6C5462A8"/>
    <w:rsid w:val="6C7D63BA"/>
    <w:rsid w:val="6C917FD7"/>
    <w:rsid w:val="6CA67BE1"/>
    <w:rsid w:val="6CD22594"/>
    <w:rsid w:val="6CFB656C"/>
    <w:rsid w:val="6D572428"/>
    <w:rsid w:val="6D602366"/>
    <w:rsid w:val="6D865F2E"/>
    <w:rsid w:val="6D8E5ACF"/>
    <w:rsid w:val="6DD11CEE"/>
    <w:rsid w:val="6DEF3DE9"/>
    <w:rsid w:val="6E0F7A08"/>
    <w:rsid w:val="6E1F5E9D"/>
    <w:rsid w:val="6E3A2CD6"/>
    <w:rsid w:val="6E6C6C08"/>
    <w:rsid w:val="6E715176"/>
    <w:rsid w:val="6E865F1C"/>
    <w:rsid w:val="6EC10B9C"/>
    <w:rsid w:val="6EEA1F14"/>
    <w:rsid w:val="6F23376B"/>
    <w:rsid w:val="6F2A0186"/>
    <w:rsid w:val="6F795A80"/>
    <w:rsid w:val="6F8A031E"/>
    <w:rsid w:val="6FB67AB5"/>
    <w:rsid w:val="6FD35191"/>
    <w:rsid w:val="6FD6226A"/>
    <w:rsid w:val="6FD9519B"/>
    <w:rsid w:val="6FFB46E7"/>
    <w:rsid w:val="70441BEA"/>
    <w:rsid w:val="70545BA6"/>
    <w:rsid w:val="70741DD0"/>
    <w:rsid w:val="70CE6331"/>
    <w:rsid w:val="70F96E79"/>
    <w:rsid w:val="710B2708"/>
    <w:rsid w:val="71657FCD"/>
    <w:rsid w:val="718D5813"/>
    <w:rsid w:val="718F50E7"/>
    <w:rsid w:val="71BB7860"/>
    <w:rsid w:val="71DC40A5"/>
    <w:rsid w:val="72440385"/>
    <w:rsid w:val="72915C55"/>
    <w:rsid w:val="72A82310"/>
    <w:rsid w:val="72AB46D0"/>
    <w:rsid w:val="72D810AF"/>
    <w:rsid w:val="72DA4A88"/>
    <w:rsid w:val="72DB12E8"/>
    <w:rsid w:val="73412411"/>
    <w:rsid w:val="734142A1"/>
    <w:rsid w:val="73761484"/>
    <w:rsid w:val="737F2F3A"/>
    <w:rsid w:val="73AF2114"/>
    <w:rsid w:val="73AF7CC3"/>
    <w:rsid w:val="73DC3026"/>
    <w:rsid w:val="743F3C99"/>
    <w:rsid w:val="745F6DB9"/>
    <w:rsid w:val="74634C45"/>
    <w:rsid w:val="74835482"/>
    <w:rsid w:val="74877DC7"/>
    <w:rsid w:val="752944C1"/>
    <w:rsid w:val="7547548E"/>
    <w:rsid w:val="755802CB"/>
    <w:rsid w:val="75800C68"/>
    <w:rsid w:val="75890D8F"/>
    <w:rsid w:val="75B043EA"/>
    <w:rsid w:val="75B90898"/>
    <w:rsid w:val="766D79C1"/>
    <w:rsid w:val="76874D1D"/>
    <w:rsid w:val="7696629B"/>
    <w:rsid w:val="76B259BC"/>
    <w:rsid w:val="76D10B32"/>
    <w:rsid w:val="76D90F68"/>
    <w:rsid w:val="7706409E"/>
    <w:rsid w:val="77560ABE"/>
    <w:rsid w:val="77B11BF2"/>
    <w:rsid w:val="77C1540B"/>
    <w:rsid w:val="77FF0364"/>
    <w:rsid w:val="781140FE"/>
    <w:rsid w:val="783E7320"/>
    <w:rsid w:val="784C1F84"/>
    <w:rsid w:val="78A05E2C"/>
    <w:rsid w:val="78C8304F"/>
    <w:rsid w:val="78CB19C0"/>
    <w:rsid w:val="78D41F79"/>
    <w:rsid w:val="78F35EFE"/>
    <w:rsid w:val="78FF5669"/>
    <w:rsid w:val="7918780F"/>
    <w:rsid w:val="793275BA"/>
    <w:rsid w:val="79A454A8"/>
    <w:rsid w:val="79A724F1"/>
    <w:rsid w:val="79B07D20"/>
    <w:rsid w:val="7A19268B"/>
    <w:rsid w:val="7A236D15"/>
    <w:rsid w:val="7A3031E0"/>
    <w:rsid w:val="7A4647B1"/>
    <w:rsid w:val="7A4B7878"/>
    <w:rsid w:val="7A6D100D"/>
    <w:rsid w:val="7A9026C1"/>
    <w:rsid w:val="7B627651"/>
    <w:rsid w:val="7B7315D6"/>
    <w:rsid w:val="7BC736D0"/>
    <w:rsid w:val="7C0F2533"/>
    <w:rsid w:val="7C2823C0"/>
    <w:rsid w:val="7C5143D4"/>
    <w:rsid w:val="7C5F16F8"/>
    <w:rsid w:val="7C9D3E10"/>
    <w:rsid w:val="7CAF2E48"/>
    <w:rsid w:val="7CB122FF"/>
    <w:rsid w:val="7CF61C07"/>
    <w:rsid w:val="7CFC55FB"/>
    <w:rsid w:val="7D796C4C"/>
    <w:rsid w:val="7DBA67DE"/>
    <w:rsid w:val="7DEE3421"/>
    <w:rsid w:val="7DF53ACA"/>
    <w:rsid w:val="7E06489D"/>
    <w:rsid w:val="7E53398F"/>
    <w:rsid w:val="7E5D2724"/>
    <w:rsid w:val="7E5E6C64"/>
    <w:rsid w:val="7E997755"/>
    <w:rsid w:val="7F014BD8"/>
    <w:rsid w:val="7F0E4C61"/>
    <w:rsid w:val="7F7F4C0B"/>
    <w:rsid w:val="7FB0104A"/>
    <w:rsid w:val="7FE01204"/>
    <w:rsid w:val="7FF52F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rPr>
      <w:rFonts w:ascii="Calibri" w:hAnsi="Calibri"/>
      <w:kern w:val="2"/>
      <w:szCs w:val="22"/>
    </w:rPr>
  </w:style>
  <w:style w:type="paragraph" w:styleId="3">
    <w:name w:val="Subtitle"/>
    <w:basedOn w:val="1"/>
    <w:next w:val="1"/>
    <w:qFormat/>
    <w:uiPriority w:val="0"/>
    <w:pPr>
      <w:spacing w:line="312" w:lineRule="auto"/>
      <w:jc w:val="left"/>
      <w:outlineLvl w:val="1"/>
    </w:pPr>
    <w:rPr>
      <w:rFonts w:ascii="Cambria" w:hAnsi="Cambria"/>
      <w:b/>
      <w:bCs/>
      <w:kern w:val="28"/>
      <w:szCs w:val="32"/>
    </w:rPr>
  </w:style>
  <w:style w:type="paragraph" w:styleId="5">
    <w:name w:val="annotation text"/>
    <w:basedOn w:val="1"/>
    <w:qFormat/>
    <w:uiPriority w:val="0"/>
    <w:pPr>
      <w:jc w:val="left"/>
    </w:pPr>
  </w:style>
  <w:style w:type="paragraph" w:styleId="6">
    <w:name w:val="index 4"/>
    <w:basedOn w:val="1"/>
    <w:next w:val="1"/>
    <w:qFormat/>
    <w:uiPriority w:val="99"/>
    <w:pPr>
      <w:ind w:left="600" w:leftChars="600"/>
    </w:pPr>
    <w:rPr>
      <w:rFonts w:ascii="Calibri" w:hAnsi="Calibri"/>
    </w:rPr>
  </w:style>
  <w:style w:type="paragraph" w:styleId="7">
    <w:name w:val="Plain Text"/>
    <w:basedOn w:val="1"/>
    <w:unhideWhenUsed/>
    <w:qFormat/>
    <w:uiPriority w:val="0"/>
    <w:rPr>
      <w:rFonts w:ascii="宋体" w:hAnsi="Courier New" w:cs="Courier New"/>
      <w:kern w:val="2"/>
      <w:szCs w:val="21"/>
    </w:rPr>
  </w:style>
  <w:style w:type="paragraph" w:styleId="8">
    <w:name w:val="Body Text Indent 2"/>
    <w:basedOn w:val="1"/>
    <w:qFormat/>
    <w:uiPriority w:val="0"/>
    <w:pPr>
      <w:spacing w:after="120" w:afterLines="0" w:line="480" w:lineRule="auto"/>
      <w:ind w:left="420" w:leftChars="200"/>
    </w:pPr>
    <w:rPr>
      <w:rFonts w:eastAsia="仿宋_GB2312"/>
      <w:sz w:val="28"/>
      <w:szCs w:val="20"/>
    </w:rPr>
  </w:style>
  <w:style w:type="paragraph" w:styleId="9">
    <w:name w:val="footer"/>
    <w:basedOn w:val="1"/>
    <w:link w:val="27"/>
    <w:autoRedefine/>
    <w:qFormat/>
    <w:uiPriority w:val="0"/>
    <w:pPr>
      <w:tabs>
        <w:tab w:val="center" w:pos="4153"/>
        <w:tab w:val="right" w:pos="8306"/>
      </w:tabs>
      <w:snapToGrid w:val="0"/>
      <w:jc w:val="left"/>
    </w:pPr>
    <w:rPr>
      <w:sz w:val="18"/>
      <w:szCs w:val="18"/>
    </w:rPr>
  </w:style>
  <w:style w:type="paragraph" w:styleId="10">
    <w:name w:val="header"/>
    <w:basedOn w:val="1"/>
    <w:link w:val="26"/>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autoRedefine/>
    <w:qFormat/>
    <w:uiPriority w:val="0"/>
    <w:pPr>
      <w:spacing w:beforeAutospacing="1" w:afterAutospacing="1"/>
      <w:jc w:val="left"/>
    </w:pPr>
    <w:rPr>
      <w:rFonts w:cs="Times New Roman"/>
      <w:kern w:val="0"/>
      <w:sz w:val="24"/>
    </w:rPr>
  </w:style>
  <w:style w:type="paragraph" w:styleId="12">
    <w:name w:val="Body Text First Indent"/>
    <w:basedOn w:val="2"/>
    <w:qFormat/>
    <w:uiPriority w:val="0"/>
    <w:pPr>
      <w:ind w:firstLine="420"/>
    </w:pPr>
    <w:rPr>
      <w:sz w:val="24"/>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FollowedHyperlink"/>
    <w:basedOn w:val="15"/>
    <w:qFormat/>
    <w:uiPriority w:val="0"/>
    <w:rPr>
      <w:color w:val="FFFFFF"/>
      <w:u w:val="none"/>
    </w:rPr>
  </w:style>
  <w:style w:type="character" w:styleId="17">
    <w:name w:val="HTML Definition"/>
    <w:basedOn w:val="15"/>
    <w:qFormat/>
    <w:uiPriority w:val="0"/>
  </w:style>
  <w:style w:type="character" w:styleId="18">
    <w:name w:val="HTML Typewriter"/>
    <w:basedOn w:val="15"/>
    <w:qFormat/>
    <w:uiPriority w:val="0"/>
    <w:rPr>
      <w:rFonts w:hint="default" w:ascii="monospace" w:hAnsi="monospace" w:eastAsia="monospace" w:cs="monospace"/>
      <w:sz w:val="20"/>
    </w:rPr>
  </w:style>
  <w:style w:type="character" w:styleId="19">
    <w:name w:val="HTML Acronym"/>
    <w:basedOn w:val="15"/>
    <w:qFormat/>
    <w:uiPriority w:val="0"/>
  </w:style>
  <w:style w:type="character" w:styleId="20">
    <w:name w:val="HTML Variable"/>
    <w:basedOn w:val="15"/>
    <w:qFormat/>
    <w:uiPriority w:val="0"/>
  </w:style>
  <w:style w:type="character" w:styleId="21">
    <w:name w:val="Hyperlink"/>
    <w:basedOn w:val="15"/>
    <w:qFormat/>
    <w:uiPriority w:val="99"/>
    <w:rPr>
      <w:rFonts w:ascii="Tahoma" w:hAnsi="Tahoma"/>
      <w:color w:val="000000"/>
      <w:sz w:val="24"/>
      <w:szCs w:val="20"/>
      <w:u w:val="none"/>
    </w:rPr>
  </w:style>
  <w:style w:type="character" w:styleId="22">
    <w:name w:val="HTML Code"/>
    <w:basedOn w:val="15"/>
    <w:qFormat/>
    <w:uiPriority w:val="0"/>
    <w:rPr>
      <w:rFonts w:ascii="monospace" w:hAnsi="monospace" w:eastAsia="monospace" w:cs="monospace"/>
      <w:sz w:val="20"/>
    </w:rPr>
  </w:style>
  <w:style w:type="character" w:styleId="23">
    <w:name w:val="HTML Cite"/>
    <w:basedOn w:val="15"/>
    <w:qFormat/>
    <w:uiPriority w:val="0"/>
  </w:style>
  <w:style w:type="character" w:styleId="24">
    <w:name w:val="HTML Keyboard"/>
    <w:basedOn w:val="15"/>
    <w:qFormat/>
    <w:uiPriority w:val="0"/>
    <w:rPr>
      <w:rFonts w:hint="default" w:ascii="monospace" w:hAnsi="monospace" w:eastAsia="monospace" w:cs="monospace"/>
      <w:sz w:val="20"/>
    </w:rPr>
  </w:style>
  <w:style w:type="character" w:styleId="25">
    <w:name w:val="HTML Sample"/>
    <w:basedOn w:val="15"/>
    <w:qFormat/>
    <w:uiPriority w:val="0"/>
    <w:rPr>
      <w:rFonts w:hint="default" w:ascii="monospace" w:hAnsi="monospace" w:eastAsia="monospace" w:cs="monospace"/>
    </w:rPr>
  </w:style>
  <w:style w:type="character" w:customStyle="1" w:styleId="26">
    <w:name w:val="页眉 Char"/>
    <w:basedOn w:val="15"/>
    <w:link w:val="10"/>
    <w:autoRedefine/>
    <w:qFormat/>
    <w:uiPriority w:val="0"/>
    <w:rPr>
      <w:rFonts w:asciiTheme="minorHAnsi" w:hAnsiTheme="minorHAnsi" w:eastAsiaTheme="minorEastAsia" w:cstheme="minorBidi"/>
      <w:kern w:val="2"/>
      <w:sz w:val="18"/>
      <w:szCs w:val="18"/>
    </w:rPr>
  </w:style>
  <w:style w:type="character" w:customStyle="1" w:styleId="27">
    <w:name w:val="页脚 Char"/>
    <w:basedOn w:val="15"/>
    <w:link w:val="9"/>
    <w:autoRedefine/>
    <w:qFormat/>
    <w:uiPriority w:val="0"/>
    <w:rPr>
      <w:rFonts w:asciiTheme="minorHAnsi" w:hAnsiTheme="minorHAnsi" w:eastAsiaTheme="minorEastAsia" w:cstheme="minorBidi"/>
      <w:kern w:val="2"/>
      <w:sz w:val="18"/>
      <w:szCs w:val="18"/>
    </w:rPr>
  </w:style>
  <w:style w:type="paragraph" w:customStyle="1" w:styleId="2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9">
    <w:name w:val="页脚1"/>
    <w:basedOn w:val="1"/>
    <w:unhideWhenUsed/>
    <w:qFormat/>
    <w:uiPriority w:val="99"/>
    <w:pPr>
      <w:tabs>
        <w:tab w:val="center" w:pos="4153"/>
        <w:tab w:val="right" w:pos="8306"/>
      </w:tabs>
      <w:jc w:val="left"/>
    </w:pPr>
    <w:rPr>
      <w:sz w:val="18"/>
      <w:szCs w:val="18"/>
    </w:rPr>
  </w:style>
  <w:style w:type="paragraph" w:customStyle="1" w:styleId="30">
    <w:name w:val="正文_2"/>
    <w:autoRedefine/>
    <w:qFormat/>
    <w:uiPriority w:val="0"/>
    <w:pPr>
      <w:snapToGrid w:val="0"/>
      <w:spacing w:line="500" w:lineRule="exact"/>
      <w:ind w:firstLine="361" w:firstLineChars="150"/>
      <w:jc w:val="both"/>
    </w:pPr>
    <w:rPr>
      <w:rFonts w:cs="Arial" w:asciiTheme="minorEastAsia" w:hAnsiTheme="minorEastAsia" w:eastAsiaTheme="minorEastAsia"/>
      <w:b/>
      <w:bCs/>
      <w:kern w:val="2"/>
      <w:sz w:val="24"/>
      <w:szCs w:val="22"/>
      <w:lang w:val="en-US" w:eastAsia="zh-CN" w:bidi="ar-SA"/>
    </w:rPr>
  </w:style>
  <w:style w:type="paragraph" w:customStyle="1" w:styleId="31">
    <w:name w:val="正文 A"/>
    <w:next w:val="32"/>
    <w:qFormat/>
    <w:uiPriority w:val="0"/>
    <w:pPr>
      <w:widowControl w:val="0"/>
      <w:jc w:val="both"/>
    </w:pPr>
    <w:rPr>
      <w:rFonts w:ascii="Arial Unicode MS" w:hAnsi="Arial Unicode MS" w:eastAsia="Arial Unicode MS" w:cs="Arial Unicode MS"/>
      <w:color w:val="000000"/>
      <w:kern w:val="2"/>
      <w:sz w:val="21"/>
      <w:szCs w:val="21"/>
      <w:u w:val="none" w:color="000000"/>
      <w:lang w:val="en-US" w:eastAsia="zh-CN" w:bidi="ar-SA"/>
    </w:rPr>
  </w:style>
  <w:style w:type="paragraph" w:customStyle="1" w:styleId="32">
    <w:name w:val="段"/>
    <w:next w:val="31"/>
    <w:qFormat/>
    <w:uiPriority w:val="99"/>
    <w:pPr>
      <w:autoSpaceDE w:val="0"/>
      <w:autoSpaceDN w:val="0"/>
      <w:ind w:firstLine="200" w:firstLineChars="200"/>
      <w:jc w:val="both"/>
    </w:pPr>
    <w:rPr>
      <w:rFonts w:ascii="宋体" w:hAnsi="Times New Roman" w:eastAsia="宋体" w:cs="Times New Roman"/>
      <w:kern w:val="2"/>
      <w:sz w:val="22"/>
      <w:lang w:val="en-US" w:eastAsia="zh-CN" w:bidi="ar-SA"/>
    </w:rPr>
  </w:style>
  <w:style w:type="paragraph" w:customStyle="1" w:styleId="33">
    <w:name w:val="正文1"/>
    <w:basedOn w:val="34"/>
    <w:qFormat/>
    <w:uiPriority w:val="0"/>
    <w:pPr>
      <w:spacing w:line="400" w:lineRule="exact"/>
      <w:ind w:firstLine="420" w:firstLineChars="200"/>
    </w:pPr>
    <w:rPr>
      <w:rFonts w:ascii="宋体" w:hAnsi="宋体"/>
      <w:szCs w:val="21"/>
    </w:rPr>
  </w:style>
  <w:style w:type="paragraph" w:customStyle="1" w:styleId="34">
    <w:name w:val="正文11"/>
    <w:next w:val="35"/>
    <w:qFormat/>
    <w:uiPriority w:val="0"/>
    <w:pPr>
      <w:spacing w:line="856" w:lineRule="atLeast"/>
      <w:jc w:val="both"/>
    </w:pPr>
    <w:rPr>
      <w:rFonts w:hint="default" w:ascii="Times New Roman" w:hAnsi="Times New Roman" w:eastAsia="宋体" w:cs="Times New Roman"/>
      <w:color w:val="000000"/>
      <w:sz w:val="21"/>
      <w:lang w:val="en-US" w:eastAsia="zh-CN" w:bidi="ar-SA"/>
    </w:rPr>
  </w:style>
  <w:style w:type="paragraph" w:customStyle="1" w:styleId="35">
    <w:name w:val="文本块1"/>
    <w:basedOn w:val="34"/>
    <w:qFormat/>
    <w:uiPriority w:val="0"/>
    <w:pPr>
      <w:ind w:left="256" w:right="6" w:firstLine="624"/>
    </w:pPr>
    <w:rPr>
      <w:rFonts w:ascii="Times New Roman" w:hAnsi="Times New Roman" w:eastAsia="仿宋"/>
      <w:sz w:val="28"/>
      <w:szCs w:val="20"/>
    </w:rPr>
  </w:style>
  <w:style w:type="paragraph" w:styleId="36">
    <w:name w:val="List Paragraph"/>
    <w:basedOn w:val="1"/>
    <w:qFormat/>
    <w:uiPriority w:val="34"/>
    <w:pPr>
      <w:ind w:firstLine="420" w:firstLineChars="200"/>
    </w:pPr>
    <w:rPr>
      <w:rFonts w:ascii="Calibri" w:hAnsi="Calibri"/>
      <w:szCs w:val="22"/>
    </w:rPr>
  </w:style>
  <w:style w:type="character" w:customStyle="1" w:styleId="37">
    <w:name w:val="layui-layer-tabnow"/>
    <w:basedOn w:val="15"/>
    <w:qFormat/>
    <w:uiPriority w:val="0"/>
    <w:rPr>
      <w:bdr w:val="single" w:color="CCCCCC" w:sz="6" w:space="0"/>
      <w:shd w:val="clear" w:fill="FFFFFF"/>
    </w:rPr>
  </w:style>
  <w:style w:type="character" w:customStyle="1" w:styleId="38">
    <w:name w:val="first-child"/>
    <w:basedOn w:val="15"/>
    <w:qFormat/>
    <w:uiPriority w:val="0"/>
  </w:style>
  <w:style w:type="character" w:customStyle="1" w:styleId="39">
    <w:name w:val="font11"/>
    <w:basedOn w:val="15"/>
    <w:qFormat/>
    <w:uiPriority w:val="0"/>
    <w:rPr>
      <w:rFonts w:hint="eastAsia" w:ascii="微软雅黑" w:hAnsi="微软雅黑" w:eastAsia="微软雅黑" w:cs="微软雅黑"/>
      <w:color w:val="000000"/>
      <w:sz w:val="24"/>
      <w:szCs w:val="24"/>
      <w:u w:val="none"/>
    </w:rPr>
  </w:style>
  <w:style w:type="character" w:customStyle="1" w:styleId="40">
    <w:name w:val="font51"/>
    <w:basedOn w:val="15"/>
    <w:qFormat/>
    <w:uiPriority w:val="0"/>
    <w:rPr>
      <w:rFonts w:hint="eastAsia" w:ascii="微软雅黑" w:hAnsi="微软雅黑" w:eastAsia="微软雅黑" w:cs="微软雅黑"/>
      <w:color w:val="000000"/>
      <w:sz w:val="24"/>
      <w:szCs w:val="24"/>
      <w:u w:val="none"/>
      <w:vertAlign w:val="superscript"/>
    </w:rPr>
  </w:style>
  <w:style w:type="character" w:customStyle="1" w:styleId="41">
    <w:name w:val="font41"/>
    <w:basedOn w:val="15"/>
    <w:qFormat/>
    <w:uiPriority w:val="0"/>
    <w:rPr>
      <w:rFonts w:hint="eastAsia" w:ascii="微软雅黑" w:hAnsi="微软雅黑" w:eastAsia="微软雅黑" w:cs="微软雅黑"/>
      <w:color w:val="000000"/>
      <w:sz w:val="24"/>
      <w:szCs w:val="24"/>
      <w:u w:val="none"/>
    </w:rPr>
  </w:style>
  <w:style w:type="character" w:customStyle="1" w:styleId="42">
    <w:name w:val="font21"/>
    <w:basedOn w:val="15"/>
    <w:qFormat/>
    <w:uiPriority w:val="0"/>
    <w:rPr>
      <w:rFonts w:hint="eastAsia" w:ascii="微软雅黑" w:hAnsi="微软雅黑" w:eastAsia="微软雅黑" w:cs="微软雅黑"/>
      <w:color w:val="000000"/>
      <w:sz w:val="24"/>
      <w:szCs w:val="24"/>
      <w:u w:val="none"/>
    </w:rPr>
  </w:style>
  <w:style w:type="character" w:customStyle="1" w:styleId="43">
    <w:name w:val="font31"/>
    <w:basedOn w:val="15"/>
    <w:qFormat/>
    <w:uiPriority w:val="0"/>
    <w:rPr>
      <w:rFonts w:ascii="Arial" w:hAnsi="Arial" w:cs="Arial"/>
      <w:color w:val="000000"/>
      <w:sz w:val="24"/>
      <w:szCs w:val="24"/>
      <w:u w:val="none"/>
    </w:rPr>
  </w:style>
  <w:style w:type="paragraph" w:customStyle="1" w:styleId="44">
    <w:name w:val="智业正文"/>
    <w:basedOn w:val="12"/>
    <w:qFormat/>
    <w:uiPriority w:val="0"/>
    <w:pPr>
      <w:spacing w:after="0"/>
      <w:ind w:firstLine="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214</Pages>
  <Words>14309</Words>
  <Characters>15205</Characters>
  <Lines>183</Lines>
  <Paragraphs>51</Paragraphs>
  <TotalTime>1</TotalTime>
  <ScaleCrop>false</ScaleCrop>
  <LinksUpToDate>false</LinksUpToDate>
  <CharactersWithSpaces>15883</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＊猫姿态＊</cp:lastModifiedBy>
  <cp:lastPrinted>2024-10-31T08:23:00Z</cp:lastPrinted>
  <dcterms:modified xsi:type="dcterms:W3CDTF">2024-10-31T08:58:45Z</dcterms:modified>
  <cp:revision>119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5E391D288BEE45C4BB53352BA1024622</vt:lpwstr>
  </property>
</Properties>
</file>