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51B61">
      <w:pPr>
        <w:pStyle w:val="202"/>
        <w:widowControl/>
        <w:spacing w:before="75" w:beforeAutospacing="0" w:after="75" w:afterAutospacing="0"/>
        <w:jc w:val="center"/>
        <w:rPr>
          <w:rStyle w:val="206"/>
          <w:rFonts w:hint="eastAsia" w:ascii="宋体" w:hAnsi="宋体" w:cs="宋体"/>
          <w:color w:val="000000"/>
          <w:sz w:val="72"/>
          <w:szCs w:val="72"/>
          <w:highlight w:val="none"/>
        </w:rPr>
      </w:pPr>
    </w:p>
    <w:p w14:paraId="3E9D158F">
      <w:pPr>
        <w:pStyle w:val="202"/>
        <w:widowControl/>
        <w:spacing w:before="75" w:beforeAutospacing="0" w:after="75" w:afterAutospacing="0"/>
        <w:jc w:val="center"/>
        <w:rPr>
          <w:rStyle w:val="206"/>
          <w:rFonts w:ascii="宋体" w:hAnsi="宋体" w:cs="宋体"/>
          <w:color w:val="000000"/>
          <w:sz w:val="72"/>
          <w:szCs w:val="72"/>
          <w:highlight w:val="none"/>
        </w:rPr>
      </w:pPr>
      <w:r>
        <w:rPr>
          <w:rStyle w:val="206"/>
          <w:rFonts w:hint="eastAsia" w:ascii="宋体" w:hAnsi="宋体" w:cs="宋体"/>
          <w:color w:val="000000"/>
          <w:sz w:val="72"/>
          <w:szCs w:val="72"/>
          <w:highlight w:val="none"/>
          <w:lang w:eastAsia="zh-CN"/>
        </w:rPr>
        <w:t xml:space="preserve"> 苏州市</w:t>
      </w:r>
      <w:r>
        <w:rPr>
          <w:rStyle w:val="206"/>
          <w:rFonts w:hint="eastAsia" w:ascii="宋体" w:hAnsi="宋体" w:cs="宋体"/>
          <w:color w:val="000000"/>
          <w:sz w:val="72"/>
          <w:szCs w:val="72"/>
          <w:highlight w:val="none"/>
        </w:rPr>
        <w:t>政府采购</w:t>
      </w:r>
    </w:p>
    <w:p w14:paraId="1D13E665">
      <w:pPr>
        <w:pStyle w:val="202"/>
        <w:widowControl/>
        <w:spacing w:before="75" w:beforeAutospacing="0" w:after="75" w:afterAutospacing="0"/>
        <w:jc w:val="center"/>
        <w:rPr>
          <w:rStyle w:val="206"/>
          <w:rFonts w:ascii="宋体" w:hAnsi="宋体" w:cs="宋体"/>
          <w:color w:val="000000"/>
          <w:sz w:val="96"/>
          <w:szCs w:val="96"/>
          <w:highlight w:val="none"/>
        </w:rPr>
      </w:pPr>
      <w:r>
        <w:rPr>
          <w:rStyle w:val="206"/>
          <w:rFonts w:ascii="宋体" w:hAnsi="宋体" w:cs="宋体"/>
          <w:color w:val="000000"/>
          <w:sz w:val="72"/>
          <w:szCs w:val="72"/>
          <w:highlight w:val="none"/>
        </w:rPr>
        <w:t>服务类</w:t>
      </w:r>
      <w:r>
        <w:rPr>
          <w:rStyle w:val="206"/>
          <w:rFonts w:hint="eastAsia" w:ascii="宋体" w:hAnsi="宋体" w:cs="宋体"/>
          <w:color w:val="000000"/>
          <w:sz w:val="72"/>
          <w:szCs w:val="72"/>
          <w:highlight w:val="none"/>
        </w:rPr>
        <w:t>磋商</w:t>
      </w:r>
      <w:r>
        <w:rPr>
          <w:rStyle w:val="206"/>
          <w:rFonts w:ascii="宋体" w:hAnsi="宋体" w:cs="宋体"/>
          <w:color w:val="000000"/>
          <w:sz w:val="72"/>
          <w:szCs w:val="72"/>
          <w:highlight w:val="none"/>
        </w:rPr>
        <w:t>项目</w:t>
      </w:r>
    </w:p>
    <w:p w14:paraId="5A66C95B">
      <w:pPr>
        <w:pStyle w:val="202"/>
        <w:widowControl/>
        <w:spacing w:before="75" w:beforeAutospacing="0" w:after="75" w:afterAutospacing="0"/>
        <w:jc w:val="center"/>
        <w:rPr>
          <w:rFonts w:hint="eastAsia" w:ascii="sans-serif" w:hAnsi="sans-serif" w:cs="sans-serif"/>
          <w:color w:val="000000"/>
          <w:highlight w:val="none"/>
        </w:rPr>
      </w:pPr>
      <w:r>
        <w:rPr>
          <w:rFonts w:ascii="sans-serif" w:hAnsi="sans-serif" w:eastAsia="sans-serif" w:cs="sans-serif"/>
          <w:color w:val="000000"/>
          <w:highlight w:val="none"/>
        </w:rPr>
        <w:t> </w:t>
      </w:r>
    </w:p>
    <w:p w14:paraId="32D05246">
      <w:pPr>
        <w:pStyle w:val="202"/>
        <w:widowControl/>
        <w:spacing w:before="75" w:beforeAutospacing="0" w:after="75" w:afterAutospacing="0"/>
        <w:rPr>
          <w:rStyle w:val="206"/>
          <w:rFonts w:ascii="宋体" w:hAnsi="宋体" w:cs="宋体"/>
          <w:color w:val="000000"/>
          <w:sz w:val="72"/>
          <w:szCs w:val="72"/>
          <w:highlight w:val="none"/>
        </w:rPr>
      </w:pPr>
      <w:r>
        <w:rPr>
          <w:rStyle w:val="206"/>
          <w:rFonts w:hint="eastAsia" w:ascii="宋体" w:hAnsi="宋体" w:cs="宋体"/>
          <w:color w:val="000000"/>
          <w:sz w:val="72"/>
          <w:szCs w:val="72"/>
          <w:highlight w:val="none"/>
        </w:rPr>
        <w:t> </w:t>
      </w:r>
    </w:p>
    <w:p w14:paraId="0294DE2C">
      <w:pPr>
        <w:pStyle w:val="202"/>
        <w:widowControl/>
        <w:spacing w:before="75" w:beforeAutospacing="0" w:after="75" w:afterAutospacing="0"/>
        <w:rPr>
          <w:rFonts w:hint="eastAsia" w:ascii="sans-serif" w:hAnsi="sans-serif" w:cs="sans-serif"/>
          <w:color w:val="000000"/>
          <w:highlight w:val="none"/>
        </w:rPr>
      </w:pPr>
    </w:p>
    <w:p w14:paraId="3C1298A6">
      <w:pPr>
        <w:pStyle w:val="202"/>
        <w:widowControl/>
        <w:spacing w:before="75" w:beforeAutospacing="0" w:after="75" w:afterAutospacing="0"/>
        <w:jc w:val="center"/>
        <w:rPr>
          <w:rStyle w:val="206"/>
          <w:rFonts w:hint="eastAsia" w:ascii="宋体" w:hAnsi="宋体" w:eastAsia="宋体" w:cs="宋体"/>
          <w:color w:val="000000"/>
          <w:sz w:val="30"/>
          <w:szCs w:val="30"/>
          <w:highlight w:val="none"/>
          <w:lang w:eastAsia="zh-CN"/>
        </w:rPr>
      </w:pPr>
      <w:r>
        <w:rPr>
          <w:rStyle w:val="206"/>
          <w:rFonts w:hint="eastAsia" w:ascii="宋体" w:hAnsi="宋体" w:cs="宋体"/>
          <w:color w:val="000000"/>
          <w:sz w:val="30"/>
          <w:szCs w:val="30"/>
          <w:highlight w:val="none"/>
        </w:rPr>
        <w:t>采购编号：</w:t>
      </w:r>
      <w:r>
        <w:rPr>
          <w:rStyle w:val="206"/>
          <w:rFonts w:hint="eastAsia" w:ascii="宋体" w:hAnsi="宋体" w:cs="宋体"/>
          <w:color w:val="000000"/>
          <w:sz w:val="30"/>
          <w:szCs w:val="30"/>
          <w:highlight w:val="none"/>
          <w:u w:val="single"/>
          <w:lang w:eastAsia="zh-CN"/>
        </w:rPr>
        <w:t>JSZC-320500-XCXC-C2025-0008</w:t>
      </w:r>
    </w:p>
    <w:p w14:paraId="1A065110">
      <w:pPr>
        <w:pStyle w:val="202"/>
        <w:widowControl/>
        <w:spacing w:before="75" w:beforeAutospacing="0" w:after="75" w:afterAutospacing="0"/>
        <w:jc w:val="center"/>
        <w:rPr>
          <w:rFonts w:hint="eastAsia" w:ascii="sans-serif" w:hAnsi="sans-serif" w:cs="sans-serif"/>
          <w:color w:val="000000"/>
          <w:highlight w:val="none"/>
        </w:rPr>
      </w:pPr>
      <w:r>
        <w:rPr>
          <w:rStyle w:val="206"/>
          <w:rFonts w:hint="eastAsia" w:ascii="宋体" w:hAnsi="宋体" w:cs="宋体"/>
          <w:color w:val="000000"/>
          <w:sz w:val="30"/>
          <w:szCs w:val="30"/>
          <w:highlight w:val="none"/>
        </w:rPr>
        <w:t>项目名称：</w:t>
      </w:r>
      <w:r>
        <w:rPr>
          <w:rStyle w:val="206"/>
          <w:rFonts w:hint="eastAsia" w:ascii="宋体" w:hAnsi="宋体" w:cs="宋体"/>
          <w:color w:val="000000"/>
          <w:sz w:val="30"/>
          <w:szCs w:val="30"/>
          <w:highlight w:val="none"/>
          <w:u w:val="single"/>
          <w:lang w:eastAsia="zh-CN"/>
        </w:rPr>
        <w:t>网络债权人会议系统云平台租赁服务</w:t>
      </w:r>
      <w:r>
        <w:rPr>
          <w:rStyle w:val="206"/>
          <w:rFonts w:hint="eastAsia" w:ascii="宋体" w:hAnsi="宋体" w:cs="宋体"/>
          <w:color w:val="000000"/>
          <w:sz w:val="30"/>
          <w:szCs w:val="30"/>
          <w:highlight w:val="none"/>
          <w:u w:val="single"/>
        </w:rPr>
        <w:t xml:space="preserve">  </w:t>
      </w:r>
    </w:p>
    <w:p w14:paraId="48EC34A9">
      <w:pPr>
        <w:pStyle w:val="202"/>
        <w:widowControl/>
        <w:spacing w:before="75" w:beforeAutospacing="0" w:after="75" w:afterAutospacing="0"/>
        <w:jc w:val="center"/>
        <w:rPr>
          <w:rFonts w:hint="eastAsia" w:ascii="sans-serif" w:hAnsi="sans-serif" w:cs="sans-serif"/>
          <w:color w:val="000000"/>
          <w:highlight w:val="none"/>
        </w:rPr>
      </w:pPr>
      <w:r>
        <w:rPr>
          <w:rStyle w:val="206"/>
          <w:rFonts w:hint="eastAsia" w:ascii="宋体" w:hAnsi="宋体" w:cs="宋体"/>
          <w:color w:val="000000"/>
          <w:sz w:val="30"/>
          <w:szCs w:val="30"/>
          <w:highlight w:val="none"/>
        </w:rPr>
        <w:t>采 购 人：</w:t>
      </w:r>
      <w:r>
        <w:rPr>
          <w:rStyle w:val="206"/>
          <w:rFonts w:hint="eastAsia" w:ascii="宋体" w:hAnsi="宋体" w:cs="宋体"/>
          <w:color w:val="000000"/>
          <w:sz w:val="30"/>
          <w:szCs w:val="30"/>
          <w:highlight w:val="none"/>
          <w:u w:val="single"/>
          <w:lang w:eastAsia="zh-CN"/>
        </w:rPr>
        <w:t>江苏省苏州市中级人民法院</w:t>
      </w:r>
    </w:p>
    <w:p w14:paraId="144B54B2">
      <w:pPr>
        <w:pStyle w:val="202"/>
        <w:widowControl/>
        <w:spacing w:before="75" w:beforeAutospacing="0" w:after="75" w:afterAutospacing="0"/>
        <w:jc w:val="center"/>
        <w:rPr>
          <w:rStyle w:val="206"/>
          <w:rFonts w:hint="eastAsia" w:ascii="宋体" w:hAnsi="宋体" w:cs="宋体"/>
          <w:color w:val="000000"/>
          <w:sz w:val="30"/>
          <w:szCs w:val="30"/>
          <w:highlight w:val="none"/>
        </w:rPr>
      </w:pPr>
      <w:r>
        <w:rPr>
          <w:rStyle w:val="206"/>
          <w:rFonts w:hint="eastAsia" w:ascii="宋体" w:hAnsi="宋体" w:cs="宋体"/>
          <w:color w:val="000000"/>
          <w:sz w:val="30"/>
          <w:szCs w:val="30"/>
          <w:highlight w:val="none"/>
        </w:rPr>
        <w:t xml:space="preserve">      采购代理机构：</w:t>
      </w:r>
      <w:r>
        <w:rPr>
          <w:rStyle w:val="206"/>
          <w:rFonts w:hint="eastAsia" w:ascii="宋体" w:hAnsi="宋体" w:cs="宋体"/>
          <w:color w:val="000000"/>
          <w:sz w:val="30"/>
          <w:szCs w:val="30"/>
          <w:highlight w:val="none"/>
          <w:u w:val="single"/>
        </w:rPr>
        <w:t>苏州星创招投标咨询有限公司</w:t>
      </w:r>
    </w:p>
    <w:p w14:paraId="353D1AE8">
      <w:pPr>
        <w:pStyle w:val="202"/>
        <w:widowControl/>
        <w:spacing w:before="75" w:beforeAutospacing="0" w:after="75" w:afterAutospacing="0"/>
        <w:jc w:val="center"/>
        <w:rPr>
          <w:rFonts w:hint="eastAsia" w:ascii="sans-serif" w:hAnsi="sans-serif" w:cs="sans-serif"/>
          <w:color w:val="000000"/>
          <w:highlight w:val="none"/>
        </w:rPr>
      </w:pPr>
      <w:r>
        <w:rPr>
          <w:rStyle w:val="206"/>
          <w:rFonts w:hint="eastAsia" w:ascii="宋体" w:hAnsi="宋体" w:cs="宋体"/>
          <w:color w:val="000000"/>
          <w:sz w:val="30"/>
          <w:szCs w:val="30"/>
          <w:highlight w:val="none"/>
        </w:rPr>
        <w:t xml:space="preserve">    采购类别：</w:t>
      </w:r>
      <w:r>
        <w:rPr>
          <w:rStyle w:val="206"/>
          <w:rFonts w:hint="eastAsia" w:ascii="宋体" w:hAnsi="宋体" w:cs="宋体"/>
          <w:color w:val="000000"/>
          <w:sz w:val="30"/>
          <w:szCs w:val="30"/>
          <w:highlight w:val="none"/>
          <w:u w:val="single"/>
        </w:rPr>
        <w:t>服务类</w:t>
      </w:r>
    </w:p>
    <w:p w14:paraId="70D1686A">
      <w:pPr>
        <w:pStyle w:val="202"/>
        <w:widowControl/>
        <w:spacing w:before="75" w:beforeAutospacing="0" w:after="75" w:afterAutospacing="0"/>
        <w:rPr>
          <w:rStyle w:val="206"/>
          <w:rFonts w:hint="eastAsia" w:ascii="sans-serif" w:hAnsi="sans-serif" w:cs="sans-serif"/>
          <w:b w:val="0"/>
          <w:color w:val="000000"/>
          <w:highlight w:val="none"/>
        </w:rPr>
      </w:pPr>
      <w:r>
        <w:rPr>
          <w:rFonts w:ascii="sans-serif" w:hAnsi="sans-serif" w:eastAsia="sans-serif" w:cs="sans-serif"/>
          <w:color w:val="000000"/>
          <w:highlight w:val="none"/>
        </w:rPr>
        <w:t> </w:t>
      </w:r>
    </w:p>
    <w:p w14:paraId="0C26EA73">
      <w:pPr>
        <w:pStyle w:val="202"/>
        <w:widowControl/>
        <w:spacing w:before="75" w:beforeAutospacing="0" w:after="75" w:afterAutospacing="0"/>
        <w:jc w:val="center"/>
        <w:rPr>
          <w:rStyle w:val="206"/>
          <w:rFonts w:ascii="宋体" w:hAnsi="宋体" w:cs="宋体"/>
          <w:color w:val="000000"/>
          <w:sz w:val="28"/>
          <w:szCs w:val="28"/>
          <w:highlight w:val="none"/>
        </w:rPr>
      </w:pPr>
    </w:p>
    <w:p w14:paraId="0B1280DB">
      <w:pPr>
        <w:pStyle w:val="202"/>
        <w:widowControl/>
        <w:spacing w:before="75" w:beforeAutospacing="0" w:after="75" w:afterAutospacing="0"/>
        <w:jc w:val="center"/>
        <w:rPr>
          <w:rStyle w:val="206"/>
          <w:rFonts w:ascii="宋体" w:hAnsi="宋体" w:cs="宋体"/>
          <w:color w:val="000000"/>
          <w:sz w:val="28"/>
          <w:szCs w:val="28"/>
          <w:highlight w:val="none"/>
        </w:rPr>
      </w:pPr>
      <w:r>
        <w:rPr>
          <w:rStyle w:val="206"/>
          <w:rFonts w:hint="eastAsia" w:ascii="宋体" w:hAnsi="宋体" w:cs="宋体"/>
          <w:color w:val="000000"/>
          <w:sz w:val="28"/>
          <w:szCs w:val="28"/>
          <w:highlight w:val="none"/>
        </w:rPr>
        <w:t>2025年5月</w:t>
      </w:r>
    </w:p>
    <w:p w14:paraId="0393A54D">
      <w:pPr>
        <w:rPr>
          <w:color w:val="000000"/>
          <w:highlight w:val="none"/>
        </w:rPr>
      </w:pPr>
    </w:p>
    <w:p w14:paraId="40A9082A">
      <w:pPr>
        <w:tabs>
          <w:tab w:val="left" w:pos="315"/>
          <w:tab w:val="center" w:pos="4153"/>
        </w:tabs>
        <w:jc w:val="center"/>
        <w:rPr>
          <w:rFonts w:ascii="黑体" w:eastAsia="黑体"/>
          <w:b/>
          <w:color w:val="000000"/>
          <w:sz w:val="52"/>
          <w:szCs w:val="52"/>
          <w:highlight w:val="none"/>
        </w:rPr>
      </w:pPr>
      <w:r>
        <w:rPr>
          <w:rFonts w:hint="eastAsia" w:ascii="黑体" w:eastAsia="黑体"/>
          <w:b/>
          <w:color w:val="000000"/>
          <w:sz w:val="52"/>
          <w:szCs w:val="52"/>
          <w:highlight w:val="none"/>
        </w:rPr>
        <w:br w:type="page" w:clear="all"/>
      </w:r>
      <w:r>
        <w:rPr>
          <w:rFonts w:hint="eastAsia" w:ascii="黑体" w:eastAsia="黑体"/>
          <w:b/>
          <w:color w:val="000000"/>
          <w:sz w:val="52"/>
          <w:szCs w:val="52"/>
          <w:highlight w:val="none"/>
        </w:rPr>
        <w:t>目    录</w:t>
      </w:r>
    </w:p>
    <w:p w14:paraId="706E5610">
      <w:pPr>
        <w:tabs>
          <w:tab w:val="left" w:pos="315"/>
          <w:tab w:val="center" w:pos="4153"/>
        </w:tabs>
        <w:jc w:val="center"/>
        <w:rPr>
          <w:rFonts w:ascii="黑体" w:eastAsia="黑体"/>
          <w:b/>
          <w:color w:val="000000"/>
          <w:sz w:val="52"/>
          <w:szCs w:val="52"/>
          <w:highlight w:val="none"/>
        </w:rPr>
      </w:pPr>
    </w:p>
    <w:p w14:paraId="0F16F8A8">
      <w:pPr>
        <w:tabs>
          <w:tab w:val="left" w:pos="315"/>
          <w:tab w:val="center" w:pos="4153"/>
        </w:tabs>
        <w:rPr>
          <w:rFonts w:ascii="黑体" w:eastAsia="黑体"/>
          <w:color w:val="000000"/>
          <w:sz w:val="44"/>
          <w:szCs w:val="44"/>
          <w:highlight w:val="none"/>
        </w:rPr>
      </w:pPr>
      <w:r>
        <w:rPr>
          <w:rFonts w:hint="eastAsia" w:ascii="黑体" w:eastAsia="黑体"/>
          <w:color w:val="000000"/>
          <w:sz w:val="44"/>
          <w:szCs w:val="44"/>
          <w:highlight w:val="none"/>
        </w:rPr>
        <w:t>一、竞争性磋商公告</w:t>
      </w:r>
    </w:p>
    <w:p w14:paraId="02C7A9F7">
      <w:pPr>
        <w:tabs>
          <w:tab w:val="left" w:pos="315"/>
          <w:tab w:val="center" w:pos="4153"/>
        </w:tabs>
        <w:rPr>
          <w:rFonts w:ascii="黑体" w:eastAsia="黑体"/>
          <w:color w:val="000000"/>
          <w:sz w:val="44"/>
          <w:szCs w:val="44"/>
          <w:highlight w:val="none"/>
        </w:rPr>
      </w:pPr>
      <w:r>
        <w:rPr>
          <w:rFonts w:hint="eastAsia" w:ascii="黑体" w:eastAsia="黑体"/>
          <w:color w:val="000000"/>
          <w:sz w:val="44"/>
          <w:szCs w:val="44"/>
          <w:highlight w:val="none"/>
        </w:rPr>
        <w:t>二、供应商须知</w:t>
      </w:r>
    </w:p>
    <w:p w14:paraId="34777296">
      <w:pPr>
        <w:tabs>
          <w:tab w:val="left" w:pos="315"/>
          <w:tab w:val="center" w:pos="4153"/>
        </w:tabs>
        <w:rPr>
          <w:rFonts w:hint="eastAsia" w:ascii="黑体" w:eastAsia="黑体"/>
          <w:color w:val="000000"/>
          <w:sz w:val="44"/>
          <w:szCs w:val="44"/>
          <w:highlight w:val="none"/>
        </w:rPr>
      </w:pPr>
      <w:r>
        <w:rPr>
          <w:rFonts w:hint="eastAsia" w:ascii="黑体" w:eastAsia="黑体"/>
          <w:color w:val="000000"/>
          <w:sz w:val="44"/>
          <w:szCs w:val="44"/>
          <w:highlight w:val="none"/>
        </w:rPr>
        <w:t>三、采购要求</w:t>
      </w:r>
    </w:p>
    <w:p w14:paraId="0F426212">
      <w:pPr>
        <w:tabs>
          <w:tab w:val="left" w:pos="315"/>
          <w:tab w:val="center" w:pos="4153"/>
        </w:tabs>
        <w:rPr>
          <w:rFonts w:ascii="黑体" w:eastAsia="黑体"/>
          <w:color w:val="000000"/>
          <w:sz w:val="44"/>
          <w:szCs w:val="44"/>
          <w:highlight w:val="none"/>
        </w:rPr>
      </w:pPr>
      <w:r>
        <w:rPr>
          <w:rFonts w:hint="eastAsia" w:ascii="黑体" w:eastAsia="黑体"/>
          <w:color w:val="000000"/>
          <w:sz w:val="44"/>
          <w:szCs w:val="44"/>
          <w:highlight w:val="none"/>
        </w:rPr>
        <w:t>四、评审方法及评分标准</w:t>
      </w:r>
    </w:p>
    <w:p w14:paraId="3417CDDC">
      <w:pPr>
        <w:tabs>
          <w:tab w:val="left" w:pos="315"/>
          <w:tab w:val="center" w:pos="4153"/>
        </w:tabs>
        <w:rPr>
          <w:rFonts w:ascii="黑体" w:eastAsia="黑体"/>
          <w:color w:val="000000"/>
          <w:sz w:val="44"/>
          <w:szCs w:val="44"/>
          <w:highlight w:val="none"/>
        </w:rPr>
      </w:pPr>
      <w:r>
        <w:rPr>
          <w:rFonts w:hint="eastAsia" w:ascii="黑体" w:eastAsia="黑体"/>
          <w:color w:val="000000"/>
          <w:sz w:val="44"/>
          <w:szCs w:val="44"/>
          <w:highlight w:val="none"/>
        </w:rPr>
        <w:t>五、合同主要条款及格式</w:t>
      </w:r>
    </w:p>
    <w:p w14:paraId="671ADE2D">
      <w:pPr>
        <w:tabs>
          <w:tab w:val="left" w:pos="315"/>
          <w:tab w:val="center" w:pos="4153"/>
        </w:tabs>
        <w:rPr>
          <w:rFonts w:ascii="黑体" w:eastAsia="黑体"/>
          <w:color w:val="000000"/>
          <w:sz w:val="44"/>
          <w:szCs w:val="44"/>
          <w:highlight w:val="none"/>
        </w:rPr>
      </w:pPr>
      <w:r>
        <w:rPr>
          <w:rFonts w:hint="eastAsia" w:ascii="黑体" w:eastAsia="黑体"/>
          <w:color w:val="000000"/>
          <w:sz w:val="44"/>
          <w:szCs w:val="44"/>
          <w:highlight w:val="none"/>
        </w:rPr>
        <w:t>六、磋商响应文件格式</w:t>
      </w:r>
    </w:p>
    <w:p w14:paraId="58C834F9">
      <w:pPr>
        <w:rPr>
          <w:color w:val="000000"/>
          <w:highlight w:val="none"/>
        </w:rPr>
      </w:pPr>
    </w:p>
    <w:p w14:paraId="2697F665">
      <w:pPr>
        <w:pStyle w:val="202"/>
        <w:widowControl/>
        <w:spacing w:before="75" w:beforeAutospacing="0" w:after="75" w:afterAutospacing="0" w:line="405" w:lineRule="atLeast"/>
        <w:jc w:val="center"/>
        <w:rPr>
          <w:rFonts w:ascii="sans-serif" w:hAnsi="sans-serif" w:eastAsia="sans-serif" w:cs="sans-serif"/>
          <w:color w:val="000000"/>
          <w:highlight w:val="none"/>
        </w:rPr>
      </w:pPr>
      <w:r>
        <w:rPr>
          <w:rStyle w:val="206"/>
          <w:rFonts w:hint="eastAsia" w:ascii="宋体" w:hAnsi="宋体" w:cs="宋体"/>
          <w:color w:val="000000"/>
          <w:sz w:val="43"/>
          <w:szCs w:val="43"/>
          <w:highlight w:val="none"/>
        </w:rPr>
        <w:br w:type="page" w:clear="all"/>
      </w:r>
      <w:r>
        <w:rPr>
          <w:rStyle w:val="206"/>
          <w:rFonts w:hint="eastAsia" w:ascii="宋体" w:hAnsi="宋体" w:cs="宋体"/>
          <w:color w:val="000000"/>
          <w:sz w:val="43"/>
          <w:szCs w:val="43"/>
          <w:highlight w:val="none"/>
        </w:rPr>
        <w:t>第一章 磋商公告</w:t>
      </w:r>
      <w:r>
        <w:rPr>
          <w:rFonts w:ascii="sans-serif" w:hAnsi="sans-serif" w:eastAsia="sans-serif" w:cs="sans-serif"/>
          <w:color w:val="000000"/>
          <w:highlight w:val="none"/>
        </w:rPr>
        <w:t> </w:t>
      </w:r>
    </w:p>
    <w:p w14:paraId="20752AC8">
      <w:pPr>
        <w:pBdr>
          <w:top w:val="single" w:color="000000" w:sz="4" w:space="1"/>
          <w:left w:val="single" w:color="000000" w:sz="4" w:space="4"/>
          <w:bottom w:val="single" w:color="000000" w:sz="4" w:space="1"/>
          <w:right w:val="single" w:color="000000" w:sz="4" w:space="4"/>
        </w:pBdr>
        <w:spacing w:line="360" w:lineRule="auto"/>
        <w:rPr>
          <w:rFonts w:hint="eastAsia" w:ascii="宋体" w:hAnsi="宋体" w:cs="宋体"/>
          <w:color w:val="000000"/>
          <w:sz w:val="24"/>
          <w:highlight w:val="none"/>
        </w:rPr>
      </w:pPr>
      <w:r>
        <w:rPr>
          <w:rFonts w:hint="eastAsia" w:ascii="宋体" w:hAnsi="宋体" w:cs="宋体"/>
          <w:color w:val="000000"/>
          <w:sz w:val="24"/>
          <w:highlight w:val="none"/>
        </w:rPr>
        <w:t>项目概况</w:t>
      </w:r>
    </w:p>
    <w:p w14:paraId="4C11EE23">
      <w:pPr>
        <w:pBdr>
          <w:top w:val="single" w:color="000000" w:sz="4" w:space="1"/>
          <w:left w:val="single" w:color="000000" w:sz="4" w:space="4"/>
          <w:bottom w:val="single" w:color="000000" w:sz="4" w:space="1"/>
          <w:right w:val="single" w:color="000000" w:sz="4" w:space="4"/>
        </w:pBd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eastAsia="zh-CN"/>
        </w:rPr>
        <w:t>网络债权人会议系统云平台租赁服务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采购项目的潜在供应商应在</w:t>
      </w:r>
      <w:r>
        <w:rPr>
          <w:rFonts w:hint="eastAsia" w:ascii="宋体" w:hAnsi="宋体" w:cs="宋体"/>
          <w:color w:val="000000"/>
          <w:sz w:val="24"/>
          <w:highlight w:val="none"/>
          <w:u w:val="single"/>
        </w:rPr>
        <w:t>苏采云政府采购一体化平台</w:t>
      </w:r>
      <w:r>
        <w:rPr>
          <w:rFonts w:hint="eastAsia" w:ascii="宋体" w:hAnsi="宋体" w:cs="宋体"/>
          <w:color w:val="000000"/>
          <w:sz w:val="24"/>
          <w:highlight w:val="none"/>
        </w:rPr>
        <w:t>获取采购文件，并于</w:t>
      </w:r>
      <w:r>
        <w:rPr>
          <w:rFonts w:hint="eastAsia" w:ascii="宋体" w:hAnsi="宋体" w:cs="宋体"/>
          <w:color w:val="000000"/>
          <w:sz w:val="24"/>
          <w:highlight w:val="none"/>
          <w:u w:val="single"/>
        </w:rPr>
        <w:t>2025年</w:t>
      </w:r>
      <w:r>
        <w:rPr>
          <w:rFonts w:hint="eastAsia" w:ascii="宋体" w:hAnsi="宋体" w:cs="宋体"/>
          <w:color w:val="000000"/>
          <w:sz w:val="24"/>
          <w:highlight w:val="none"/>
          <w:u w:val="single"/>
          <w:lang w:val="en-US" w:eastAsia="zh-CN"/>
        </w:rPr>
        <w:t>6</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日13</w:t>
      </w:r>
      <w:r>
        <w:rPr>
          <w:rFonts w:hint="eastAsia" w:ascii="宋体" w:hAnsi="宋体" w:cs="宋体"/>
          <w:bCs/>
          <w:color w:val="000000"/>
          <w:sz w:val="24"/>
          <w:highlight w:val="none"/>
          <w:u w:val="single"/>
        </w:rPr>
        <w:t>点30分</w:t>
      </w:r>
      <w:r>
        <w:rPr>
          <w:rFonts w:hint="eastAsia" w:ascii="宋体" w:hAnsi="宋体" w:cs="宋体"/>
          <w:bCs/>
          <w:color w:val="000000"/>
          <w:sz w:val="24"/>
          <w:highlight w:val="none"/>
        </w:rPr>
        <w:t>（北京时间）前提交响应文件</w:t>
      </w:r>
      <w:r>
        <w:rPr>
          <w:rFonts w:hint="eastAsia" w:ascii="宋体" w:hAnsi="宋体" w:cs="宋体"/>
          <w:color w:val="000000"/>
          <w:sz w:val="24"/>
          <w:highlight w:val="none"/>
        </w:rPr>
        <w:t>。</w:t>
      </w:r>
    </w:p>
    <w:p w14:paraId="4B3D6B9E">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一、项目基本情况</w:t>
      </w:r>
    </w:p>
    <w:p w14:paraId="5F41A539">
      <w:pPr>
        <w:pStyle w:val="190"/>
        <w:widowControl/>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项目编号：</w:t>
      </w:r>
      <w:r>
        <w:rPr>
          <w:rFonts w:hint="eastAsia" w:ascii="宋体" w:hAnsi="宋体" w:cs="宋体"/>
          <w:color w:val="000000"/>
          <w:sz w:val="24"/>
          <w:szCs w:val="24"/>
          <w:highlight w:val="none"/>
          <w:lang w:eastAsia="zh-CN"/>
        </w:rPr>
        <w:t>JSZC-320500-XCXC-C2025-0008</w:t>
      </w:r>
    </w:p>
    <w:p w14:paraId="6D53114B">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项目名称： </w:t>
      </w:r>
      <w:r>
        <w:rPr>
          <w:rFonts w:hint="eastAsia" w:ascii="宋体" w:hAnsi="宋体" w:cs="宋体"/>
          <w:color w:val="000000"/>
          <w:sz w:val="24"/>
          <w:szCs w:val="24"/>
          <w:highlight w:val="none"/>
          <w:lang w:eastAsia="zh-CN"/>
        </w:rPr>
        <w:t>网络债权人会议系统云平台租赁服务</w:t>
      </w:r>
      <w:r>
        <w:rPr>
          <w:rFonts w:hint="eastAsia" w:ascii="宋体" w:hAnsi="宋体" w:cs="宋体"/>
          <w:color w:val="000000"/>
          <w:sz w:val="24"/>
          <w:szCs w:val="24"/>
          <w:highlight w:val="none"/>
        </w:rPr>
        <w:t xml:space="preserve">  </w:t>
      </w:r>
    </w:p>
    <w:p w14:paraId="62BE4358">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采购方式：竞争性磋商</w:t>
      </w:r>
    </w:p>
    <w:p w14:paraId="6DB3E686">
      <w:pPr>
        <w:pStyle w:val="190"/>
        <w:widowControl/>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预算金额：</w:t>
      </w:r>
      <w:r>
        <w:rPr>
          <w:rFonts w:hint="eastAsia" w:ascii="宋体" w:hAnsi="宋体" w:cs="宋体"/>
          <w:color w:val="000000"/>
          <w:sz w:val="24"/>
          <w:szCs w:val="24"/>
          <w:highlight w:val="none"/>
          <w:lang w:eastAsia="zh-CN"/>
        </w:rPr>
        <w:t>伍拾万元整（￥500000.00）</w:t>
      </w:r>
    </w:p>
    <w:p w14:paraId="55E2D776">
      <w:pPr>
        <w:spacing w:line="360" w:lineRule="auto"/>
        <w:ind w:firstLine="48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最高限价：</w:t>
      </w:r>
      <w:r>
        <w:rPr>
          <w:rFonts w:hint="eastAsia" w:ascii="宋体" w:hAnsi="宋体" w:cs="宋体"/>
          <w:color w:val="000000"/>
          <w:sz w:val="24"/>
          <w:highlight w:val="none"/>
          <w:lang w:eastAsia="zh-CN"/>
        </w:rPr>
        <w:t>伍拾万元整（￥500000.00）</w:t>
      </w:r>
    </w:p>
    <w:p w14:paraId="70733C4E">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采购需求：网络债权人会议系统是基于华为云weLink技术实现的多人云会议综合管理平台，并同时围绕着 “会议”主题完善流程管理、安全认证、扩展智能化应用、信息集成等，会后形成记录，统计分析等，为采购方提供统一体验、方便实用的视频会议综合管理平台。</w:t>
      </w:r>
    </w:p>
    <w:p w14:paraId="1817C1FA">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合同履行期限：</w:t>
      </w:r>
      <w:r>
        <w:rPr>
          <w:rFonts w:hint="eastAsia" w:ascii="宋体" w:hAnsi="宋体" w:cs="宋体"/>
          <w:color w:val="000000"/>
          <w:sz w:val="24"/>
          <w:highlight w:val="none"/>
          <w:lang w:val="en-US" w:eastAsia="zh-CN"/>
        </w:rPr>
        <w:t>12个月</w:t>
      </w:r>
      <w:r>
        <w:rPr>
          <w:rFonts w:hint="eastAsia" w:ascii="宋体" w:hAnsi="宋体" w:cs="宋体"/>
          <w:color w:val="000000"/>
          <w:sz w:val="24"/>
          <w:highlight w:val="none"/>
        </w:rPr>
        <w:t>。</w:t>
      </w:r>
    </w:p>
    <w:p w14:paraId="59FC0646">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本项目</w:t>
      </w:r>
      <w:r>
        <w:rPr>
          <w:rFonts w:hint="eastAsia" w:ascii="宋体" w:hAnsi="宋体" w:cs="宋体"/>
          <w:color w:val="000000"/>
          <w:sz w:val="24"/>
          <w:szCs w:val="24"/>
          <w:highlight w:val="none"/>
          <w:u w:val="single"/>
        </w:rPr>
        <w:t xml:space="preserve"> 不  </w:t>
      </w:r>
      <w:r>
        <w:rPr>
          <w:rFonts w:hint="eastAsia" w:ascii="宋体" w:hAnsi="宋体" w:cs="宋体"/>
          <w:color w:val="000000"/>
          <w:sz w:val="24"/>
          <w:szCs w:val="24"/>
          <w:highlight w:val="none"/>
        </w:rPr>
        <w:t>接受联合体。</w:t>
      </w:r>
    </w:p>
    <w:p w14:paraId="79CB6DBE">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二、申请人的资格要求：</w:t>
      </w:r>
    </w:p>
    <w:p w14:paraId="67B9B1AC">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1、满足《中华人民共和国政府采购法》第二十二条规定；</w:t>
      </w:r>
    </w:p>
    <w:p w14:paraId="648554F1">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（1）具有独立承担民事责任的能力；</w:t>
      </w:r>
    </w:p>
    <w:p w14:paraId="1E22502D">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（2）具有良好的商业信誉和健全的财务会计制度；</w:t>
      </w:r>
    </w:p>
    <w:p w14:paraId="3D3F157B">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（3）具有履行合同所必须的设备和专业技术能力；</w:t>
      </w:r>
    </w:p>
    <w:p w14:paraId="2B60F56A">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（4）有依法缴纳税收和社会保障资金的良好记录；</w:t>
      </w:r>
    </w:p>
    <w:p w14:paraId="273690CB">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（5）参加政府采购活动前三年内，在经营活动中没有重大违法记录；</w:t>
      </w:r>
    </w:p>
    <w:p w14:paraId="4636EC97">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（6）法律、行政法规规定的其他条件。</w:t>
      </w:r>
    </w:p>
    <w:p w14:paraId="10B2B45A">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2、落实政府采购政策需满足的资格要求：</w:t>
      </w:r>
      <w:r>
        <w:rPr>
          <w:rFonts w:hint="eastAsia" w:ascii="宋体" w:hAnsi="宋体" w:cs="宋体"/>
          <w:color w:val="000000"/>
          <w:sz w:val="24"/>
          <w:szCs w:val="24"/>
          <w:highlight w:val="none"/>
          <w:lang w:val="en-US" w:eastAsia="zh-CN"/>
        </w:rPr>
        <w:t>无</w:t>
      </w:r>
      <w:r>
        <w:rPr>
          <w:rFonts w:hint="eastAsia" w:ascii="宋体" w:hAnsi="宋体" w:cs="宋体"/>
          <w:color w:val="000000"/>
          <w:sz w:val="24"/>
          <w:szCs w:val="24"/>
          <w:highlight w:val="none"/>
        </w:rPr>
        <w:t>。</w:t>
      </w:r>
    </w:p>
    <w:p w14:paraId="5A8718BE">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3、本项目的特定资格要求：</w:t>
      </w:r>
    </w:p>
    <w:p w14:paraId="6BD9D394">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3.1未被“信用中国”网站或“中国政府采购网”网站列入失信被执行人、重大税收违法案件当事人名单、政府采购严重失信行为记录名单；</w:t>
      </w:r>
    </w:p>
    <w:p w14:paraId="2029A084">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3.2单位负责人为同一人或者存在直接控股、管理关系的不同供应商（包含法定代表人为同一个人的两个及两个以上法人，母公司、全资子公司及其控股公司），不得参加同一合同项下的采购活动。</w:t>
      </w:r>
    </w:p>
    <w:p w14:paraId="326A4BC3">
      <w:pPr>
        <w:spacing w:line="360" w:lineRule="auto"/>
        <w:ind w:firstLine="420"/>
        <w:outlineLvl w:val="1"/>
        <w:rPr>
          <w:rFonts w:hint="eastAsia" w:ascii="宋体" w:hAnsi="宋体" w:cs="宋体"/>
          <w:color w:val="000000"/>
          <w:sz w:val="24"/>
          <w:highlight w:val="none"/>
          <w:lang w:val="zh-CN"/>
        </w:rPr>
      </w:pPr>
      <w:bookmarkStart w:id="0" w:name="_Toc35393631"/>
      <w:bookmarkStart w:id="1" w:name="_Toc35393800"/>
      <w:r>
        <w:rPr>
          <w:rFonts w:hint="eastAsia" w:ascii="宋体" w:hAnsi="宋体" w:cs="宋体"/>
          <w:color w:val="000000"/>
          <w:sz w:val="24"/>
          <w:highlight w:val="none"/>
          <w:lang w:val="zh-CN"/>
        </w:rPr>
        <w:t>三、获取采购文件</w:t>
      </w:r>
      <w:bookmarkEnd w:id="0"/>
      <w:bookmarkEnd w:id="1"/>
    </w:p>
    <w:p w14:paraId="56B1F39A">
      <w:pPr>
        <w:spacing w:line="360" w:lineRule="auto"/>
        <w:ind w:firstLine="420"/>
        <w:rPr>
          <w:rFonts w:hint="eastAsia" w:ascii="宋体" w:hAnsi="宋体" w:cs="宋体"/>
          <w:color w:val="000000"/>
          <w:sz w:val="24"/>
          <w:highlight w:val="none"/>
          <w:lang w:val="zh-CN"/>
        </w:rPr>
      </w:pPr>
      <w:r>
        <w:rPr>
          <w:rFonts w:hint="eastAsia" w:ascii="宋体" w:hAnsi="宋体" w:cs="宋体"/>
          <w:color w:val="000000"/>
          <w:sz w:val="24"/>
          <w:highlight w:val="none"/>
        </w:rPr>
        <w:t>1、</w:t>
      </w:r>
      <w:r>
        <w:rPr>
          <w:rFonts w:hint="eastAsia" w:ascii="宋体" w:hAnsi="宋体" w:cs="宋体"/>
          <w:color w:val="000000"/>
          <w:sz w:val="24"/>
          <w:highlight w:val="none"/>
          <w:lang w:val="zh-CN"/>
        </w:rPr>
        <w:t>时间：</w:t>
      </w:r>
      <w:r>
        <w:rPr>
          <w:rFonts w:hint="eastAsia" w:ascii="宋体" w:hAnsi="宋体" w:cs="宋体"/>
          <w:color w:val="000000"/>
          <w:sz w:val="24"/>
          <w:highlight w:val="none"/>
        </w:rPr>
        <w:t>自采购公告发布之日起</w:t>
      </w:r>
      <w:r>
        <w:rPr>
          <w:rFonts w:hint="eastAsia" w:ascii="宋体" w:hAnsi="宋体" w:cs="宋体"/>
          <w:color w:val="000000"/>
          <w:sz w:val="24"/>
          <w:highlight w:val="none"/>
          <w:lang w:val="zh-CN"/>
        </w:rPr>
        <w:t>至</w:t>
      </w:r>
      <w:r>
        <w:rPr>
          <w:rFonts w:hint="eastAsia" w:ascii="宋体" w:hAnsi="宋体" w:cs="宋体"/>
          <w:color w:val="000000"/>
          <w:sz w:val="24"/>
          <w:highlight w:val="none"/>
        </w:rPr>
        <w:t>2025年</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日（北京时间）</w:t>
      </w:r>
    </w:p>
    <w:p w14:paraId="2EB7BD8B">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2、获取方式：网上获取</w:t>
      </w:r>
    </w:p>
    <w:p w14:paraId="6806490A">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（1）申领CA证书</w:t>
      </w:r>
    </w:p>
    <w:p w14:paraId="6EA13315">
      <w:pPr>
        <w:spacing w:line="360" w:lineRule="auto"/>
        <w:ind w:firstLine="480"/>
        <w:outlineLvl w:val="1"/>
        <w:rPr>
          <w:rFonts w:hint="eastAsia" w:ascii="宋体" w:hAnsi="宋体" w:cs="宋体"/>
          <w:color w:val="000000"/>
          <w:sz w:val="24"/>
          <w:highlight w:val="none"/>
        </w:rPr>
      </w:pPr>
      <w:r>
        <w:rPr>
          <w:rFonts w:hint="eastAsia" w:ascii="宋体" w:hAnsi="宋体" w:cs="宋体"/>
          <w:color w:val="000000"/>
          <w:sz w:val="24"/>
          <w:highlight w:val="none"/>
        </w:rPr>
        <w:t>供应商进入“江苏省政府采购”官网首页―“苏采云”―进入“苏采云政府采购一体化平台”―点击“新CA办理指南”。详见《江苏省政府采购数字证书（供应商）数字证书CA及电子签章办理指南》。</w:t>
      </w:r>
    </w:p>
    <w:p w14:paraId="19428D52">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（2）登录</w:t>
      </w:r>
    </w:p>
    <w:p w14:paraId="24AA0CEE">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供应商进入“江苏省政府采购”官网首页―点击“苏采云”―进入“苏采云政府采购一体化平台”―点击“供应商”。插入CA证书登录―点击“项目参与”―选择具体项目并点击“我要参与”―进入采购项目点击“参与投标”―填写确认函后“保存”进入签章页面―点击“电子签章”―点击“提交”。</w:t>
      </w:r>
    </w:p>
    <w:p w14:paraId="69FA7955">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（3）在网上获取文件过程中如有疑问，请及时联系：</w:t>
      </w:r>
    </w:p>
    <w:p w14:paraId="54CD9831">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CA技术咨询服务电话：400-608-6099</w:t>
      </w:r>
    </w:p>
    <w:p w14:paraId="60372D1D">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电子签章技术咨询服务电话：15380932027 15371015030 13675197356 13675197221</w:t>
      </w:r>
    </w:p>
    <w:p w14:paraId="70C57706">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系统使用指导与咨询：联系电话：13914088964；18261002950（不见面项目）</w:t>
      </w:r>
    </w:p>
    <w:p w14:paraId="0FA40102">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QQ：3048755361、895706745。</w:t>
      </w:r>
    </w:p>
    <w:p w14:paraId="2A6C68E5">
      <w:pPr>
        <w:spacing w:line="360" w:lineRule="auto"/>
        <w:ind w:firstLine="240"/>
        <w:outlineLvl w:val="1"/>
        <w:rPr>
          <w:rFonts w:hint="eastAsia" w:ascii="宋体" w:hAnsi="宋体" w:cs="宋体"/>
          <w:color w:val="000000"/>
          <w:sz w:val="24"/>
          <w:highlight w:val="none"/>
        </w:rPr>
      </w:pPr>
      <w:r>
        <w:rPr>
          <w:rFonts w:hint="eastAsia" w:ascii="宋体" w:hAnsi="宋体" w:cs="宋体"/>
          <w:color w:val="000000"/>
          <w:sz w:val="24"/>
          <w:highlight w:val="none"/>
        </w:rPr>
        <w:t>（4）依法获取采购文件的方式：供应商需自行从系统里下载本项目采购文件。未依照采购公告要求实行网上获取采购文件的响应单位，视为未参与该项政府采购活动，不具备对该政府采购项目提出质疑的法定权利，但因供应商资格条件或获取文件时间设定不符合有关法律法规规定等原因使供应商权益受损的除外。</w:t>
      </w:r>
    </w:p>
    <w:p w14:paraId="5CB9BED5">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3、售价：无</w:t>
      </w:r>
    </w:p>
    <w:p w14:paraId="387CF1E8">
      <w:pPr>
        <w:spacing w:line="360" w:lineRule="auto"/>
        <w:ind w:firstLine="420"/>
        <w:outlineLvl w:val="1"/>
        <w:rPr>
          <w:rFonts w:hint="eastAsia" w:ascii="宋体" w:hAnsi="宋体" w:cs="宋体"/>
          <w:color w:val="000000"/>
          <w:sz w:val="24"/>
          <w:highlight w:val="none"/>
        </w:rPr>
      </w:pPr>
      <w:r>
        <w:rPr>
          <w:rFonts w:hint="eastAsia" w:ascii="宋体" w:hAnsi="宋体" w:cs="宋体"/>
          <w:color w:val="000000"/>
          <w:sz w:val="24"/>
          <w:highlight w:val="none"/>
        </w:rPr>
        <w:t>4、本项目采用网上投标电子评标方式。</w:t>
      </w:r>
    </w:p>
    <w:p w14:paraId="04BD2D68">
      <w:pPr>
        <w:spacing w:line="360" w:lineRule="auto"/>
        <w:ind w:firstLine="420"/>
        <w:outlineLvl w:val="1"/>
        <w:rPr>
          <w:rFonts w:hint="eastAsia" w:ascii="宋体" w:hAnsi="宋体" w:cs="宋体"/>
          <w:color w:val="000000"/>
          <w:sz w:val="24"/>
          <w:highlight w:val="none"/>
          <w:lang w:val="zh-CN"/>
        </w:rPr>
      </w:pPr>
      <w:r>
        <w:rPr>
          <w:rFonts w:hint="eastAsia" w:ascii="宋体" w:hAnsi="宋体" w:cs="宋体"/>
          <w:color w:val="000000"/>
          <w:sz w:val="24"/>
          <w:highlight w:val="none"/>
          <w:lang w:val="zh-CN"/>
        </w:rPr>
        <w:t>四、响应文件提交</w:t>
      </w:r>
    </w:p>
    <w:p w14:paraId="5DD6BDD2">
      <w:pPr>
        <w:spacing w:line="360" w:lineRule="auto"/>
        <w:ind w:firstLine="420"/>
        <w:rPr>
          <w:rFonts w:hint="eastAsia" w:ascii="宋体" w:hAnsi="宋体" w:cs="宋体"/>
          <w:color w:val="000000"/>
          <w:sz w:val="24"/>
          <w:highlight w:val="none"/>
          <w:lang w:val="zh-CN"/>
        </w:rPr>
      </w:pPr>
      <w:r>
        <w:rPr>
          <w:rFonts w:hint="eastAsia" w:ascii="宋体" w:hAnsi="宋体" w:cs="宋体"/>
          <w:color w:val="000000"/>
          <w:sz w:val="24"/>
          <w:highlight w:val="none"/>
          <w:lang w:val="zh-CN"/>
        </w:rPr>
        <w:t>1、网上响应文件接收截止时间：2025年</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lang w:val="zh-CN"/>
        </w:rPr>
        <w:t>月</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lang w:val="zh-CN"/>
        </w:rPr>
        <w:t>日</w:t>
      </w: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val="zh-CN"/>
        </w:rPr>
        <w:t>点</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val="zh-CN"/>
        </w:rPr>
        <w:t>0分（北京时间）</w:t>
      </w:r>
    </w:p>
    <w:p w14:paraId="3F6B3488">
      <w:pPr>
        <w:spacing w:line="360" w:lineRule="auto"/>
        <w:ind w:firstLine="420"/>
        <w:rPr>
          <w:rFonts w:hint="eastAsia" w:ascii="宋体" w:hAnsi="宋体" w:cs="宋体"/>
          <w:color w:val="000000"/>
          <w:sz w:val="24"/>
          <w:highlight w:val="none"/>
          <w:lang w:val="zh-CN"/>
        </w:rPr>
      </w:pPr>
      <w:r>
        <w:rPr>
          <w:rFonts w:hint="eastAsia" w:ascii="宋体" w:hAnsi="宋体" w:cs="宋体"/>
          <w:color w:val="000000"/>
          <w:sz w:val="24"/>
          <w:highlight w:val="none"/>
          <w:lang w:val="zh-CN"/>
        </w:rPr>
        <w:t>2、开标时间：2025年</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lang w:val="zh-CN"/>
        </w:rPr>
        <w:t>月</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lang w:val="zh-CN"/>
        </w:rPr>
        <w:t>日</w:t>
      </w: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val="zh-CN"/>
        </w:rPr>
        <w:t>点</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val="zh-CN"/>
        </w:rPr>
        <w:t>0分（北京时间）</w:t>
      </w:r>
    </w:p>
    <w:p w14:paraId="25F530B4">
      <w:pPr>
        <w:spacing w:line="360" w:lineRule="auto"/>
        <w:ind w:firstLine="420"/>
        <w:rPr>
          <w:rFonts w:hint="eastAsia" w:ascii="宋体" w:hAnsi="宋体" w:cs="宋体"/>
          <w:color w:val="000000"/>
          <w:sz w:val="24"/>
          <w:highlight w:val="none"/>
          <w:lang w:val="zh-CN"/>
        </w:rPr>
      </w:pPr>
      <w:r>
        <w:rPr>
          <w:rFonts w:hint="eastAsia" w:ascii="宋体" w:hAnsi="宋体" w:cs="宋体"/>
          <w:color w:val="000000"/>
          <w:sz w:val="24"/>
          <w:highlight w:val="none"/>
          <w:lang w:val="zh-CN"/>
        </w:rPr>
        <w:t>3、供应商解密开始时间：2025年</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lang w:val="zh-CN"/>
        </w:rPr>
        <w:t>月</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lang w:val="zh-CN"/>
        </w:rPr>
        <w:t>日</w:t>
      </w: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val="zh-CN"/>
        </w:rPr>
        <w:t>点</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val="zh-CN"/>
        </w:rPr>
        <w:t>0分（北京时间）</w:t>
      </w:r>
    </w:p>
    <w:p w14:paraId="0F732B3B">
      <w:pPr>
        <w:spacing w:line="360" w:lineRule="auto"/>
        <w:ind w:firstLine="420"/>
        <w:rPr>
          <w:rFonts w:hint="eastAsia" w:ascii="宋体" w:hAnsi="宋体" w:cs="宋体"/>
          <w:color w:val="000000"/>
          <w:sz w:val="24"/>
          <w:highlight w:val="none"/>
          <w:lang w:val="zh-CN"/>
        </w:rPr>
      </w:pPr>
      <w:r>
        <w:rPr>
          <w:rFonts w:hint="eastAsia" w:ascii="宋体" w:hAnsi="宋体" w:cs="宋体"/>
          <w:color w:val="000000"/>
          <w:sz w:val="24"/>
          <w:highlight w:val="none"/>
          <w:lang w:val="zh-CN"/>
        </w:rPr>
        <w:t>4、本项目采用电子招投标形式，请供应商按照《苏采云系统供应商操作手册》（以下简称“操作手册”）进行制作、上传电子投标文件。电子投标文件制作完成后请于投标文件递交截止时间前成功上传至“苏采云”系统，否则视为放弃参加该采购项目。供应商应充分考虑到网络环境、网络带宽等风险因素，如因供应商自身原因造成的电子投标文件上传不成功由供应商自行承担全部责任。</w:t>
      </w:r>
    </w:p>
    <w:p w14:paraId="17BC5CA7">
      <w:pPr>
        <w:spacing w:line="360" w:lineRule="auto"/>
        <w:ind w:firstLine="420"/>
        <w:rPr>
          <w:rFonts w:hint="eastAsia" w:ascii="宋体" w:hAnsi="宋体" w:cs="宋体"/>
          <w:color w:val="000000"/>
          <w:sz w:val="24"/>
          <w:highlight w:val="none"/>
          <w:lang w:val="zh-CN"/>
        </w:rPr>
      </w:pPr>
      <w:r>
        <w:rPr>
          <w:rFonts w:hint="eastAsia" w:ascii="宋体" w:hAnsi="宋体" w:cs="宋体"/>
          <w:color w:val="000000"/>
          <w:sz w:val="24"/>
          <w:highlight w:val="none"/>
          <w:lang w:val="zh-CN"/>
        </w:rPr>
        <w:t>5、线上参加开标（开启）会方式：供应商登录“苏采云”系统在平台首页点击“开标大厅”，进入江苏省政府采购一体化不见面开标（采购）大厅，在今日项目列表，点击项目，进入不见面开标系统。本项目为不见面开标项目，开标阶段供应商在【供应商解密】环节必须使用CA证书解密电子投标文件，如在系统规定的解密时间内（投标/响应文件提交截止时间后30分钟）未能完成解密的视为放弃投标。</w:t>
      </w:r>
    </w:p>
    <w:p w14:paraId="0771A768">
      <w:pPr>
        <w:spacing w:line="360" w:lineRule="auto"/>
        <w:ind w:firstLine="420"/>
        <w:rPr>
          <w:rFonts w:hint="eastAsia" w:ascii="宋体" w:hAnsi="宋体" w:cs="宋体"/>
          <w:color w:val="000000"/>
          <w:sz w:val="24"/>
          <w:highlight w:val="none"/>
          <w:lang w:val="zh-CN"/>
        </w:rPr>
      </w:pPr>
      <w:r>
        <w:rPr>
          <w:rFonts w:hint="eastAsia" w:ascii="宋体" w:hAnsi="宋体" w:cs="宋体"/>
          <w:color w:val="000000"/>
          <w:sz w:val="24"/>
          <w:highlight w:val="none"/>
          <w:lang w:val="zh-CN"/>
        </w:rPr>
        <w:t>6、请供应商确保电脑、系统及其他设备（视频输入输出设备等）无误，且开标直至项目结束始终保持系统在线状态</w:t>
      </w:r>
    </w:p>
    <w:p w14:paraId="5D922B36">
      <w:pPr>
        <w:spacing w:line="360" w:lineRule="auto"/>
        <w:ind w:firstLine="420"/>
        <w:outlineLvl w:val="1"/>
        <w:rPr>
          <w:rFonts w:hint="eastAsia" w:ascii="宋体" w:hAnsi="宋体" w:cs="宋体"/>
          <w:color w:val="000000"/>
          <w:sz w:val="24"/>
          <w:highlight w:val="none"/>
          <w:lang w:val="zh-CN"/>
        </w:rPr>
      </w:pPr>
      <w:bookmarkStart w:id="2" w:name="_Toc35393633"/>
      <w:bookmarkStart w:id="3" w:name="_Toc28359093"/>
      <w:bookmarkStart w:id="4" w:name="_Toc35393802"/>
      <w:bookmarkStart w:id="5" w:name="_Toc28359016"/>
      <w:r>
        <w:rPr>
          <w:rFonts w:hint="eastAsia" w:ascii="宋体" w:hAnsi="宋体" w:cs="宋体"/>
          <w:color w:val="000000"/>
          <w:sz w:val="24"/>
          <w:highlight w:val="none"/>
          <w:lang w:val="zh-CN"/>
        </w:rPr>
        <w:t>五、</w:t>
      </w:r>
      <w:bookmarkEnd w:id="2"/>
      <w:bookmarkEnd w:id="3"/>
      <w:bookmarkEnd w:id="4"/>
      <w:bookmarkEnd w:id="5"/>
      <w:bookmarkStart w:id="6" w:name="_Toc28359094"/>
      <w:bookmarkStart w:id="7" w:name="_Toc28359017"/>
      <w:bookmarkStart w:id="8" w:name="_Toc35393803"/>
      <w:bookmarkStart w:id="9" w:name="_Toc35393634"/>
      <w:r>
        <w:rPr>
          <w:rFonts w:hint="eastAsia" w:ascii="宋体" w:hAnsi="宋体" w:cs="宋体"/>
          <w:color w:val="000000"/>
          <w:sz w:val="24"/>
          <w:highlight w:val="none"/>
          <w:lang w:val="zh-CN"/>
        </w:rPr>
        <w:t>公告期限</w:t>
      </w:r>
      <w:bookmarkEnd w:id="6"/>
      <w:bookmarkEnd w:id="7"/>
      <w:bookmarkEnd w:id="8"/>
      <w:bookmarkEnd w:id="9"/>
    </w:p>
    <w:p w14:paraId="76DDD90B">
      <w:pPr>
        <w:spacing w:line="360" w:lineRule="auto"/>
        <w:ind w:firstLine="420"/>
        <w:rPr>
          <w:rFonts w:hint="eastAsia" w:ascii="宋体" w:hAnsi="宋体" w:cs="宋体"/>
          <w:color w:val="000000"/>
          <w:sz w:val="24"/>
          <w:highlight w:val="none"/>
          <w:lang w:val="zh-CN"/>
        </w:rPr>
      </w:pPr>
      <w:r>
        <w:rPr>
          <w:rFonts w:hint="eastAsia" w:ascii="宋体" w:hAnsi="宋体" w:cs="宋体"/>
          <w:color w:val="000000"/>
          <w:sz w:val="24"/>
          <w:highlight w:val="none"/>
          <w:lang w:val="zh-CN"/>
        </w:rPr>
        <w:t>自本公告发布之日起3个工作日。</w:t>
      </w:r>
    </w:p>
    <w:p w14:paraId="056B520C">
      <w:pPr>
        <w:spacing w:line="360" w:lineRule="auto"/>
        <w:ind w:firstLine="420"/>
        <w:outlineLvl w:val="1"/>
        <w:rPr>
          <w:rFonts w:hint="eastAsia" w:ascii="宋体" w:hAnsi="宋体" w:cs="宋体"/>
          <w:color w:val="000000"/>
          <w:sz w:val="24"/>
          <w:highlight w:val="none"/>
          <w:lang w:val="zh-CN"/>
        </w:rPr>
      </w:pPr>
      <w:bookmarkStart w:id="10" w:name="_Toc35393804"/>
      <w:bookmarkStart w:id="11" w:name="_Toc35393635"/>
      <w:r>
        <w:rPr>
          <w:rFonts w:hint="eastAsia" w:ascii="宋体" w:hAnsi="宋体" w:cs="宋体"/>
          <w:color w:val="000000"/>
          <w:sz w:val="24"/>
          <w:highlight w:val="none"/>
        </w:rPr>
        <w:t>六</w:t>
      </w:r>
      <w:r>
        <w:rPr>
          <w:rFonts w:hint="eastAsia" w:ascii="宋体" w:hAnsi="宋体" w:cs="宋体"/>
          <w:color w:val="000000"/>
          <w:sz w:val="24"/>
          <w:highlight w:val="none"/>
          <w:lang w:val="zh-CN"/>
        </w:rPr>
        <w:t>、其他补充事宜</w:t>
      </w:r>
      <w:bookmarkEnd w:id="10"/>
      <w:bookmarkEnd w:id="11"/>
    </w:p>
    <w:p w14:paraId="0116BEE9">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1、根据苏州市财政局《关于深入开展苏州市政府采购合同信用融资业务的通知》相关要求，本项目支持政府采购合同信用融资。</w:t>
      </w:r>
    </w:p>
    <w:p w14:paraId="243ADEE1">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eastAsia="zh-CN"/>
        </w:rPr>
        <w:t>政府采购管理处监督电话：0512-68616651</w:t>
      </w:r>
      <w:r>
        <w:rPr>
          <w:rFonts w:hint="eastAsia" w:ascii="宋体" w:hAnsi="宋体" w:cs="宋体"/>
          <w:color w:val="000000"/>
          <w:sz w:val="24"/>
          <w:szCs w:val="24"/>
          <w:highlight w:val="none"/>
        </w:rPr>
        <w:t>。</w:t>
      </w:r>
    </w:p>
    <w:p w14:paraId="440D4C77">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3、本次采购的相关信息刊登在苏州政府采购网、江苏政府采购网。</w:t>
      </w:r>
    </w:p>
    <w:p w14:paraId="69170920">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、本项目获取招标文件截止日期之后仍可以下载招标文件，但截止日期之后下载的招标文件，视为非有效方式且不作为供应商权益受到损害的证明材料和依据。</w:t>
      </w:r>
    </w:p>
    <w:p w14:paraId="5E1217DB">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七、凡对本次采购提出询问，请按以下方式联系。</w:t>
      </w:r>
    </w:p>
    <w:p w14:paraId="73A0FD94">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1、采购人信息</w:t>
      </w:r>
    </w:p>
    <w:p w14:paraId="13BE9ED8">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名称：</w:t>
      </w:r>
      <w:r>
        <w:rPr>
          <w:rFonts w:hint="eastAsia" w:ascii="宋体" w:hAnsi="宋体" w:cs="宋体"/>
          <w:color w:val="000000"/>
          <w:sz w:val="24"/>
          <w:szCs w:val="24"/>
          <w:highlight w:val="none"/>
          <w:lang w:eastAsia="zh-CN"/>
        </w:rPr>
        <w:t>江苏省苏州市中级人民法院</w:t>
      </w:r>
    </w:p>
    <w:p w14:paraId="72A96F6A">
      <w:pPr>
        <w:shd w:val="clear" w:color="auto" w:fill="auto"/>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单位地址：苏州市解放东路488号</w:t>
      </w:r>
    </w:p>
    <w:p w14:paraId="0A2B50D0">
      <w:pPr>
        <w:shd w:val="clear" w:color="auto" w:fill="auto"/>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联系人：张祺</w:t>
      </w:r>
    </w:p>
    <w:p w14:paraId="29BC4C2E">
      <w:pPr>
        <w:shd w:val="clear" w:color="auto" w:fill="auto"/>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lang w:val="en-US" w:eastAsia="zh-CN"/>
        </w:rPr>
        <w:t>0512-</w:t>
      </w:r>
      <w:r>
        <w:rPr>
          <w:rFonts w:hint="eastAsia" w:ascii="宋体" w:hAnsi="宋体" w:cs="宋体"/>
          <w:color w:val="000000"/>
          <w:sz w:val="24"/>
          <w:highlight w:val="none"/>
        </w:rPr>
        <w:t>68552270</w:t>
      </w:r>
    </w:p>
    <w:p w14:paraId="5B9C348F">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2.代理机构信息</w:t>
      </w:r>
    </w:p>
    <w:p w14:paraId="5816D693">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名 称：苏州星创招投标咨询有限公司            </w:t>
      </w:r>
    </w:p>
    <w:p w14:paraId="06DB0DF4">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地 址：苏州姑苏区桐泾北路218号今雨荟商务大厦908            </w:t>
      </w:r>
    </w:p>
    <w:p w14:paraId="4CAB2097">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联系人：吴苏玲、周星宇、李文祥               </w:t>
      </w:r>
    </w:p>
    <w:p w14:paraId="310A4C9A">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电 话：13338693987 </w:t>
      </w:r>
    </w:p>
    <w:p w14:paraId="7ED300AF">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3.项目联系方式： </w:t>
      </w:r>
    </w:p>
    <w:p w14:paraId="53BF785A">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项目联系人：吴苏玲、李文祥、周星宇</w:t>
      </w:r>
    </w:p>
    <w:p w14:paraId="7F9EC6B9">
      <w:pPr>
        <w:pStyle w:val="190"/>
        <w:widowControl/>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电话：13338693987 </w:t>
      </w:r>
    </w:p>
    <w:p w14:paraId="7C7C9651">
      <w:pPr>
        <w:pStyle w:val="202"/>
        <w:widowControl/>
        <w:spacing w:before="75" w:beforeAutospacing="0" w:after="75" w:afterAutospacing="0"/>
        <w:jc w:val="center"/>
        <w:rPr>
          <w:rStyle w:val="206"/>
          <w:rFonts w:ascii="宋体" w:hAnsi="宋体" w:cs="宋体"/>
          <w:color w:val="000000"/>
          <w:sz w:val="31"/>
          <w:szCs w:val="31"/>
          <w:highlight w:val="none"/>
        </w:rPr>
      </w:pPr>
      <w:r>
        <w:rPr>
          <w:rStyle w:val="206"/>
          <w:rFonts w:hint="eastAsia" w:ascii="宋体" w:hAnsi="宋体" w:cs="宋体"/>
          <w:color w:val="000000"/>
          <w:sz w:val="43"/>
          <w:szCs w:val="43"/>
          <w:highlight w:val="none"/>
        </w:rPr>
        <w:br w:type="page" w:clear="all"/>
      </w:r>
      <w:r>
        <w:rPr>
          <w:rStyle w:val="206"/>
          <w:rFonts w:hint="eastAsia" w:ascii="宋体" w:hAnsi="宋体" w:cs="宋体"/>
          <w:color w:val="000000"/>
          <w:sz w:val="43"/>
          <w:szCs w:val="43"/>
          <w:highlight w:val="none"/>
        </w:rPr>
        <w:t>第二章  供应商须知</w:t>
      </w:r>
    </w:p>
    <w:p w14:paraId="3EE95F3B">
      <w:pPr>
        <w:spacing w:line="40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1、</w:t>
      </w:r>
      <w:r>
        <w:rPr>
          <w:rFonts w:hint="eastAsia" w:ascii="宋体" w:hAnsi="宋体" w:cs="宋体"/>
          <w:b/>
          <w:color w:val="000000"/>
          <w:sz w:val="24"/>
          <w:highlight w:val="none"/>
          <w:lang w:bidi="ar"/>
        </w:rPr>
        <w:t>合格磋商供应商的资格条件</w:t>
      </w:r>
    </w:p>
    <w:p w14:paraId="07FF864C">
      <w:pPr>
        <w:pStyle w:val="212"/>
        <w:spacing w:before="0" w:beforeAutospacing="0" w:after="0" w:afterAutospacing="0" w:line="400" w:lineRule="exact"/>
        <w:ind w:firstLine="420"/>
        <w:rPr>
          <w:rFonts w:hint="eastAsia"/>
          <w:color w:val="000000"/>
          <w:highlight w:val="none"/>
        </w:rPr>
      </w:pPr>
      <w:r>
        <w:rPr>
          <w:rFonts w:hint="eastAsia"/>
          <w:color w:val="000000"/>
          <w:highlight w:val="none"/>
          <w:lang w:bidi="ar"/>
        </w:rPr>
        <w:t>1.1《中华人民共和国政府采购法》第二十二条规定。</w:t>
      </w:r>
    </w:p>
    <w:p w14:paraId="5E77DF02">
      <w:pPr>
        <w:pStyle w:val="213"/>
        <w:spacing w:line="400" w:lineRule="exact"/>
        <w:ind w:left="420" w:firstLine="0"/>
        <w:rPr>
          <w:rFonts w:hint="eastAsia" w:ascii="宋体" w:hAnsi="宋体" w:cs="宋体"/>
          <w:color w:val="000000"/>
          <w:highlight w:val="none"/>
        </w:rPr>
      </w:pPr>
      <w:r>
        <w:rPr>
          <w:rFonts w:hint="eastAsia" w:ascii="宋体" w:hAnsi="宋体" w:cs="宋体"/>
          <w:color w:val="000000"/>
          <w:highlight w:val="none"/>
          <w:lang w:bidi="ar"/>
        </w:rPr>
        <w:t>1.2本项目的特定资格要求：</w:t>
      </w:r>
      <w:r>
        <w:rPr>
          <w:rFonts w:hint="eastAsia" w:ascii="宋体" w:hAnsi="宋体" w:cs="宋体"/>
          <w:color w:val="000000"/>
          <w:highlight w:val="none"/>
        </w:rPr>
        <w:t>无。</w:t>
      </w:r>
    </w:p>
    <w:p w14:paraId="7B61A878">
      <w:pPr>
        <w:spacing w:line="400" w:lineRule="exact"/>
        <w:ind w:firstLine="420"/>
        <w:rPr>
          <w:rFonts w:hint="eastAsia" w:ascii="宋体" w:hAnsi="宋体" w:cs="宋体"/>
          <w:bCs/>
          <w:color w:val="000000"/>
          <w:sz w:val="24"/>
          <w:highlight w:val="none"/>
          <w:lang w:bidi="ar"/>
        </w:rPr>
      </w:pPr>
      <w:r>
        <w:rPr>
          <w:rFonts w:hint="eastAsia" w:ascii="宋体" w:hAnsi="宋体" w:cs="宋体"/>
          <w:color w:val="000000"/>
          <w:sz w:val="24"/>
          <w:highlight w:val="none"/>
          <w:lang w:bidi="ar"/>
        </w:rPr>
        <w:t>1.3</w:t>
      </w:r>
      <w:r>
        <w:rPr>
          <w:rFonts w:hint="eastAsia" w:ascii="宋体" w:hAnsi="宋体" w:cs="宋体"/>
          <w:bCs/>
          <w:color w:val="000000"/>
          <w:sz w:val="24"/>
          <w:highlight w:val="none"/>
          <w:lang w:bidi="ar"/>
        </w:rPr>
        <w:t>响应单位不得存在下列情形之一：</w:t>
      </w:r>
    </w:p>
    <w:p w14:paraId="6AA058A0">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（1）苏州市财政局《关于印发苏州市市级政府采购信用记录查询和使用工作试行办法的通知》（苏财购（2017）11号）文件规定应拒绝的失信信息。</w:t>
      </w:r>
    </w:p>
    <w:p w14:paraId="7553E2D0">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（2）为采购项目提供整体设计、规范编制或者项目管理、监理、监测等服务的供应商，不得再参加该采购项目的其他采购活动。本项目的此类供应商是：无。</w:t>
      </w:r>
    </w:p>
    <w:p w14:paraId="3DD688D1">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（3）单位负责人为同一人或者存在直接控股、管理关系的不同供应商，不得参加同一合同项下的政府采购活动。</w:t>
      </w:r>
    </w:p>
    <w:p w14:paraId="302B7BD1">
      <w:pPr>
        <w:pStyle w:val="212"/>
        <w:spacing w:before="0" w:beforeAutospacing="0" w:after="0" w:afterAutospacing="0" w:line="400" w:lineRule="exact"/>
        <w:ind w:firstLine="422"/>
        <w:rPr>
          <w:rFonts w:hint="eastAsia" w:eastAsia="宋体"/>
          <w:b/>
          <w:bCs/>
          <w:color w:val="000000"/>
          <w:highlight w:val="none"/>
          <w:lang w:val="en-US" w:eastAsia="zh-CN"/>
        </w:rPr>
      </w:pPr>
      <w:r>
        <w:rPr>
          <w:rFonts w:hint="eastAsia"/>
          <w:b/>
          <w:bCs/>
          <w:color w:val="000000"/>
          <w:highlight w:val="none"/>
          <w:lang w:bidi="ar"/>
        </w:rPr>
        <w:t>2、</w:t>
      </w:r>
      <w:r>
        <w:rPr>
          <w:rFonts w:hint="eastAsia"/>
          <w:b/>
          <w:bCs/>
          <w:color w:val="000000"/>
          <w:highlight w:val="none"/>
        </w:rPr>
        <w:t>落实政府采购政策需满足的资格要求:</w:t>
      </w:r>
      <w:r>
        <w:rPr>
          <w:rFonts w:hint="eastAsia"/>
          <w:b/>
          <w:bCs/>
          <w:color w:val="000000"/>
          <w:highlight w:val="none"/>
          <w:lang w:val="en-US" w:eastAsia="zh-CN"/>
        </w:rPr>
        <w:t>无。</w:t>
      </w:r>
    </w:p>
    <w:p w14:paraId="3E1CE575">
      <w:pPr>
        <w:pStyle w:val="212"/>
        <w:spacing w:before="0" w:beforeAutospacing="0" w:after="0" w:afterAutospacing="0" w:line="400" w:lineRule="exact"/>
        <w:ind w:firstLine="422"/>
        <w:rPr>
          <w:rFonts w:hint="eastAsia" w:ascii="宋体" w:hAnsi="宋体" w:cs="宋体"/>
          <w:bCs/>
          <w:color w:val="000000"/>
          <w:sz w:val="24"/>
          <w:highlight w:val="none"/>
        </w:rPr>
      </w:pPr>
      <w:r>
        <w:rPr>
          <w:rFonts w:hint="eastAsia" w:ascii="宋体" w:hAnsi="宋体" w:cs="宋体"/>
          <w:b/>
          <w:color w:val="000000"/>
          <w:sz w:val="24"/>
          <w:highlight w:val="none"/>
        </w:rPr>
        <w:t>3.★联合体响应：</w:t>
      </w:r>
      <w:r>
        <w:rPr>
          <w:rFonts w:hint="eastAsia" w:ascii="宋体" w:hAnsi="宋体" w:cs="宋体"/>
          <w:bCs/>
          <w:color w:val="000000"/>
          <w:sz w:val="24"/>
          <w:highlight w:val="none"/>
        </w:rPr>
        <w:t>不接受。</w:t>
      </w:r>
    </w:p>
    <w:p w14:paraId="0C02603B">
      <w:pPr>
        <w:pStyle w:val="212"/>
        <w:spacing w:before="0" w:beforeAutospacing="0" w:after="0" w:afterAutospacing="0" w:line="400" w:lineRule="exact"/>
        <w:ind w:firstLine="420"/>
        <w:rPr>
          <w:rFonts w:hint="eastAsia"/>
          <w:color w:val="000000"/>
          <w:highlight w:val="none"/>
        </w:rPr>
      </w:pPr>
      <w:r>
        <w:rPr>
          <w:rFonts w:hint="eastAsia"/>
          <w:color w:val="000000"/>
          <w:highlight w:val="none"/>
        </w:rPr>
        <w:t>3.1.两个以上的自然人、法人或者其他组织可以组成一个联合体，以一个供应商的身份共同参加政府采购。</w:t>
      </w:r>
    </w:p>
    <w:p w14:paraId="2983D08D">
      <w:pPr>
        <w:pStyle w:val="212"/>
        <w:spacing w:before="0" w:beforeAutospacing="0" w:after="0" w:afterAutospacing="0" w:line="400" w:lineRule="exact"/>
        <w:ind w:firstLine="420"/>
        <w:rPr>
          <w:rFonts w:hint="eastAsia"/>
          <w:color w:val="000000"/>
          <w:highlight w:val="none"/>
        </w:rPr>
      </w:pPr>
      <w:r>
        <w:rPr>
          <w:rFonts w:hint="eastAsia"/>
          <w:color w:val="000000"/>
          <w:highlight w:val="none"/>
        </w:rPr>
        <w:t>3.2.鼓励大中型企业和其他自然人、法人或者其他组织与小型、微型企业组成联合体共同参加非专门面向中小企业的政府采购活动。</w:t>
      </w:r>
    </w:p>
    <w:p w14:paraId="6993C59B">
      <w:pPr>
        <w:pStyle w:val="212"/>
        <w:spacing w:before="0" w:beforeAutospacing="0" w:after="0" w:afterAutospacing="0" w:line="400" w:lineRule="exact"/>
        <w:ind w:firstLine="420"/>
        <w:rPr>
          <w:rFonts w:hint="eastAsia"/>
          <w:color w:val="000000"/>
          <w:highlight w:val="none"/>
        </w:rPr>
      </w:pPr>
      <w:r>
        <w:rPr>
          <w:rFonts w:hint="eastAsia"/>
          <w:color w:val="000000"/>
          <w:highlight w:val="none"/>
        </w:rPr>
        <w:t>3.3.以联合体形式参加采购的，联合体各方均应当符合政府采购法第二十二条第一款规定的条件；采购人根据采购项目的特殊要求规定供应商特定条件的，联合体各方中至少应当有一方符合采购人规定的特定条件并在投标文件中申明。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5D6D647F">
      <w:pPr>
        <w:pStyle w:val="212"/>
        <w:spacing w:before="0" w:beforeAutospacing="0" w:after="0" w:afterAutospacing="0" w:line="400" w:lineRule="exact"/>
        <w:ind w:firstLine="420"/>
        <w:rPr>
          <w:rFonts w:hint="eastAsia"/>
          <w:color w:val="000000"/>
          <w:highlight w:val="none"/>
        </w:rPr>
      </w:pPr>
      <w:r>
        <w:rPr>
          <w:rFonts w:hint="eastAsia"/>
          <w:color w:val="000000"/>
          <w:highlight w:val="none"/>
        </w:rPr>
        <w:t>3.4. 联合体各方之间应当签订联合体协议，明确约定联合体各方承担的工作和相应的责任，并将联合体协议连同响应文件一并提交。</w:t>
      </w:r>
    </w:p>
    <w:p w14:paraId="1E7D3807">
      <w:pPr>
        <w:pStyle w:val="212"/>
        <w:spacing w:before="0" w:beforeAutospacing="0" w:after="0" w:afterAutospacing="0" w:line="400" w:lineRule="exact"/>
        <w:ind w:firstLine="420"/>
        <w:rPr>
          <w:rFonts w:hint="eastAsia"/>
          <w:color w:val="000000"/>
          <w:highlight w:val="none"/>
        </w:rPr>
      </w:pPr>
      <w:r>
        <w:rPr>
          <w:rFonts w:hint="eastAsia"/>
          <w:color w:val="000000"/>
          <w:highlight w:val="none"/>
        </w:rPr>
        <w:t>3.5. 以联合体形式参加政府采购活动的，联合体各方不得再单独参加或者与其他供应商另外组成联合体参加同一合同项下的政府采购活动</w:t>
      </w:r>
    </w:p>
    <w:p w14:paraId="5AEEA1C1">
      <w:pPr>
        <w:spacing w:line="400" w:lineRule="exact"/>
        <w:ind w:firstLine="422"/>
        <w:rPr>
          <w:rFonts w:hint="eastAsia" w:ascii="宋体" w:hAnsi="宋体" w:cs="宋体"/>
          <w:bCs/>
          <w:color w:val="000000"/>
          <w:sz w:val="24"/>
          <w:highlight w:val="none"/>
        </w:rPr>
      </w:pPr>
      <w:r>
        <w:rPr>
          <w:rFonts w:hint="eastAsia" w:ascii="宋体" w:hAnsi="宋体" w:cs="宋体"/>
          <w:b/>
          <w:bCs/>
          <w:color w:val="000000"/>
          <w:sz w:val="24"/>
          <w:highlight w:val="none"/>
        </w:rPr>
        <w:t>4.★转包与分包与</w:t>
      </w:r>
      <w:r>
        <w:rPr>
          <w:rFonts w:hint="eastAsia" w:ascii="宋体" w:hAnsi="宋体" w:cs="宋体"/>
          <w:b/>
          <w:color w:val="000000"/>
          <w:sz w:val="24"/>
          <w:highlight w:val="none"/>
        </w:rPr>
        <w:t>磋商费用</w:t>
      </w:r>
    </w:p>
    <w:p w14:paraId="0E653F57">
      <w:pPr>
        <w:pStyle w:val="212"/>
        <w:spacing w:before="0" w:beforeAutospacing="0" w:after="0" w:afterAutospacing="0" w:line="400" w:lineRule="exact"/>
        <w:ind w:firstLine="420"/>
        <w:rPr>
          <w:rFonts w:hint="eastAsia"/>
          <w:color w:val="000000"/>
          <w:highlight w:val="none"/>
        </w:rPr>
      </w:pPr>
      <w:r>
        <w:rPr>
          <w:rFonts w:hint="eastAsia"/>
          <w:color w:val="000000"/>
          <w:highlight w:val="none"/>
        </w:rPr>
        <w:t>4.1.本项目不允许转包或分包。</w:t>
      </w:r>
    </w:p>
    <w:p w14:paraId="21FE10BE">
      <w:pPr>
        <w:pStyle w:val="212"/>
        <w:spacing w:before="0" w:beforeAutospacing="0" w:after="0" w:afterAutospacing="0" w:line="400" w:lineRule="exact"/>
        <w:ind w:firstLine="420"/>
        <w:rPr>
          <w:rFonts w:hint="eastAsia"/>
          <w:color w:val="000000"/>
          <w:highlight w:val="none"/>
        </w:rPr>
      </w:pPr>
      <w:r>
        <w:rPr>
          <w:rFonts w:hint="eastAsia"/>
          <w:color w:val="000000"/>
          <w:highlight w:val="none"/>
        </w:rPr>
        <w:t>4.2.无论磋商过程中的做法和结果如何，磋商供应商自行承担所有与参加磋商有关的全部费用。</w:t>
      </w:r>
    </w:p>
    <w:p w14:paraId="095D10A9">
      <w:pPr>
        <w:spacing w:line="40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5.磋商文件</w:t>
      </w:r>
    </w:p>
    <w:p w14:paraId="5BFDA7D1">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5.1.磋商文件的内容如下：</w:t>
      </w:r>
    </w:p>
    <w:p w14:paraId="386A7D43">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竞争性磋商公告</w:t>
      </w:r>
    </w:p>
    <w:p w14:paraId="56151E4A">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供应商须知</w:t>
      </w:r>
    </w:p>
    <w:p w14:paraId="09AA9C0B">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采购需求</w:t>
      </w:r>
    </w:p>
    <w:p w14:paraId="170B6B73">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评审方法及标准</w:t>
      </w:r>
    </w:p>
    <w:p w14:paraId="7B1EF6D1">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合同主要条款</w:t>
      </w:r>
    </w:p>
    <w:p w14:paraId="64547C80">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附件格式</w:t>
      </w:r>
    </w:p>
    <w:p w14:paraId="51E9B101">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5.2.供应商获取磋商文件后，应仔细检查磋商文件的所有内容，如有残缺等问题应向磋商采购单位提出，否则，由此产生的影响由供应商自己承担。供应商同时应认真审阅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14:paraId="381F6E47">
      <w:pPr>
        <w:spacing w:line="40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6.磋商文件的澄清和修改</w:t>
      </w:r>
    </w:p>
    <w:p w14:paraId="04BD0DD3">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6.1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4E6A7C5">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6.2.磋商文件的澄清、修改等内容与竞争性磋商文件在同一内容的表述上不一致时，以发出日期最接近磋商时间的公告为准。</w:t>
      </w:r>
    </w:p>
    <w:p w14:paraId="67F90B73">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6.3.磋商文件的澄清、修改等内容均将在财政部门指定的政府采购信息发布媒体上发布，作为磋商文件的组成部分，对供应商起约束作用。</w:t>
      </w:r>
    </w:p>
    <w:p w14:paraId="0A1B5191">
      <w:pPr>
        <w:spacing w:line="40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7.★响应文件计量单位和使用文字</w:t>
      </w:r>
    </w:p>
    <w:p w14:paraId="5B148063">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7.1.响应文件中所使用的计量单位，除竞争性磋商文件中有特殊要求外，均应使用中华人民共和国法定计量单位。</w:t>
      </w:r>
    </w:p>
    <w:p w14:paraId="1DA13395">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7.2.响应文件应使用中文编制，响应文件中使用其他文字的，必须附有中文译本，且以中文译本为准。对于未附有中文译本和中文译本不准确的响应文件可能引起的对供应商不利的后果，磋商采购单位概不负责。</w:t>
      </w:r>
    </w:p>
    <w:p w14:paraId="3D2FC838">
      <w:pPr>
        <w:pStyle w:val="212"/>
        <w:widowControl w:val="0"/>
        <w:spacing w:before="0" w:beforeAutospacing="0" w:after="0" w:afterAutospacing="0" w:line="400" w:lineRule="exact"/>
        <w:ind w:firstLine="422"/>
        <w:rPr>
          <w:rFonts w:hint="eastAsia"/>
          <w:color w:val="000000"/>
          <w:highlight w:val="none"/>
        </w:rPr>
      </w:pPr>
      <w:r>
        <w:rPr>
          <w:rFonts w:hint="eastAsia"/>
          <w:b/>
          <w:bCs/>
          <w:color w:val="000000"/>
          <w:highlight w:val="none"/>
        </w:rPr>
        <w:t>8.磋商响应文件的组成：</w:t>
      </w:r>
      <w:r>
        <w:rPr>
          <w:rFonts w:hint="eastAsia"/>
          <w:color w:val="000000"/>
          <w:highlight w:val="none"/>
        </w:rPr>
        <w:t>（部分格式见附件）</w:t>
      </w:r>
    </w:p>
    <w:p w14:paraId="6143959B">
      <w:pPr>
        <w:spacing w:line="400" w:lineRule="exact"/>
        <w:ind w:firstLine="420"/>
        <w:rPr>
          <w:rFonts w:hint="eastAsia" w:ascii="宋体" w:hAnsi="宋体" w:cs="宋体"/>
          <w:b/>
          <w:color w:val="000000"/>
          <w:sz w:val="24"/>
          <w:highlight w:val="none"/>
          <w:lang w:bidi="ar"/>
        </w:rPr>
      </w:pPr>
      <w:r>
        <w:rPr>
          <w:rFonts w:hint="eastAsia" w:ascii="宋体" w:hAnsi="宋体" w:cs="宋体"/>
          <w:color w:val="000000"/>
          <w:sz w:val="24"/>
          <w:highlight w:val="none"/>
        </w:rPr>
        <w:t>8.1</w:t>
      </w:r>
      <w:r>
        <w:rPr>
          <w:rFonts w:hint="eastAsia" w:ascii="宋体" w:hAnsi="宋体" w:cs="宋体"/>
          <w:b/>
          <w:color w:val="000000"/>
          <w:sz w:val="24"/>
          <w:highlight w:val="none"/>
          <w:lang w:bidi="ar"/>
        </w:rPr>
        <w:t>资格性审查文件</w:t>
      </w:r>
    </w:p>
    <w:p w14:paraId="7A81BB57">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8.1.1满足《中华人民共和国政府采购法》第二十二条规定：</w:t>
      </w:r>
    </w:p>
    <w:p w14:paraId="616D00D9">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（1）具有独立承担民事责任的能力。提供包括法人或者其他组织的营业执照等证明文件，自然人的身份证明；</w:t>
      </w:r>
    </w:p>
    <w:p w14:paraId="75E7D11F">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（2）具有良好的商业信誉和健全的财务会计制度。最近一期经审计的财务报告，或银行出具的资信证明，或财政部门认可的政府采购专业担保机构出具的投标担保函；</w:t>
      </w:r>
    </w:p>
    <w:p w14:paraId="1D624343">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（3）具有履行合同所必需的设备和专业技术能力。提供承诺；</w:t>
      </w:r>
    </w:p>
    <w:p w14:paraId="1552B17C">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4）有依法缴纳税收和社会保障资金的良好记录。提供参加本次政府采购活动前半年（至少一个月）依法缴纳税收和社会保险的凭据；依法免税或不需要缴纳社会保障资金的供应商，应提供相应证明资料证明其依法免税或不需要缴纳社会保障资金，否则不予认可；</w:t>
      </w:r>
    </w:p>
    <w:p w14:paraId="5F7302C2">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（5）参加政府采购活动前三年内，在经营活动中没有重大违法记录。提供书面声明函；</w:t>
      </w:r>
    </w:p>
    <w:p w14:paraId="19002C80">
      <w:pPr>
        <w:pStyle w:val="227"/>
        <w:spacing w:line="360" w:lineRule="auto"/>
        <w:ind w:firstLine="480"/>
        <w:rPr>
          <w:rFonts w:hint="eastAsia" w:ascii="宋体" w:hAnsi="宋体" w:cs="宋体"/>
          <w:bCs/>
          <w:color w:val="000000"/>
          <w:sz w:val="24"/>
          <w:highlight w:val="none"/>
        </w:rPr>
      </w:pPr>
      <w:r>
        <w:rPr>
          <w:rFonts w:hint="eastAsia" w:ascii="宋体" w:hAnsi="宋体" w:cs="宋体"/>
          <w:bCs/>
          <w:color w:val="000000"/>
          <w:sz w:val="24"/>
          <w:highlight w:val="none"/>
        </w:rPr>
        <w:t>（6）法律、行政法规规定的其他条件。</w:t>
      </w:r>
      <w:r>
        <w:rPr>
          <w:rFonts w:hint="eastAsia" w:ascii="宋体" w:hAnsi="宋体" w:cs="宋体"/>
          <w:color w:val="000000"/>
          <w:sz w:val="24"/>
          <w:highlight w:val="none"/>
        </w:rPr>
        <w:t>提供书面声明函；</w:t>
      </w:r>
    </w:p>
    <w:p w14:paraId="1648DACE">
      <w:pPr>
        <w:pStyle w:val="227"/>
        <w:spacing w:line="360" w:lineRule="auto"/>
        <w:ind w:firstLine="480"/>
        <w:rPr>
          <w:rFonts w:hint="eastAsia" w:ascii="宋体" w:hAnsi="宋体" w:cs="宋体"/>
          <w:bCs/>
          <w:color w:val="000000"/>
          <w:sz w:val="24"/>
          <w:highlight w:val="none"/>
        </w:rPr>
      </w:pPr>
      <w:r>
        <w:rPr>
          <w:rFonts w:hint="eastAsia" w:ascii="宋体" w:hAnsi="宋体" w:cs="宋体"/>
          <w:bCs/>
          <w:color w:val="000000"/>
          <w:sz w:val="24"/>
          <w:highlight w:val="none"/>
        </w:rPr>
        <w:t>8.1.2落实政府采购政策需满足的资格要求：《中小企业声明函》或《残疾人福利性单位声明函》或省级以上监狱管理局、戒毒管理局（含新疆生产建设兵团）出具的属于监狱企业的证明文件</w:t>
      </w:r>
      <w:r>
        <w:rPr>
          <w:rFonts w:hint="eastAsia" w:ascii="宋体" w:hAnsi="宋体" w:cs="宋体"/>
          <w:color w:val="000000"/>
          <w:sz w:val="24"/>
          <w:highlight w:val="none"/>
        </w:rPr>
        <w:t>（本项目专门面向中小企业采购。响应单位必须为中小微企业或残疾人福利性单位或监狱企业，并在响应文件中提供相关声明函或监狱企业证明文件，否则为无效投标）</w:t>
      </w:r>
      <w:r>
        <w:rPr>
          <w:rFonts w:hint="eastAsia" w:ascii="宋体" w:hAnsi="宋体" w:cs="宋体"/>
          <w:bCs/>
          <w:color w:val="000000"/>
          <w:sz w:val="24"/>
          <w:highlight w:val="none"/>
        </w:rPr>
        <w:t>；</w:t>
      </w:r>
    </w:p>
    <w:p w14:paraId="24EE0AC3">
      <w:pPr>
        <w:pStyle w:val="227"/>
        <w:spacing w:line="360" w:lineRule="auto"/>
        <w:ind w:firstLine="480"/>
        <w:rPr>
          <w:rFonts w:hint="eastAsia" w:ascii="宋体" w:hAnsi="宋体" w:cs="宋体"/>
          <w:bCs/>
          <w:color w:val="000000"/>
          <w:sz w:val="24"/>
          <w:highlight w:val="none"/>
        </w:rPr>
      </w:pPr>
      <w:r>
        <w:rPr>
          <w:rFonts w:hint="eastAsia" w:ascii="宋体" w:hAnsi="宋体" w:cs="宋体"/>
          <w:bCs/>
          <w:color w:val="000000"/>
          <w:sz w:val="24"/>
          <w:highlight w:val="none"/>
        </w:rPr>
        <w:t>8.1.3其它有关资格证明的文件：包括磋商公告中本项目的特定资格要求的证明文件；</w:t>
      </w:r>
    </w:p>
    <w:p w14:paraId="7577104E">
      <w:pPr>
        <w:tabs>
          <w:tab w:val="left" w:pos="0"/>
        </w:tabs>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8.2</w:t>
      </w:r>
      <w:r>
        <w:rPr>
          <w:rFonts w:hint="eastAsia" w:ascii="宋体" w:hAnsi="宋体" w:cs="宋体"/>
          <w:b/>
          <w:bCs/>
          <w:color w:val="000000"/>
          <w:sz w:val="24"/>
          <w:highlight w:val="none"/>
        </w:rPr>
        <w:t>符合性审查文件</w:t>
      </w:r>
      <w:r>
        <w:rPr>
          <w:rFonts w:hint="eastAsia" w:ascii="宋体" w:hAnsi="宋体" w:cs="宋体"/>
          <w:color w:val="000000"/>
          <w:sz w:val="24"/>
          <w:highlight w:val="none"/>
        </w:rPr>
        <w:t>（格式见第六章）；</w:t>
      </w:r>
    </w:p>
    <w:p w14:paraId="281D673F">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8.2.1磋商响应函；</w:t>
      </w:r>
    </w:p>
    <w:p w14:paraId="06E28E26">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8.2.2磋商响应单位法定代表人身份证复印件；法人授权委托书和磋商响应单位授权代理人身份证复印件（如有授权）；</w:t>
      </w:r>
    </w:p>
    <w:p w14:paraId="23B4AAC5">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8.2.3关于资格文件的声明函；</w:t>
      </w:r>
    </w:p>
    <w:p w14:paraId="0ACE1261">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8.2.4商务和技术要求偏离表；</w:t>
      </w:r>
    </w:p>
    <w:p w14:paraId="4EEB1530">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8.2.5投标（响应）保证承诺书；</w:t>
      </w:r>
    </w:p>
    <w:p w14:paraId="1B55506C">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8.2.6磋商响应单位基本情况表；</w:t>
      </w:r>
    </w:p>
    <w:p w14:paraId="1F385CC3">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8.2.7投标人与其他单位存在控股、管理关系情况表；</w:t>
      </w:r>
    </w:p>
    <w:p w14:paraId="718CE74A">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8.2.8其他有关符合性证明的文件（</w:t>
      </w:r>
      <w:r>
        <w:rPr>
          <w:rFonts w:hint="eastAsia" w:ascii="宋体" w:hAnsi="宋体" w:cs="宋体"/>
          <w:bCs/>
          <w:color w:val="000000"/>
          <w:sz w:val="24"/>
          <w:highlight w:val="none"/>
        </w:rPr>
        <w:t>包括采购需求中所要求提供的证明文件，如有要求）</w:t>
      </w:r>
      <w:r>
        <w:rPr>
          <w:rFonts w:hint="eastAsia" w:ascii="宋体" w:hAnsi="宋体" w:cs="宋体"/>
          <w:color w:val="000000"/>
          <w:sz w:val="24"/>
          <w:highlight w:val="none"/>
        </w:rPr>
        <w:t>；</w:t>
      </w:r>
    </w:p>
    <w:p w14:paraId="18DEA343">
      <w:pPr>
        <w:pStyle w:val="227"/>
        <w:spacing w:line="360" w:lineRule="auto"/>
        <w:ind w:firstLine="482"/>
        <w:rPr>
          <w:rFonts w:hint="eastAsia" w:ascii="宋体" w:hAnsi="宋体" w:cs="宋体"/>
          <w:b/>
          <w:color w:val="000000"/>
          <w:sz w:val="24"/>
          <w:highlight w:val="none"/>
        </w:rPr>
      </w:pPr>
      <w:r>
        <w:rPr>
          <w:rFonts w:hint="eastAsia" w:ascii="宋体" w:hAnsi="宋体" w:cs="宋体"/>
          <w:b/>
          <w:color w:val="000000"/>
          <w:sz w:val="24"/>
          <w:highlight w:val="none"/>
        </w:rPr>
        <w:t>8.3综合评审响应文件（具体模块以系统生成为准）</w:t>
      </w:r>
    </w:p>
    <w:p w14:paraId="01A7976C">
      <w:pPr>
        <w:tabs>
          <w:tab w:val="left" w:pos="0"/>
        </w:tabs>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8.3.1服务方案；</w:t>
      </w:r>
    </w:p>
    <w:p w14:paraId="7B35C8A3">
      <w:pPr>
        <w:tabs>
          <w:tab w:val="left" w:pos="0"/>
        </w:tabs>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8.3.2针对本项目人员配置情况；</w:t>
      </w:r>
    </w:p>
    <w:p w14:paraId="7646CDF9">
      <w:pPr>
        <w:tabs>
          <w:tab w:val="left" w:pos="0"/>
        </w:tabs>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8.3.3采购需求及评分标准中所涉及到的其他材料。</w:t>
      </w:r>
    </w:p>
    <w:p w14:paraId="6BC85AE7">
      <w:pPr>
        <w:pStyle w:val="2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8.4</w:t>
      </w:r>
      <w:r>
        <w:rPr>
          <w:rFonts w:hint="eastAsia" w:ascii="宋体" w:hAnsi="宋体" w:cs="宋体"/>
          <w:b/>
          <w:color w:val="000000"/>
          <w:sz w:val="24"/>
          <w:highlight w:val="none"/>
        </w:rPr>
        <w:t>价格折扣文件格式（本项目专门面向中小企业采购，不涉及价格折扣，无需提供）</w:t>
      </w:r>
    </w:p>
    <w:p w14:paraId="304B54D9">
      <w:pPr>
        <w:tabs>
          <w:tab w:val="left" w:pos="0"/>
        </w:tabs>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备注：</w:t>
      </w:r>
    </w:p>
    <w:p w14:paraId="41C99972">
      <w:pPr>
        <w:spacing w:line="400" w:lineRule="exact"/>
        <w:ind w:firstLine="420"/>
        <w:rPr>
          <w:rFonts w:hint="eastAsia" w:ascii="宋体" w:hAnsi="宋体" w:cs="宋体"/>
          <w:b/>
          <w:color w:val="000000"/>
          <w:sz w:val="24"/>
          <w:highlight w:val="none"/>
          <w:lang w:bidi="ar"/>
        </w:rPr>
      </w:pPr>
      <w:r>
        <w:rPr>
          <w:rFonts w:hint="eastAsia" w:ascii="宋体" w:hAnsi="宋体" w:cs="宋体"/>
          <w:b/>
          <w:color w:val="000000"/>
          <w:sz w:val="24"/>
          <w:highlight w:val="none"/>
          <w:lang w:bidi="ar"/>
        </w:rPr>
        <w:t>制作电子投标（响应）文件时请与电子投标（响应）文件制作软件目录一一对应，将相关资料上传至相应模块。</w:t>
      </w:r>
    </w:p>
    <w:p w14:paraId="0A3EDAFB">
      <w:pPr>
        <w:spacing w:line="400" w:lineRule="exact"/>
        <w:ind w:firstLine="420"/>
        <w:rPr>
          <w:rFonts w:hint="eastAsia" w:ascii="宋体" w:hAnsi="宋体" w:cs="宋体"/>
          <w:b/>
          <w:color w:val="000000"/>
          <w:sz w:val="24"/>
          <w:highlight w:val="none"/>
          <w:lang w:bidi="ar"/>
        </w:rPr>
      </w:pPr>
      <w:r>
        <w:rPr>
          <w:rFonts w:hint="eastAsia" w:ascii="宋体" w:hAnsi="宋体" w:cs="宋体"/>
          <w:b/>
          <w:color w:val="000000"/>
          <w:sz w:val="24"/>
          <w:highlight w:val="none"/>
          <w:lang w:bidi="ar"/>
        </w:rPr>
        <w:t>供应商应保证上传的投标（响应）文件完整、清晰可辨认，若因上传资料过小或模糊不清等无法辨认的都视为该资料未提供。</w:t>
      </w:r>
    </w:p>
    <w:p w14:paraId="10C7A220">
      <w:pPr>
        <w:spacing w:line="400" w:lineRule="exact"/>
        <w:ind w:firstLine="420"/>
        <w:rPr>
          <w:rFonts w:hint="eastAsia" w:ascii="宋体" w:hAnsi="宋体" w:cs="宋体"/>
          <w:b/>
          <w:color w:val="000000"/>
          <w:sz w:val="24"/>
          <w:highlight w:val="none"/>
          <w:lang w:bidi="ar"/>
        </w:rPr>
      </w:pPr>
      <w:r>
        <w:rPr>
          <w:rFonts w:hint="eastAsia" w:ascii="宋体" w:hAnsi="宋体" w:cs="宋体"/>
          <w:b/>
          <w:color w:val="000000"/>
          <w:sz w:val="24"/>
          <w:highlight w:val="none"/>
          <w:lang w:bidi="ar"/>
        </w:rPr>
        <w:t>响应单位必须保证全部响应资料的真实性，如有虚假或对采购文件所要求说明的情况故意隐瞒或虚报，视为不实质性响应磋商文件，响应无效。</w:t>
      </w:r>
    </w:p>
    <w:p w14:paraId="71411F7D">
      <w:pPr>
        <w:spacing w:line="400" w:lineRule="exact"/>
        <w:ind w:firstLine="420"/>
        <w:rPr>
          <w:rFonts w:hint="eastAsia" w:ascii="宋体" w:hAnsi="宋体" w:cs="宋体"/>
          <w:b/>
          <w:color w:val="000000"/>
          <w:sz w:val="24"/>
          <w:highlight w:val="none"/>
          <w:lang w:bidi="ar"/>
        </w:rPr>
      </w:pPr>
      <w:r>
        <w:rPr>
          <w:rFonts w:hint="eastAsia" w:ascii="宋体" w:hAnsi="宋体" w:cs="宋体"/>
          <w:b/>
          <w:color w:val="000000"/>
          <w:sz w:val="24"/>
          <w:highlight w:val="none"/>
          <w:lang w:bidi="ar"/>
        </w:rPr>
        <w:t>如供应商响应文件中某些条款不响应磋商文件提出的全部服务内容与要求，须在偏离表中逐条列出，未列出的视同响应。</w:t>
      </w:r>
    </w:p>
    <w:p w14:paraId="6726613A">
      <w:pPr>
        <w:spacing w:line="400" w:lineRule="exact"/>
        <w:ind w:firstLine="422"/>
        <w:rPr>
          <w:rFonts w:hint="eastAsia" w:ascii="宋体" w:hAnsi="宋体" w:cs="宋体"/>
          <w:color w:val="000000"/>
          <w:sz w:val="24"/>
          <w:highlight w:val="none"/>
        </w:rPr>
      </w:pPr>
      <w:r>
        <w:rPr>
          <w:rFonts w:hint="eastAsia" w:ascii="宋体" w:hAnsi="宋体" w:cs="宋体"/>
          <w:color w:val="000000"/>
          <w:sz w:val="24"/>
          <w:highlight w:val="none"/>
        </w:rPr>
        <w:t>9.</w:t>
      </w:r>
      <w:r>
        <w:rPr>
          <w:rFonts w:hint="eastAsia" w:ascii="宋体" w:hAnsi="宋体" w:cs="宋体"/>
          <w:color w:val="000000"/>
          <w:sz w:val="24"/>
          <w:highlight w:val="none"/>
          <w:lang w:bidi="ar"/>
        </w:rPr>
        <w:t>电子投标（响应）文件的编制与递交</w:t>
      </w:r>
    </w:p>
    <w:p w14:paraId="5FC76863">
      <w:pPr>
        <w:spacing w:line="400" w:lineRule="exact"/>
        <w:ind w:firstLine="422"/>
        <w:rPr>
          <w:rFonts w:hint="eastAsia" w:ascii="宋体" w:hAnsi="宋体" w:cs="宋体"/>
          <w:color w:val="000000"/>
          <w:sz w:val="24"/>
          <w:highlight w:val="none"/>
        </w:rPr>
      </w:pPr>
      <w:r>
        <w:rPr>
          <w:rFonts w:hint="eastAsia" w:ascii="宋体" w:hAnsi="宋体" w:cs="宋体"/>
          <w:color w:val="000000"/>
          <w:sz w:val="24"/>
          <w:highlight w:val="none"/>
          <w:lang w:val="zh-CN"/>
        </w:rPr>
        <w:t>（1）电子投标（响应）文件制作：本项目为网上招投标项目，请供应商插入CA 证书登陆“苏采云”系统下载客户端（参与项目页面可下载客户端及客户端使用说明），在客户端编制电子投标（响应）文件并进行CA加密。操作步骤详见“苏采云”系统页面提示和《操作手册》。</w:t>
      </w:r>
    </w:p>
    <w:p w14:paraId="28AD415A">
      <w:pPr>
        <w:spacing w:line="400" w:lineRule="exact"/>
        <w:ind w:firstLine="422"/>
        <w:rPr>
          <w:rFonts w:hint="eastAsia" w:ascii="宋体" w:hAnsi="宋体" w:cs="宋体"/>
          <w:color w:val="000000"/>
          <w:sz w:val="24"/>
          <w:highlight w:val="none"/>
        </w:rPr>
      </w:pPr>
      <w:r>
        <w:rPr>
          <w:rFonts w:hint="eastAsia" w:ascii="宋体" w:hAnsi="宋体" w:cs="宋体"/>
          <w:color w:val="000000"/>
          <w:sz w:val="24"/>
          <w:highlight w:val="none"/>
        </w:rPr>
        <w:t>（2）电子投标（响应)文件递交：供应商应当按照《操作手册》指引，在投标（响应）文件提交截止时间前完成电子投标（响应）文件的上传，未按要求成功上传的投标（响应）文件视为未递交。供应商应充分考虑到网络环境、网络带宽等风险因素，如因供应商自身原因造成的电子投标（响应）文件上传不成功由供应商自行承担全部责任。</w:t>
      </w:r>
    </w:p>
    <w:p w14:paraId="6D5A51E7">
      <w:pPr>
        <w:spacing w:line="400" w:lineRule="exact"/>
        <w:ind w:firstLine="422"/>
        <w:rPr>
          <w:rFonts w:hint="eastAsia" w:ascii="宋体" w:hAnsi="宋体" w:cs="宋体"/>
          <w:color w:val="000000"/>
          <w:sz w:val="24"/>
          <w:highlight w:val="none"/>
        </w:rPr>
      </w:pPr>
      <w:r>
        <w:rPr>
          <w:rFonts w:hint="eastAsia" w:ascii="宋体" w:hAnsi="宋体" w:cs="宋体"/>
          <w:color w:val="000000"/>
          <w:sz w:val="24"/>
          <w:highlight w:val="none"/>
        </w:rPr>
        <w:t>（3）响应文件未按照磋商文件要求加盖CA电子公章的，响应无效。</w:t>
      </w:r>
    </w:p>
    <w:p w14:paraId="22023005">
      <w:pPr>
        <w:spacing w:line="400" w:lineRule="exact"/>
        <w:ind w:firstLine="422"/>
        <w:rPr>
          <w:rFonts w:hint="eastAsia" w:ascii="宋体" w:hAnsi="宋体" w:cs="宋体"/>
          <w:color w:val="000000"/>
          <w:sz w:val="24"/>
          <w:highlight w:val="none"/>
        </w:rPr>
      </w:pPr>
      <w:r>
        <w:rPr>
          <w:rFonts w:hint="eastAsia" w:ascii="宋体" w:hAnsi="宋体" w:cs="宋体"/>
          <w:color w:val="000000"/>
          <w:sz w:val="24"/>
          <w:highlight w:val="none"/>
        </w:rPr>
        <w:t>（4）联合体投标：如招标（采购）公告中允许联合体投标，联合体投标的投标（响应）文件制作上传操作如下：</w:t>
      </w:r>
    </w:p>
    <w:p w14:paraId="631247F6">
      <w:pPr>
        <w:spacing w:line="400" w:lineRule="exact"/>
        <w:ind w:firstLine="422"/>
        <w:rPr>
          <w:rFonts w:hint="eastAsia" w:ascii="宋体" w:hAnsi="宋体" w:cs="宋体"/>
          <w:color w:val="000000"/>
          <w:sz w:val="24"/>
          <w:highlight w:val="none"/>
        </w:rPr>
      </w:pPr>
      <w:r>
        <w:rPr>
          <w:rFonts w:hint="eastAsia" w:ascii="宋体" w:hAnsi="宋体" w:cs="宋体"/>
          <w:color w:val="000000"/>
          <w:sz w:val="24"/>
          <w:highlight w:val="none"/>
        </w:rPr>
        <w:t>第一步：在投标（响应）文件中上传联合体投标协议书。</w:t>
      </w:r>
    </w:p>
    <w:p w14:paraId="2FFD19DA">
      <w:pPr>
        <w:spacing w:line="400" w:lineRule="exact"/>
        <w:ind w:firstLine="422"/>
        <w:rPr>
          <w:rFonts w:hint="eastAsia" w:ascii="宋体" w:hAnsi="宋体" w:cs="宋体"/>
          <w:color w:val="000000"/>
          <w:sz w:val="24"/>
          <w:highlight w:val="none"/>
        </w:rPr>
      </w:pPr>
      <w:r>
        <w:rPr>
          <w:rFonts w:hint="eastAsia" w:ascii="宋体" w:hAnsi="宋体" w:cs="宋体"/>
          <w:color w:val="000000"/>
          <w:sz w:val="24"/>
          <w:highlight w:val="none"/>
        </w:rPr>
        <w:t>第二步；在投标（响应）文件中，由联合体中的牵头人制作投标（响应）文件。</w:t>
      </w:r>
    </w:p>
    <w:p w14:paraId="758B2C76">
      <w:pPr>
        <w:spacing w:line="400" w:lineRule="exact"/>
        <w:ind w:firstLine="422"/>
        <w:rPr>
          <w:rFonts w:hint="eastAsia" w:ascii="宋体" w:hAnsi="宋体" w:cs="宋体"/>
          <w:color w:val="000000"/>
          <w:sz w:val="24"/>
          <w:highlight w:val="none"/>
        </w:rPr>
      </w:pPr>
      <w:r>
        <w:rPr>
          <w:rFonts w:hint="eastAsia" w:ascii="宋体" w:hAnsi="宋体" w:cs="宋体"/>
          <w:color w:val="000000"/>
          <w:sz w:val="24"/>
          <w:highlight w:val="none"/>
        </w:rPr>
        <w:t>（5）如投标（响应）文件制作机器码信息一致，视为不同投标供应商使用同一台电脑编制投标（响应）文件，投标（响应）无效。</w:t>
      </w:r>
    </w:p>
    <w:p w14:paraId="41E58135">
      <w:pPr>
        <w:spacing w:line="40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注：（1）请供应商务必保管好编制递交电子投标（响应）文件时使用的CA，如因丢失、损坏等原因更换CA锁时，需重新制作电子投标（响应）文件并递交，否则可能无法解密，因此导致的响应失败等不利后果由供应商自行承担。</w:t>
      </w:r>
    </w:p>
    <w:p w14:paraId="1C9FE73A">
      <w:pPr>
        <w:spacing w:line="40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2）如本项目在政府采购信息发布媒体上发布了更正（补充）公告，请供应商务必在“苏采云”系统中下载更正（补充）资料，根据更正后的采购文件重新编制电子投标（响应）文件并递交，否则可能无法解密，因此导致的响应失败等不利后果由供应商自行承担。10.报价（编制）要求的说明</w:t>
      </w:r>
    </w:p>
    <w:p w14:paraId="366A63F4">
      <w:pPr>
        <w:spacing w:line="400" w:lineRule="exact"/>
        <w:ind w:firstLine="42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10.1.磋商报价应包括在本项目履约期内综合服务需要的服务管理内容，包括并不局限于：完成</w:t>
      </w:r>
      <w:r>
        <w:rPr>
          <w:rFonts w:hint="eastAsia" w:ascii="宋体" w:hAnsi="宋体" w:cs="宋体"/>
          <w:color w:val="000000"/>
          <w:sz w:val="24"/>
          <w:highlight w:val="none"/>
          <w:lang w:eastAsia="zh-CN"/>
        </w:rPr>
        <w:t>本项目服务内容所需的设备、人工、保险、劳保、管理、设备、耗材、驻场费、税费、培训、后期维护及为完成整个项目所产生的其它所有费用、招标代理费、政策性文件规定及合同包含的所有风险、责任等各项应有费用。</w:t>
      </w:r>
    </w:p>
    <w:p w14:paraId="24EC78ED">
      <w:pPr>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10.2.响应人应按《磋商报价分析表》中的全部项目计算单价和总价。《磋商报价分析表》中的每一单项均应计算并填写单价和总价，并由法定代表人或代理人签署。</w:t>
      </w:r>
    </w:p>
    <w:p w14:paraId="45698620">
      <w:pPr>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10.3.响应人应对磋商文件内所要采购的全部内容进行报价，只投其中部分内容者，其响应文件将被拒绝。</w:t>
      </w:r>
    </w:p>
    <w:p w14:paraId="72236454">
      <w:pPr>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10.4.一项响应内容只允许一个报价，采购代理机构不接受任何有选择性的响应报价。</w:t>
      </w:r>
    </w:p>
    <w:p w14:paraId="09925405">
      <w:pPr>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10.5.响应文件报价中的单价和总价全部采用人民币表示，除非合同的特殊条款另有规定。</w:t>
      </w:r>
    </w:p>
    <w:p w14:paraId="5928260A">
      <w:pPr>
        <w:spacing w:line="40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11.★磋商有效期</w:t>
      </w:r>
    </w:p>
    <w:p w14:paraId="700BD52A">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11.1.磋商响应文件的有效期为90日历天，在此期间内，响应文件应保持有效。有效期短于这个规定期限的，将被拒绝。</w:t>
      </w:r>
    </w:p>
    <w:p w14:paraId="1515F5C5">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11.2.特殊情况下，磋商采购单位可与磋商供应商协商延缓磋商响应磋商文件的有效期，这种要求和答复均以书面形式进行。</w:t>
      </w:r>
    </w:p>
    <w:p w14:paraId="55ED0F04">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11.3.磋商响应方可拒绝接受延期要求而放弃磋商，同意延长有效期的磋商响应方不能修改磋商响应文件。</w:t>
      </w:r>
    </w:p>
    <w:p w14:paraId="2DB80DCD">
      <w:pPr>
        <w:spacing w:line="40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12.磋商响应截止时间</w:t>
      </w:r>
    </w:p>
    <w:p w14:paraId="7BA01182">
      <w:pPr>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12.1.响应文件必须在磋商截止时间前提交。截止时间以后提交的响应文件，采购人或采购代理机构将拒绝接收。</w:t>
      </w:r>
    </w:p>
    <w:p w14:paraId="26C42A8E">
      <w:pPr>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12.2.采购人或者采购代理机构推迟磋商截止时间时，将以更正公告的形式，通知所有响应人。</w:t>
      </w:r>
    </w:p>
    <w:p w14:paraId="3D5BA190">
      <w:pPr>
        <w:spacing w:line="40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13.磋商响应文件修改和撤回</w:t>
      </w:r>
    </w:p>
    <w:p w14:paraId="0A713BAF">
      <w:pPr>
        <w:pStyle w:val="212"/>
        <w:spacing w:before="0" w:beforeAutospacing="0" w:after="0" w:afterAutospacing="0" w:line="400" w:lineRule="exact"/>
        <w:ind w:firstLine="420"/>
        <w:jc w:val="both"/>
        <w:rPr>
          <w:rFonts w:hint="eastAsia"/>
          <w:color w:val="000000"/>
          <w:highlight w:val="none"/>
        </w:rPr>
      </w:pPr>
      <w:r>
        <w:rPr>
          <w:rFonts w:hint="eastAsia"/>
          <w:color w:val="000000"/>
          <w:highlight w:val="none"/>
        </w:rPr>
        <w:t>13.1.投标文件的修改应在投标截止时间前进行。</w:t>
      </w:r>
    </w:p>
    <w:p w14:paraId="1587AEE2">
      <w:pPr>
        <w:pStyle w:val="212"/>
        <w:spacing w:before="0" w:beforeAutospacing="0" w:after="0" w:afterAutospacing="0" w:line="400" w:lineRule="exact"/>
        <w:ind w:firstLine="420"/>
        <w:jc w:val="both"/>
        <w:rPr>
          <w:rFonts w:hint="eastAsia"/>
          <w:color w:val="000000"/>
          <w:highlight w:val="none"/>
        </w:rPr>
      </w:pPr>
      <w:r>
        <w:rPr>
          <w:rFonts w:hint="eastAsia"/>
          <w:color w:val="000000"/>
          <w:highlight w:val="none"/>
        </w:rPr>
        <w:t>13.2.投标开始时间后至投标截止时间前，投标人可以撤回投标。</w:t>
      </w:r>
    </w:p>
    <w:p w14:paraId="6CA8EBB4">
      <w:pPr>
        <w:spacing w:line="400" w:lineRule="exact"/>
        <w:ind w:firstLine="422"/>
        <w:rPr>
          <w:rFonts w:hint="eastAsia" w:ascii="宋体" w:hAnsi="宋体" w:cs="宋体"/>
          <w:b/>
          <w:bCs/>
          <w:color w:val="000000"/>
          <w:sz w:val="24"/>
          <w:highlight w:val="none"/>
        </w:rPr>
      </w:pPr>
      <w:r>
        <w:rPr>
          <w:rFonts w:hint="eastAsia" w:ascii="宋体" w:hAnsi="宋体" w:cs="宋体"/>
          <w:b/>
          <w:bCs/>
          <w:color w:val="000000"/>
          <w:sz w:val="24"/>
          <w:highlight w:val="none"/>
        </w:rPr>
        <w:t>14.递交磋商响应文件相关事项：</w:t>
      </w:r>
    </w:p>
    <w:p w14:paraId="63E7E1C0">
      <w:pPr>
        <w:pStyle w:val="212"/>
        <w:spacing w:before="0" w:beforeAutospacing="0" w:after="0" w:afterAutospacing="0" w:line="400" w:lineRule="exact"/>
        <w:ind w:firstLine="420"/>
        <w:rPr>
          <w:rFonts w:hint="eastAsia"/>
          <w:color w:val="000000"/>
          <w:highlight w:val="none"/>
        </w:rPr>
      </w:pPr>
      <w:r>
        <w:rPr>
          <w:rFonts w:hint="eastAsia"/>
          <w:color w:val="000000"/>
          <w:highlight w:val="none"/>
        </w:rPr>
        <w:t>14.1.如因软件系统出现问题或其他因素导致开标当天不能完成整个磋商程序的，可以在磋商现场进行封标，待问题解决后再继续进行下去。采购代理机构应把继续磋商程序的时间、地点通知到每个磋商响应单位。</w:t>
      </w:r>
    </w:p>
    <w:p w14:paraId="6A278F78">
      <w:pPr>
        <w:pStyle w:val="212"/>
        <w:widowControl w:val="0"/>
        <w:spacing w:before="0" w:beforeAutospacing="0" w:after="0" w:afterAutospacing="0" w:line="400" w:lineRule="exact"/>
        <w:ind w:firstLine="422"/>
        <w:jc w:val="both"/>
        <w:rPr>
          <w:rFonts w:hint="eastAsia"/>
          <w:b/>
          <w:bCs/>
          <w:color w:val="000000"/>
          <w:highlight w:val="none"/>
        </w:rPr>
      </w:pPr>
      <w:r>
        <w:rPr>
          <w:rFonts w:hint="eastAsia"/>
          <w:b/>
          <w:bCs/>
          <w:color w:val="000000"/>
          <w:highlight w:val="none"/>
        </w:rPr>
        <w:t>15.磋商评审程序</w:t>
      </w:r>
    </w:p>
    <w:p w14:paraId="509160B8">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15.1.磋商程序</w:t>
      </w:r>
    </w:p>
    <w:p w14:paraId="46FD7F39">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15.1.1采购代理机构按本须知规定的时间、地点主持磋商采购活动。</w:t>
      </w:r>
    </w:p>
    <w:p w14:paraId="3651E05C">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15.1.2供应商通过“苏采云”系统在线参与磋商活动。供应商应当按照《苏采云系统供应商操作手册》规定在 “苏采云”系统规定的时间内对响应文件进行解密。</w:t>
      </w:r>
    </w:p>
    <w:p w14:paraId="78FC05CA">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15.1.3在磋商响应文件网上递交截止时间止成功解密的磋商供应商少于三家，则本次采购失败。</w:t>
      </w:r>
    </w:p>
    <w:p w14:paraId="38B8E396">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15.1.4由磋商小组审查供应商解密的响应文件。</w:t>
      </w:r>
    </w:p>
    <w:p w14:paraId="199C0419">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15.1.5、由磋商小组对各响应单位的资格进行审查。资格审查内容包括：</w:t>
      </w:r>
    </w:p>
    <w:p w14:paraId="4A190976">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（1）供应商是否满足《中华人民共和国政府采购法》第二十二条规定的基本条件；</w:t>
      </w:r>
    </w:p>
    <w:p w14:paraId="1B29DB64">
      <w:pPr>
        <w:spacing w:line="400" w:lineRule="exact"/>
        <w:ind w:firstLine="420"/>
        <w:rPr>
          <w:rFonts w:hint="eastAsia" w:ascii="宋体" w:hAnsi="宋体" w:cs="宋体"/>
          <w:bCs/>
          <w:color w:val="000000"/>
          <w:sz w:val="24"/>
          <w:highlight w:val="none"/>
          <w:lang w:bidi="ar"/>
        </w:rPr>
      </w:pPr>
      <w:r>
        <w:rPr>
          <w:rFonts w:hint="eastAsia" w:ascii="宋体" w:hAnsi="宋体" w:cs="宋体"/>
          <w:color w:val="000000"/>
          <w:sz w:val="24"/>
          <w:highlight w:val="none"/>
        </w:rPr>
        <w:t>（2）</w:t>
      </w:r>
      <w:r>
        <w:rPr>
          <w:rFonts w:hint="eastAsia" w:ascii="宋体" w:hAnsi="宋体" w:cs="宋体"/>
          <w:bCs/>
          <w:color w:val="000000"/>
          <w:sz w:val="24"/>
          <w:highlight w:val="none"/>
          <w:lang w:bidi="ar"/>
        </w:rPr>
        <w:t>根据政府采购法及相关法规，以及苏州市财政局《关于印发苏州市市级政府采购信用记录查询和使用工作试行办法的通知》（苏财购（2017）11号）文件的规定，将对供应商进行信用查询。</w:t>
      </w:r>
    </w:p>
    <w:p w14:paraId="03027603">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（3）专门面向中小企业的项目，应当在资格审查环节对供应商出具的《中小企业声明函》进行审查；</w:t>
      </w:r>
    </w:p>
    <w:p w14:paraId="54C2DF38">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（4）接受联合体投标的项目，联合体各方是否满足采购文件规定并提交相应证明文件；</w:t>
      </w:r>
    </w:p>
    <w:p w14:paraId="04FF778E">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（5）供应商是否满足采购文件规定的其他特定条件；</w:t>
      </w:r>
    </w:p>
    <w:p w14:paraId="4CCE6828">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（6）供应商是否存在其他不得参与该政府采购项目的情形。</w:t>
      </w:r>
    </w:p>
    <w:p w14:paraId="44EB804C">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15.1.6资格审查责任主体应按照采购文件的要求对投标（响应）供应商提供的资格审查文件独立进行资格审查并提交资格审查结果。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893D292">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1）符合性审查：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3CB4180B">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（2）未通过资格审查或符合性审查的供应商，磋商小组将在“苏采云”系统中告知未通过资格审查或符合性审查的原因，评审结束后，磋商小组将不再告知未通过资格审查或符合性审查的原因。</w:t>
      </w:r>
    </w:p>
    <w:p w14:paraId="30D9A4F7">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15.1.7磋商小组要求供应商澄清、说明或者更正响应文件应当以书面形式做出。供应商的澄清、说明或者更正应当由其单位加盖电子公章。</w:t>
      </w:r>
    </w:p>
    <w:p w14:paraId="70A6C2E9">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本项目供应商的澄清、说明或者补正采用线上澄清:磋商小组将通过“苏采云”系统向供应商发布“澄清要求函”，接到“澄清要求函”的供应商应当按要求在规定时间内通过“苏采云”系统提交“澄清响应函”并加盖CA电子公章，澄清、说明和补充的内容作为响应文件的补充部分。(此处规定时间的计算以系统中的倒计时间为准，供应商应随时保持系统在线，如因供应商自身原因未在规定时间内提交澄清确认资料的，导致的不利后果由供应商自行承担。</w:t>
      </w:r>
    </w:p>
    <w:p w14:paraId="6E2E06A9">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15.1.8对于通过资格审查和符合性审查的供应商，磋商小组所有成员集中与单一供应商分别进行磋商，并给予所有参加磋商的供应商平等的磋商机会。磋商小组通过“苏采云”系统向供应商发布“磋商函”，供应商应当按照要求在“苏采云”系统提交“磋商响应函”并加盖CA电子公章。</w:t>
      </w:r>
    </w:p>
    <w:p w14:paraId="1024B02B">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15.1.9在磋商过程中，磋商小组可以根据采购文件和磋商情况实质性变动采购需求中的技术、服务要求以及合同草案条款。对采购文件做出的实质性变动是采购文件的有效组成部分，磋商小组将在“苏采云”系统中同时通知所有参加磋商的供应商，供应商应当按照磋商文件的变动情况和磋商小组的要求在“苏采云”系统中重新提交响应文件，并加盖CA电子公章。</w:t>
      </w:r>
    </w:p>
    <w:p w14:paraId="3E3937A2">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15.1.10</w:t>
      </w:r>
      <w:r>
        <w:rPr>
          <w:rFonts w:hint="eastAsia"/>
          <w:b/>
          <w:color w:val="000000"/>
          <w:highlight w:val="none"/>
        </w:rPr>
        <w:t>磋商结束后，磋商小组将在“苏采云”系统向所有实质性响应的供应商发布“最后报价要求函”及最后报价格式表，要求所有实质性响应的供应商在规定时间内提交最后报价。</w:t>
      </w:r>
      <w:r>
        <w:rPr>
          <w:rFonts w:hint="eastAsia"/>
          <w:color w:val="000000"/>
          <w:highlight w:val="none"/>
        </w:rPr>
        <w:t>最后报价作为评审报价。提交最后报价的供应商不得少于3家（符合《政府采购竞争性磋商采购方式管理暂行办法》第三条第（一）、第（四）项情形的，即政府购买服务项目（含政府和社会资本合作项目）；市场竞争不充分的科研项目，以及需要扶持的科技成果转化项目，为不得少于2家）。</w:t>
      </w:r>
    </w:p>
    <w:p w14:paraId="5C8D0EC9">
      <w:pPr>
        <w:pStyle w:val="212"/>
        <w:widowControl w:val="0"/>
        <w:spacing w:before="0" w:beforeAutospacing="0" w:after="0" w:afterAutospacing="0" w:line="400" w:lineRule="exact"/>
        <w:ind w:firstLine="420"/>
        <w:rPr>
          <w:rFonts w:hint="eastAsia"/>
          <w:b/>
          <w:bCs/>
          <w:color w:val="000000"/>
          <w:highlight w:val="none"/>
        </w:rPr>
      </w:pPr>
      <w:r>
        <w:rPr>
          <w:rFonts w:hint="eastAsia"/>
          <w:color w:val="000000"/>
          <w:highlight w:val="none"/>
        </w:rPr>
        <w:t>15.1.11</w:t>
      </w:r>
      <w:r>
        <w:rPr>
          <w:rFonts w:hint="eastAsia"/>
          <w:b/>
          <w:bCs/>
          <w:color w:val="000000"/>
          <w:highlight w:val="none"/>
        </w:rPr>
        <w:t>供应商未在磋商小组规定的时间内在“苏采云”系统中提交最后报价的视为放弃磋商，其响应文件按无效响应处理，最后报价格式表须加盖CA电子公章,否则视为未提交最后报价。（此处规定时间的计算以系统中的倒计时间为准，系统中的线上最后报价只有一次机会，提交后无法撤回，请供应商慎重提交）</w:t>
      </w:r>
    </w:p>
    <w:p w14:paraId="15025644">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已提交响应文件的供应商，在提交最后报价之前，可以根据磋商情况退出磋商，并在“苏采云”系统中提交“退出磋商函”并加盖CA电子公章。</w:t>
      </w:r>
    </w:p>
    <w:p w14:paraId="36EC6C83">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*进入项目评审流程后，建议各供应商法定代表人或授权委托人始终保持通讯顺畅，时刻关注不见面开标大厅，不离开不见面开标大厅。</w:t>
      </w:r>
    </w:p>
    <w:p w14:paraId="54919444">
      <w:pPr>
        <w:spacing w:line="400" w:lineRule="exact"/>
        <w:ind w:firstLine="420"/>
        <w:rPr>
          <w:rFonts w:hint="eastAsia" w:ascii="宋体" w:hAnsi="宋体" w:cs="宋体"/>
          <w:bCs/>
          <w:color w:val="000000"/>
          <w:sz w:val="24"/>
          <w:highlight w:val="none"/>
          <w:lang w:bidi="ar"/>
        </w:rPr>
      </w:pPr>
      <w:r>
        <w:rPr>
          <w:rFonts w:hint="eastAsia" w:ascii="宋体" w:hAnsi="宋体" w:cs="宋体"/>
          <w:color w:val="000000"/>
          <w:sz w:val="24"/>
          <w:highlight w:val="none"/>
        </w:rPr>
        <w:t>15.1.12</w:t>
      </w:r>
      <w:r>
        <w:rPr>
          <w:rFonts w:hint="eastAsia" w:ascii="宋体" w:hAnsi="宋体" w:cs="宋体"/>
          <w:bCs/>
          <w:color w:val="000000"/>
          <w:sz w:val="24"/>
          <w:highlight w:val="none"/>
          <w:lang w:bidi="ar"/>
        </w:rPr>
        <w:t>磋商小组认为某最后报价明显低于其他供应商的最后报价，有可能影响产品质量或者不能诚信履约的，应当要求其在谈判/磋商现场合理的时间内提供书面说明（线上开评标项目可通过“苏采云”系统要求其提供），必要时提交相关证明材料；供应商不能证明其报价合理性的，磋商小组应当将其响应文件按无效处理。</w:t>
      </w:r>
    </w:p>
    <w:p w14:paraId="5C88F6E2">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15.1.13经磋商确定最终采购需求和提交最后报价的供应商后，由磋商小组采用综合评分法对提交最后报价的供应商的响应文件和最后报价进行综合评分。</w:t>
      </w:r>
    </w:p>
    <w:p w14:paraId="15E43C89">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15.1.14磋商小组根据磋商成交原则确定成交供应商，并将结果通知所有参加磋商的供应商。</w:t>
      </w:r>
    </w:p>
    <w:p w14:paraId="28C802E2">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15.1.15如磋商过程中出现本采购文件未尽事宜，由磋商小组根据政府采购有关法律、法规讨论决定。</w:t>
      </w:r>
    </w:p>
    <w:p w14:paraId="3C94D7AD">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15.2.磋商小组</w:t>
      </w:r>
    </w:p>
    <w:p w14:paraId="536BC810">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15.2.1.磋商仪式结束后，采购代理机构将立即组织磋商小组（以下简称评委会）进行磋商。</w:t>
      </w:r>
    </w:p>
    <w:p w14:paraId="32721936">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15.2.2.磋商小组由磋商采购单位依法组建，由采购人代表和评审专家共3人以上单数组成，其中评审专家人数不得少于磋商小组成员总数的2/3。采购人代表不得以评审专家身份参加本部门或本单位采购项目的评审。</w:t>
      </w:r>
    </w:p>
    <w:p w14:paraId="2A455ED3">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15.2.3.磋商小组负责具体的磋商事务，并独立履行以下职责：</w:t>
      </w:r>
    </w:p>
    <w:p w14:paraId="583AFCC0">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 xml:space="preserve">（1）确认或者制定磋商文件； </w:t>
      </w:r>
    </w:p>
    <w:p w14:paraId="33DAB60B">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（2）从符合相应资格条件的供应商名单中确定供应商参加磋商；</w:t>
      </w:r>
    </w:p>
    <w:p w14:paraId="16AFBA7D">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（3）审查供应商的响应文件并做出评价；</w:t>
      </w:r>
    </w:p>
    <w:p w14:paraId="12F84E72">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（4）要求供应商解释或者澄清其响应文件；</w:t>
      </w:r>
    </w:p>
    <w:p w14:paraId="57CB4B40">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（5）编写评审报告；</w:t>
      </w:r>
    </w:p>
    <w:p w14:paraId="0ED5736D">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（6）告知采购人、采购代理机构在评审过程中发现的供应商的违法违规行为。</w:t>
      </w:r>
    </w:p>
    <w:p w14:paraId="3DEFBBBA">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15.2.4.磋商小组成员应当履行下列义务：</w:t>
      </w:r>
    </w:p>
    <w:p w14:paraId="28CD58E3">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（1）遵纪守法，客观、公正、廉洁地履行职责；</w:t>
      </w:r>
    </w:p>
    <w:p w14:paraId="12FA37D9">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（2）按照磋商文件规定的评审办法独立进行评审，对个人的评审意见承担法律责任；</w:t>
      </w:r>
    </w:p>
    <w:p w14:paraId="5518C992">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（3）参与评审报告的起草；</w:t>
      </w:r>
    </w:p>
    <w:p w14:paraId="505AFCDD">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（4）配合采购人、采购代理机构答复供应商提出的质疑；</w:t>
      </w:r>
    </w:p>
    <w:p w14:paraId="4FF0C67A">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（5）配合财政部门的投诉处理和监督检查工作。</w:t>
      </w:r>
    </w:p>
    <w:p w14:paraId="7A358653">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15.3.磋商工作纪律及保密</w:t>
      </w:r>
    </w:p>
    <w:p w14:paraId="33390EC9">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15.3.1.磋商开始后，直到宣布授予成交供应商合同为止，凡属于审查、澄清、评价和比较响应文件的所有资料，有关授予合同的信息都不应向供应商或与评审无关的其他人泄露。</w:t>
      </w:r>
    </w:p>
    <w:p w14:paraId="4EFBE5A9">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15.3.2.评审专家应当遵守评审工作纪律，不得泄露评审情况和评审中获悉的商业秘密。</w:t>
      </w:r>
    </w:p>
    <w:p w14:paraId="2E16259C">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15.3.3.在评审期间，磋商采购单位将通过指定联络人与供应商进行联系。</w:t>
      </w:r>
    </w:p>
    <w:p w14:paraId="1663BD34">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15.4.响应无效和终止磋商活动条款</w:t>
      </w:r>
    </w:p>
    <w:p w14:paraId="5EF252B2">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15.4.1.响应人存在下列情况之一的，响应无效:</w:t>
      </w:r>
    </w:p>
    <w:p w14:paraId="0384C5D0">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（1）未按照竞争性磋商文件规定要求签署、盖章的；</w:t>
      </w:r>
    </w:p>
    <w:p w14:paraId="0AAD3538">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（2）供应商不具备竞争性磋商文件中规定资格条件的；</w:t>
      </w:r>
    </w:p>
    <w:p w14:paraId="5C280FEE">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（3）报价超过磋商文件中规定的预算金额或者最高限价的；</w:t>
      </w:r>
    </w:p>
    <w:p w14:paraId="6261BBC7">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（4）响应文件含有采购人不能接受的附加条件；</w:t>
      </w:r>
    </w:p>
    <w:p w14:paraId="1FF5AE09">
      <w:pPr>
        <w:pStyle w:val="212"/>
        <w:spacing w:before="0" w:beforeAutospacing="0" w:after="0" w:afterAutospacing="0" w:line="400" w:lineRule="exact"/>
        <w:ind w:firstLine="420"/>
        <w:jc w:val="both"/>
        <w:rPr>
          <w:rFonts w:hint="eastAsia"/>
          <w:color w:val="000000"/>
          <w:highlight w:val="none"/>
        </w:rPr>
      </w:pPr>
      <w:r>
        <w:rPr>
          <w:rFonts w:hint="eastAsia"/>
          <w:color w:val="000000"/>
          <w:highlight w:val="none"/>
        </w:rPr>
        <w:t>（5）因磋商响应单位自身原因导致网上磋商响应文件无法递交的其他情况；</w:t>
      </w:r>
    </w:p>
    <w:p w14:paraId="36DE0F67">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（6）不符合法律、法规和竞争性磋商文件中规定的其他实质性要求的；</w:t>
      </w:r>
    </w:p>
    <w:p w14:paraId="0918BC75">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（7）法律、法规及本竞争性磋商文件规定的其他无效的情形。</w:t>
      </w:r>
    </w:p>
    <w:p w14:paraId="220B0FF3">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15.4.2.响应人应当遵循公平竞争的原则，不得恶意串通，不得妨碍其他响应人的竞争行为，不得损害采购人或者其他响应人的合法权益。</w:t>
      </w:r>
    </w:p>
    <w:p w14:paraId="611BC894">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磋商在过程中发现响应人有上述情形的，磋商小组应当认定其响应无效，并书面报告本级财政部门。</w:t>
      </w:r>
    </w:p>
    <w:p w14:paraId="7DE7622B">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15.4.3.有下列情形之一的，视为响应人恶意串通，其响应无效：</w:t>
      </w:r>
    </w:p>
    <w:p w14:paraId="234FA32C">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（1）不同响应人的响应文件由同一单位或者个人编制；</w:t>
      </w:r>
    </w:p>
    <w:p w14:paraId="2D8673ED">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（2）不同响应人委托同一单位或者个人办理磋商事宜；</w:t>
      </w:r>
    </w:p>
    <w:p w14:paraId="4D689F3C">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（3）不同响应人的响应文件载明的项目管理成员或者联系人员为同一人；</w:t>
      </w:r>
    </w:p>
    <w:p w14:paraId="33306F79">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（4）不同响应人的响应文件异常一致或者报价呈规律性差异；</w:t>
      </w:r>
    </w:p>
    <w:p w14:paraId="37A67C6A">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（5）不同响应人的响应文件相互混装；</w:t>
      </w:r>
    </w:p>
    <w:p w14:paraId="433B9501">
      <w:pPr>
        <w:spacing w:line="360" w:lineRule="exact"/>
        <w:ind w:firstLine="422"/>
        <w:rPr>
          <w:rFonts w:hint="eastAsia" w:ascii="宋体" w:hAnsi="宋体" w:cs="宋体"/>
          <w:b/>
          <w:bCs/>
          <w:color w:val="000000"/>
          <w:sz w:val="24"/>
          <w:highlight w:val="none"/>
        </w:rPr>
      </w:pPr>
      <w:r>
        <w:rPr>
          <w:rFonts w:hint="eastAsia" w:ascii="宋体" w:hAnsi="宋体" w:cs="宋体"/>
          <w:b/>
          <w:bCs/>
          <w:color w:val="000000"/>
          <w:sz w:val="24"/>
          <w:highlight w:val="none"/>
        </w:rPr>
        <w:t>（6）</w:t>
      </w:r>
      <w:r>
        <w:rPr>
          <w:rFonts w:hint="eastAsia" w:ascii="宋体" w:hAnsi="宋体" w:cs="宋体"/>
          <w:b/>
          <w:bCs/>
          <w:color w:val="000000"/>
          <w:sz w:val="24"/>
          <w:highlight w:val="none"/>
          <w:lang w:val="zh-CN"/>
        </w:rPr>
        <w:t>不同投标（响应）文件制作机器码一致。</w:t>
      </w:r>
    </w:p>
    <w:p w14:paraId="511EA2A8">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15.4.4.终止竞争性磋商采购活动的条款</w:t>
      </w:r>
    </w:p>
    <w:p w14:paraId="14441291">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出现下列情形之一的，采购代理机构将终止竞争性磋商采购活动，发布项目终止公告并说明原因，重新开展采购活动：</w:t>
      </w:r>
    </w:p>
    <w:p w14:paraId="13981240">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（1）因情况变化，不再符合规定的竞争性磋商采购方式适用情形的；</w:t>
      </w:r>
    </w:p>
    <w:p w14:paraId="365FBF8A">
      <w:pPr>
        <w:pStyle w:val="212"/>
        <w:widowControl w:val="0"/>
        <w:spacing w:before="0" w:beforeAutospacing="0" w:after="0" w:afterAutospacing="0" w:line="400" w:lineRule="exact"/>
        <w:ind w:firstLine="420"/>
        <w:rPr>
          <w:rFonts w:hint="eastAsia"/>
          <w:color w:val="000000"/>
          <w:highlight w:val="none"/>
        </w:rPr>
      </w:pPr>
      <w:r>
        <w:rPr>
          <w:rFonts w:hint="eastAsia"/>
          <w:color w:val="000000"/>
          <w:highlight w:val="none"/>
        </w:rPr>
        <w:t>（2）出现影响采购公正的违法、违规行为的；</w:t>
      </w:r>
    </w:p>
    <w:p w14:paraId="0569242D">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（3）在采购过程中符合要求的供应商或者报价未超过采购预算的供应商不足3家的。</w:t>
      </w:r>
    </w:p>
    <w:p w14:paraId="6ADFDD48">
      <w:pPr>
        <w:spacing w:line="40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16.确定成交、询问及质疑</w:t>
      </w:r>
    </w:p>
    <w:p w14:paraId="391FEA79">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16.1.确定成交供应商</w:t>
      </w:r>
    </w:p>
    <w:p w14:paraId="40A11120">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16.1.1.采购人授权磋商小组直接确定成交供应商。</w:t>
      </w:r>
    </w:p>
    <w:p w14:paraId="00FA9D31">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16.1.2.采购代理机构在成交供应商确定后2个工作日内在“苏州市政府采购网”公告成交结果，并同时书面通知成交供应商。成交通知书将成为合同的组成部分。</w:t>
      </w:r>
    </w:p>
    <w:p w14:paraId="651164C9">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16.2.询问及质疑</w:t>
      </w:r>
    </w:p>
    <w:p w14:paraId="198BBC88">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16.2.1.询问及质疑依据《中华人民共和国政府采购法》、《中华人民共和国政府采购法实施条例》、《政府采购质疑和投诉办法》及相关法律法规处理。</w:t>
      </w:r>
    </w:p>
    <w:p w14:paraId="3E393797">
      <w:pPr>
        <w:spacing w:line="400" w:lineRule="exact"/>
        <w:ind w:right="-161" w:firstLine="422"/>
        <w:rPr>
          <w:rFonts w:hint="eastAsia" w:ascii="宋体" w:hAnsi="宋体" w:cs="宋体"/>
          <w:color w:val="000000"/>
          <w:sz w:val="24"/>
          <w:highlight w:val="none"/>
        </w:rPr>
      </w:pPr>
      <w:r>
        <w:rPr>
          <w:rFonts w:hint="eastAsia" w:ascii="宋体" w:hAnsi="宋体" w:cs="宋体"/>
          <w:b/>
          <w:bCs/>
          <w:color w:val="000000"/>
          <w:sz w:val="24"/>
          <w:highlight w:val="none"/>
        </w:rPr>
        <w:t>16.2.2</w:t>
      </w:r>
      <w:r>
        <w:rPr>
          <w:rFonts w:hint="eastAsia" w:ascii="宋体" w:hAnsi="宋体" w:cs="宋体"/>
          <w:color w:val="000000"/>
          <w:sz w:val="24"/>
          <w:highlight w:val="none"/>
        </w:rPr>
        <w:t>质疑联系方式</w:t>
      </w:r>
    </w:p>
    <w:p w14:paraId="1D07AC2A">
      <w:pPr>
        <w:spacing w:line="400" w:lineRule="exact"/>
        <w:ind w:right="-161" w:firstLine="42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名 称：苏州星创招投标咨询有限公司            </w:t>
      </w:r>
    </w:p>
    <w:p w14:paraId="4415205B">
      <w:pPr>
        <w:spacing w:line="400" w:lineRule="exact"/>
        <w:ind w:right="-161" w:firstLine="42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地 址：苏州姑苏区桐泾北路218号今雨荟商务大厦908            </w:t>
      </w:r>
    </w:p>
    <w:p w14:paraId="4A4C9DB6">
      <w:pPr>
        <w:spacing w:line="400" w:lineRule="exact"/>
        <w:ind w:right="-161" w:firstLine="42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联系人：</w:t>
      </w:r>
      <w:r>
        <w:rPr>
          <w:rFonts w:hint="eastAsia" w:ascii="宋体" w:hAnsi="宋体" w:eastAsia="宋体" w:cs="宋体"/>
          <w:b/>
          <w:bCs/>
          <w:color w:val="000000"/>
          <w:sz w:val="24"/>
          <w:szCs w:val="24"/>
          <w:highlight w:val="none"/>
          <w:lang w:val="en-US" w:eastAsia="zh-CN"/>
        </w:rPr>
        <w:t>吴苏玲</w:t>
      </w:r>
      <w:r>
        <w:rPr>
          <w:rFonts w:hint="eastAsia" w:ascii="宋体" w:hAnsi="宋体" w:eastAsia="宋体" w:cs="宋体"/>
          <w:b/>
          <w:bCs/>
          <w:color w:val="000000"/>
          <w:sz w:val="24"/>
          <w:szCs w:val="24"/>
          <w:highlight w:val="none"/>
        </w:rPr>
        <w:t xml:space="preserve">                </w:t>
      </w:r>
    </w:p>
    <w:p w14:paraId="44024062">
      <w:pPr>
        <w:spacing w:line="400" w:lineRule="exact"/>
        <w:ind w:right="-161" w:firstLine="422"/>
        <w:rPr>
          <w:rFonts w:hint="eastAsia" w:ascii="宋体" w:hAnsi="宋体" w:cs="宋体"/>
          <w:b/>
          <w:bCs/>
          <w:color w:val="000000"/>
          <w:sz w:val="24"/>
          <w:highlight w:val="none"/>
        </w:rPr>
      </w:pPr>
      <w:r>
        <w:rPr>
          <w:rFonts w:hint="eastAsia" w:ascii="宋体" w:hAnsi="宋体" w:eastAsia="宋体" w:cs="宋体"/>
          <w:b/>
          <w:bCs/>
          <w:color w:val="000000"/>
          <w:sz w:val="24"/>
          <w:szCs w:val="24"/>
          <w:highlight w:val="none"/>
        </w:rPr>
        <w:t>电 话：</w:t>
      </w:r>
      <w:r>
        <w:rPr>
          <w:rFonts w:hint="eastAsia" w:ascii="宋体" w:hAnsi="宋体" w:eastAsia="宋体" w:cs="宋体"/>
          <w:b/>
          <w:bCs/>
          <w:color w:val="000000"/>
          <w:sz w:val="24"/>
          <w:szCs w:val="24"/>
          <w:highlight w:val="none"/>
          <w:lang w:val="en-US" w:eastAsia="zh-CN"/>
        </w:rPr>
        <w:t>13338693987</w:t>
      </w:r>
      <w:r>
        <w:rPr>
          <w:rFonts w:hint="eastAsia" w:ascii="宋体" w:hAnsi="宋体" w:eastAsia="宋体" w:cs="宋体"/>
          <w:b/>
          <w:bCs/>
          <w:color w:val="000000"/>
          <w:sz w:val="24"/>
          <w:szCs w:val="24"/>
          <w:highlight w:val="none"/>
        </w:rPr>
        <w:t xml:space="preserve"> </w:t>
      </w:r>
      <w:r>
        <w:rPr>
          <w:rFonts w:hint="eastAsia" w:ascii="宋体" w:hAnsi="宋体" w:cs="宋体"/>
          <w:b/>
          <w:bCs/>
          <w:color w:val="000000"/>
          <w:sz w:val="24"/>
          <w:highlight w:val="none"/>
        </w:rPr>
        <w:t xml:space="preserve"> </w:t>
      </w:r>
    </w:p>
    <w:p w14:paraId="1D378C7F">
      <w:pPr>
        <w:spacing w:line="440" w:lineRule="exact"/>
        <w:ind w:firstLine="422"/>
        <w:rPr>
          <w:rFonts w:hint="eastAsia" w:ascii="宋体" w:hAnsi="宋体" w:cs="宋体"/>
          <w:b/>
          <w:color w:val="000000"/>
          <w:sz w:val="24"/>
          <w:highlight w:val="none"/>
        </w:rPr>
      </w:pPr>
      <w:r>
        <w:rPr>
          <w:rFonts w:hint="eastAsia" w:ascii="宋体" w:hAnsi="宋体" w:cs="宋体"/>
          <w:b/>
          <w:color w:val="000000"/>
          <w:sz w:val="24"/>
          <w:highlight w:val="none"/>
        </w:rPr>
        <w:t>17.合同的签订</w:t>
      </w:r>
    </w:p>
    <w:p w14:paraId="246331D4">
      <w:pPr>
        <w:pStyle w:val="212"/>
        <w:widowControl w:val="0"/>
        <w:spacing w:before="0" w:beforeAutospacing="0" w:after="0" w:afterAutospacing="0" w:line="400" w:lineRule="exact"/>
        <w:ind w:firstLine="420"/>
        <w:jc w:val="both"/>
        <w:rPr>
          <w:rFonts w:hint="eastAsia"/>
          <w:color w:val="000000"/>
          <w:highlight w:val="none"/>
        </w:rPr>
      </w:pPr>
      <w:r>
        <w:rPr>
          <w:rFonts w:hint="eastAsia"/>
          <w:color w:val="000000"/>
          <w:highlight w:val="none"/>
        </w:rPr>
        <w:t>17.1采购人原则上应当自中标（成交）通知书发出之日起15日内（最迟30日内），按照磋商文件确定的合同文本以及采购标的、规格型号、采购金额、采购数量、技术和服务要求等事项签订政府采购合同。</w:t>
      </w:r>
    </w:p>
    <w:p w14:paraId="68193161">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17.2采购合同的双方当事人不得擅自变更、中止或者终止合同。合同继续履行将损害国家利益和社会公共利益的，双方当事人应当变更、中止或者终止合同。有过错的一方应当承担赔偿责任，双方都有过错的，各自承担相应责任。</w:t>
      </w:r>
    </w:p>
    <w:p w14:paraId="3B0CF598">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17.3采购合同履行中，采购人需追加与合同标的相同的服务或货物的，在不改变合同其他条款的前提下，可以与供应商协商签订补充合同，但所有补充合同的采购金额不得超过原合同采购金额的百分之十。</w:t>
      </w:r>
    </w:p>
    <w:p w14:paraId="69588F10">
      <w:pPr>
        <w:spacing w:line="400" w:lineRule="exact"/>
        <w:ind w:firstLine="422"/>
        <w:rPr>
          <w:rFonts w:hint="eastAsia" w:ascii="宋体" w:hAnsi="宋体" w:cs="宋体"/>
          <w:bCs/>
          <w:color w:val="000000"/>
          <w:sz w:val="24"/>
          <w:highlight w:val="none"/>
        </w:rPr>
      </w:pPr>
      <w:r>
        <w:rPr>
          <w:rFonts w:hint="eastAsia" w:ascii="宋体" w:hAnsi="宋体" w:cs="宋体"/>
          <w:bCs/>
          <w:color w:val="000000"/>
          <w:sz w:val="24"/>
          <w:highlight w:val="none"/>
        </w:rPr>
        <w:t>18.履约保证金：无。</w:t>
      </w:r>
    </w:p>
    <w:p w14:paraId="07F6A662">
      <w:pPr>
        <w:spacing w:line="400" w:lineRule="exact"/>
        <w:ind w:firstLine="422"/>
        <w:rPr>
          <w:rFonts w:hint="eastAsia" w:ascii="宋体" w:hAnsi="宋体" w:cs="宋体"/>
          <w:bCs/>
          <w:color w:val="000000"/>
          <w:sz w:val="24"/>
          <w:highlight w:val="none"/>
        </w:rPr>
      </w:pPr>
      <w:r>
        <w:rPr>
          <w:rFonts w:hint="eastAsia" w:ascii="宋体" w:hAnsi="宋体" w:cs="宋体"/>
          <w:bCs/>
          <w:color w:val="000000"/>
          <w:sz w:val="24"/>
          <w:highlight w:val="none"/>
        </w:rPr>
        <w:t xml:space="preserve">如需提供履约保证金的项目可提供符合《关于在全省政府采购领域推行电子履约保函（保险）的通知》（苏财购〔2023〕150 号）要求的电子履约保函。供应商可通过江苏省政府采购网、“苏采云”系统链接访问登录“政府采购电子履约保函（保险）平台”，选择第三方机构并提交保函（保险）申请。详见：江苏政府采购网“资料下载”栏目（网址:www.ccgp-jiangsu.gov.cn/jiangsu/zlxz）下载“政府采购电子履约保函（保险）操作手册”。  </w:t>
      </w:r>
    </w:p>
    <w:p w14:paraId="1F4D85E7">
      <w:pPr>
        <w:spacing w:line="400" w:lineRule="exact"/>
        <w:ind w:firstLine="422"/>
        <w:rPr>
          <w:rFonts w:hint="eastAsia" w:ascii="宋体" w:hAnsi="宋体" w:cs="宋体"/>
          <w:bCs/>
          <w:color w:val="000000"/>
          <w:sz w:val="24"/>
          <w:highlight w:val="none"/>
        </w:rPr>
      </w:pPr>
      <w:r>
        <w:rPr>
          <w:rFonts w:hint="eastAsia" w:ascii="宋体" w:hAnsi="宋体" w:cs="宋体"/>
          <w:b/>
          <w:color w:val="000000"/>
          <w:sz w:val="24"/>
          <w:highlight w:val="none"/>
        </w:rPr>
        <w:t>19.代理服务费：</w:t>
      </w:r>
      <w:r>
        <w:rPr>
          <w:rFonts w:hint="eastAsia" w:ascii="宋体" w:hAnsi="宋体" w:cs="宋体"/>
          <w:bCs/>
          <w:color w:val="000000"/>
          <w:sz w:val="24"/>
          <w:highlight w:val="none"/>
          <w:lang w:val="zh-CN"/>
        </w:rPr>
        <w:t>成交单位在领取成交通知书时向招标代理机构缴纳成交服务费，</w:t>
      </w:r>
      <w:r>
        <w:rPr>
          <w:rFonts w:hint="eastAsia" w:ascii="宋体" w:hAnsi="宋体" w:cs="宋体"/>
          <w:bCs/>
          <w:color w:val="000000"/>
          <w:sz w:val="24"/>
          <w:highlight w:val="none"/>
        </w:rPr>
        <w:t>其收取标准为：</w:t>
      </w:r>
      <w:r>
        <w:rPr>
          <w:rFonts w:hint="eastAsia" w:ascii="宋体" w:hAnsi="宋体" w:cs="宋体"/>
          <w:color w:val="000000"/>
          <w:sz w:val="24"/>
          <w:highlight w:val="none"/>
        </w:rPr>
        <w:t>以预算金额为基准，100万元以内1.5%、100～500万元以1.1%、500万-1000万以0.8% ，1000万-5000万以0.5%差额定率累进法</w:t>
      </w:r>
      <w:r>
        <w:rPr>
          <w:rFonts w:hint="eastAsia" w:ascii="宋体" w:hAnsi="宋体" w:cs="宋体"/>
          <w:bCs/>
          <w:color w:val="000000"/>
          <w:sz w:val="24"/>
          <w:highlight w:val="none"/>
        </w:rPr>
        <w:t>计算</w:t>
      </w:r>
      <w:r>
        <w:rPr>
          <w:rFonts w:hint="eastAsia" w:ascii="宋体" w:hAnsi="宋体" w:cs="宋体"/>
          <w:color w:val="000000"/>
          <w:sz w:val="24"/>
          <w:highlight w:val="none"/>
        </w:rPr>
        <w:t>并支付成交服务费。</w:t>
      </w:r>
    </w:p>
    <w:p w14:paraId="552B3F0E">
      <w:pPr>
        <w:spacing w:line="400" w:lineRule="exact"/>
        <w:ind w:firstLine="420"/>
        <w:rPr>
          <w:rFonts w:hint="eastAsia" w:ascii="宋体" w:hAnsi="宋体" w:cs="宋体"/>
          <w:bCs/>
          <w:color w:val="000000"/>
          <w:sz w:val="24"/>
          <w:highlight w:val="none"/>
        </w:rPr>
      </w:pPr>
      <w:r>
        <w:rPr>
          <w:rFonts w:hint="eastAsia" w:ascii="宋体" w:hAnsi="宋体" w:cs="宋体"/>
          <w:color w:val="000000"/>
          <w:sz w:val="24"/>
          <w:highlight w:val="none"/>
        </w:rPr>
        <w:t>服务费交纳账户：</w:t>
      </w:r>
      <w:r>
        <w:rPr>
          <w:rFonts w:hint="eastAsia" w:ascii="宋体" w:hAnsi="宋体" w:cs="宋体"/>
          <w:bCs/>
          <w:color w:val="000000"/>
          <w:sz w:val="24"/>
          <w:highlight w:val="none"/>
        </w:rPr>
        <w:t>苏州星创招投标咨询有限公司</w:t>
      </w:r>
    </w:p>
    <w:p w14:paraId="35B11448">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开户银行：中国建设银行股份有限公司苏州市城中支行</w:t>
      </w:r>
    </w:p>
    <w:p w14:paraId="533A1CF6">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银行账户：3225 0198 9036 0000 2434</w:t>
      </w:r>
    </w:p>
    <w:p w14:paraId="0545F073">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20、磋商说明：</w:t>
      </w:r>
    </w:p>
    <w:p w14:paraId="252347E1">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（1）不符合供应商资格要求的响应文件将被拒绝；</w:t>
      </w:r>
    </w:p>
    <w:p w14:paraId="5B351659">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（2）参加磋商的供应商必须</w:t>
      </w:r>
      <w:r>
        <w:rPr>
          <w:rFonts w:hint="eastAsia" w:ascii="宋体" w:hAnsi="宋体" w:cs="宋体"/>
          <w:color w:val="000000"/>
          <w:sz w:val="24"/>
          <w:highlight w:val="none"/>
        </w:rPr>
        <w:t>法定代表人或授权委托人</w:t>
      </w:r>
      <w:r>
        <w:rPr>
          <w:rFonts w:hint="eastAsia" w:ascii="宋体" w:hAnsi="宋体" w:cs="宋体"/>
          <w:bCs/>
          <w:color w:val="000000"/>
          <w:sz w:val="24"/>
          <w:highlight w:val="none"/>
        </w:rPr>
        <w:t>；</w:t>
      </w:r>
    </w:p>
    <w:p w14:paraId="75AB9AB8">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（3）响应文件签署不符合要求的，响应文件将被拒绝；</w:t>
      </w:r>
    </w:p>
    <w:p w14:paraId="5B01826B">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（4）最终报价超过采购预算的，不能成交；</w:t>
      </w:r>
    </w:p>
    <w:p w14:paraId="322C016E">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（5）不实质性响应磋商文件的不能成交；</w:t>
      </w:r>
    </w:p>
    <w:p w14:paraId="5B29A4DD">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（6）实质性响应磋商文件不满三家或进入二次报价的不满三家或二次报价在采购预算内不满三家的，磋商采购失败。</w:t>
      </w:r>
    </w:p>
    <w:p w14:paraId="76F4B150">
      <w:pPr>
        <w:spacing w:line="400" w:lineRule="exact"/>
        <w:ind w:firstLine="420"/>
        <w:rPr>
          <w:rFonts w:hint="eastAsia" w:ascii="宋体" w:hAnsi="宋体" w:cs="宋体"/>
          <w:bCs/>
          <w:color w:val="000000"/>
          <w:sz w:val="24"/>
          <w:highlight w:val="none"/>
        </w:rPr>
      </w:pPr>
      <w:r>
        <w:rPr>
          <w:rFonts w:hint="eastAsia" w:ascii="宋体" w:hAnsi="宋体" w:cs="宋体"/>
          <w:bCs/>
          <w:color w:val="000000"/>
          <w:sz w:val="24"/>
          <w:highlight w:val="none"/>
        </w:rPr>
        <w:t>21.未尽事宜：按《中华人民共和国政府采购法》及其他有关的法律法规的规定执行。</w:t>
      </w:r>
    </w:p>
    <w:p w14:paraId="74BE3DD5">
      <w:pPr>
        <w:spacing w:line="400" w:lineRule="exact"/>
        <w:jc w:val="center"/>
        <w:outlineLvl w:val="0"/>
        <w:rPr>
          <w:rFonts w:hint="eastAsia" w:eastAsia="黑体"/>
          <w:b/>
          <w:color w:val="000000"/>
          <w:sz w:val="32"/>
          <w:szCs w:val="32"/>
          <w:highlight w:val="none"/>
        </w:rPr>
      </w:pPr>
      <w:r>
        <w:rPr>
          <w:rFonts w:hint="eastAsia" w:ascii="宋体" w:hAnsi="宋体" w:cs="宋体"/>
          <w:color w:val="000000"/>
          <w:sz w:val="24"/>
          <w:highlight w:val="none"/>
        </w:rPr>
        <w:br w:type="page" w:clear="all"/>
      </w:r>
      <w:r>
        <w:rPr>
          <w:rFonts w:hint="eastAsia" w:eastAsia="黑体"/>
          <w:b/>
          <w:color w:val="000000"/>
          <w:sz w:val="32"/>
          <w:szCs w:val="32"/>
          <w:highlight w:val="none"/>
        </w:rPr>
        <w:t>三、采购要求</w:t>
      </w:r>
    </w:p>
    <w:p w14:paraId="5DF9A65A">
      <w:pPr>
        <w:spacing w:line="400" w:lineRule="exact"/>
        <w:ind w:firstLine="420"/>
        <w:rPr>
          <w:rFonts w:hint="eastAsia"/>
          <w:color w:val="000000"/>
          <w:szCs w:val="21"/>
          <w:highlight w:val="none"/>
        </w:rPr>
      </w:pPr>
    </w:p>
    <w:p w14:paraId="5A829D99">
      <w:pPr>
        <w:spacing w:line="400" w:lineRule="exact"/>
        <w:ind w:firstLine="420"/>
        <w:rPr>
          <w:rFonts w:hint="eastAsia" w:ascii="宋体" w:hAnsi="宋体" w:cs="宋体"/>
          <w:color w:val="000000"/>
          <w:sz w:val="24"/>
          <w:highlight w:val="none"/>
        </w:rPr>
      </w:pPr>
      <w:r>
        <w:rPr>
          <w:rFonts w:hint="eastAsia" w:ascii="宋体" w:hAnsi="宋体" w:cs="宋体"/>
          <w:color w:val="000000"/>
          <w:sz w:val="24"/>
          <w:highlight w:val="none"/>
        </w:rPr>
        <w:t>受</w:t>
      </w:r>
      <w:r>
        <w:rPr>
          <w:rFonts w:hint="eastAsia" w:ascii="宋体" w:hAnsi="宋体" w:cs="宋体"/>
          <w:color w:val="000000"/>
          <w:sz w:val="24"/>
          <w:highlight w:val="none"/>
          <w:lang w:eastAsia="zh-CN"/>
        </w:rPr>
        <w:t>江苏省苏州市中级人民法院</w:t>
      </w:r>
      <w:r>
        <w:rPr>
          <w:rFonts w:hint="eastAsia" w:ascii="宋体" w:hAnsi="宋体" w:cs="宋体"/>
          <w:color w:val="000000"/>
          <w:sz w:val="24"/>
          <w:highlight w:val="none"/>
        </w:rPr>
        <w:t>之委托，苏州星创招投标咨询有限公司对其需采购的</w:t>
      </w:r>
      <w:r>
        <w:rPr>
          <w:rFonts w:hint="eastAsia" w:ascii="宋体" w:hAnsi="宋体" w:cs="宋体"/>
          <w:color w:val="000000"/>
          <w:sz w:val="24"/>
          <w:highlight w:val="none"/>
          <w:lang w:eastAsia="zh-CN"/>
        </w:rPr>
        <w:t>网络债权人会议系统云平台租赁服务</w:t>
      </w:r>
      <w:r>
        <w:rPr>
          <w:rFonts w:hint="eastAsia" w:ascii="宋体" w:hAnsi="宋体" w:cs="宋体"/>
          <w:color w:val="000000"/>
          <w:sz w:val="24"/>
          <w:highlight w:val="none"/>
        </w:rPr>
        <w:t>在国内组织竞争性磋商采购。欢迎符合资格条件的供应商前来参加磋商。</w:t>
      </w:r>
    </w:p>
    <w:p w14:paraId="2B223EEC">
      <w:pPr>
        <w:spacing w:line="400" w:lineRule="exact"/>
        <w:ind w:firstLine="422"/>
        <w:outlineLvl w:val="1"/>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一、磋商编号：</w:t>
      </w:r>
      <w:r>
        <w:rPr>
          <w:rFonts w:hint="eastAsia" w:ascii="宋体" w:hAnsi="宋体" w:cs="宋体"/>
          <w:color w:val="000000"/>
          <w:sz w:val="24"/>
          <w:highlight w:val="none"/>
          <w:lang w:eastAsia="zh-CN"/>
        </w:rPr>
        <w:t>JSZC-320500-XCXC-C2025-0008</w:t>
      </w:r>
    </w:p>
    <w:p w14:paraId="63284AD9">
      <w:pPr>
        <w:spacing w:line="400" w:lineRule="exact"/>
        <w:ind w:firstLine="422"/>
        <w:outlineLvl w:val="1"/>
        <w:rPr>
          <w:rFonts w:hint="eastAsia" w:ascii="宋体" w:hAnsi="宋体" w:cs="宋体"/>
          <w:color w:val="000000"/>
          <w:sz w:val="24"/>
          <w:highlight w:val="none"/>
        </w:rPr>
      </w:pPr>
      <w:r>
        <w:rPr>
          <w:rFonts w:hint="eastAsia" w:ascii="宋体" w:hAnsi="宋体" w:cs="宋体"/>
          <w:color w:val="000000"/>
          <w:sz w:val="24"/>
          <w:highlight w:val="none"/>
        </w:rPr>
        <w:t>二、采购方式：竞争性磋商采购</w:t>
      </w:r>
    </w:p>
    <w:p w14:paraId="591E69A9">
      <w:pPr>
        <w:pStyle w:val="190"/>
        <w:widowControl/>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三、项目名称：</w:t>
      </w:r>
      <w:r>
        <w:rPr>
          <w:rFonts w:hint="eastAsia" w:ascii="宋体" w:hAnsi="宋体" w:cs="宋体"/>
          <w:color w:val="000000"/>
          <w:sz w:val="24"/>
          <w:szCs w:val="24"/>
          <w:highlight w:val="none"/>
          <w:lang w:eastAsia="zh-CN"/>
        </w:rPr>
        <w:t>网络债权人会议系统云平台租赁服务</w:t>
      </w:r>
    </w:p>
    <w:p w14:paraId="451C3C17">
      <w:pPr>
        <w:pStyle w:val="190"/>
        <w:widowControl/>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四、预算金额：</w:t>
      </w:r>
      <w:r>
        <w:rPr>
          <w:rFonts w:hint="eastAsia" w:ascii="宋体" w:hAnsi="宋体" w:cs="宋体"/>
          <w:color w:val="000000"/>
          <w:sz w:val="24"/>
          <w:szCs w:val="24"/>
          <w:highlight w:val="none"/>
          <w:lang w:eastAsia="zh-CN"/>
        </w:rPr>
        <w:t>伍拾万元整（￥500000.00）</w:t>
      </w:r>
    </w:p>
    <w:p w14:paraId="733B0E10">
      <w:pPr>
        <w:spacing w:line="360" w:lineRule="auto"/>
        <w:ind w:firstLine="48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最高限价：</w:t>
      </w:r>
      <w:r>
        <w:rPr>
          <w:rFonts w:hint="eastAsia" w:ascii="宋体" w:hAnsi="宋体" w:cs="宋体"/>
          <w:color w:val="000000"/>
          <w:sz w:val="24"/>
          <w:highlight w:val="none"/>
          <w:lang w:eastAsia="zh-CN"/>
        </w:rPr>
        <w:t>伍拾万元整（￥500000.00）</w:t>
      </w:r>
    </w:p>
    <w:p w14:paraId="7DE8EC5C">
      <w:pPr>
        <w:pStyle w:val="190"/>
        <w:widowControl/>
        <w:numPr>
          <w:ilvl w:val="0"/>
          <w:numId w:val="1"/>
        </w:numPr>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采购要求</w:t>
      </w:r>
    </w:p>
    <w:p w14:paraId="76174796">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（一）项目概况</w:t>
      </w:r>
    </w:p>
    <w:p w14:paraId="1BE78E63">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网络债权人会议系统是基于华为云weLink技术实现的多人云会议综合管理平台，并同时围绕着 “会议”主题完善流程管理、安全认证、扩展智能化应用、信息集成等，会后形成记录，统计分析等，为采购方</w:t>
      </w:r>
      <w:r>
        <w:rPr>
          <w:rFonts w:hint="eastAsia" w:ascii="宋体" w:hAnsi="宋体" w:eastAsia="宋体" w:cs="宋体"/>
          <w:color w:val="000000"/>
          <w:sz w:val="24"/>
          <w:szCs w:val="24"/>
          <w:highlight w:val="none"/>
          <w:lang w:val="en-US" w:eastAsia="zh-CN"/>
        </w:rPr>
        <w:t>提供</w:t>
      </w:r>
      <w:r>
        <w:rPr>
          <w:rFonts w:hint="eastAsia" w:ascii="宋体" w:hAnsi="宋体" w:eastAsia="宋体" w:cs="宋体"/>
          <w:color w:val="000000"/>
          <w:sz w:val="24"/>
          <w:szCs w:val="24"/>
          <w:highlight w:val="none"/>
        </w:rPr>
        <w:t>统一体验、方便实用的视频会议综合管理平台。</w:t>
      </w:r>
    </w:p>
    <w:p w14:paraId="6DC129C8">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（二）服务清单</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3593"/>
        <w:gridCol w:w="1904"/>
      </w:tblGrid>
      <w:tr w14:paraId="7CE55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223" w:type="dxa"/>
            <w:noWrap w:val="0"/>
            <w:vAlign w:val="center"/>
          </w:tcPr>
          <w:p w14:paraId="20EECCE8">
            <w:pPr>
              <w:widowControl/>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内容</w:t>
            </w:r>
          </w:p>
        </w:tc>
        <w:tc>
          <w:tcPr>
            <w:tcW w:w="3593" w:type="dxa"/>
            <w:noWrap w:val="0"/>
            <w:vAlign w:val="center"/>
          </w:tcPr>
          <w:p w14:paraId="3AB84A96">
            <w:pPr>
              <w:widowControl/>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w:t>
            </w:r>
          </w:p>
        </w:tc>
        <w:tc>
          <w:tcPr>
            <w:tcW w:w="1904" w:type="dxa"/>
            <w:noWrap w:val="0"/>
            <w:vAlign w:val="center"/>
          </w:tcPr>
          <w:p w14:paraId="00ACD546">
            <w:pPr>
              <w:widowControl/>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服务时间</w:t>
            </w:r>
          </w:p>
        </w:tc>
      </w:tr>
      <w:tr w14:paraId="24C60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223" w:type="dxa"/>
            <w:noWrap w:val="0"/>
            <w:vAlign w:val="bottom"/>
          </w:tcPr>
          <w:p w14:paraId="4A4469FB">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会议</w:t>
            </w:r>
          </w:p>
        </w:tc>
        <w:tc>
          <w:tcPr>
            <w:tcW w:w="3593" w:type="dxa"/>
            <w:noWrap w:val="0"/>
            <w:vAlign w:val="center"/>
          </w:tcPr>
          <w:p w14:paraId="284E7A88">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并发数100</w:t>
            </w:r>
          </w:p>
        </w:tc>
        <w:tc>
          <w:tcPr>
            <w:tcW w:w="1904" w:type="dxa"/>
            <w:vMerge w:val="restart"/>
            <w:noWrap w:val="0"/>
            <w:vAlign w:val="center"/>
          </w:tcPr>
          <w:p w14:paraId="175AF5A1">
            <w:pPr>
              <w:widowControl/>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一年</w:t>
            </w:r>
          </w:p>
        </w:tc>
      </w:tr>
      <w:tr w14:paraId="4B3E4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223" w:type="dxa"/>
            <w:noWrap w:val="0"/>
            <w:vAlign w:val="bottom"/>
          </w:tcPr>
          <w:p w14:paraId="0F0AD1F4">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云存储空间</w:t>
            </w:r>
          </w:p>
        </w:tc>
        <w:tc>
          <w:tcPr>
            <w:tcW w:w="3593" w:type="dxa"/>
            <w:noWrap w:val="0"/>
            <w:vAlign w:val="bottom"/>
          </w:tcPr>
          <w:p w14:paraId="47FBA04F">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1T</w:t>
            </w:r>
          </w:p>
        </w:tc>
        <w:tc>
          <w:tcPr>
            <w:tcW w:w="1904" w:type="dxa"/>
            <w:vMerge w:val="continue"/>
            <w:noWrap w:val="0"/>
            <w:vAlign w:val="center"/>
          </w:tcPr>
          <w:p w14:paraId="2EAD9D2D">
            <w:pPr>
              <w:widowControl/>
              <w:spacing w:line="360" w:lineRule="auto"/>
              <w:jc w:val="left"/>
              <w:rPr>
                <w:rFonts w:hint="eastAsia" w:ascii="宋体" w:hAnsi="宋体" w:eastAsia="宋体" w:cs="宋体"/>
                <w:color w:val="000000"/>
                <w:sz w:val="24"/>
                <w:szCs w:val="24"/>
                <w:highlight w:val="none"/>
              </w:rPr>
            </w:pPr>
          </w:p>
        </w:tc>
      </w:tr>
      <w:tr w14:paraId="33FDC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223" w:type="dxa"/>
            <w:noWrap w:val="0"/>
            <w:vAlign w:val="bottom"/>
          </w:tcPr>
          <w:p w14:paraId="14C367EF">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会议录播</w:t>
            </w:r>
          </w:p>
        </w:tc>
        <w:tc>
          <w:tcPr>
            <w:tcW w:w="3593" w:type="dxa"/>
            <w:noWrap w:val="0"/>
            <w:vAlign w:val="bottom"/>
          </w:tcPr>
          <w:p w14:paraId="7EA27AE7">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500G</w:t>
            </w:r>
          </w:p>
        </w:tc>
        <w:tc>
          <w:tcPr>
            <w:tcW w:w="1904" w:type="dxa"/>
            <w:vMerge w:val="continue"/>
            <w:noWrap w:val="0"/>
            <w:vAlign w:val="center"/>
          </w:tcPr>
          <w:p w14:paraId="06B20A04">
            <w:pPr>
              <w:widowControl/>
              <w:spacing w:line="360" w:lineRule="auto"/>
              <w:jc w:val="left"/>
              <w:rPr>
                <w:rFonts w:hint="eastAsia" w:ascii="宋体" w:hAnsi="宋体" w:eastAsia="宋体" w:cs="宋体"/>
                <w:color w:val="000000"/>
                <w:sz w:val="24"/>
                <w:szCs w:val="24"/>
                <w:highlight w:val="none"/>
              </w:rPr>
            </w:pPr>
          </w:p>
        </w:tc>
      </w:tr>
      <w:tr w14:paraId="75620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2223" w:type="dxa"/>
            <w:noWrap w:val="0"/>
            <w:vAlign w:val="bottom"/>
          </w:tcPr>
          <w:p w14:paraId="71FA9A70">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短信</w:t>
            </w:r>
          </w:p>
        </w:tc>
        <w:tc>
          <w:tcPr>
            <w:tcW w:w="3593" w:type="dxa"/>
            <w:noWrap w:val="0"/>
            <w:vAlign w:val="bottom"/>
          </w:tcPr>
          <w:p w14:paraId="623C8EB1">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50万条</w:t>
            </w:r>
          </w:p>
        </w:tc>
        <w:tc>
          <w:tcPr>
            <w:tcW w:w="1904" w:type="dxa"/>
            <w:vMerge w:val="continue"/>
            <w:noWrap w:val="0"/>
            <w:vAlign w:val="center"/>
          </w:tcPr>
          <w:p w14:paraId="79D087BB">
            <w:pPr>
              <w:widowControl/>
              <w:spacing w:line="360" w:lineRule="auto"/>
              <w:jc w:val="left"/>
              <w:rPr>
                <w:rFonts w:hint="eastAsia" w:ascii="宋体" w:hAnsi="宋体" w:eastAsia="宋体" w:cs="宋体"/>
                <w:color w:val="000000"/>
                <w:sz w:val="24"/>
                <w:szCs w:val="24"/>
                <w:highlight w:val="none"/>
              </w:rPr>
            </w:pPr>
          </w:p>
        </w:tc>
      </w:tr>
      <w:tr w14:paraId="28934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2223" w:type="dxa"/>
            <w:noWrap w:val="0"/>
            <w:vAlign w:val="bottom"/>
          </w:tcPr>
          <w:p w14:paraId="543ADC07">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2025年系统服务</w:t>
            </w:r>
          </w:p>
        </w:tc>
        <w:tc>
          <w:tcPr>
            <w:tcW w:w="3593" w:type="dxa"/>
            <w:noWrap w:val="0"/>
            <w:vAlign w:val="bottom"/>
          </w:tcPr>
          <w:p w14:paraId="0C6F58D8">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系统维护会议保障</w:t>
            </w:r>
          </w:p>
        </w:tc>
        <w:tc>
          <w:tcPr>
            <w:tcW w:w="1904" w:type="dxa"/>
            <w:vMerge w:val="continue"/>
            <w:noWrap w:val="0"/>
            <w:vAlign w:val="center"/>
          </w:tcPr>
          <w:p w14:paraId="7170B6DB">
            <w:pPr>
              <w:widowControl/>
              <w:spacing w:line="360" w:lineRule="auto"/>
              <w:jc w:val="left"/>
              <w:rPr>
                <w:rFonts w:hint="eastAsia" w:ascii="宋体" w:hAnsi="宋体" w:eastAsia="宋体" w:cs="宋体"/>
                <w:color w:val="000000"/>
                <w:sz w:val="24"/>
                <w:szCs w:val="24"/>
                <w:highlight w:val="none"/>
              </w:rPr>
            </w:pPr>
          </w:p>
        </w:tc>
      </w:tr>
    </w:tbl>
    <w:p w14:paraId="044DA51D">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（三）服务要求</w:t>
      </w:r>
    </w:p>
    <w:p w14:paraId="46AAE4EF">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1、支持并发100个终端会议，实现100人同时在线的案件处理场景；</w:t>
      </w:r>
    </w:p>
    <w:p w14:paraId="15B8D211">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2、1T云存储空间，用于存储法官或者管理人员需要上传的材料，便于开庭展示；</w:t>
      </w:r>
    </w:p>
    <w:p w14:paraId="55319CDE">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3、500G会议录播空间,用于存储整个会议录制过程的视频文件，便于后期案件的回溯；</w:t>
      </w:r>
    </w:p>
    <w:p w14:paraId="62A2FF43">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4、50万条短信服务，用于每次会议链接的发送，使得每次案件的会议链接登入地址详情能够到达参会人员手中，然后参会人员根据短信内容提示进行参会。</w:t>
      </w:r>
    </w:p>
    <w:p w14:paraId="43901944">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5、人员配备要求，服务于此项目工程师能力要求至少获取厂家认证IE级别1人，IP级别1人。</w:t>
      </w:r>
    </w:p>
    <w:p w14:paraId="4248BC57">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6、功能需求</w:t>
      </w:r>
    </w:p>
    <w:tbl>
      <w:tblPr>
        <w:tblStyle w:val="29"/>
        <w:tblW w:w="8310"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289"/>
        <w:gridCol w:w="6315"/>
      </w:tblGrid>
      <w:tr w14:paraId="6AC93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706" w:type="dxa"/>
            <w:noWrap w:val="0"/>
            <w:vAlign w:val="top"/>
          </w:tcPr>
          <w:p w14:paraId="2D613748">
            <w:pPr>
              <w:pStyle w:val="234"/>
              <w:spacing w:before="55" w:line="221" w:lineRule="auto"/>
              <w:ind w:left="115"/>
              <w:rPr>
                <w:rFonts w:hint="eastAsia"/>
                <w:color w:val="000000"/>
                <w:sz w:val="24"/>
                <w:szCs w:val="24"/>
                <w:highlight w:val="none"/>
              </w:rPr>
            </w:pPr>
            <w:r>
              <w:rPr>
                <w:rFonts w:hint="eastAsia"/>
                <w:b/>
                <w:bCs/>
                <w:color w:val="000000"/>
                <w:spacing w:val="-4"/>
                <w:sz w:val="24"/>
                <w:szCs w:val="24"/>
                <w:highlight w:val="none"/>
              </w:rPr>
              <w:t>序号</w:t>
            </w:r>
          </w:p>
        </w:tc>
        <w:tc>
          <w:tcPr>
            <w:tcW w:w="1289" w:type="dxa"/>
            <w:noWrap w:val="0"/>
            <w:vAlign w:val="top"/>
          </w:tcPr>
          <w:p w14:paraId="5A4B7F19">
            <w:pPr>
              <w:pStyle w:val="234"/>
              <w:spacing w:before="56" w:line="220" w:lineRule="auto"/>
              <w:ind w:left="114"/>
              <w:rPr>
                <w:rFonts w:hint="eastAsia"/>
                <w:color w:val="000000"/>
                <w:sz w:val="24"/>
                <w:szCs w:val="24"/>
                <w:highlight w:val="none"/>
              </w:rPr>
            </w:pPr>
            <w:r>
              <w:rPr>
                <w:rFonts w:hint="eastAsia"/>
                <w:b/>
                <w:bCs/>
                <w:color w:val="000000"/>
                <w:spacing w:val="-5"/>
                <w:sz w:val="24"/>
                <w:szCs w:val="24"/>
                <w:highlight w:val="none"/>
              </w:rPr>
              <w:t>指标项</w:t>
            </w:r>
          </w:p>
        </w:tc>
        <w:tc>
          <w:tcPr>
            <w:tcW w:w="6315" w:type="dxa"/>
            <w:noWrap w:val="0"/>
            <w:vAlign w:val="top"/>
          </w:tcPr>
          <w:p w14:paraId="761DAFEF">
            <w:pPr>
              <w:pStyle w:val="234"/>
              <w:spacing w:before="56" w:line="220" w:lineRule="auto"/>
              <w:ind w:left="114"/>
              <w:rPr>
                <w:rFonts w:hint="eastAsia"/>
                <w:color w:val="000000"/>
                <w:sz w:val="24"/>
                <w:szCs w:val="24"/>
                <w:highlight w:val="none"/>
              </w:rPr>
            </w:pPr>
            <w:r>
              <w:rPr>
                <w:rFonts w:hint="eastAsia"/>
                <w:b/>
                <w:bCs/>
                <w:color w:val="000000"/>
                <w:spacing w:val="-4"/>
                <w:sz w:val="24"/>
                <w:szCs w:val="24"/>
                <w:highlight w:val="none"/>
              </w:rPr>
              <w:t>指标要求</w:t>
            </w:r>
          </w:p>
        </w:tc>
      </w:tr>
      <w:tr w14:paraId="2DEEF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06" w:type="dxa"/>
            <w:noWrap w:val="0"/>
            <w:vAlign w:val="top"/>
          </w:tcPr>
          <w:p w14:paraId="5B4DD2D7">
            <w:pPr>
              <w:pStyle w:val="234"/>
              <w:spacing w:before="48" w:line="226" w:lineRule="auto"/>
              <w:ind w:left="307"/>
              <w:rPr>
                <w:rFonts w:hint="eastAsia"/>
                <w:color w:val="000000"/>
                <w:sz w:val="24"/>
                <w:szCs w:val="24"/>
                <w:highlight w:val="none"/>
                <w:lang w:eastAsia="zh-CN"/>
              </w:rPr>
            </w:pPr>
            <w:r>
              <w:rPr>
                <w:rFonts w:hint="eastAsia"/>
                <w:color w:val="000000"/>
                <w:sz w:val="24"/>
                <w:szCs w:val="24"/>
                <w:highlight w:val="none"/>
                <w:lang w:eastAsia="zh-CN"/>
              </w:rPr>
              <w:t>1</w:t>
            </w:r>
          </w:p>
        </w:tc>
        <w:tc>
          <w:tcPr>
            <w:tcW w:w="1289" w:type="dxa"/>
            <w:vMerge w:val="restart"/>
            <w:noWrap w:val="0"/>
            <w:vAlign w:val="top"/>
          </w:tcPr>
          <w:p w14:paraId="1E5EA266">
            <w:pPr>
              <w:spacing w:line="306" w:lineRule="auto"/>
              <w:rPr>
                <w:rFonts w:hint="eastAsia" w:ascii="宋体" w:hAnsi="宋体" w:cs="宋体"/>
                <w:color w:val="000000"/>
                <w:sz w:val="24"/>
                <w:highlight w:val="none"/>
              </w:rPr>
            </w:pPr>
          </w:p>
          <w:p w14:paraId="02E483A3">
            <w:pPr>
              <w:spacing w:line="306" w:lineRule="auto"/>
              <w:rPr>
                <w:rFonts w:hint="eastAsia" w:ascii="宋体" w:hAnsi="宋体" w:cs="宋体"/>
                <w:color w:val="000000"/>
                <w:sz w:val="24"/>
                <w:highlight w:val="none"/>
              </w:rPr>
            </w:pPr>
          </w:p>
          <w:p w14:paraId="0929C3F4">
            <w:pPr>
              <w:spacing w:line="307" w:lineRule="auto"/>
              <w:rPr>
                <w:rFonts w:hint="eastAsia" w:ascii="宋体" w:hAnsi="宋体" w:cs="宋体"/>
                <w:color w:val="000000"/>
                <w:sz w:val="24"/>
                <w:highlight w:val="none"/>
              </w:rPr>
            </w:pPr>
          </w:p>
          <w:p w14:paraId="1479F016">
            <w:pPr>
              <w:pStyle w:val="234"/>
              <w:spacing w:before="68" w:line="220" w:lineRule="auto"/>
              <w:ind w:left="116"/>
              <w:rPr>
                <w:rFonts w:hint="eastAsia"/>
                <w:color w:val="000000"/>
                <w:sz w:val="24"/>
                <w:szCs w:val="24"/>
                <w:highlight w:val="none"/>
                <w:lang w:eastAsia="zh-CN"/>
              </w:rPr>
            </w:pPr>
            <w:r>
              <w:rPr>
                <w:rFonts w:hint="eastAsia"/>
                <w:color w:val="000000"/>
                <w:spacing w:val="-3"/>
                <w:sz w:val="24"/>
                <w:szCs w:val="24"/>
                <w:highlight w:val="none"/>
                <w:lang w:eastAsia="zh-CN"/>
              </w:rPr>
              <w:t>会议管理</w:t>
            </w:r>
          </w:p>
        </w:tc>
        <w:tc>
          <w:tcPr>
            <w:tcW w:w="6315" w:type="dxa"/>
            <w:noWrap w:val="0"/>
            <w:vAlign w:val="top"/>
          </w:tcPr>
          <w:p w14:paraId="57DBD864">
            <w:pPr>
              <w:pStyle w:val="234"/>
              <w:spacing w:before="52" w:line="249" w:lineRule="auto"/>
              <w:ind w:left="114" w:right="107" w:firstLine="3"/>
              <w:rPr>
                <w:rFonts w:hint="eastAsia"/>
                <w:color w:val="000000"/>
                <w:sz w:val="24"/>
                <w:szCs w:val="24"/>
                <w:highlight w:val="none"/>
                <w:lang w:eastAsia="zh-CN"/>
              </w:rPr>
            </w:pPr>
            <w:r>
              <w:rPr>
                <w:rFonts w:hint="eastAsia"/>
                <w:color w:val="000000"/>
                <w:sz w:val="24"/>
                <w:szCs w:val="24"/>
                <w:highlight w:val="none"/>
                <w:lang w:eastAsia="zh-CN"/>
              </w:rPr>
              <w:t>★会议支持并发和云会议室两种模式，并发和云会议室可灵活搭配。</w:t>
            </w:r>
            <w:r>
              <w:rPr>
                <w:rFonts w:hint="eastAsia"/>
                <w:color w:val="000000"/>
                <w:sz w:val="24"/>
                <w:highlight w:val="none"/>
                <w:lang w:eastAsia="zh-CN"/>
              </w:rPr>
              <w:t>提供官网证明截图及链接</w:t>
            </w:r>
          </w:p>
        </w:tc>
      </w:tr>
      <w:tr w14:paraId="660DC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06" w:type="dxa"/>
            <w:noWrap w:val="0"/>
            <w:vAlign w:val="top"/>
          </w:tcPr>
          <w:p w14:paraId="4F206B32">
            <w:pPr>
              <w:pStyle w:val="234"/>
              <w:spacing w:before="48" w:line="226" w:lineRule="auto"/>
              <w:ind w:left="307"/>
              <w:rPr>
                <w:rFonts w:hint="eastAsia"/>
                <w:color w:val="000000"/>
                <w:sz w:val="24"/>
                <w:szCs w:val="24"/>
                <w:highlight w:val="none"/>
                <w:lang w:eastAsia="zh-CN"/>
              </w:rPr>
            </w:pPr>
          </w:p>
          <w:p w14:paraId="481D12D7">
            <w:pPr>
              <w:pStyle w:val="234"/>
              <w:spacing w:before="48" w:line="226" w:lineRule="auto"/>
              <w:ind w:left="307"/>
              <w:rPr>
                <w:rFonts w:hint="eastAsia"/>
                <w:color w:val="000000"/>
                <w:sz w:val="24"/>
                <w:szCs w:val="24"/>
                <w:highlight w:val="none"/>
                <w:lang w:eastAsia="zh-CN"/>
              </w:rPr>
            </w:pPr>
            <w:r>
              <w:rPr>
                <w:rFonts w:hint="eastAsia"/>
                <w:color w:val="000000"/>
                <w:sz w:val="24"/>
                <w:szCs w:val="24"/>
                <w:highlight w:val="none"/>
                <w:lang w:eastAsia="zh-CN"/>
              </w:rPr>
              <w:t>2</w:t>
            </w:r>
          </w:p>
        </w:tc>
        <w:tc>
          <w:tcPr>
            <w:tcW w:w="1289" w:type="dxa"/>
            <w:vMerge w:val="continue"/>
            <w:noWrap w:val="0"/>
            <w:vAlign w:val="top"/>
          </w:tcPr>
          <w:p w14:paraId="397B10D4">
            <w:pPr>
              <w:rPr>
                <w:rFonts w:hint="eastAsia" w:ascii="宋体" w:hAnsi="宋体" w:cs="宋体"/>
                <w:color w:val="000000"/>
                <w:sz w:val="24"/>
                <w:highlight w:val="none"/>
              </w:rPr>
            </w:pPr>
          </w:p>
        </w:tc>
        <w:tc>
          <w:tcPr>
            <w:tcW w:w="6315" w:type="dxa"/>
            <w:noWrap w:val="0"/>
            <w:vAlign w:val="top"/>
          </w:tcPr>
          <w:p w14:paraId="39366D22">
            <w:pPr>
              <w:pStyle w:val="234"/>
              <w:spacing w:before="50" w:line="264" w:lineRule="auto"/>
              <w:ind w:left="110" w:right="108" w:firstLine="4"/>
              <w:rPr>
                <w:rFonts w:hint="eastAsia"/>
                <w:color w:val="000000"/>
                <w:sz w:val="24"/>
                <w:szCs w:val="24"/>
                <w:highlight w:val="none"/>
                <w:lang w:eastAsia="zh-CN"/>
              </w:rPr>
            </w:pPr>
            <w:r>
              <w:rPr>
                <w:rFonts w:hint="eastAsia"/>
                <w:color w:val="000000"/>
                <w:sz w:val="24"/>
                <w:szCs w:val="24"/>
                <w:highlight w:val="none"/>
                <w:lang w:eastAsia="zh-CN"/>
              </w:rPr>
              <w:t>任意用户账号皆可以创建会议，同一时间可以召开多个会议，最大同时与会数为您所购买的并发数，并发可灵活叠加。</w:t>
            </w:r>
          </w:p>
        </w:tc>
      </w:tr>
      <w:tr w14:paraId="328D8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706" w:type="dxa"/>
            <w:noWrap w:val="0"/>
            <w:vAlign w:val="top"/>
          </w:tcPr>
          <w:p w14:paraId="43077B4B">
            <w:pPr>
              <w:pStyle w:val="234"/>
              <w:spacing w:before="48" w:line="226" w:lineRule="auto"/>
              <w:ind w:left="307"/>
              <w:rPr>
                <w:rFonts w:hint="eastAsia"/>
                <w:color w:val="000000"/>
                <w:sz w:val="24"/>
                <w:szCs w:val="24"/>
                <w:highlight w:val="none"/>
                <w:lang w:eastAsia="zh-CN"/>
              </w:rPr>
            </w:pPr>
            <w:r>
              <w:rPr>
                <w:rFonts w:hint="eastAsia"/>
                <w:color w:val="000000"/>
                <w:sz w:val="24"/>
                <w:szCs w:val="24"/>
                <w:highlight w:val="none"/>
                <w:lang w:eastAsia="zh-CN"/>
              </w:rPr>
              <w:t>3</w:t>
            </w:r>
          </w:p>
        </w:tc>
        <w:tc>
          <w:tcPr>
            <w:tcW w:w="1289" w:type="dxa"/>
            <w:vMerge w:val="continue"/>
            <w:noWrap w:val="0"/>
            <w:vAlign w:val="top"/>
          </w:tcPr>
          <w:p w14:paraId="34DCC320">
            <w:pPr>
              <w:rPr>
                <w:rFonts w:hint="eastAsia" w:ascii="宋体" w:hAnsi="宋体" w:cs="宋体"/>
                <w:color w:val="000000"/>
                <w:sz w:val="24"/>
                <w:highlight w:val="none"/>
              </w:rPr>
            </w:pPr>
          </w:p>
        </w:tc>
        <w:tc>
          <w:tcPr>
            <w:tcW w:w="6315" w:type="dxa"/>
            <w:noWrap w:val="0"/>
            <w:vAlign w:val="top"/>
          </w:tcPr>
          <w:p w14:paraId="3FA5CE65">
            <w:pPr>
              <w:pStyle w:val="234"/>
              <w:spacing w:before="50" w:line="264" w:lineRule="auto"/>
              <w:ind w:left="110" w:right="108" w:firstLine="4"/>
              <w:rPr>
                <w:rFonts w:hint="eastAsia"/>
                <w:color w:val="000000"/>
                <w:sz w:val="24"/>
                <w:szCs w:val="24"/>
                <w:highlight w:val="none"/>
                <w:lang w:eastAsia="zh-CN"/>
              </w:rPr>
            </w:pPr>
            <w:r>
              <w:rPr>
                <w:rFonts w:hint="eastAsia"/>
                <w:color w:val="000000"/>
                <w:sz w:val="24"/>
                <w:szCs w:val="24"/>
                <w:highlight w:val="none"/>
                <w:lang w:eastAsia="zh-CN"/>
              </w:rPr>
              <w:t>支持企业资源的监控，实时显示平台软硬终端发放数量、录播空间、会议并发资源、第三方直播端口资源等会议服务资源。</w:t>
            </w:r>
          </w:p>
        </w:tc>
      </w:tr>
      <w:tr w14:paraId="0FCA6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06" w:type="dxa"/>
            <w:noWrap w:val="0"/>
            <w:vAlign w:val="top"/>
          </w:tcPr>
          <w:p w14:paraId="0C81C754">
            <w:pPr>
              <w:pStyle w:val="234"/>
              <w:spacing w:before="48" w:line="226" w:lineRule="auto"/>
              <w:ind w:left="307"/>
              <w:rPr>
                <w:rFonts w:hint="eastAsia"/>
                <w:color w:val="000000"/>
                <w:sz w:val="24"/>
                <w:szCs w:val="24"/>
                <w:highlight w:val="none"/>
                <w:lang w:eastAsia="zh-CN"/>
              </w:rPr>
            </w:pPr>
            <w:r>
              <w:rPr>
                <w:rFonts w:hint="eastAsia"/>
                <w:color w:val="000000"/>
                <w:sz w:val="24"/>
                <w:szCs w:val="24"/>
                <w:highlight w:val="none"/>
                <w:lang w:eastAsia="zh-CN"/>
              </w:rPr>
              <w:t>4</w:t>
            </w:r>
          </w:p>
        </w:tc>
        <w:tc>
          <w:tcPr>
            <w:tcW w:w="1289" w:type="dxa"/>
            <w:vMerge w:val="restart"/>
            <w:noWrap w:val="0"/>
            <w:vAlign w:val="top"/>
          </w:tcPr>
          <w:p w14:paraId="170B61E7">
            <w:pPr>
              <w:spacing w:line="259" w:lineRule="auto"/>
              <w:rPr>
                <w:rFonts w:hint="eastAsia" w:ascii="宋体" w:hAnsi="宋体" w:cs="宋体"/>
                <w:color w:val="000000"/>
                <w:sz w:val="24"/>
                <w:highlight w:val="none"/>
              </w:rPr>
            </w:pPr>
          </w:p>
          <w:p w14:paraId="57D48803">
            <w:pPr>
              <w:spacing w:line="259" w:lineRule="auto"/>
              <w:rPr>
                <w:rFonts w:hint="eastAsia" w:ascii="宋体" w:hAnsi="宋体" w:cs="宋体"/>
                <w:color w:val="000000"/>
                <w:sz w:val="24"/>
                <w:highlight w:val="none"/>
              </w:rPr>
            </w:pPr>
          </w:p>
          <w:p w14:paraId="32B52913">
            <w:pPr>
              <w:spacing w:line="259" w:lineRule="auto"/>
              <w:rPr>
                <w:rFonts w:hint="eastAsia" w:ascii="宋体" w:hAnsi="宋体" w:cs="宋体"/>
                <w:color w:val="000000"/>
                <w:sz w:val="24"/>
                <w:highlight w:val="none"/>
              </w:rPr>
            </w:pPr>
          </w:p>
          <w:p w14:paraId="306BC3B1">
            <w:pPr>
              <w:pStyle w:val="234"/>
              <w:spacing w:before="68" w:line="219" w:lineRule="auto"/>
              <w:ind w:left="113"/>
              <w:rPr>
                <w:rFonts w:hint="eastAsia"/>
                <w:color w:val="000000"/>
                <w:sz w:val="24"/>
                <w:szCs w:val="24"/>
                <w:highlight w:val="none"/>
                <w:lang w:eastAsia="zh-CN"/>
              </w:rPr>
            </w:pPr>
            <w:r>
              <w:rPr>
                <w:rFonts w:hint="eastAsia"/>
                <w:color w:val="000000"/>
                <w:sz w:val="24"/>
                <w:szCs w:val="24"/>
                <w:highlight w:val="none"/>
                <w:lang w:eastAsia="zh-CN"/>
              </w:rPr>
              <w:t>云空间</w:t>
            </w:r>
          </w:p>
        </w:tc>
        <w:tc>
          <w:tcPr>
            <w:tcW w:w="6315" w:type="dxa"/>
            <w:noWrap w:val="0"/>
            <w:vAlign w:val="top"/>
          </w:tcPr>
          <w:p w14:paraId="080109DF">
            <w:pPr>
              <w:pStyle w:val="234"/>
              <w:spacing w:before="54" w:line="219" w:lineRule="auto"/>
              <w:ind w:left="112"/>
              <w:rPr>
                <w:rFonts w:hint="eastAsia"/>
                <w:color w:val="000000"/>
                <w:sz w:val="24"/>
                <w:szCs w:val="24"/>
                <w:highlight w:val="none"/>
                <w:lang w:eastAsia="zh-CN"/>
              </w:rPr>
            </w:pPr>
            <w:r>
              <w:rPr>
                <w:rFonts w:hint="eastAsia"/>
                <w:color w:val="000000"/>
                <w:sz w:val="24"/>
                <w:szCs w:val="24"/>
                <w:highlight w:val="none"/>
                <w:lang w:eastAsia="zh-CN"/>
              </w:rPr>
              <w:t>★租户购买的云空间，支持在企业内全员共享。</w:t>
            </w:r>
            <w:r>
              <w:rPr>
                <w:rFonts w:hint="eastAsia"/>
                <w:color w:val="000000"/>
                <w:sz w:val="24"/>
                <w:highlight w:val="none"/>
                <w:lang w:eastAsia="zh-CN"/>
              </w:rPr>
              <w:t>提供官网证明截图及链接</w:t>
            </w:r>
          </w:p>
        </w:tc>
      </w:tr>
      <w:tr w14:paraId="49F59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06" w:type="dxa"/>
            <w:noWrap w:val="0"/>
            <w:vAlign w:val="top"/>
          </w:tcPr>
          <w:p w14:paraId="49768242">
            <w:pPr>
              <w:pStyle w:val="234"/>
              <w:spacing w:before="51" w:line="224" w:lineRule="auto"/>
              <w:ind w:left="307"/>
              <w:rPr>
                <w:rFonts w:hint="eastAsia"/>
                <w:color w:val="000000"/>
                <w:sz w:val="24"/>
                <w:szCs w:val="24"/>
                <w:highlight w:val="none"/>
              </w:rPr>
            </w:pPr>
            <w:r>
              <w:rPr>
                <w:rFonts w:hint="eastAsia"/>
                <w:color w:val="000000"/>
                <w:sz w:val="24"/>
                <w:szCs w:val="24"/>
                <w:highlight w:val="none"/>
              </w:rPr>
              <w:t>5</w:t>
            </w:r>
          </w:p>
        </w:tc>
        <w:tc>
          <w:tcPr>
            <w:tcW w:w="1289" w:type="dxa"/>
            <w:vMerge w:val="continue"/>
            <w:noWrap w:val="0"/>
            <w:vAlign w:val="top"/>
          </w:tcPr>
          <w:p w14:paraId="61E566C5">
            <w:pPr>
              <w:rPr>
                <w:rFonts w:hint="eastAsia" w:ascii="宋体" w:hAnsi="宋体" w:cs="宋体"/>
                <w:color w:val="000000"/>
                <w:sz w:val="24"/>
                <w:highlight w:val="none"/>
              </w:rPr>
            </w:pPr>
          </w:p>
        </w:tc>
        <w:tc>
          <w:tcPr>
            <w:tcW w:w="6315" w:type="dxa"/>
            <w:noWrap w:val="0"/>
            <w:vAlign w:val="top"/>
          </w:tcPr>
          <w:p w14:paraId="2878633C">
            <w:pPr>
              <w:pStyle w:val="234"/>
              <w:spacing w:before="55" w:line="214" w:lineRule="auto"/>
              <w:ind w:left="112"/>
              <w:rPr>
                <w:rFonts w:hint="eastAsia"/>
                <w:color w:val="000000"/>
                <w:sz w:val="24"/>
                <w:szCs w:val="24"/>
                <w:highlight w:val="none"/>
                <w:lang w:eastAsia="zh-CN"/>
              </w:rPr>
            </w:pPr>
            <w:r>
              <w:rPr>
                <w:rFonts w:hint="eastAsia"/>
                <w:color w:val="000000"/>
                <w:sz w:val="24"/>
                <w:szCs w:val="24"/>
                <w:highlight w:val="none"/>
                <w:lang w:eastAsia="zh-CN"/>
              </w:rPr>
              <w:t>系统支持给所有用户分配的个人空间总量可大于实际购买的空间，个人空间的大小支持调整。</w:t>
            </w:r>
          </w:p>
        </w:tc>
      </w:tr>
      <w:tr w14:paraId="16E5A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06" w:type="dxa"/>
            <w:noWrap w:val="0"/>
            <w:vAlign w:val="top"/>
          </w:tcPr>
          <w:p w14:paraId="20D38E03">
            <w:pPr>
              <w:pStyle w:val="234"/>
              <w:spacing w:before="51" w:line="229" w:lineRule="auto"/>
              <w:ind w:left="305"/>
              <w:rPr>
                <w:rFonts w:hint="eastAsia"/>
                <w:color w:val="000000"/>
                <w:sz w:val="24"/>
                <w:szCs w:val="24"/>
                <w:highlight w:val="none"/>
              </w:rPr>
            </w:pPr>
            <w:r>
              <w:rPr>
                <w:rFonts w:hint="eastAsia"/>
                <w:color w:val="000000"/>
                <w:sz w:val="24"/>
                <w:szCs w:val="24"/>
                <w:highlight w:val="none"/>
              </w:rPr>
              <w:t>6</w:t>
            </w:r>
          </w:p>
        </w:tc>
        <w:tc>
          <w:tcPr>
            <w:tcW w:w="1289" w:type="dxa"/>
            <w:vMerge w:val="continue"/>
            <w:noWrap w:val="0"/>
            <w:vAlign w:val="top"/>
          </w:tcPr>
          <w:p w14:paraId="2C0BBEEB">
            <w:pPr>
              <w:rPr>
                <w:rFonts w:hint="eastAsia" w:ascii="宋体" w:hAnsi="宋体" w:cs="宋体"/>
                <w:color w:val="000000"/>
                <w:sz w:val="24"/>
                <w:highlight w:val="none"/>
              </w:rPr>
            </w:pPr>
          </w:p>
        </w:tc>
        <w:tc>
          <w:tcPr>
            <w:tcW w:w="6315" w:type="dxa"/>
            <w:noWrap w:val="0"/>
            <w:vAlign w:val="top"/>
          </w:tcPr>
          <w:p w14:paraId="37F5D66D">
            <w:pPr>
              <w:pStyle w:val="234"/>
              <w:spacing w:before="55" w:line="219" w:lineRule="auto"/>
              <w:ind w:left="113"/>
              <w:rPr>
                <w:rFonts w:hint="eastAsia"/>
                <w:color w:val="000000"/>
                <w:sz w:val="24"/>
                <w:szCs w:val="24"/>
                <w:highlight w:val="none"/>
                <w:lang w:eastAsia="zh-CN"/>
              </w:rPr>
            </w:pPr>
            <w:r>
              <w:rPr>
                <w:rFonts w:hint="eastAsia"/>
                <w:color w:val="000000"/>
                <w:sz w:val="24"/>
                <w:szCs w:val="24"/>
                <w:highlight w:val="none"/>
                <w:lang w:eastAsia="zh-CN"/>
              </w:rPr>
              <w:t>支持个人空间在线播放音频/视频文件。</w:t>
            </w:r>
          </w:p>
        </w:tc>
      </w:tr>
      <w:tr w14:paraId="0161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06" w:type="dxa"/>
            <w:noWrap w:val="0"/>
            <w:vAlign w:val="top"/>
          </w:tcPr>
          <w:p w14:paraId="0ABE5A7E">
            <w:pPr>
              <w:pStyle w:val="234"/>
              <w:spacing w:before="51" w:line="229" w:lineRule="auto"/>
              <w:ind w:left="305"/>
              <w:rPr>
                <w:rFonts w:hint="eastAsia"/>
                <w:color w:val="000000"/>
                <w:sz w:val="24"/>
                <w:szCs w:val="24"/>
                <w:highlight w:val="none"/>
                <w:lang w:eastAsia="zh-CN"/>
              </w:rPr>
            </w:pPr>
            <w:r>
              <w:rPr>
                <w:rFonts w:hint="eastAsia"/>
                <w:color w:val="000000"/>
                <w:sz w:val="24"/>
                <w:szCs w:val="24"/>
                <w:highlight w:val="none"/>
                <w:lang w:eastAsia="zh-CN"/>
              </w:rPr>
              <w:t>7</w:t>
            </w:r>
          </w:p>
        </w:tc>
        <w:tc>
          <w:tcPr>
            <w:tcW w:w="1289" w:type="dxa"/>
            <w:vMerge w:val="continue"/>
            <w:noWrap w:val="0"/>
            <w:vAlign w:val="top"/>
          </w:tcPr>
          <w:p w14:paraId="101EACC7">
            <w:pPr>
              <w:rPr>
                <w:rFonts w:hint="eastAsia" w:ascii="宋体" w:hAnsi="宋体" w:cs="宋体"/>
                <w:color w:val="000000"/>
                <w:sz w:val="24"/>
                <w:highlight w:val="none"/>
              </w:rPr>
            </w:pPr>
          </w:p>
        </w:tc>
        <w:tc>
          <w:tcPr>
            <w:tcW w:w="6315" w:type="dxa"/>
            <w:noWrap w:val="0"/>
            <w:vAlign w:val="top"/>
          </w:tcPr>
          <w:p w14:paraId="6055030D">
            <w:pPr>
              <w:pStyle w:val="234"/>
              <w:spacing w:before="55" w:line="219" w:lineRule="auto"/>
              <w:ind w:left="113"/>
              <w:rPr>
                <w:rFonts w:hint="eastAsia"/>
                <w:color w:val="000000"/>
                <w:sz w:val="24"/>
                <w:szCs w:val="24"/>
                <w:highlight w:val="none"/>
                <w:lang w:eastAsia="zh-CN"/>
              </w:rPr>
            </w:pPr>
            <w:r>
              <w:rPr>
                <w:rFonts w:hint="eastAsia"/>
                <w:color w:val="000000"/>
                <w:sz w:val="24"/>
                <w:szCs w:val="24"/>
                <w:highlight w:val="none"/>
                <w:lang w:eastAsia="zh-CN"/>
              </w:rPr>
              <w:t>支持文件的断点续传。</w:t>
            </w:r>
          </w:p>
        </w:tc>
      </w:tr>
      <w:tr w14:paraId="4C354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5A6C3C8B">
            <w:pPr>
              <w:pStyle w:val="234"/>
              <w:spacing w:before="51" w:line="229" w:lineRule="auto"/>
              <w:ind w:left="305"/>
              <w:rPr>
                <w:rFonts w:hint="eastAsia"/>
                <w:color w:val="000000"/>
                <w:sz w:val="24"/>
                <w:szCs w:val="24"/>
                <w:highlight w:val="none"/>
                <w:lang w:eastAsia="zh-CN"/>
              </w:rPr>
            </w:pPr>
            <w:r>
              <w:rPr>
                <w:rFonts w:hint="eastAsia"/>
                <w:color w:val="000000"/>
                <w:sz w:val="24"/>
                <w:szCs w:val="24"/>
                <w:highlight w:val="none"/>
                <w:lang w:eastAsia="zh-CN"/>
              </w:rPr>
              <w:t>8</w:t>
            </w:r>
          </w:p>
        </w:tc>
        <w:tc>
          <w:tcPr>
            <w:tcW w:w="1289" w:type="dxa"/>
            <w:vMerge w:val="restart"/>
            <w:noWrap w:val="0"/>
            <w:vAlign w:val="top"/>
          </w:tcPr>
          <w:p w14:paraId="4E012D44">
            <w:pPr>
              <w:spacing w:line="314" w:lineRule="auto"/>
              <w:rPr>
                <w:rFonts w:hint="eastAsia" w:ascii="宋体" w:hAnsi="宋体" w:cs="宋体"/>
                <w:color w:val="000000"/>
                <w:sz w:val="24"/>
                <w:highlight w:val="none"/>
              </w:rPr>
            </w:pPr>
          </w:p>
          <w:p w14:paraId="72B647B8">
            <w:pPr>
              <w:spacing w:line="314" w:lineRule="auto"/>
              <w:rPr>
                <w:rFonts w:hint="eastAsia" w:ascii="宋体" w:hAnsi="宋体" w:cs="宋体"/>
                <w:color w:val="000000"/>
                <w:sz w:val="24"/>
                <w:highlight w:val="none"/>
              </w:rPr>
            </w:pPr>
          </w:p>
          <w:p w14:paraId="13C209E1">
            <w:pPr>
              <w:spacing w:line="315" w:lineRule="auto"/>
              <w:rPr>
                <w:rFonts w:hint="eastAsia" w:ascii="宋体" w:hAnsi="宋体" w:cs="宋体"/>
                <w:color w:val="000000"/>
                <w:sz w:val="24"/>
                <w:highlight w:val="none"/>
              </w:rPr>
            </w:pPr>
          </w:p>
          <w:p w14:paraId="5BBC40F0">
            <w:pPr>
              <w:rPr>
                <w:rFonts w:hint="eastAsia" w:ascii="宋体" w:hAnsi="宋体" w:cs="宋体"/>
                <w:color w:val="000000"/>
                <w:sz w:val="24"/>
                <w:highlight w:val="none"/>
              </w:rPr>
            </w:pPr>
            <w:r>
              <w:rPr>
                <w:rFonts w:hint="eastAsia" w:ascii="宋体" w:hAnsi="宋体" w:cs="宋体"/>
                <w:color w:val="000000"/>
                <w:spacing w:val="-7"/>
                <w:sz w:val="24"/>
                <w:highlight w:val="none"/>
              </w:rPr>
              <w:t>网络适应性</w:t>
            </w:r>
          </w:p>
        </w:tc>
        <w:tc>
          <w:tcPr>
            <w:tcW w:w="6315" w:type="dxa"/>
            <w:noWrap w:val="0"/>
            <w:vAlign w:val="top"/>
          </w:tcPr>
          <w:p w14:paraId="7F84A942">
            <w:pPr>
              <w:pStyle w:val="234"/>
              <w:spacing w:before="55" w:line="219" w:lineRule="auto"/>
              <w:ind w:left="113"/>
              <w:rPr>
                <w:rFonts w:hint="eastAsia"/>
                <w:color w:val="000000"/>
                <w:spacing w:val="-1"/>
                <w:sz w:val="24"/>
                <w:szCs w:val="24"/>
                <w:highlight w:val="none"/>
                <w:lang w:eastAsia="zh-CN"/>
              </w:rPr>
            </w:pPr>
            <w:r>
              <w:rPr>
                <w:rFonts w:hint="eastAsia"/>
                <w:color w:val="000000"/>
                <w:spacing w:val="-1"/>
                <w:sz w:val="24"/>
                <w:szCs w:val="24"/>
                <w:highlight w:val="none"/>
                <w:lang w:eastAsia="zh-CN"/>
              </w:rPr>
              <w:t>★</w:t>
            </w:r>
            <w:r>
              <w:rPr>
                <w:color w:val="000000"/>
                <w:spacing w:val="-1"/>
                <w:sz w:val="24"/>
                <w:szCs w:val="24"/>
                <w:highlight w:val="none"/>
                <w:lang w:eastAsia="zh-CN"/>
              </w:rPr>
              <w:t>具备良好的网络适应性，支持视频50%抗丢包，语音80%抗丢包，数据共享50%抗丢包，鼠标操作流畅和形状同步70%抗丢包</w:t>
            </w:r>
            <w:r>
              <w:rPr>
                <w:rFonts w:hint="eastAsia"/>
                <w:color w:val="000000"/>
                <w:spacing w:val="-1"/>
                <w:sz w:val="24"/>
                <w:szCs w:val="24"/>
                <w:highlight w:val="none"/>
                <w:lang w:eastAsia="zh-CN"/>
              </w:rPr>
              <w:t>，</w:t>
            </w:r>
            <w:r>
              <w:rPr>
                <w:rFonts w:hint="eastAsia"/>
                <w:color w:val="000000"/>
                <w:sz w:val="24"/>
                <w:highlight w:val="none"/>
                <w:lang w:eastAsia="zh-CN"/>
              </w:rPr>
              <w:t>提供官网证明截图及链接</w:t>
            </w:r>
          </w:p>
        </w:tc>
      </w:tr>
      <w:tr w14:paraId="7A3EE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2533374D">
            <w:pPr>
              <w:pStyle w:val="234"/>
              <w:spacing w:before="51" w:line="229" w:lineRule="auto"/>
              <w:ind w:left="305"/>
              <w:rPr>
                <w:rFonts w:hint="eastAsia"/>
                <w:color w:val="000000"/>
                <w:sz w:val="24"/>
                <w:szCs w:val="24"/>
                <w:highlight w:val="none"/>
                <w:lang w:eastAsia="zh-CN"/>
              </w:rPr>
            </w:pPr>
            <w:r>
              <w:rPr>
                <w:rFonts w:hint="eastAsia"/>
                <w:color w:val="000000"/>
                <w:position w:val="1"/>
                <w:sz w:val="24"/>
                <w:szCs w:val="24"/>
                <w:highlight w:val="none"/>
                <w:lang w:eastAsia="zh-CN"/>
              </w:rPr>
              <w:t>9</w:t>
            </w:r>
          </w:p>
        </w:tc>
        <w:tc>
          <w:tcPr>
            <w:tcW w:w="1289" w:type="dxa"/>
            <w:vMerge w:val="continue"/>
            <w:noWrap w:val="0"/>
            <w:vAlign w:val="top"/>
          </w:tcPr>
          <w:p w14:paraId="4D675C15">
            <w:pPr>
              <w:spacing w:line="314" w:lineRule="auto"/>
              <w:rPr>
                <w:rFonts w:hint="eastAsia" w:ascii="宋体" w:hAnsi="宋体" w:cs="宋体"/>
                <w:color w:val="000000"/>
                <w:sz w:val="24"/>
                <w:highlight w:val="none"/>
              </w:rPr>
            </w:pPr>
          </w:p>
        </w:tc>
        <w:tc>
          <w:tcPr>
            <w:tcW w:w="6315" w:type="dxa"/>
            <w:noWrap w:val="0"/>
            <w:vAlign w:val="top"/>
          </w:tcPr>
          <w:p w14:paraId="2DA38F8E">
            <w:pPr>
              <w:pStyle w:val="234"/>
              <w:spacing w:before="55" w:line="219" w:lineRule="auto"/>
              <w:ind w:left="113"/>
              <w:rPr>
                <w:rFonts w:hint="eastAsia"/>
                <w:color w:val="000000"/>
                <w:spacing w:val="-1"/>
                <w:sz w:val="24"/>
                <w:szCs w:val="24"/>
                <w:highlight w:val="none"/>
                <w:lang w:eastAsia="zh-CN"/>
              </w:rPr>
            </w:pPr>
            <w:r>
              <w:rPr>
                <w:color w:val="000000"/>
                <w:spacing w:val="-1"/>
                <w:sz w:val="24"/>
                <w:szCs w:val="24"/>
                <w:highlight w:val="none"/>
                <w:lang w:eastAsia="zh-CN"/>
              </w:rPr>
              <w:t>支持IP网络升降速，可根据IP网络带宽的变化，自动调整会议中视音频带宽，保证图像语音质量良好。</w:t>
            </w:r>
          </w:p>
        </w:tc>
      </w:tr>
      <w:tr w14:paraId="2CF71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7914930A">
            <w:pPr>
              <w:pStyle w:val="234"/>
              <w:spacing w:before="51" w:line="229" w:lineRule="auto"/>
              <w:ind w:left="305"/>
              <w:rPr>
                <w:rFonts w:hint="eastAsia"/>
                <w:color w:val="000000"/>
                <w:position w:val="1"/>
                <w:sz w:val="24"/>
                <w:szCs w:val="24"/>
                <w:highlight w:val="none"/>
                <w:lang w:eastAsia="zh-CN"/>
              </w:rPr>
            </w:pPr>
            <w:r>
              <w:rPr>
                <w:rFonts w:hint="eastAsia"/>
                <w:color w:val="000000"/>
                <w:position w:val="1"/>
                <w:sz w:val="24"/>
                <w:szCs w:val="24"/>
                <w:highlight w:val="none"/>
                <w:lang w:eastAsia="zh-CN"/>
              </w:rPr>
              <w:t>10</w:t>
            </w:r>
          </w:p>
        </w:tc>
        <w:tc>
          <w:tcPr>
            <w:tcW w:w="1289" w:type="dxa"/>
            <w:vMerge w:val="continue"/>
            <w:noWrap w:val="0"/>
            <w:vAlign w:val="top"/>
          </w:tcPr>
          <w:p w14:paraId="4A0A4CFF">
            <w:pPr>
              <w:spacing w:line="314" w:lineRule="auto"/>
              <w:rPr>
                <w:rFonts w:hint="eastAsia" w:ascii="宋体" w:hAnsi="宋体" w:cs="宋体"/>
                <w:color w:val="000000"/>
                <w:sz w:val="24"/>
                <w:highlight w:val="none"/>
              </w:rPr>
            </w:pPr>
          </w:p>
        </w:tc>
        <w:tc>
          <w:tcPr>
            <w:tcW w:w="6315" w:type="dxa"/>
            <w:noWrap w:val="0"/>
            <w:vAlign w:val="top"/>
          </w:tcPr>
          <w:p w14:paraId="7A603F20">
            <w:pPr>
              <w:pStyle w:val="234"/>
              <w:spacing w:before="55" w:line="219" w:lineRule="auto"/>
              <w:ind w:left="113"/>
              <w:rPr>
                <w:rFonts w:hint="eastAsia"/>
                <w:color w:val="000000"/>
                <w:spacing w:val="-1"/>
                <w:sz w:val="24"/>
                <w:szCs w:val="24"/>
                <w:highlight w:val="none"/>
                <w:lang w:eastAsia="zh-CN"/>
              </w:rPr>
            </w:pPr>
            <w:r>
              <w:rPr>
                <w:color w:val="000000"/>
                <w:spacing w:val="-1"/>
                <w:sz w:val="24"/>
                <w:szCs w:val="24"/>
                <w:highlight w:val="none"/>
                <w:lang w:eastAsia="zh-CN"/>
              </w:rPr>
              <w:t>支持多运营商线路接入，包含电信、联通、移动、铁通、长城、教育网，保障终端至云视讯平台的网络质量。</w:t>
            </w:r>
          </w:p>
        </w:tc>
      </w:tr>
      <w:tr w14:paraId="1C02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2EAD99F4">
            <w:pPr>
              <w:pStyle w:val="234"/>
              <w:spacing w:before="51" w:line="229" w:lineRule="auto"/>
              <w:ind w:left="305"/>
              <w:rPr>
                <w:rFonts w:hint="eastAsia"/>
                <w:color w:val="000000"/>
                <w:position w:val="1"/>
                <w:sz w:val="24"/>
                <w:szCs w:val="24"/>
                <w:highlight w:val="none"/>
                <w:lang w:eastAsia="zh-CN"/>
              </w:rPr>
            </w:pPr>
            <w:r>
              <w:rPr>
                <w:rFonts w:hint="eastAsia"/>
                <w:color w:val="000000"/>
                <w:spacing w:val="-4"/>
                <w:position w:val="1"/>
                <w:sz w:val="24"/>
                <w:szCs w:val="24"/>
                <w:highlight w:val="none"/>
                <w:lang w:eastAsia="zh-CN"/>
              </w:rPr>
              <w:t>11</w:t>
            </w:r>
          </w:p>
        </w:tc>
        <w:tc>
          <w:tcPr>
            <w:tcW w:w="1289" w:type="dxa"/>
            <w:vMerge w:val="continue"/>
            <w:noWrap w:val="0"/>
            <w:vAlign w:val="top"/>
          </w:tcPr>
          <w:p w14:paraId="7F04FE02">
            <w:pPr>
              <w:spacing w:line="314" w:lineRule="auto"/>
              <w:rPr>
                <w:rFonts w:hint="eastAsia" w:ascii="宋体" w:hAnsi="宋体" w:cs="宋体"/>
                <w:color w:val="000000"/>
                <w:sz w:val="24"/>
                <w:highlight w:val="none"/>
              </w:rPr>
            </w:pPr>
          </w:p>
        </w:tc>
        <w:tc>
          <w:tcPr>
            <w:tcW w:w="6315" w:type="dxa"/>
            <w:noWrap w:val="0"/>
            <w:vAlign w:val="top"/>
          </w:tcPr>
          <w:p w14:paraId="548F1577">
            <w:pPr>
              <w:pStyle w:val="234"/>
              <w:spacing w:before="55" w:line="219" w:lineRule="auto"/>
              <w:ind w:left="113"/>
              <w:rPr>
                <w:rFonts w:hint="eastAsia"/>
                <w:color w:val="000000"/>
                <w:spacing w:val="-1"/>
                <w:sz w:val="24"/>
                <w:szCs w:val="24"/>
                <w:highlight w:val="none"/>
                <w:lang w:eastAsia="zh-CN"/>
              </w:rPr>
            </w:pPr>
            <w:r>
              <w:rPr>
                <w:color w:val="000000"/>
                <w:spacing w:val="-1"/>
                <w:sz w:val="24"/>
                <w:szCs w:val="24"/>
                <w:highlight w:val="none"/>
                <w:lang w:eastAsia="zh-CN"/>
              </w:rPr>
              <w:t>平台具备分布式媒体接入站点，支持区域终端就近接入，确保跨地域终端接入音视频质量。</w:t>
            </w:r>
          </w:p>
        </w:tc>
      </w:tr>
      <w:tr w14:paraId="1A079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090E09E1">
            <w:pPr>
              <w:pStyle w:val="234"/>
              <w:spacing w:before="51" w:line="229" w:lineRule="auto"/>
              <w:ind w:left="305"/>
              <w:rPr>
                <w:rFonts w:hint="eastAsia"/>
                <w:color w:val="000000"/>
                <w:spacing w:val="-4"/>
                <w:position w:val="1"/>
                <w:sz w:val="24"/>
                <w:szCs w:val="24"/>
                <w:highlight w:val="none"/>
                <w:lang w:eastAsia="zh-CN"/>
              </w:rPr>
            </w:pPr>
            <w:r>
              <w:rPr>
                <w:rFonts w:hint="eastAsia"/>
                <w:color w:val="000000"/>
                <w:spacing w:val="-4"/>
                <w:sz w:val="24"/>
                <w:szCs w:val="24"/>
                <w:highlight w:val="none"/>
              </w:rPr>
              <w:t>1</w:t>
            </w:r>
            <w:r>
              <w:rPr>
                <w:rFonts w:hint="eastAsia"/>
                <w:color w:val="000000"/>
                <w:spacing w:val="-4"/>
                <w:sz w:val="24"/>
                <w:szCs w:val="24"/>
                <w:highlight w:val="none"/>
                <w:lang w:eastAsia="zh-CN"/>
              </w:rPr>
              <w:t>2</w:t>
            </w:r>
          </w:p>
        </w:tc>
        <w:tc>
          <w:tcPr>
            <w:tcW w:w="1289" w:type="dxa"/>
            <w:vMerge w:val="restart"/>
            <w:noWrap w:val="0"/>
            <w:vAlign w:val="top"/>
          </w:tcPr>
          <w:p w14:paraId="1D6923B4">
            <w:pPr>
              <w:spacing w:line="457" w:lineRule="auto"/>
              <w:rPr>
                <w:rFonts w:hint="eastAsia" w:ascii="宋体" w:hAnsi="宋体" w:cs="宋体"/>
                <w:color w:val="000000"/>
                <w:sz w:val="24"/>
                <w:highlight w:val="none"/>
              </w:rPr>
            </w:pPr>
          </w:p>
          <w:p w14:paraId="55CAC901">
            <w:pPr>
              <w:spacing w:line="314" w:lineRule="auto"/>
              <w:rPr>
                <w:rFonts w:hint="eastAsia" w:ascii="宋体" w:hAnsi="宋体" w:cs="宋体"/>
                <w:color w:val="000000"/>
                <w:sz w:val="24"/>
                <w:highlight w:val="none"/>
              </w:rPr>
            </w:pPr>
            <w:r>
              <w:rPr>
                <w:rFonts w:hint="eastAsia" w:ascii="宋体" w:hAnsi="宋体" w:cs="宋体"/>
                <w:color w:val="000000"/>
                <w:spacing w:val="-3"/>
                <w:sz w:val="24"/>
                <w:highlight w:val="none"/>
              </w:rPr>
              <w:t>系统安全</w:t>
            </w:r>
          </w:p>
        </w:tc>
        <w:tc>
          <w:tcPr>
            <w:tcW w:w="6315" w:type="dxa"/>
            <w:noWrap w:val="0"/>
            <w:vAlign w:val="top"/>
          </w:tcPr>
          <w:p w14:paraId="410B4096">
            <w:pPr>
              <w:pStyle w:val="234"/>
              <w:spacing w:before="55" w:line="219" w:lineRule="auto"/>
              <w:ind w:left="113"/>
              <w:rPr>
                <w:rFonts w:hint="eastAsia"/>
                <w:color w:val="000000"/>
                <w:sz w:val="24"/>
                <w:szCs w:val="24"/>
                <w:highlight w:val="none"/>
                <w:lang w:eastAsia="zh-CN"/>
              </w:rPr>
            </w:pPr>
            <w:r>
              <w:rPr>
                <w:rFonts w:hint="eastAsia"/>
                <w:color w:val="000000"/>
                <w:sz w:val="24"/>
                <w:szCs w:val="24"/>
                <w:highlight w:val="none"/>
                <w:lang w:eastAsia="zh-CN"/>
              </w:rPr>
              <w:t>★支持多媒体数据会议加密传输，采用AES标准加密算法，</w:t>
            </w:r>
            <w:r>
              <w:rPr>
                <w:rFonts w:hint="eastAsia"/>
                <w:color w:val="000000"/>
                <w:sz w:val="24"/>
                <w:highlight w:val="none"/>
                <w:lang w:eastAsia="zh-CN"/>
              </w:rPr>
              <w:t>提供官网证明截图及链接</w:t>
            </w:r>
          </w:p>
        </w:tc>
      </w:tr>
      <w:tr w14:paraId="5A600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714BDAFF">
            <w:pPr>
              <w:pStyle w:val="234"/>
              <w:spacing w:before="51" w:line="229" w:lineRule="auto"/>
              <w:ind w:left="305"/>
              <w:rPr>
                <w:rFonts w:hint="eastAsia"/>
                <w:color w:val="000000"/>
                <w:spacing w:val="-4"/>
                <w:sz w:val="24"/>
                <w:szCs w:val="24"/>
                <w:highlight w:val="none"/>
                <w:lang w:eastAsia="zh-CN"/>
              </w:rPr>
            </w:pPr>
            <w:r>
              <w:rPr>
                <w:rFonts w:hint="eastAsia"/>
                <w:color w:val="000000"/>
                <w:spacing w:val="-4"/>
                <w:position w:val="1"/>
                <w:sz w:val="24"/>
                <w:szCs w:val="24"/>
                <w:highlight w:val="none"/>
              </w:rPr>
              <w:t>1</w:t>
            </w:r>
            <w:r>
              <w:rPr>
                <w:rFonts w:hint="eastAsia"/>
                <w:color w:val="000000"/>
                <w:spacing w:val="-4"/>
                <w:position w:val="1"/>
                <w:sz w:val="24"/>
                <w:szCs w:val="24"/>
                <w:highlight w:val="none"/>
                <w:lang w:eastAsia="zh-CN"/>
              </w:rPr>
              <w:t>3</w:t>
            </w:r>
          </w:p>
        </w:tc>
        <w:tc>
          <w:tcPr>
            <w:tcW w:w="1289" w:type="dxa"/>
            <w:vMerge w:val="continue"/>
            <w:noWrap w:val="0"/>
            <w:vAlign w:val="top"/>
          </w:tcPr>
          <w:p w14:paraId="1B8C0B63">
            <w:pPr>
              <w:spacing w:line="457" w:lineRule="auto"/>
              <w:rPr>
                <w:rFonts w:hint="eastAsia" w:ascii="宋体" w:hAnsi="宋体" w:cs="宋体"/>
                <w:color w:val="000000"/>
                <w:sz w:val="24"/>
                <w:highlight w:val="none"/>
              </w:rPr>
            </w:pPr>
          </w:p>
        </w:tc>
        <w:tc>
          <w:tcPr>
            <w:tcW w:w="6315" w:type="dxa"/>
            <w:noWrap w:val="0"/>
            <w:vAlign w:val="top"/>
          </w:tcPr>
          <w:p w14:paraId="03218209">
            <w:pPr>
              <w:pStyle w:val="234"/>
              <w:spacing w:before="55" w:line="219" w:lineRule="auto"/>
              <w:ind w:left="113"/>
              <w:rPr>
                <w:rFonts w:hint="eastAsia"/>
                <w:color w:val="000000"/>
                <w:sz w:val="24"/>
                <w:szCs w:val="24"/>
                <w:highlight w:val="none"/>
                <w:lang w:eastAsia="zh-CN"/>
              </w:rPr>
            </w:pPr>
            <w:r>
              <w:rPr>
                <w:rFonts w:hint="eastAsia"/>
                <w:color w:val="000000"/>
                <w:spacing w:val="-1"/>
                <w:sz w:val="24"/>
                <w:szCs w:val="24"/>
                <w:highlight w:val="none"/>
                <w:lang w:eastAsia="zh-CN"/>
              </w:rPr>
              <w:t>为确保云视频平台的安全性，要求云视频平台通过信息系统等保</w:t>
            </w:r>
            <w:r>
              <w:rPr>
                <w:rFonts w:hint="eastAsia"/>
                <w:color w:val="000000"/>
                <w:spacing w:val="17"/>
                <w:sz w:val="24"/>
                <w:szCs w:val="24"/>
                <w:highlight w:val="none"/>
                <w:lang w:eastAsia="zh-CN"/>
              </w:rPr>
              <w:t xml:space="preserve"> </w:t>
            </w:r>
            <w:r>
              <w:rPr>
                <w:rFonts w:hint="eastAsia"/>
                <w:color w:val="000000"/>
                <w:spacing w:val="-2"/>
                <w:sz w:val="24"/>
                <w:szCs w:val="24"/>
                <w:highlight w:val="none"/>
                <w:lang w:eastAsia="zh-CN"/>
              </w:rPr>
              <w:t>三级测评。</w:t>
            </w:r>
          </w:p>
        </w:tc>
      </w:tr>
      <w:tr w14:paraId="00354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761534BF">
            <w:pPr>
              <w:pStyle w:val="234"/>
              <w:spacing w:before="51" w:line="229" w:lineRule="auto"/>
              <w:ind w:left="305"/>
              <w:rPr>
                <w:rFonts w:hint="eastAsia"/>
                <w:color w:val="000000"/>
                <w:spacing w:val="-4"/>
                <w:position w:val="1"/>
                <w:sz w:val="24"/>
                <w:szCs w:val="24"/>
                <w:highlight w:val="none"/>
                <w:lang w:eastAsia="zh-CN"/>
              </w:rPr>
            </w:pPr>
            <w:r>
              <w:rPr>
                <w:rFonts w:hint="eastAsia"/>
                <w:color w:val="000000"/>
                <w:spacing w:val="-4"/>
                <w:position w:val="1"/>
                <w:sz w:val="24"/>
                <w:szCs w:val="24"/>
                <w:highlight w:val="none"/>
                <w:lang w:eastAsia="zh-CN"/>
              </w:rPr>
              <w:t>14</w:t>
            </w:r>
          </w:p>
        </w:tc>
        <w:tc>
          <w:tcPr>
            <w:tcW w:w="1289" w:type="dxa"/>
            <w:vMerge w:val="continue"/>
            <w:noWrap w:val="0"/>
            <w:vAlign w:val="top"/>
          </w:tcPr>
          <w:p w14:paraId="4165FA9B">
            <w:pPr>
              <w:spacing w:line="247" w:lineRule="auto"/>
              <w:rPr>
                <w:rFonts w:hint="eastAsia" w:ascii="宋体" w:hAnsi="宋体" w:cs="宋体"/>
                <w:color w:val="000000"/>
                <w:sz w:val="24"/>
                <w:highlight w:val="none"/>
              </w:rPr>
            </w:pPr>
          </w:p>
        </w:tc>
        <w:tc>
          <w:tcPr>
            <w:tcW w:w="6315" w:type="dxa"/>
            <w:noWrap w:val="0"/>
            <w:vAlign w:val="top"/>
          </w:tcPr>
          <w:p w14:paraId="1C2105DC">
            <w:pPr>
              <w:pStyle w:val="234"/>
              <w:spacing w:before="55" w:line="219" w:lineRule="auto"/>
              <w:ind w:left="113"/>
              <w:rPr>
                <w:rFonts w:hint="eastAsia"/>
                <w:color w:val="000000"/>
                <w:sz w:val="24"/>
                <w:szCs w:val="24"/>
                <w:highlight w:val="none"/>
                <w:lang w:eastAsia="zh-CN"/>
              </w:rPr>
            </w:pPr>
            <w:r>
              <w:rPr>
                <w:color w:val="000000"/>
                <w:spacing w:val="-1"/>
                <w:sz w:val="24"/>
                <w:szCs w:val="24"/>
                <w:highlight w:val="none"/>
                <w:lang w:eastAsia="zh-CN"/>
              </w:rPr>
              <w:t>支持部门成员查看通讯录权限控制</w:t>
            </w:r>
          </w:p>
        </w:tc>
      </w:tr>
      <w:tr w14:paraId="25C79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194C5F2F">
            <w:pPr>
              <w:pStyle w:val="234"/>
              <w:spacing w:before="51" w:line="229" w:lineRule="auto"/>
              <w:ind w:left="305"/>
              <w:rPr>
                <w:rFonts w:hint="eastAsia"/>
                <w:color w:val="000000"/>
                <w:spacing w:val="-4"/>
                <w:position w:val="1"/>
                <w:sz w:val="24"/>
                <w:szCs w:val="24"/>
                <w:highlight w:val="none"/>
                <w:lang w:eastAsia="zh-CN"/>
              </w:rPr>
            </w:pPr>
            <w:r>
              <w:rPr>
                <w:rFonts w:hint="eastAsia"/>
                <w:color w:val="000000"/>
                <w:spacing w:val="-4"/>
                <w:position w:val="1"/>
                <w:sz w:val="24"/>
                <w:szCs w:val="24"/>
                <w:highlight w:val="none"/>
              </w:rPr>
              <w:t>1</w:t>
            </w:r>
            <w:r>
              <w:rPr>
                <w:rFonts w:hint="eastAsia"/>
                <w:color w:val="000000"/>
                <w:spacing w:val="-4"/>
                <w:position w:val="1"/>
                <w:sz w:val="24"/>
                <w:szCs w:val="24"/>
                <w:highlight w:val="none"/>
                <w:lang w:eastAsia="zh-CN"/>
              </w:rPr>
              <w:t>5</w:t>
            </w:r>
          </w:p>
        </w:tc>
        <w:tc>
          <w:tcPr>
            <w:tcW w:w="1289" w:type="dxa"/>
            <w:vMerge w:val="restart"/>
            <w:noWrap w:val="0"/>
            <w:vAlign w:val="top"/>
          </w:tcPr>
          <w:p w14:paraId="7964B654">
            <w:pPr>
              <w:spacing w:line="247" w:lineRule="auto"/>
              <w:rPr>
                <w:rFonts w:hint="eastAsia" w:ascii="宋体" w:hAnsi="宋体" w:cs="宋体"/>
                <w:color w:val="000000"/>
                <w:sz w:val="24"/>
                <w:highlight w:val="none"/>
              </w:rPr>
            </w:pPr>
          </w:p>
          <w:p w14:paraId="1A81CFF8">
            <w:pPr>
              <w:spacing w:line="247" w:lineRule="auto"/>
              <w:rPr>
                <w:rFonts w:hint="eastAsia" w:ascii="宋体" w:hAnsi="宋体" w:cs="宋体"/>
                <w:color w:val="000000"/>
                <w:sz w:val="24"/>
                <w:highlight w:val="none"/>
              </w:rPr>
            </w:pPr>
          </w:p>
          <w:p w14:paraId="6D1E9CA5">
            <w:pPr>
              <w:spacing w:line="248" w:lineRule="auto"/>
              <w:rPr>
                <w:rFonts w:hint="eastAsia" w:ascii="宋体" w:hAnsi="宋体" w:cs="宋体"/>
                <w:color w:val="000000"/>
                <w:sz w:val="24"/>
                <w:highlight w:val="none"/>
              </w:rPr>
            </w:pPr>
          </w:p>
          <w:p w14:paraId="595216DA">
            <w:pPr>
              <w:spacing w:line="248" w:lineRule="auto"/>
              <w:rPr>
                <w:rFonts w:hint="eastAsia" w:ascii="宋体" w:hAnsi="宋体" w:cs="宋体"/>
                <w:color w:val="000000"/>
                <w:sz w:val="24"/>
                <w:highlight w:val="none"/>
              </w:rPr>
            </w:pPr>
          </w:p>
          <w:p w14:paraId="0FD926B5">
            <w:pPr>
              <w:spacing w:line="248" w:lineRule="auto"/>
              <w:rPr>
                <w:rFonts w:hint="eastAsia" w:ascii="宋体" w:hAnsi="宋体" w:cs="宋体"/>
                <w:color w:val="000000"/>
                <w:sz w:val="24"/>
                <w:highlight w:val="none"/>
              </w:rPr>
            </w:pPr>
          </w:p>
          <w:p w14:paraId="5EC54628">
            <w:pPr>
              <w:spacing w:line="248" w:lineRule="auto"/>
              <w:rPr>
                <w:rFonts w:hint="eastAsia" w:ascii="宋体" w:hAnsi="宋体" w:cs="宋体"/>
                <w:color w:val="000000"/>
                <w:sz w:val="24"/>
                <w:highlight w:val="none"/>
              </w:rPr>
            </w:pPr>
          </w:p>
          <w:p w14:paraId="6B3EA5DB">
            <w:pPr>
              <w:spacing w:line="248" w:lineRule="auto"/>
              <w:rPr>
                <w:rFonts w:hint="eastAsia" w:ascii="宋体" w:hAnsi="宋体" w:cs="宋体"/>
                <w:color w:val="000000"/>
                <w:sz w:val="24"/>
                <w:highlight w:val="none"/>
              </w:rPr>
            </w:pPr>
          </w:p>
          <w:p w14:paraId="1C4403E7">
            <w:pPr>
              <w:pStyle w:val="234"/>
              <w:spacing w:before="68" w:line="221" w:lineRule="auto"/>
              <w:rPr>
                <w:rFonts w:hint="eastAsia"/>
                <w:color w:val="000000"/>
                <w:spacing w:val="-4"/>
                <w:sz w:val="24"/>
                <w:szCs w:val="24"/>
                <w:highlight w:val="none"/>
                <w:lang w:eastAsia="zh-CN"/>
              </w:rPr>
            </w:pPr>
            <w:r>
              <w:rPr>
                <w:rFonts w:hint="eastAsia"/>
                <w:color w:val="000000"/>
                <w:spacing w:val="-4"/>
                <w:sz w:val="24"/>
                <w:szCs w:val="24"/>
                <w:highlight w:val="none"/>
                <w:lang w:eastAsia="zh-CN"/>
              </w:rPr>
              <w:t>会议录播</w:t>
            </w:r>
          </w:p>
          <w:p w14:paraId="230F718F">
            <w:pPr>
              <w:spacing w:line="457" w:lineRule="auto"/>
              <w:rPr>
                <w:rFonts w:hint="eastAsia" w:ascii="宋体" w:hAnsi="宋体" w:cs="宋体"/>
                <w:color w:val="000000"/>
                <w:sz w:val="24"/>
                <w:highlight w:val="none"/>
              </w:rPr>
            </w:pPr>
          </w:p>
        </w:tc>
        <w:tc>
          <w:tcPr>
            <w:tcW w:w="6315" w:type="dxa"/>
            <w:noWrap w:val="0"/>
            <w:vAlign w:val="top"/>
          </w:tcPr>
          <w:p w14:paraId="3C3E3CDD">
            <w:pPr>
              <w:pStyle w:val="234"/>
              <w:spacing w:before="55" w:line="219" w:lineRule="auto"/>
              <w:ind w:left="113"/>
              <w:rPr>
                <w:rFonts w:hint="eastAsia"/>
                <w:color w:val="000000"/>
                <w:spacing w:val="-1"/>
                <w:sz w:val="24"/>
                <w:szCs w:val="24"/>
                <w:highlight w:val="none"/>
                <w:lang w:eastAsia="zh-CN"/>
              </w:rPr>
            </w:pPr>
            <w:r>
              <w:rPr>
                <w:rFonts w:hint="eastAsia"/>
                <w:color w:val="000000"/>
                <w:sz w:val="24"/>
                <w:szCs w:val="24"/>
                <w:highlight w:val="none"/>
                <w:lang w:eastAsia="zh-CN"/>
              </w:rPr>
              <w:t>支持通过web会控界面、硬终端、软终端启动和控制会议录制</w:t>
            </w:r>
          </w:p>
        </w:tc>
      </w:tr>
      <w:tr w14:paraId="193C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226E11D8">
            <w:pPr>
              <w:pStyle w:val="234"/>
              <w:spacing w:before="51" w:line="229" w:lineRule="auto"/>
              <w:ind w:left="305"/>
              <w:rPr>
                <w:rFonts w:hint="eastAsia"/>
                <w:color w:val="000000"/>
                <w:spacing w:val="-4"/>
                <w:position w:val="1"/>
                <w:sz w:val="24"/>
                <w:szCs w:val="24"/>
                <w:highlight w:val="none"/>
                <w:lang w:eastAsia="zh-CN"/>
              </w:rPr>
            </w:pPr>
            <w:r>
              <w:rPr>
                <w:rFonts w:hint="eastAsia"/>
                <w:color w:val="000000"/>
                <w:spacing w:val="-4"/>
                <w:position w:val="1"/>
                <w:sz w:val="24"/>
                <w:szCs w:val="24"/>
                <w:highlight w:val="none"/>
              </w:rPr>
              <w:t>1</w:t>
            </w:r>
            <w:r>
              <w:rPr>
                <w:rFonts w:hint="eastAsia"/>
                <w:color w:val="000000"/>
                <w:spacing w:val="-4"/>
                <w:position w:val="1"/>
                <w:sz w:val="24"/>
                <w:szCs w:val="24"/>
                <w:highlight w:val="none"/>
                <w:lang w:eastAsia="zh-CN"/>
              </w:rPr>
              <w:t>6</w:t>
            </w:r>
          </w:p>
        </w:tc>
        <w:tc>
          <w:tcPr>
            <w:tcW w:w="1289" w:type="dxa"/>
            <w:vMerge w:val="continue"/>
            <w:noWrap w:val="0"/>
            <w:vAlign w:val="top"/>
          </w:tcPr>
          <w:p w14:paraId="56F59DBF">
            <w:pPr>
              <w:spacing w:line="247" w:lineRule="auto"/>
              <w:rPr>
                <w:rFonts w:hint="eastAsia" w:ascii="宋体" w:hAnsi="宋体" w:cs="宋体"/>
                <w:color w:val="000000"/>
                <w:sz w:val="24"/>
                <w:highlight w:val="none"/>
              </w:rPr>
            </w:pPr>
          </w:p>
        </w:tc>
        <w:tc>
          <w:tcPr>
            <w:tcW w:w="6315" w:type="dxa"/>
            <w:noWrap w:val="0"/>
            <w:vAlign w:val="top"/>
          </w:tcPr>
          <w:p w14:paraId="692601F3">
            <w:pPr>
              <w:pStyle w:val="234"/>
              <w:spacing w:before="55" w:line="219" w:lineRule="auto"/>
              <w:ind w:left="113"/>
              <w:rPr>
                <w:rFonts w:hint="eastAsia"/>
                <w:color w:val="000000"/>
                <w:sz w:val="24"/>
                <w:szCs w:val="24"/>
                <w:highlight w:val="none"/>
                <w:lang w:eastAsia="zh-CN"/>
              </w:rPr>
            </w:pPr>
            <w:r>
              <w:rPr>
                <w:rFonts w:hint="eastAsia"/>
                <w:color w:val="000000"/>
                <w:sz w:val="24"/>
                <w:szCs w:val="24"/>
                <w:highlight w:val="none"/>
                <w:lang w:eastAsia="zh-CN"/>
              </w:rPr>
              <w:t>支持分段录制，录制过程中可暂停录制和重启录制</w:t>
            </w:r>
          </w:p>
        </w:tc>
      </w:tr>
      <w:tr w14:paraId="7C2A5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3388E6CB">
            <w:pPr>
              <w:pStyle w:val="234"/>
              <w:spacing w:before="51" w:line="229" w:lineRule="auto"/>
              <w:ind w:left="305"/>
              <w:rPr>
                <w:rFonts w:hint="eastAsia"/>
                <w:color w:val="000000"/>
                <w:spacing w:val="-4"/>
                <w:position w:val="1"/>
                <w:sz w:val="24"/>
                <w:szCs w:val="24"/>
                <w:highlight w:val="none"/>
                <w:lang w:eastAsia="zh-CN"/>
              </w:rPr>
            </w:pPr>
            <w:r>
              <w:rPr>
                <w:rFonts w:hint="eastAsia"/>
                <w:color w:val="000000"/>
                <w:spacing w:val="-4"/>
                <w:position w:val="1"/>
                <w:sz w:val="24"/>
                <w:szCs w:val="24"/>
                <w:highlight w:val="none"/>
              </w:rPr>
              <w:t>1</w:t>
            </w:r>
            <w:r>
              <w:rPr>
                <w:rFonts w:hint="eastAsia"/>
                <w:color w:val="000000"/>
                <w:spacing w:val="-4"/>
                <w:position w:val="1"/>
                <w:sz w:val="24"/>
                <w:szCs w:val="24"/>
                <w:highlight w:val="none"/>
                <w:lang w:eastAsia="zh-CN"/>
              </w:rPr>
              <w:t>7</w:t>
            </w:r>
          </w:p>
        </w:tc>
        <w:tc>
          <w:tcPr>
            <w:tcW w:w="1289" w:type="dxa"/>
            <w:vMerge w:val="continue"/>
            <w:noWrap w:val="0"/>
            <w:vAlign w:val="top"/>
          </w:tcPr>
          <w:p w14:paraId="5F2DD066">
            <w:pPr>
              <w:spacing w:line="247" w:lineRule="auto"/>
              <w:rPr>
                <w:rFonts w:hint="eastAsia" w:ascii="宋体" w:hAnsi="宋体" w:cs="宋体"/>
                <w:color w:val="000000"/>
                <w:sz w:val="24"/>
                <w:highlight w:val="none"/>
              </w:rPr>
            </w:pPr>
          </w:p>
        </w:tc>
        <w:tc>
          <w:tcPr>
            <w:tcW w:w="6315" w:type="dxa"/>
            <w:noWrap w:val="0"/>
            <w:vAlign w:val="top"/>
          </w:tcPr>
          <w:p w14:paraId="6F94757A">
            <w:pPr>
              <w:pStyle w:val="234"/>
              <w:spacing w:before="55" w:line="219" w:lineRule="auto"/>
              <w:ind w:left="113"/>
              <w:rPr>
                <w:rFonts w:hint="eastAsia"/>
                <w:color w:val="000000"/>
                <w:sz w:val="24"/>
                <w:szCs w:val="24"/>
                <w:highlight w:val="none"/>
                <w:lang w:eastAsia="zh-CN"/>
              </w:rPr>
            </w:pPr>
            <w:r>
              <w:rPr>
                <w:rFonts w:hint="eastAsia"/>
                <w:color w:val="000000"/>
                <w:sz w:val="24"/>
                <w:szCs w:val="24"/>
                <w:highlight w:val="none"/>
                <w:lang w:eastAsia="zh-CN"/>
              </w:rPr>
              <w:t>★支持观看录制回放，可通过业界主流浏览器访问web页面，无需安装插件情况下流畅观看回放视频，</w:t>
            </w:r>
            <w:r>
              <w:rPr>
                <w:rFonts w:hint="eastAsia"/>
                <w:color w:val="000000"/>
                <w:sz w:val="24"/>
                <w:highlight w:val="none"/>
                <w:lang w:eastAsia="zh-CN"/>
              </w:rPr>
              <w:t>提供官网证明截图及链接</w:t>
            </w:r>
          </w:p>
        </w:tc>
      </w:tr>
      <w:tr w14:paraId="66AE5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76397D39">
            <w:pPr>
              <w:pStyle w:val="234"/>
              <w:spacing w:before="51" w:line="229" w:lineRule="auto"/>
              <w:ind w:left="305"/>
              <w:rPr>
                <w:rFonts w:hint="eastAsia"/>
                <w:color w:val="000000"/>
                <w:spacing w:val="-4"/>
                <w:position w:val="1"/>
                <w:sz w:val="24"/>
                <w:szCs w:val="24"/>
                <w:highlight w:val="none"/>
                <w:lang w:eastAsia="zh-CN"/>
              </w:rPr>
            </w:pPr>
            <w:r>
              <w:rPr>
                <w:rFonts w:hint="eastAsia"/>
                <w:color w:val="000000"/>
                <w:spacing w:val="-4"/>
                <w:sz w:val="24"/>
                <w:szCs w:val="24"/>
                <w:highlight w:val="none"/>
              </w:rPr>
              <w:t>1</w:t>
            </w:r>
            <w:r>
              <w:rPr>
                <w:rFonts w:hint="eastAsia"/>
                <w:color w:val="000000"/>
                <w:spacing w:val="-4"/>
                <w:sz w:val="24"/>
                <w:szCs w:val="24"/>
                <w:highlight w:val="none"/>
                <w:lang w:eastAsia="zh-CN"/>
              </w:rPr>
              <w:t>8</w:t>
            </w:r>
          </w:p>
        </w:tc>
        <w:tc>
          <w:tcPr>
            <w:tcW w:w="1289" w:type="dxa"/>
            <w:vMerge w:val="continue"/>
            <w:noWrap w:val="0"/>
            <w:vAlign w:val="top"/>
          </w:tcPr>
          <w:p w14:paraId="26ADFB71">
            <w:pPr>
              <w:spacing w:line="247" w:lineRule="auto"/>
              <w:rPr>
                <w:rFonts w:hint="eastAsia" w:ascii="宋体" w:hAnsi="宋体" w:cs="宋体"/>
                <w:color w:val="000000"/>
                <w:sz w:val="24"/>
                <w:highlight w:val="none"/>
              </w:rPr>
            </w:pPr>
          </w:p>
        </w:tc>
        <w:tc>
          <w:tcPr>
            <w:tcW w:w="6315" w:type="dxa"/>
            <w:noWrap w:val="0"/>
            <w:vAlign w:val="top"/>
          </w:tcPr>
          <w:p w14:paraId="7850A998">
            <w:pPr>
              <w:pStyle w:val="234"/>
              <w:spacing w:before="55" w:line="219" w:lineRule="auto"/>
              <w:ind w:left="113"/>
              <w:rPr>
                <w:rFonts w:hint="eastAsia"/>
                <w:color w:val="000000"/>
                <w:sz w:val="24"/>
                <w:szCs w:val="24"/>
                <w:highlight w:val="none"/>
                <w:lang w:eastAsia="zh-CN"/>
              </w:rPr>
            </w:pPr>
            <w:r>
              <w:rPr>
                <w:rFonts w:hint="eastAsia"/>
                <w:color w:val="000000"/>
                <w:sz w:val="24"/>
                <w:szCs w:val="24"/>
                <w:highlight w:val="none"/>
                <w:lang w:eastAsia="zh-CN"/>
              </w:rPr>
              <w:t>支持从会议管理WEB界面或者从终端侧进行录制开启、结束等控制。</w:t>
            </w:r>
          </w:p>
        </w:tc>
      </w:tr>
      <w:tr w14:paraId="07A67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0050DA84">
            <w:pPr>
              <w:pStyle w:val="234"/>
              <w:spacing w:before="51" w:line="229" w:lineRule="auto"/>
              <w:ind w:left="305"/>
              <w:rPr>
                <w:rFonts w:hint="eastAsia"/>
                <w:color w:val="000000"/>
                <w:spacing w:val="-4"/>
                <w:sz w:val="24"/>
                <w:szCs w:val="24"/>
                <w:highlight w:val="none"/>
                <w:lang w:eastAsia="zh-CN"/>
              </w:rPr>
            </w:pPr>
            <w:r>
              <w:rPr>
                <w:rFonts w:hint="eastAsia"/>
                <w:color w:val="000000"/>
                <w:spacing w:val="-4"/>
                <w:position w:val="1"/>
                <w:sz w:val="24"/>
                <w:szCs w:val="24"/>
                <w:highlight w:val="none"/>
              </w:rPr>
              <w:t>1</w:t>
            </w:r>
            <w:r>
              <w:rPr>
                <w:rFonts w:hint="eastAsia"/>
                <w:color w:val="000000"/>
                <w:spacing w:val="-4"/>
                <w:position w:val="1"/>
                <w:sz w:val="24"/>
                <w:szCs w:val="24"/>
                <w:highlight w:val="none"/>
                <w:lang w:eastAsia="zh-CN"/>
              </w:rPr>
              <w:t>9</w:t>
            </w:r>
          </w:p>
        </w:tc>
        <w:tc>
          <w:tcPr>
            <w:tcW w:w="1289" w:type="dxa"/>
            <w:vMerge w:val="continue"/>
            <w:noWrap w:val="0"/>
            <w:vAlign w:val="top"/>
          </w:tcPr>
          <w:p w14:paraId="17A46B8D">
            <w:pPr>
              <w:spacing w:line="247" w:lineRule="auto"/>
              <w:rPr>
                <w:rFonts w:hint="eastAsia" w:ascii="宋体" w:hAnsi="宋体" w:cs="宋体"/>
                <w:color w:val="000000"/>
                <w:sz w:val="24"/>
                <w:highlight w:val="none"/>
              </w:rPr>
            </w:pPr>
          </w:p>
        </w:tc>
        <w:tc>
          <w:tcPr>
            <w:tcW w:w="6315" w:type="dxa"/>
            <w:noWrap w:val="0"/>
            <w:vAlign w:val="top"/>
          </w:tcPr>
          <w:p w14:paraId="30237DFF">
            <w:pPr>
              <w:pStyle w:val="234"/>
              <w:spacing w:before="55" w:line="219" w:lineRule="auto"/>
              <w:ind w:left="113"/>
              <w:rPr>
                <w:rFonts w:hint="eastAsia"/>
                <w:color w:val="000000"/>
                <w:sz w:val="24"/>
                <w:szCs w:val="24"/>
                <w:highlight w:val="none"/>
                <w:lang w:eastAsia="zh-CN"/>
              </w:rPr>
            </w:pPr>
            <w:r>
              <w:rPr>
                <w:rFonts w:hint="eastAsia"/>
                <w:color w:val="000000"/>
                <w:sz w:val="24"/>
                <w:szCs w:val="24"/>
                <w:highlight w:val="none"/>
                <w:lang w:eastAsia="zh-CN"/>
              </w:rPr>
              <w:t>支持基于浏览器可观看会议录制文件，无需安装浏览器插件或客户端软件。</w:t>
            </w:r>
          </w:p>
        </w:tc>
      </w:tr>
      <w:tr w14:paraId="4834C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 w:hRule="atLeast"/>
        </w:trPr>
        <w:tc>
          <w:tcPr>
            <w:tcW w:w="706" w:type="dxa"/>
            <w:noWrap w:val="0"/>
            <w:vAlign w:val="top"/>
          </w:tcPr>
          <w:p w14:paraId="6C35C3B8">
            <w:pPr>
              <w:pStyle w:val="234"/>
              <w:spacing w:before="51" w:line="229" w:lineRule="auto"/>
              <w:ind w:left="305"/>
              <w:rPr>
                <w:rFonts w:hint="eastAsia"/>
                <w:color w:val="000000"/>
                <w:spacing w:val="-4"/>
                <w:position w:val="1"/>
                <w:sz w:val="24"/>
                <w:szCs w:val="24"/>
                <w:highlight w:val="none"/>
                <w:lang w:eastAsia="zh-CN"/>
              </w:rPr>
            </w:pPr>
            <w:r>
              <w:rPr>
                <w:rFonts w:hint="eastAsia"/>
                <w:color w:val="000000"/>
                <w:spacing w:val="-4"/>
                <w:sz w:val="24"/>
                <w:szCs w:val="24"/>
                <w:highlight w:val="none"/>
                <w:lang w:eastAsia="zh-CN"/>
              </w:rPr>
              <w:t>20</w:t>
            </w:r>
          </w:p>
        </w:tc>
        <w:tc>
          <w:tcPr>
            <w:tcW w:w="1289" w:type="dxa"/>
            <w:vMerge w:val="continue"/>
            <w:noWrap w:val="0"/>
            <w:vAlign w:val="top"/>
          </w:tcPr>
          <w:p w14:paraId="64525762">
            <w:pPr>
              <w:spacing w:line="247" w:lineRule="auto"/>
              <w:rPr>
                <w:rFonts w:hint="eastAsia" w:ascii="宋体" w:hAnsi="宋体" w:cs="宋体"/>
                <w:color w:val="000000"/>
                <w:sz w:val="24"/>
                <w:highlight w:val="none"/>
              </w:rPr>
            </w:pPr>
          </w:p>
        </w:tc>
        <w:tc>
          <w:tcPr>
            <w:tcW w:w="6315" w:type="dxa"/>
            <w:noWrap w:val="0"/>
            <w:vAlign w:val="top"/>
          </w:tcPr>
          <w:p w14:paraId="5F01F704">
            <w:pPr>
              <w:pStyle w:val="234"/>
              <w:spacing w:before="55" w:line="219" w:lineRule="auto"/>
              <w:ind w:left="113"/>
              <w:rPr>
                <w:rFonts w:hint="eastAsia"/>
                <w:color w:val="000000"/>
                <w:sz w:val="24"/>
                <w:szCs w:val="24"/>
                <w:highlight w:val="none"/>
                <w:lang w:eastAsia="zh-CN"/>
              </w:rPr>
            </w:pPr>
            <w:r>
              <w:rPr>
                <w:rFonts w:hint="eastAsia"/>
                <w:color w:val="000000"/>
                <w:sz w:val="24"/>
                <w:szCs w:val="24"/>
                <w:highlight w:val="none"/>
                <w:lang w:eastAsia="zh-CN"/>
              </w:rPr>
              <w:t>支持录制内容点播和下载，观看录像过程中实现单屏、双屏、画中画模式等模式观看。</w:t>
            </w:r>
          </w:p>
        </w:tc>
      </w:tr>
    </w:tbl>
    <w:p w14:paraId="7A0AB7F2">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（四）系统服务</w:t>
      </w:r>
    </w:p>
    <w:p w14:paraId="6AFD62F6">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1、咨询服务：接收采购方咨询、指导采购方使用应用系统软件，提高采购方的软件应用能力，实现管理软件与业务流程的有机结合，此处需统一从苏州中院汇总问题，统一接收咨询和提供服务；</w:t>
      </w:r>
    </w:p>
    <w:p w14:paraId="75128DE4">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2、软件故障诊断：诊断软件故障原因，并提出排除故障措施，解决故障；</w:t>
      </w:r>
    </w:p>
    <w:p w14:paraId="7C8B2750">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3、增强性维护：因业务发展需要或系统的新增、完善软件功能且工作量小于（含）1人日的开发工作，年累计不能超过30个人日；</w:t>
      </w:r>
    </w:p>
    <w:p w14:paraId="665A07D9">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4、数据备份：备份系统数据，确保系统数据安全有效；</w:t>
      </w:r>
    </w:p>
    <w:p w14:paraId="6AAF0CF3">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5、服务器系统维护：系统运营状况监管，磁盘清理；</w:t>
      </w:r>
    </w:p>
    <w:p w14:paraId="7BE3C3C8">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6、数据库优化：通过会数据库的优化，提高软件运行速度，提高工作效率；</w:t>
      </w:r>
    </w:p>
    <w:p w14:paraId="291DBFF6">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7、会务服务：到达会议现场实施会务工作（含一次调试一次正式），会务现场配备工作人员</w:t>
      </w:r>
    </w:p>
    <w:p w14:paraId="7B08201A">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（五）服务期限：</w:t>
      </w:r>
    </w:p>
    <w:p w14:paraId="250F6D50">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1、租赁服务期限：自服务交付完成验收之日起，服务期限为一年。</w:t>
      </w:r>
    </w:p>
    <w:p w14:paraId="7CF623CC">
      <w:pPr>
        <w:spacing w:line="360" w:lineRule="auto"/>
        <w:ind w:firstLine="480"/>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bCs/>
          <w:color w:val="000000"/>
          <w:sz w:val="24"/>
          <w:highlight w:val="none"/>
        </w:rPr>
        <w:t>组成本项目服务所涉及的软硬件资源所有权归乙方所有，乙方根据项目文件要求进行资源配置。</w:t>
      </w:r>
    </w:p>
    <w:p w14:paraId="567111CF">
      <w:pPr>
        <w:spacing w:line="360" w:lineRule="auto"/>
        <w:ind w:firstLine="48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3、如果成交单位提供的云平台与当前采购单位使用的云平台不一致，须在一周内完成云平台上所有系统和数据的迁移和调试，确保不影响采购单位业务的正常开展。</w:t>
      </w:r>
    </w:p>
    <w:p w14:paraId="37BA8F7D">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六、综合说明</w:t>
      </w:r>
    </w:p>
    <w:p w14:paraId="08CED6F3">
      <w:pPr>
        <w:tabs>
          <w:tab w:val="left" w:pos="420"/>
          <w:tab w:val="left" w:pos="540"/>
        </w:tabs>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1.响应单位按照采购文件的要求提交响应文件，并对所提供的全部资料的真实性承担法律责任。</w:t>
      </w:r>
    </w:p>
    <w:p w14:paraId="53F5E9FA">
      <w:pPr>
        <w:tabs>
          <w:tab w:val="left" w:pos="420"/>
          <w:tab w:val="left" w:pos="540"/>
        </w:tabs>
        <w:spacing w:line="360" w:lineRule="auto"/>
        <w:ind w:firstLine="42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2.此次响应报价应综合考量完成</w:t>
      </w:r>
      <w:r>
        <w:rPr>
          <w:rFonts w:hint="eastAsia" w:ascii="宋体" w:hAnsi="宋体" w:cs="宋体"/>
          <w:color w:val="000000"/>
          <w:sz w:val="24"/>
          <w:highlight w:val="none"/>
          <w:lang w:eastAsia="zh-CN"/>
        </w:rPr>
        <w:t>本项目服务内容所需的设备、人工、保险、劳保、管理、设备、耗材、驻场费、税费、培训、后期维护及为完成整个项目所产生的其它所有费用、招标代理费、政策性文件规定及合同包含的所有风险、责任等各项应有费用。</w:t>
      </w:r>
    </w:p>
    <w:p w14:paraId="3F8E76E2">
      <w:pPr>
        <w:tabs>
          <w:tab w:val="left" w:pos="420"/>
          <w:tab w:val="left" w:pos="540"/>
        </w:tabs>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3.成交单位将根据采购文件、响应文件的相关约定，承担合同责任，履行合同义务。</w:t>
      </w:r>
    </w:p>
    <w:p w14:paraId="748F38F9">
      <w:pPr>
        <w:pStyle w:val="215"/>
        <w:widowControl/>
        <w:spacing w:line="360" w:lineRule="auto"/>
        <w:ind w:firstLine="482"/>
        <w:rPr>
          <w:rStyle w:val="206"/>
          <w:rFonts w:hint="eastAsia" w:ascii="宋体" w:hAnsi="宋体" w:cs="宋体"/>
          <w:color w:val="000000"/>
          <w:sz w:val="24"/>
          <w:szCs w:val="24"/>
          <w:highlight w:val="none"/>
        </w:rPr>
      </w:pPr>
      <w:r>
        <w:rPr>
          <w:rStyle w:val="206"/>
          <w:rFonts w:hint="eastAsia" w:ascii="宋体" w:hAnsi="宋体" w:cs="宋体"/>
          <w:color w:val="000000"/>
          <w:sz w:val="24"/>
          <w:szCs w:val="24"/>
          <w:highlight w:val="none"/>
        </w:rPr>
        <w:t>七、政府采购政策</w:t>
      </w:r>
    </w:p>
    <w:p w14:paraId="6AF26E97">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根据财政部、工业和信息化部关于印发意见“财库〔2020〕46号” 关于印发《政府采购促进中小企业发展管理办法》的通知规定，对属于小型、微型企业的响应单位给予评审加分：</w:t>
      </w:r>
    </w:p>
    <w:p w14:paraId="7E3291A6">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1</w:t>
      </w:r>
      <w:r>
        <w:rPr>
          <w:rStyle w:val="206"/>
          <w:rFonts w:hint="eastAsia" w:hAnsi="宋体" w:eastAsia="宋体" w:cs="宋体"/>
          <w:b w:val="0"/>
          <w:bCs/>
          <w:color w:val="000000"/>
          <w:sz w:val="24"/>
          <w:szCs w:val="24"/>
          <w:highlight w:val="none"/>
          <w:lang w:eastAsia="zh-CN"/>
        </w:rPr>
        <w:t>.</w:t>
      </w:r>
      <w:r>
        <w:rPr>
          <w:rStyle w:val="206"/>
          <w:rFonts w:hint="eastAsia" w:ascii="宋体" w:hAnsi="宋体" w:cs="宋体"/>
          <w:b w:val="0"/>
          <w:bCs/>
          <w:color w:val="000000"/>
          <w:sz w:val="24"/>
          <w:szCs w:val="24"/>
          <w:highlight w:val="none"/>
        </w:rPr>
        <w:t>中小微型企业的认定：</w:t>
      </w:r>
    </w:p>
    <w:p w14:paraId="6B5A33B0">
      <w:pPr>
        <w:pStyle w:val="190"/>
        <w:widowControl/>
        <w:spacing w:line="360" w:lineRule="auto"/>
        <w:ind w:firstLine="480"/>
        <w:rPr>
          <w:rStyle w:val="206"/>
          <w:rFonts w:hint="eastAsia" w:ascii="宋体" w:hAnsi="宋体" w:cs="宋体"/>
          <w:b/>
          <w:bCs/>
          <w:color w:val="000000"/>
          <w:sz w:val="24"/>
          <w:szCs w:val="24"/>
          <w:highlight w:val="none"/>
        </w:rPr>
      </w:pPr>
      <w:r>
        <w:rPr>
          <w:rStyle w:val="206"/>
          <w:rFonts w:hint="eastAsia" w:ascii="宋体" w:hAnsi="宋体" w:cs="宋体"/>
          <w:b w:val="0"/>
          <w:bCs/>
          <w:color w:val="000000"/>
          <w:sz w:val="24"/>
          <w:szCs w:val="24"/>
          <w:highlight w:val="none"/>
        </w:rPr>
        <w:t>根据《政府采购促进中小企业发展管理办法》（财库〔2020〕46号）及《关于做好政府采购支持企业发展有关事项的通知》（苏财购〔2020〕52号）的相关规定，如供应商认定本企业提供的货物、工程或服务符合上述文件规定情形，可以享受中小企业扶持政策的，则需根据《中小企业划型标准规定》（工信部联企业〔2011〕300号）提交《中小企业声明函》并加盖公章，《中小企业声明函》中所填的行业应与本采购标的对应的中小企业划分标准所属行业一致。声明函未加盖公章或未提交声明函或所提交的声明函中所填行业与本采购标的对应的中小企业划分标准所属行业不一致不享受相关政策。</w:t>
      </w:r>
      <w:r>
        <w:rPr>
          <w:rFonts w:hint="eastAsia" w:ascii="宋体" w:hAnsi="宋体" w:cs="宋体"/>
          <w:b/>
          <w:bCs/>
          <w:color w:val="000000"/>
          <w:sz w:val="24"/>
          <w:szCs w:val="24"/>
          <w:highlight w:val="none"/>
        </w:rPr>
        <w:t>本项目所属行业为</w:t>
      </w:r>
      <w:r>
        <w:rPr>
          <w:rFonts w:hint="eastAsia" w:ascii="宋体" w:hAnsi="宋体" w:cs="宋体"/>
          <w:b/>
          <w:bCs/>
          <w:color w:val="000000"/>
          <w:sz w:val="24"/>
          <w:szCs w:val="24"/>
          <w:highlight w:val="none"/>
          <w:lang w:eastAsia="zh-CN"/>
        </w:rPr>
        <w:t>软件和信息技术服务业</w:t>
      </w:r>
      <w:r>
        <w:rPr>
          <w:rFonts w:hint="eastAsia" w:ascii="宋体" w:hAnsi="宋体" w:cs="宋体"/>
          <w:b/>
          <w:bCs/>
          <w:color w:val="000000"/>
          <w:sz w:val="24"/>
          <w:szCs w:val="24"/>
          <w:highlight w:val="none"/>
        </w:rPr>
        <w:t>。</w:t>
      </w:r>
    </w:p>
    <w:p w14:paraId="0412A834">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在政府采购活动中，供应商提供的货物符合下列情形的，享受《政府采购促进中小企业发展管理办法》规定的中小企业扶持政策：在货物采购项目中，货物由中小企业制造，即货物由中小企业生产且使用该中小企业商号或者注册商标。</w:t>
      </w:r>
    </w:p>
    <w:p w14:paraId="470A6556">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其中，供应商提供的货物既有中小企业制造货物，也有大型企业制造货物的，不享受中小企业扶持政策。</w:t>
      </w:r>
    </w:p>
    <w:p w14:paraId="31B359A2">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供应商提供声明函内容不实的，依照《中华人民共和国政府采购法》《中华人民共和国政府采购法实施条例》和《政府采购促进中小企业发展管理办法》等法律法规规定追究法律责任。</w:t>
      </w:r>
    </w:p>
    <w:p w14:paraId="63AFCD18">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2</w:t>
      </w:r>
      <w:r>
        <w:rPr>
          <w:rStyle w:val="206"/>
          <w:rFonts w:hint="eastAsia" w:hAnsi="宋体" w:eastAsia="宋体" w:cs="宋体"/>
          <w:b w:val="0"/>
          <w:bCs/>
          <w:color w:val="000000"/>
          <w:sz w:val="24"/>
          <w:szCs w:val="24"/>
          <w:highlight w:val="none"/>
          <w:lang w:eastAsia="zh-CN"/>
        </w:rPr>
        <w:t>.</w:t>
      </w:r>
      <w:r>
        <w:rPr>
          <w:rStyle w:val="206"/>
          <w:rFonts w:hint="eastAsia" w:ascii="宋体" w:hAnsi="宋体" w:cs="宋体"/>
          <w:b w:val="0"/>
          <w:bCs/>
          <w:color w:val="000000"/>
          <w:sz w:val="24"/>
          <w:szCs w:val="24"/>
          <w:highlight w:val="none"/>
        </w:rPr>
        <w:t>价格的折扣：</w:t>
      </w:r>
    </w:p>
    <w:p w14:paraId="0C4C67A9">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如供应商属于小型或微型企业，对小型和微型企业产品或服务的价格给予20%的扣除，用扣除后的价格参与评审；</w:t>
      </w:r>
    </w:p>
    <w:p w14:paraId="20C1FF73">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注：</w:t>
      </w:r>
    </w:p>
    <w:p w14:paraId="53F7F772">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（1）不同行业的中小微企业划分标准以工信部、国家统计局、国家发改委、财政部《关于印发中小企业划型标准规定的通知》（工信部联企业〔2011〕300号）为准。</w:t>
      </w:r>
    </w:p>
    <w:p w14:paraId="3B339558">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（2）在货物采购项目中，货物由中小企业制造，即货物由中小企业生产且使用该中小企业商号或者注册商标；</w:t>
      </w:r>
    </w:p>
    <w:p w14:paraId="5D6787DE">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3）中小微企业在投标文件中，可以提供企业注册地经信部门出具的中小微企业认定书，或签署《中小企业声明函》。未在投标文件中提供中小微企业认定书或《中小企业声明函》的，不享受促进中小微企业发展的相关政府采购政策。</w:t>
      </w:r>
    </w:p>
    <w:p w14:paraId="2489C84F">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（4）一个项目中包含多项货物采购的，供应商提供的货物既有中小企业制造货物，也有大型企业制造货物的，不享受中小企业扶持政策。</w:t>
      </w:r>
    </w:p>
    <w:p w14:paraId="233E0577">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（5）以联合体形式参加政府采购活动，联合体各方均为中小企业的，联合体视同中小企业。其中，联合体各方均为小微企业的，联合体视同小微企业。</w:t>
      </w:r>
    </w:p>
    <w:p w14:paraId="5E217127">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（6）若中小微企业提供的 “中小企业声明函” 或认定证明为虚假声明则视同提供虚假材料，按政府采购相关规定处理并报请政府监管部门给予行政处罚。</w:t>
      </w:r>
    </w:p>
    <w:p w14:paraId="4547EC0B">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以上规定未尽事项，按《政府采购促进中小企业发展管理办法》等有关制度规定执行。</w:t>
      </w:r>
    </w:p>
    <w:p w14:paraId="6F38321D">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注：</w:t>
      </w:r>
    </w:p>
    <w:p w14:paraId="0BC99AFE">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①填报“中小企业声明函”需严格按“工信部联企业〔2011〕300号通知”中的《中小企业划型标准规定》进行。</w:t>
      </w:r>
    </w:p>
    <w:p w14:paraId="618FE1AB">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②若响应供应商提供的 “中小企业声明函”（见附件） 或认定证明为虚假声明则视同提供虚假材料，按“政府采购法”相关规定处理并报请政府监管部门给予行政处罚。</w:t>
      </w:r>
    </w:p>
    <w:p w14:paraId="29288745">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hAnsi="宋体" w:eastAsia="宋体" w:cs="宋体"/>
          <w:b w:val="0"/>
          <w:bCs/>
          <w:color w:val="000000"/>
          <w:sz w:val="24"/>
          <w:szCs w:val="24"/>
          <w:highlight w:val="none"/>
          <w:lang w:val="en-US" w:eastAsia="zh-CN"/>
        </w:rPr>
        <w:t>3.</w:t>
      </w:r>
      <w:r>
        <w:rPr>
          <w:rStyle w:val="206"/>
          <w:rFonts w:hint="eastAsia" w:ascii="宋体" w:hAnsi="宋体" w:cs="宋体"/>
          <w:b w:val="0"/>
          <w:bCs/>
          <w:color w:val="000000"/>
          <w:sz w:val="24"/>
          <w:szCs w:val="24"/>
          <w:highlight w:val="none"/>
        </w:rPr>
        <w:t xml:space="preserve"> 促进残疾人就业和支持监狱企业发展有关政策：</w:t>
      </w:r>
    </w:p>
    <w:p w14:paraId="375EFD86">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根据《关于促进残疾人就业政府采购政策的通知》（财库〔2017〕141号）和《关于政府采购支持监狱企业发展有关问题的通知》（财库〔2014〕68号）的通知规定，对属于残疾人福利性单位、监狱企业的响应供应商给予评审加分：</w:t>
      </w:r>
    </w:p>
    <w:p w14:paraId="65B7C53A">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hAnsi="宋体" w:eastAsia="宋体" w:cs="宋体"/>
          <w:b w:val="0"/>
          <w:bCs/>
          <w:color w:val="000000"/>
          <w:sz w:val="24"/>
          <w:szCs w:val="24"/>
          <w:highlight w:val="none"/>
          <w:lang w:val="en-US" w:eastAsia="zh-CN"/>
        </w:rPr>
        <w:t>3.1</w:t>
      </w:r>
      <w:r>
        <w:rPr>
          <w:rStyle w:val="206"/>
          <w:rFonts w:hint="eastAsia" w:ascii="宋体" w:hAnsi="宋体" w:cs="宋体"/>
          <w:b w:val="0"/>
          <w:bCs/>
          <w:color w:val="000000"/>
          <w:sz w:val="24"/>
          <w:szCs w:val="24"/>
          <w:highlight w:val="none"/>
        </w:rPr>
        <w:t>如供应商属于残疾人福利性单位视同小型或微型企业，享受评审中价格扣除等促进中小企业发展的政府采购政策。残疾人福利性单位属于小型、微型企业的，不重复享受政策。</w:t>
      </w:r>
    </w:p>
    <w:p w14:paraId="4B97722F">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注：符合《关于促进残疾人就业政府采购政策的通知》（财库〔2017〕141号）规定条件的残疾人福利性单位在参加政府采购活动时，应当提供“《残疾人福利性单位声明函》”（见附件），并对声明的真实性负责。供应商提供的《残疾人福利性单位声明函》与事实不符的，依照《政府采购法》第七十七条第一款的规定追究法律责任。</w:t>
      </w:r>
    </w:p>
    <w:p w14:paraId="009CE381">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hAnsi="宋体" w:eastAsia="宋体" w:cs="宋体"/>
          <w:b w:val="0"/>
          <w:bCs/>
          <w:color w:val="000000"/>
          <w:sz w:val="24"/>
          <w:szCs w:val="24"/>
          <w:highlight w:val="none"/>
          <w:lang w:val="en-US" w:eastAsia="zh-CN"/>
        </w:rPr>
        <w:t>3.2</w:t>
      </w:r>
      <w:r>
        <w:rPr>
          <w:rStyle w:val="206"/>
          <w:rFonts w:hint="eastAsia" w:ascii="宋体" w:hAnsi="宋体" w:cs="宋体"/>
          <w:b w:val="0"/>
          <w:bCs/>
          <w:color w:val="000000"/>
          <w:sz w:val="24"/>
          <w:szCs w:val="24"/>
          <w:highlight w:val="none"/>
        </w:rPr>
        <w:t>如供应商属于监狱企业视同小型或微型企业，享受评审中价格扣除等政府采购促进中小企业发展的政府采购政策。</w:t>
      </w:r>
    </w:p>
    <w:p w14:paraId="0E1400F0">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注：符合《关于政府采购支持监狱企业发展有关问题的通知》（财库〔2014〕68号）条件的监狱企业参加政府采购活动时，应当提供由省级以上监狱管理局、戒毒管理局（含新疆生产建设兵团）出具的属于监狱企业的证明文件。</w:t>
      </w:r>
    </w:p>
    <w:p w14:paraId="4DB7EB29">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4</w:t>
      </w:r>
      <w:r>
        <w:rPr>
          <w:rFonts w:hint="eastAsia" w:hAnsi="宋体" w:eastAsia="宋体" w:cs="宋体"/>
          <w:color w:val="000000"/>
          <w:sz w:val="24"/>
          <w:szCs w:val="24"/>
          <w:highlight w:val="none"/>
        </w:rPr>
        <w:t>.</w:t>
      </w:r>
      <w:r>
        <w:rPr>
          <w:rStyle w:val="206"/>
          <w:rFonts w:hint="eastAsia" w:ascii="宋体" w:hAnsi="宋体" w:cs="宋体"/>
          <w:b w:val="0"/>
          <w:bCs/>
          <w:color w:val="000000"/>
          <w:sz w:val="24"/>
          <w:szCs w:val="24"/>
          <w:highlight w:val="none"/>
        </w:rPr>
        <w:t>绿色采购</w:t>
      </w:r>
    </w:p>
    <w:p w14:paraId="76028259">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根据《关于调整优化节能产品、环境标志产品政府采购执行机制的通知》（财库〔2019〕9号）等相关文件的规定，对属于《节能产品政府采购品目清单》中强制采购范围内产品的，供应商须提供由国家确定的认证机构出具的、处于有效期之内的节能产品认证证书，上述品目清单可通过“中国政府采购网”（http://www.ccgp.gov.cn）查询,并在响应文件中提供由国家确定的认证机构出具的、处于有效期之内的节能产品认证证书复印件，否则视为未实质性响应。</w:t>
      </w:r>
    </w:p>
    <w:p w14:paraId="1286E422">
      <w:pPr>
        <w:pStyle w:val="215"/>
        <w:widowControl/>
        <w:spacing w:line="360" w:lineRule="auto"/>
        <w:ind w:firstLine="480"/>
        <w:rPr>
          <w:rStyle w:val="206"/>
          <w:rFonts w:hint="eastAsia" w:ascii="宋体" w:hAnsi="宋体" w:cs="宋体"/>
          <w:b w:val="0"/>
          <w:bCs/>
          <w:color w:val="000000"/>
          <w:sz w:val="24"/>
          <w:szCs w:val="24"/>
          <w:highlight w:val="none"/>
        </w:rPr>
      </w:pPr>
      <w:r>
        <w:rPr>
          <w:rStyle w:val="206"/>
          <w:rFonts w:hint="eastAsia" w:ascii="宋体" w:hAnsi="宋体" w:cs="宋体"/>
          <w:b w:val="0"/>
          <w:bCs/>
          <w:color w:val="000000"/>
          <w:sz w:val="24"/>
          <w:szCs w:val="24"/>
          <w:highlight w:val="none"/>
        </w:rPr>
        <w:t>八、关于对参与供应商信用记录的政府采购要求</w:t>
      </w:r>
    </w:p>
    <w:p w14:paraId="1B18BF10">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1</w:t>
      </w:r>
      <w:r>
        <w:rPr>
          <w:rFonts w:hint="eastAsia" w:ascii="宋体" w:hAnsi="宋体" w:cs="宋体"/>
          <w:color w:val="000000"/>
          <w:sz w:val="24"/>
          <w:highlight w:val="none"/>
        </w:rPr>
        <w:t>.</w:t>
      </w:r>
      <w:r>
        <w:rPr>
          <w:rFonts w:hint="eastAsia" w:ascii="宋体" w:hAnsi="宋体" w:cs="宋体"/>
          <w:bCs/>
          <w:color w:val="000000"/>
          <w:sz w:val="24"/>
          <w:highlight w:val="none"/>
          <w:lang w:bidi="ar"/>
        </w:rPr>
        <w:t>根据政府采购法及相关法规，以及苏州市财政局《关于印发苏州市市级政府采购信用记录查询和使用工作试行办法的通知》（苏财购（2017）11号）文件的规定，将对供应商进行信用查询。</w:t>
      </w:r>
    </w:p>
    <w:p w14:paraId="6EEDD4A2">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（1）查询时间：响应文件递交截止时间。</w:t>
      </w:r>
    </w:p>
    <w:p w14:paraId="6B36674B">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（2）查询渠道：通过“信用中国”、“信用江苏”及“中国政府采购网” 上的信用信息查询供应商的信用记录。</w:t>
      </w:r>
    </w:p>
    <w:p w14:paraId="137BFE30">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3）查询证据留存方式：对存在失信信息的供应商，磋商小组应填写《苏州市级政府采购供应商失信信息确认函》，由失信供应商签名（章）确认。同时，采购代理机构工作人员应根据磋商小组确认的失信信息，登陆到来源网站页面进行复核并打印，作为证据留存。</w:t>
      </w:r>
    </w:p>
    <w:p w14:paraId="3E0D7E54">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4）信用记录使用规则：磋商小组在对供应商进行资格性审查时，应根据查询结果对供应商的不良信用记录逐项甄别确认。按照《中华人民共和国政府采购法》第二十二条规定，下列信用记录属于应依法拒绝供应商参加政府采购的失信信息，存在此类失信信息的供应商的响应文件按无效文件处理：</w:t>
      </w:r>
    </w:p>
    <w:p w14:paraId="1649C14D">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（一）政府采购严重违法记录，即供应商被全国各级财政部门列入“政府采购严重违法失信行为记录名单”，且在处罚有效期内的。</w:t>
      </w:r>
    </w:p>
    <w:p w14:paraId="3E4663A6">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（二）财政部门与法院、工商、税务等部门联合惩戒的失信信息，包括：</w:t>
      </w:r>
    </w:p>
    <w:p w14:paraId="30321E46">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（1）被列入失信被执行人名单；</w:t>
      </w:r>
    </w:p>
    <w:p w14:paraId="34055B00">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（2）被列入重大税收违法案件当事人名单；</w:t>
      </w:r>
    </w:p>
    <w:p w14:paraId="2299E8B9">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3）企业经营异常名录中被责令停产停业、暂扣或者吊销许可证或者执照，或者对经营活动中的违法行为处以200万元及以上数额罚款（或法律、行政法规以及国务院有关部门明确规定相关领域“较大数额罚款”标准高于200万元的，从其规定）的信用记录。处罚生效日至递交投标（响应）文件日未满三年的。</w:t>
      </w:r>
    </w:p>
    <w:p w14:paraId="49B4A872">
      <w:pPr>
        <w:spacing w:line="400" w:lineRule="exact"/>
        <w:ind w:firstLine="420"/>
        <w:rPr>
          <w:rFonts w:hint="eastAsia" w:ascii="宋体" w:hAnsi="宋体" w:cs="宋体"/>
          <w:bCs/>
          <w:color w:val="000000"/>
          <w:sz w:val="24"/>
          <w:highlight w:val="none"/>
          <w:lang w:bidi="ar"/>
        </w:rPr>
      </w:pPr>
      <w:r>
        <w:rPr>
          <w:rFonts w:hint="eastAsia" w:ascii="宋体" w:hAnsi="宋体" w:cs="宋体"/>
          <w:bCs/>
          <w:color w:val="000000"/>
          <w:sz w:val="24"/>
          <w:highlight w:val="none"/>
          <w:lang w:bidi="ar"/>
        </w:rPr>
        <w:t>2</w:t>
      </w:r>
      <w:r>
        <w:rPr>
          <w:rFonts w:hint="eastAsia" w:ascii="宋体" w:hAnsi="宋体" w:cs="宋体"/>
          <w:color w:val="000000"/>
          <w:sz w:val="24"/>
          <w:highlight w:val="none"/>
        </w:rPr>
        <w:t>.</w:t>
      </w:r>
      <w:r>
        <w:rPr>
          <w:rFonts w:hint="eastAsia" w:ascii="宋体" w:hAnsi="宋体" w:cs="宋体"/>
          <w:bCs/>
          <w:color w:val="000000"/>
          <w:sz w:val="24"/>
          <w:highlight w:val="none"/>
          <w:lang w:bidi="ar"/>
        </w:rPr>
        <w:t>接受联合体的项目，两个以上的自然人、法人或者其他组织组成一个联合体，以一个供应商的身份共同参加政府采购活动的，联合体成员其中一名成员存在失信信息的，视同联合体存在失信信息。</w:t>
      </w:r>
    </w:p>
    <w:p w14:paraId="63A00D45">
      <w:pPr>
        <w:pStyle w:val="215"/>
        <w:widowControl/>
        <w:spacing w:line="360" w:lineRule="auto"/>
        <w:ind w:firstLine="480"/>
        <w:jc w:val="left"/>
        <w:rPr>
          <w:rStyle w:val="206"/>
          <w:rFonts w:ascii="sans-serif" w:hAnsi="sans-serif" w:eastAsia="sans-serif" w:cs="sans-serif"/>
          <w:b w:val="0"/>
          <w:color w:val="000000"/>
          <w:highlight w:val="none"/>
        </w:rPr>
      </w:pPr>
      <w:r>
        <w:rPr>
          <w:rStyle w:val="206"/>
          <w:rFonts w:hint="eastAsia" w:ascii="宋体" w:hAnsi="宋体" w:cs="宋体"/>
          <w:b w:val="0"/>
          <w:bCs/>
          <w:color w:val="000000"/>
          <w:sz w:val="24"/>
          <w:szCs w:val="24"/>
          <w:highlight w:val="none"/>
        </w:rPr>
        <w:t>九、凡涉及采购文件的补充说明和修改，均以苏州市政府采购网发布的通知为准。</w:t>
      </w:r>
      <w:r>
        <w:rPr>
          <w:rStyle w:val="206"/>
          <w:rFonts w:hint="eastAsia" w:ascii="宋体" w:hAnsi="宋体" w:cs="宋体"/>
          <w:b w:val="0"/>
          <w:bCs/>
          <w:color w:val="000000"/>
          <w:sz w:val="24"/>
          <w:szCs w:val="24"/>
          <w:highlight w:val="none"/>
        </w:rPr>
        <w:br w:type="page" w:clear="all"/>
      </w:r>
      <w:r>
        <w:rPr>
          <w:rStyle w:val="206"/>
          <w:rFonts w:hint="eastAsia" w:ascii="宋体" w:hAnsi="宋体" w:cs="宋体"/>
          <w:b w:val="0"/>
          <w:bCs/>
          <w:color w:val="000000"/>
          <w:sz w:val="24"/>
          <w:szCs w:val="24"/>
          <w:highlight w:val="none"/>
        </w:rPr>
        <w:t xml:space="preserve">           </w:t>
      </w:r>
      <w:r>
        <w:rPr>
          <w:rStyle w:val="206"/>
          <w:rFonts w:hint="eastAsia" w:ascii="宋体" w:hAnsi="宋体" w:cs="宋体"/>
          <w:color w:val="000000"/>
          <w:sz w:val="43"/>
          <w:szCs w:val="43"/>
          <w:highlight w:val="none"/>
        </w:rPr>
        <w:t>第</w:t>
      </w:r>
      <w:r>
        <w:rPr>
          <w:rStyle w:val="206"/>
          <w:rFonts w:hint="eastAsia" w:hAnsi="宋体" w:cs="宋体"/>
          <w:color w:val="000000"/>
          <w:sz w:val="43"/>
          <w:szCs w:val="43"/>
          <w:highlight w:val="none"/>
        </w:rPr>
        <w:t>四</w:t>
      </w:r>
      <w:r>
        <w:rPr>
          <w:rStyle w:val="206"/>
          <w:rFonts w:hint="eastAsia" w:ascii="宋体" w:hAnsi="宋体" w:cs="宋体"/>
          <w:color w:val="000000"/>
          <w:sz w:val="43"/>
          <w:szCs w:val="43"/>
          <w:highlight w:val="none"/>
        </w:rPr>
        <w:t>章 评审方法及评分标准</w:t>
      </w:r>
    </w:p>
    <w:p w14:paraId="75C7D074">
      <w:pPr>
        <w:pStyle w:val="191"/>
        <w:widowControl/>
        <w:spacing w:line="400" w:lineRule="exact"/>
        <w:ind w:left="0" w:right="-153" w:firstLine="482"/>
        <w:rPr>
          <w:rFonts w:ascii="宋体" w:hAnsi="宋体" w:eastAsia="宋体"/>
          <w:color w:val="000000"/>
          <w:sz w:val="24"/>
          <w:szCs w:val="24"/>
          <w:highlight w:val="none"/>
        </w:rPr>
      </w:pPr>
      <w:r>
        <w:rPr>
          <w:rFonts w:ascii="宋体" w:hAnsi="宋体" w:eastAsia="宋体"/>
          <w:color w:val="000000"/>
          <w:sz w:val="24"/>
          <w:szCs w:val="24"/>
          <w:highlight w:val="none"/>
        </w:rPr>
        <w:t>一、评审方法</w:t>
      </w:r>
    </w:p>
    <w:p w14:paraId="007FECF4">
      <w:pPr>
        <w:spacing w:line="360" w:lineRule="auto"/>
        <w:ind w:firstLine="420"/>
        <w:rPr>
          <w:rFonts w:ascii="宋体" w:hAnsi="宋体" w:cs="宋体"/>
          <w:color w:val="000000"/>
          <w:sz w:val="24"/>
          <w:highlight w:val="none"/>
        </w:rPr>
      </w:pPr>
      <w:r>
        <w:rPr>
          <w:rFonts w:hint="eastAsia" w:ascii="宋体" w:hAnsi="宋体" w:cs="宋体"/>
          <w:color w:val="000000"/>
          <w:sz w:val="24"/>
          <w:highlight w:val="none"/>
        </w:rPr>
        <w:t>1.本次磋商采用</w:t>
      </w:r>
      <w:r>
        <w:rPr>
          <w:rFonts w:hint="eastAsia" w:ascii="宋体" w:hAnsi="宋体" w:cs="宋体"/>
          <w:b/>
          <w:color w:val="000000"/>
          <w:sz w:val="24"/>
          <w:highlight w:val="none"/>
        </w:rPr>
        <w:t>综合评分法</w:t>
      </w:r>
      <w:r>
        <w:rPr>
          <w:rFonts w:hint="eastAsia" w:ascii="宋体" w:hAnsi="宋体" w:cs="宋体"/>
          <w:color w:val="000000"/>
          <w:sz w:val="24"/>
          <w:highlight w:val="none"/>
        </w:rPr>
        <w:t>，即在响应文件满足采购文件全部实质性要求且按评审因素的量化指标评审得分最高的供应商为成交候选供应商。采购人书面授权磋商小组直接确定成交供应商。</w:t>
      </w:r>
    </w:p>
    <w:p w14:paraId="18BA453E">
      <w:pPr>
        <w:spacing w:line="360" w:lineRule="auto"/>
        <w:ind w:firstLine="420"/>
        <w:rPr>
          <w:rFonts w:ascii="宋体" w:hAnsi="宋体" w:cs="宋体"/>
          <w:color w:val="000000"/>
          <w:sz w:val="24"/>
          <w:highlight w:val="none"/>
        </w:rPr>
      </w:pPr>
      <w:r>
        <w:rPr>
          <w:rFonts w:hint="eastAsia" w:ascii="宋体" w:hAnsi="宋体" w:cs="宋体"/>
          <w:color w:val="000000"/>
          <w:sz w:val="24"/>
          <w:highlight w:val="none"/>
        </w:rPr>
        <w:t>2.磋商小组各成员独立对每个进入打分程序的有效磋商供应商的响应文件技术和资质部分以打分的形式进行评审和评价。</w:t>
      </w:r>
    </w:p>
    <w:p w14:paraId="3BB53DCC">
      <w:pPr>
        <w:spacing w:line="360" w:lineRule="auto"/>
        <w:ind w:firstLine="420"/>
        <w:rPr>
          <w:rFonts w:ascii="宋体" w:hAnsi="宋体" w:cs="宋体"/>
          <w:color w:val="000000"/>
          <w:sz w:val="24"/>
          <w:highlight w:val="none"/>
        </w:rPr>
      </w:pPr>
      <w:r>
        <w:rPr>
          <w:rFonts w:hint="eastAsia" w:ascii="宋体" w:hAnsi="宋体" w:cs="宋体"/>
          <w:color w:val="000000"/>
          <w:sz w:val="24"/>
          <w:highlight w:val="none"/>
        </w:rPr>
        <w:t>3.对评委的评分（除价格分外）进行统计汇总，直接算术平均计算出每个磋商供应商的得分，加上价格得分即为每个磋商供应商的综合得分。</w:t>
      </w:r>
    </w:p>
    <w:p w14:paraId="4B210175">
      <w:pPr>
        <w:spacing w:line="360" w:lineRule="auto"/>
        <w:ind w:firstLine="420"/>
        <w:rPr>
          <w:rFonts w:ascii="宋体" w:hAnsi="宋体" w:cs="宋体"/>
          <w:color w:val="000000"/>
          <w:sz w:val="24"/>
          <w:highlight w:val="none"/>
        </w:rPr>
      </w:pPr>
      <w:r>
        <w:rPr>
          <w:rFonts w:hint="eastAsia" w:ascii="宋体" w:hAnsi="宋体" w:cs="宋体"/>
          <w:color w:val="000000"/>
          <w:sz w:val="24"/>
          <w:highlight w:val="none"/>
        </w:rPr>
        <w:t>4.</w:t>
      </w:r>
      <w:r>
        <w:rPr>
          <w:rFonts w:hint="eastAsia"/>
          <w:color w:val="000000"/>
          <w:sz w:val="24"/>
          <w:highlight w:val="none"/>
        </w:rPr>
        <w:t xml:space="preserve"> </w:t>
      </w:r>
      <w:r>
        <w:rPr>
          <w:rFonts w:hint="eastAsia" w:ascii="宋体" w:hAnsi="宋体" w:cs="宋体"/>
          <w:color w:val="000000"/>
          <w:sz w:val="24"/>
          <w:highlight w:val="none"/>
        </w:rPr>
        <w:t>.如供应商存在“苏财购〔2017〕11号”文件中所列的失信或不良行为，按照相关规定执行。关于较大数额罚款的认定按照《财政部关于&lt;中华人民共和国政府采购法实施条例&gt;第十九条第一款“较大数额罚款”具体适用问题的意见》（财库〔2022〕3 号）文件执行。</w:t>
      </w:r>
    </w:p>
    <w:p w14:paraId="102DA34C">
      <w:pPr>
        <w:spacing w:line="360" w:lineRule="auto"/>
        <w:ind w:firstLine="420"/>
        <w:rPr>
          <w:rFonts w:ascii="宋体" w:hAnsi="宋体" w:cs="宋体"/>
          <w:color w:val="000000"/>
          <w:sz w:val="24"/>
          <w:highlight w:val="none"/>
        </w:rPr>
      </w:pPr>
      <w:r>
        <w:rPr>
          <w:rFonts w:hint="eastAsia" w:ascii="宋体" w:hAnsi="宋体" w:cs="宋体"/>
          <w:color w:val="000000"/>
          <w:sz w:val="24"/>
          <w:highlight w:val="none"/>
        </w:rPr>
        <w:t>5.针对中小型企业、残疾人福利企业和监狱企业的评审：</w:t>
      </w:r>
    </w:p>
    <w:p w14:paraId="4B7F3FBD">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根据财政部、工业和信息化部关于印发意见“财库〔2011〕181号”关于印发《政府采购促进中小企业发展暂行办法》的通知规定，对属于小型、微型企业的投标人给予评审加分：</w:t>
      </w:r>
    </w:p>
    <w:p w14:paraId="478CD86E">
      <w:pPr>
        <w:pStyle w:val="190"/>
        <w:widowControl/>
        <w:spacing w:line="360" w:lineRule="auto"/>
        <w:ind w:firstLine="480"/>
        <w:rPr>
          <w:rFonts w:hint="eastAsia" w:ascii="宋体" w:hAnsi="宋体" w:cs="宋体"/>
          <w:b/>
          <w:bCs/>
          <w:color w:val="000000"/>
          <w:sz w:val="24"/>
          <w:szCs w:val="24"/>
          <w:highlight w:val="none"/>
        </w:rPr>
      </w:pPr>
      <w:r>
        <w:rPr>
          <w:rFonts w:hint="eastAsia" w:ascii="宋体" w:hAnsi="宋体" w:cs="宋体"/>
          <w:color w:val="000000"/>
          <w:sz w:val="24"/>
          <w:highlight w:val="none"/>
        </w:rPr>
        <w:t>如投标人认定本企业为小型或微型企业，则需提供投标人签署的《中小企业声明函》证实企业的规模类型。未在投标文件中提供《中小企业声明函》的，不享受促进中小微企业发展的相关政府采购政策。</w:t>
      </w:r>
      <w:r>
        <w:rPr>
          <w:rFonts w:hint="eastAsia" w:ascii="宋体" w:hAnsi="宋体" w:cs="宋体"/>
          <w:b/>
          <w:bCs/>
          <w:color w:val="000000"/>
          <w:sz w:val="24"/>
          <w:szCs w:val="24"/>
          <w:highlight w:val="none"/>
        </w:rPr>
        <w:t>本项目所属行业为</w:t>
      </w:r>
      <w:r>
        <w:rPr>
          <w:rFonts w:hint="eastAsia" w:ascii="宋体" w:hAnsi="宋体" w:cs="宋体"/>
          <w:b/>
          <w:bCs/>
          <w:color w:val="000000"/>
          <w:sz w:val="24"/>
          <w:szCs w:val="24"/>
          <w:highlight w:val="none"/>
          <w:lang w:eastAsia="zh-CN"/>
        </w:rPr>
        <w:t>软件和信息技术服务业</w:t>
      </w:r>
      <w:r>
        <w:rPr>
          <w:rFonts w:hint="eastAsia" w:ascii="宋体" w:hAnsi="宋体" w:cs="宋体"/>
          <w:b/>
          <w:bCs/>
          <w:color w:val="000000"/>
          <w:sz w:val="24"/>
          <w:szCs w:val="24"/>
          <w:highlight w:val="none"/>
        </w:rPr>
        <w:t>。</w:t>
      </w:r>
    </w:p>
    <w:p w14:paraId="095F175C">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根据“中小企业声明函”中所确定的企业性质，如投标人属于小型企业或微型企业的，且提供自有服务的，对小型、微型企业的报价给予20%的扣除；扣除后的价格为评审价格参与价格评审。</w:t>
      </w:r>
    </w:p>
    <w:p w14:paraId="470FFB22">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注：</w:t>
      </w:r>
    </w:p>
    <w:p w14:paraId="4FCF65C3">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填报“中小企业声明函”需严格按“工信部联企业〔2011〕300号通知中的《中小企业划型标准规定》进行。本采购标的对应的中小企业划分标准所属行业为：软件和信息技术服务业。</w:t>
      </w:r>
    </w:p>
    <w:p w14:paraId="18AA6F36">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（2）针对残疾人福利性单位的评审加分：</w:t>
      </w:r>
    </w:p>
    <w:p w14:paraId="632A7C6D">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残疾人福利性单位在投标文件中提供《残疾人福利性单位声明函》。符合《关于促进残疾人就业政府采购政策的通知》（财库〔2017〕141号）规定标准的可以认定为残疾人福利性单位。</w:t>
      </w:r>
    </w:p>
    <w:p w14:paraId="1783DDDC">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对于残疾人福利性单位产品或服务的价格给予20%的扣除，用扣除后的价格参与评审。残疾人福利性单位属于小型、微型企业的，不重复享受政策。</w:t>
      </w:r>
    </w:p>
    <w:p w14:paraId="6A4E5696">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（3）针对监狱企业的评审加分：</w:t>
      </w:r>
    </w:p>
    <w:p w14:paraId="1CE05858">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监狱企业在投标文件中提供由省级以上监狱管理局、戒毒管理局（含新疆生产建设兵团）出具的属于监狱企业的证明文件。未按招标文件的规定在投标文件中提供中监狱企业证明文件的，不享受支持监狱企业发展的相关政府采购政策。</w:t>
      </w:r>
    </w:p>
    <w:p w14:paraId="74E70DBE">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对于监狱企业产品或服务的价格给予20%的扣除，用扣除后的价格参与评审。监狱企业属于小型、微型企业的，不重复享受政策。</w:t>
      </w:r>
    </w:p>
    <w:p w14:paraId="222226CB">
      <w:pPr>
        <w:spacing w:line="360" w:lineRule="auto"/>
        <w:ind w:firstLine="420"/>
        <w:rPr>
          <w:rFonts w:ascii="宋体" w:hAnsi="宋体" w:cs="宋体"/>
          <w:color w:val="000000"/>
          <w:sz w:val="24"/>
          <w:highlight w:val="none"/>
        </w:rPr>
      </w:pPr>
      <w:r>
        <w:rPr>
          <w:rFonts w:hint="eastAsia" w:ascii="宋体" w:hAnsi="宋体" w:cs="宋体"/>
          <w:color w:val="000000"/>
          <w:sz w:val="24"/>
          <w:highlight w:val="none"/>
        </w:rPr>
        <w:t>（4）投标人对提供的证明材料负有核实义务及责任。若投标人提供的“中小企业声明函”等为虚假声明则视同提供虚假材料，投标人将按“政府采购法”相关规定处理并报请政府监管部门给予相应处罚。注：</w:t>
      </w:r>
    </w:p>
    <w:p w14:paraId="62692157">
      <w:pPr>
        <w:spacing w:line="360" w:lineRule="auto"/>
        <w:ind w:firstLine="420"/>
        <w:rPr>
          <w:rFonts w:ascii="宋体" w:hAnsi="宋体" w:cs="宋体"/>
          <w:color w:val="000000"/>
          <w:sz w:val="24"/>
          <w:highlight w:val="none"/>
        </w:rPr>
      </w:pPr>
      <w:r>
        <w:rPr>
          <w:rFonts w:hint="eastAsia" w:ascii="宋体" w:hAnsi="宋体" w:cs="宋体"/>
          <w:color w:val="000000"/>
          <w:sz w:val="24"/>
          <w:highlight w:val="none"/>
        </w:rPr>
        <w:t>①填报“中小企业声明函”需严格按“工信部联企业〔2011〕300号通知中的《中小企业划型标准规定》进行。</w:t>
      </w:r>
    </w:p>
    <w:p w14:paraId="25D0856B">
      <w:pPr>
        <w:spacing w:line="360" w:lineRule="auto"/>
        <w:ind w:firstLine="420"/>
        <w:rPr>
          <w:rFonts w:ascii="宋体" w:hAnsi="宋体" w:cs="宋体"/>
          <w:color w:val="000000"/>
          <w:sz w:val="24"/>
          <w:highlight w:val="none"/>
        </w:rPr>
      </w:pPr>
      <w:r>
        <w:rPr>
          <w:rFonts w:hint="eastAsia" w:ascii="宋体" w:hAnsi="宋体" w:cs="宋体"/>
          <w:color w:val="000000"/>
          <w:sz w:val="24"/>
          <w:highlight w:val="none"/>
        </w:rPr>
        <w:t>②若供应商提供的声明函或认定证明为虚假材料，按“政府采购法”相关规定处理并报请政府监管部门给予行政处罚。</w:t>
      </w:r>
    </w:p>
    <w:p w14:paraId="6A3130DA">
      <w:pPr>
        <w:spacing w:line="400" w:lineRule="exact"/>
        <w:ind w:firstLine="482"/>
        <w:rPr>
          <w:rFonts w:ascii="宋体" w:hAnsi="宋体"/>
          <w:b/>
          <w:bCs/>
          <w:color w:val="000000"/>
          <w:sz w:val="24"/>
          <w:highlight w:val="none"/>
        </w:rPr>
      </w:pPr>
      <w:r>
        <w:rPr>
          <w:rFonts w:hint="eastAsia" w:ascii="宋体" w:hAnsi="宋体"/>
          <w:b/>
          <w:bCs/>
          <w:color w:val="000000"/>
          <w:sz w:val="24"/>
          <w:highlight w:val="none"/>
        </w:rPr>
        <w:t>二、评分标准：</w:t>
      </w:r>
    </w:p>
    <w:p w14:paraId="4A31792C">
      <w:pPr>
        <w:spacing w:line="360" w:lineRule="auto"/>
        <w:ind w:firstLine="482"/>
        <w:rPr>
          <w:rFonts w:hint="eastAsia" w:ascii="宋体" w:hAnsi="宋体"/>
          <w:b/>
          <w:bCs/>
          <w:color w:val="000000"/>
          <w:sz w:val="24"/>
          <w:highlight w:val="none"/>
        </w:rPr>
      </w:pPr>
      <w:r>
        <w:rPr>
          <w:rFonts w:hint="eastAsia" w:ascii="宋体" w:hAnsi="宋体"/>
          <w:b/>
          <w:bCs/>
          <w:color w:val="000000"/>
          <w:sz w:val="24"/>
          <w:highlight w:val="none"/>
        </w:rPr>
        <w:t>（一）价格基准分：（</w:t>
      </w:r>
      <w:r>
        <w:rPr>
          <w:rFonts w:hint="eastAsia" w:ascii="宋体" w:hAnsi="宋体"/>
          <w:b/>
          <w:bCs/>
          <w:color w:val="000000"/>
          <w:sz w:val="24"/>
          <w:highlight w:val="none"/>
          <w:lang w:val="en-US" w:eastAsia="zh-CN"/>
        </w:rPr>
        <w:t>1</w:t>
      </w:r>
      <w:r>
        <w:rPr>
          <w:rFonts w:hint="eastAsia" w:ascii="宋体" w:hAnsi="宋体"/>
          <w:b/>
          <w:bCs/>
          <w:color w:val="000000"/>
          <w:sz w:val="24"/>
          <w:highlight w:val="none"/>
        </w:rPr>
        <w:t>0分）</w:t>
      </w:r>
    </w:p>
    <w:p w14:paraId="7A0FA539">
      <w:pPr>
        <w:tabs>
          <w:tab w:val="left" w:pos="567"/>
        </w:tabs>
        <w:spacing w:line="360" w:lineRule="auto"/>
        <w:ind w:firstLine="420"/>
        <w:jc w:val="left"/>
        <w:rPr>
          <w:rFonts w:ascii="宋体" w:hAnsi="宋体" w:cs="宋体-18030"/>
          <w:color w:val="000000"/>
          <w:sz w:val="24"/>
          <w:highlight w:val="none"/>
        </w:rPr>
      </w:pPr>
      <w:r>
        <w:rPr>
          <w:rFonts w:hint="eastAsia" w:ascii="宋体" w:hAnsi="宋体"/>
          <w:color w:val="000000"/>
          <w:sz w:val="24"/>
          <w:highlight w:val="none"/>
        </w:rPr>
        <w:t>1</w:t>
      </w:r>
      <w:r>
        <w:rPr>
          <w:rFonts w:hint="eastAsia" w:ascii="宋体" w:hAnsi="宋体" w:cs="宋体"/>
          <w:color w:val="000000"/>
          <w:sz w:val="24"/>
          <w:highlight w:val="none"/>
        </w:rPr>
        <w:t>.</w:t>
      </w:r>
      <w:r>
        <w:rPr>
          <w:rFonts w:hint="eastAsia" w:ascii="宋体" w:hAnsi="宋体"/>
          <w:color w:val="000000"/>
          <w:sz w:val="24"/>
          <w:highlight w:val="none"/>
        </w:rPr>
        <w:t>磋商报价不超过采购预算价格或最高限价的，为有效磋商报价。超出此范围的磋商报价为无效报价。无效报价的响应文件不进行评审，也不得标。</w:t>
      </w:r>
    </w:p>
    <w:p w14:paraId="7C142365">
      <w:pPr>
        <w:tabs>
          <w:tab w:val="left" w:pos="567"/>
        </w:tabs>
        <w:spacing w:line="360" w:lineRule="auto"/>
        <w:ind w:firstLine="420"/>
        <w:jc w:val="left"/>
        <w:rPr>
          <w:rFonts w:hint="eastAsia" w:ascii="宋体" w:hAnsi="宋体" w:cs="宋体-18030"/>
          <w:color w:val="000000"/>
          <w:sz w:val="24"/>
          <w:highlight w:val="none"/>
        </w:rPr>
      </w:pPr>
      <w:r>
        <w:rPr>
          <w:rFonts w:hint="eastAsia" w:ascii="宋体" w:hAnsi="宋体" w:cs="宋体-18030"/>
          <w:color w:val="000000"/>
          <w:sz w:val="24"/>
          <w:highlight w:val="none"/>
        </w:rPr>
        <w:t>2</w:t>
      </w:r>
      <w:r>
        <w:rPr>
          <w:rFonts w:hint="eastAsia" w:ascii="宋体" w:hAnsi="宋体" w:cs="宋体"/>
          <w:color w:val="000000"/>
          <w:sz w:val="24"/>
          <w:highlight w:val="none"/>
        </w:rPr>
        <w:t>.</w:t>
      </w:r>
      <w:r>
        <w:rPr>
          <w:rFonts w:hint="eastAsia" w:ascii="宋体" w:hAnsi="宋体" w:cs="宋体-18030"/>
          <w:color w:val="000000"/>
          <w:sz w:val="24"/>
          <w:highlight w:val="none"/>
        </w:rPr>
        <w:t>价格得分计算方法：根据各响应单位通过符合性审查的有效磋商报价中的最低价作为评审基准价，其价格分为满分。</w:t>
      </w:r>
    </w:p>
    <w:p w14:paraId="3E47B420">
      <w:pPr>
        <w:tabs>
          <w:tab w:val="left" w:pos="567"/>
        </w:tabs>
        <w:spacing w:line="360" w:lineRule="auto"/>
        <w:ind w:firstLine="420"/>
        <w:jc w:val="left"/>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s="宋体"/>
          <w:color w:val="000000"/>
          <w:sz w:val="24"/>
          <w:highlight w:val="none"/>
        </w:rPr>
        <w:t>.</w:t>
      </w:r>
      <w:r>
        <w:rPr>
          <w:rFonts w:hint="eastAsia" w:ascii="宋体" w:hAnsi="宋体"/>
          <w:color w:val="000000"/>
          <w:sz w:val="24"/>
          <w:highlight w:val="none"/>
        </w:rPr>
        <w:t>其他响应单位的价格分统一按照下列公式计算：</w:t>
      </w:r>
    </w:p>
    <w:p w14:paraId="534A1BE6">
      <w:pPr>
        <w:tabs>
          <w:tab w:val="left" w:pos="567"/>
        </w:tabs>
        <w:spacing w:line="360" w:lineRule="auto"/>
        <w:ind w:firstLine="420"/>
        <w:jc w:val="left"/>
        <w:rPr>
          <w:rFonts w:ascii="宋体" w:hAnsi="宋体"/>
          <w:color w:val="000000"/>
          <w:sz w:val="24"/>
          <w:highlight w:val="none"/>
        </w:rPr>
      </w:pPr>
      <w:r>
        <w:rPr>
          <w:rFonts w:hint="eastAsia" w:ascii="宋体" w:hAnsi="宋体"/>
          <w:color w:val="000000"/>
          <w:sz w:val="24"/>
          <w:highlight w:val="none"/>
        </w:rPr>
        <w:t>磋商报价得分=(评审基准价／磋商报价)×价格权值（</w:t>
      </w:r>
      <w:r>
        <w:rPr>
          <w:rFonts w:hint="eastAsia" w:ascii="宋体" w:hAnsi="宋体"/>
          <w:color w:val="000000"/>
          <w:sz w:val="24"/>
          <w:highlight w:val="none"/>
          <w:lang w:val="en-US" w:eastAsia="zh-CN"/>
        </w:rPr>
        <w:t>1</w:t>
      </w:r>
      <w:r>
        <w:rPr>
          <w:rFonts w:hint="eastAsia" w:ascii="宋体" w:hAnsi="宋体"/>
          <w:color w:val="000000"/>
          <w:sz w:val="24"/>
          <w:highlight w:val="none"/>
        </w:rPr>
        <w:t>0%）×100，小数点后保留两位。</w:t>
      </w:r>
    </w:p>
    <w:p w14:paraId="60F8372F">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rPr>
        <w:t>（二）技术比较：</w:t>
      </w:r>
      <w:r>
        <w:rPr>
          <w:rFonts w:hint="eastAsia" w:ascii="宋体" w:hAnsi="宋体"/>
          <w:b w:val="0"/>
          <w:bCs w:val="0"/>
          <w:color w:val="000000"/>
          <w:sz w:val="24"/>
          <w:szCs w:val="24"/>
          <w:highlight w:val="none"/>
          <w:lang w:val="en-US" w:eastAsia="zh-CN"/>
        </w:rPr>
        <w:t>62</w:t>
      </w:r>
      <w:r>
        <w:rPr>
          <w:rFonts w:hint="eastAsia" w:ascii="宋体" w:hAnsi="宋体"/>
          <w:b w:val="0"/>
          <w:bCs w:val="0"/>
          <w:color w:val="000000"/>
          <w:sz w:val="24"/>
          <w:szCs w:val="24"/>
          <w:highlight w:val="none"/>
          <w:lang w:val="en-US"/>
        </w:rPr>
        <w:t>分</w:t>
      </w:r>
    </w:p>
    <w:p w14:paraId="657395CC">
      <w:pPr>
        <w:pStyle w:val="216"/>
        <w:spacing w:line="420" w:lineRule="exact"/>
        <w:ind w:firstLine="482"/>
        <w:rPr>
          <w:rFonts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rPr>
        <w:t>1、根据</w:t>
      </w:r>
      <w:r>
        <w:rPr>
          <w:rFonts w:hint="eastAsia" w:ascii="宋体" w:hAnsi="宋体"/>
          <w:b w:val="0"/>
          <w:bCs w:val="0"/>
          <w:color w:val="000000"/>
          <w:sz w:val="24"/>
          <w:szCs w:val="24"/>
          <w:highlight w:val="none"/>
          <w:lang w:val="en-US" w:eastAsia="zh-CN"/>
        </w:rPr>
        <w:t>所投</w:t>
      </w:r>
      <w:r>
        <w:rPr>
          <w:rFonts w:hint="eastAsia" w:ascii="宋体" w:hAnsi="宋体"/>
          <w:b w:val="0"/>
          <w:bCs w:val="0"/>
          <w:color w:val="000000"/>
          <w:sz w:val="24"/>
          <w:szCs w:val="24"/>
          <w:highlight w:val="none"/>
          <w:lang w:val="en-US"/>
        </w:rPr>
        <w:t>产品的技术情况进行评分，最高</w:t>
      </w:r>
      <w:r>
        <w:rPr>
          <w:rFonts w:hint="eastAsia" w:ascii="宋体" w:hAnsi="宋体"/>
          <w:b w:val="0"/>
          <w:bCs w:val="0"/>
          <w:color w:val="000000"/>
          <w:sz w:val="24"/>
          <w:szCs w:val="24"/>
          <w:highlight w:val="none"/>
          <w:lang w:val="en-US" w:eastAsia="zh-CN"/>
        </w:rPr>
        <w:t>16</w:t>
      </w:r>
      <w:r>
        <w:rPr>
          <w:rFonts w:hint="eastAsia" w:ascii="宋体" w:hAnsi="宋体"/>
          <w:b w:val="0"/>
          <w:bCs w:val="0"/>
          <w:color w:val="000000"/>
          <w:sz w:val="24"/>
          <w:szCs w:val="24"/>
          <w:highlight w:val="none"/>
          <w:lang w:val="en-US"/>
        </w:rPr>
        <w:t>分。须提供包括：会议管理、云空间、网络适应性、系统安全</w:t>
      </w:r>
      <w:r>
        <w:rPr>
          <w:rFonts w:hint="eastAsia" w:ascii="宋体" w:hAnsi="宋体"/>
          <w:b w:val="0"/>
          <w:bCs w:val="0"/>
          <w:color w:val="000000"/>
          <w:sz w:val="24"/>
          <w:szCs w:val="24"/>
          <w:highlight w:val="none"/>
          <w:lang w:val="en-US" w:eastAsia="zh-CN"/>
        </w:rPr>
        <w:t>、会议录播</w:t>
      </w:r>
      <w:r>
        <w:rPr>
          <w:rFonts w:hint="eastAsia" w:ascii="宋体" w:hAnsi="宋体"/>
          <w:b w:val="0"/>
          <w:bCs w:val="0"/>
          <w:color w:val="000000"/>
          <w:sz w:val="24"/>
          <w:szCs w:val="24"/>
          <w:highlight w:val="none"/>
          <w:lang w:val="en-US"/>
        </w:rPr>
        <w:t>的技术偏离说明（包括：技术要求、性能指标和配套设备选型），如低于招标要求则视为负偏离，无★标记的每项负偏离扣</w:t>
      </w:r>
      <w:r>
        <w:rPr>
          <w:rFonts w:hint="eastAsia" w:ascii="宋体" w:hAnsi="宋体"/>
          <w:b w:val="0"/>
          <w:bCs w:val="0"/>
          <w:color w:val="000000"/>
          <w:sz w:val="24"/>
          <w:szCs w:val="24"/>
          <w:highlight w:val="none"/>
          <w:lang w:val="en-US" w:eastAsia="zh-CN"/>
        </w:rPr>
        <w:t>1</w:t>
      </w:r>
      <w:r>
        <w:rPr>
          <w:rFonts w:hint="eastAsia" w:ascii="宋体" w:hAnsi="宋体"/>
          <w:b w:val="0"/>
          <w:bCs w:val="0"/>
          <w:color w:val="000000"/>
          <w:sz w:val="24"/>
          <w:szCs w:val="24"/>
          <w:highlight w:val="none"/>
          <w:lang w:val="en-US"/>
        </w:rPr>
        <w:t>分，</w:t>
      </w:r>
      <w:r>
        <w:rPr>
          <w:rFonts w:hint="eastAsia" w:ascii="宋体" w:hAnsi="宋体"/>
          <w:b w:val="0"/>
          <w:bCs w:val="0"/>
          <w:color w:val="000000"/>
          <w:sz w:val="24"/>
          <w:szCs w:val="24"/>
          <w:highlight w:val="none"/>
          <w:lang w:val="en-US" w:eastAsia="zh-CN"/>
        </w:rPr>
        <w:t>加</w:t>
      </w:r>
      <w:r>
        <w:rPr>
          <w:rFonts w:hint="eastAsia" w:ascii="宋体" w:hAnsi="宋体"/>
          <w:b w:val="0"/>
          <w:bCs w:val="0"/>
          <w:color w:val="000000"/>
          <w:sz w:val="24"/>
          <w:szCs w:val="24"/>
          <w:highlight w:val="none"/>
          <w:lang w:val="en-US"/>
        </w:rPr>
        <w:t>★标记的每项负偏离扣</w:t>
      </w:r>
      <w:r>
        <w:rPr>
          <w:rFonts w:hint="eastAsia" w:ascii="宋体" w:hAnsi="宋体"/>
          <w:b w:val="0"/>
          <w:bCs w:val="0"/>
          <w:color w:val="000000"/>
          <w:sz w:val="24"/>
          <w:szCs w:val="24"/>
          <w:highlight w:val="none"/>
          <w:lang w:val="en-US" w:eastAsia="zh-CN"/>
        </w:rPr>
        <w:t>2</w:t>
      </w:r>
      <w:r>
        <w:rPr>
          <w:rFonts w:hint="eastAsia" w:ascii="宋体" w:hAnsi="宋体"/>
          <w:b w:val="0"/>
          <w:bCs w:val="0"/>
          <w:color w:val="000000"/>
          <w:sz w:val="24"/>
          <w:szCs w:val="24"/>
          <w:highlight w:val="none"/>
          <w:lang w:val="en-US"/>
        </w:rPr>
        <w:t>分，扣完为止。</w:t>
      </w:r>
      <w:r>
        <w:rPr>
          <w:rFonts w:hint="eastAsia" w:ascii="宋体" w:hAnsi="宋体"/>
          <w:b w:val="0"/>
          <w:bCs w:val="0"/>
          <w:color w:val="000000"/>
          <w:sz w:val="24"/>
          <w:szCs w:val="24"/>
          <w:highlight w:val="none"/>
          <w:lang w:val="en-US" w:eastAsia="zh-CN"/>
        </w:rPr>
        <w:t>加</w:t>
      </w:r>
      <w:r>
        <w:rPr>
          <w:rFonts w:hint="eastAsia" w:ascii="宋体" w:hAnsi="宋体"/>
          <w:b w:val="0"/>
          <w:bCs w:val="0"/>
          <w:color w:val="000000"/>
          <w:sz w:val="24"/>
          <w:szCs w:val="24"/>
          <w:highlight w:val="none"/>
          <w:lang w:val="en-US"/>
        </w:rPr>
        <w:t>★标记的</w:t>
      </w:r>
      <w:r>
        <w:rPr>
          <w:rFonts w:hint="eastAsia" w:ascii="宋体" w:hAnsi="宋体"/>
          <w:b w:val="0"/>
          <w:bCs w:val="0"/>
          <w:color w:val="000000"/>
          <w:sz w:val="24"/>
          <w:szCs w:val="24"/>
          <w:highlight w:val="none"/>
          <w:lang w:val="en-US" w:eastAsia="zh-CN"/>
        </w:rPr>
        <w:t>参数指标须提供官方证明截图及链接，未提供视为负偏离。</w:t>
      </w:r>
    </w:p>
    <w:p w14:paraId="2029FD70">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eastAsia="zh-CN"/>
        </w:rPr>
        <w:t>2、</w:t>
      </w:r>
      <w:r>
        <w:rPr>
          <w:rFonts w:hint="eastAsia" w:ascii="宋体" w:hAnsi="宋体"/>
          <w:b w:val="0"/>
          <w:bCs w:val="0"/>
          <w:color w:val="000000"/>
          <w:sz w:val="24"/>
          <w:szCs w:val="24"/>
          <w:highlight w:val="none"/>
          <w:lang w:val="en-US"/>
        </w:rPr>
        <w:t>实施方案比较：</w:t>
      </w:r>
      <w:r>
        <w:rPr>
          <w:rFonts w:hint="eastAsia" w:ascii="宋体" w:hAnsi="宋体"/>
          <w:b w:val="0"/>
          <w:bCs w:val="0"/>
          <w:color w:val="000000"/>
          <w:sz w:val="24"/>
          <w:szCs w:val="24"/>
          <w:highlight w:val="none"/>
          <w:lang w:val="en-US" w:eastAsia="zh-CN"/>
        </w:rPr>
        <w:t>16</w:t>
      </w:r>
      <w:r>
        <w:rPr>
          <w:rFonts w:hint="eastAsia" w:ascii="宋体" w:hAnsi="宋体"/>
          <w:b w:val="0"/>
          <w:bCs w:val="0"/>
          <w:color w:val="000000"/>
          <w:sz w:val="24"/>
          <w:szCs w:val="24"/>
          <w:highlight w:val="none"/>
          <w:lang w:val="en-US"/>
        </w:rPr>
        <w:t>分</w:t>
      </w:r>
    </w:p>
    <w:p w14:paraId="16722466">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rPr>
        <w:t>实施方案应包括但不限于相关服务档案信息管理机制、文档管理和安全操作管理、咨询建议、相关服务期届满后的后续服务方案等，根据本项目采购需求提供的方案内容翔实程度、合理性、可操作性等进行横向比较：内容详细完整、合理性强、可操作性强的得</w:t>
      </w:r>
      <w:r>
        <w:rPr>
          <w:rFonts w:hint="eastAsia" w:ascii="宋体" w:hAnsi="宋体"/>
          <w:b w:val="0"/>
          <w:bCs w:val="0"/>
          <w:color w:val="000000"/>
          <w:sz w:val="24"/>
          <w:szCs w:val="24"/>
          <w:highlight w:val="none"/>
          <w:lang w:val="en-US" w:eastAsia="zh-CN"/>
        </w:rPr>
        <w:t>16</w:t>
      </w:r>
      <w:r>
        <w:rPr>
          <w:rFonts w:hint="eastAsia" w:ascii="宋体" w:hAnsi="宋体"/>
          <w:b w:val="0"/>
          <w:bCs w:val="0"/>
          <w:color w:val="000000"/>
          <w:sz w:val="24"/>
          <w:szCs w:val="24"/>
          <w:highlight w:val="none"/>
          <w:lang w:val="en-US"/>
        </w:rPr>
        <w:t>分；内容较为详细完整、合理性较强、可操作性较强的得</w:t>
      </w:r>
      <w:r>
        <w:rPr>
          <w:rFonts w:hint="eastAsia" w:ascii="宋体" w:hAnsi="宋体"/>
          <w:b w:val="0"/>
          <w:bCs w:val="0"/>
          <w:color w:val="000000"/>
          <w:sz w:val="24"/>
          <w:szCs w:val="24"/>
          <w:highlight w:val="none"/>
          <w:lang w:val="en-US" w:eastAsia="zh-CN"/>
        </w:rPr>
        <w:t>10</w:t>
      </w:r>
      <w:r>
        <w:rPr>
          <w:rFonts w:hint="eastAsia" w:ascii="宋体" w:hAnsi="宋体"/>
          <w:b w:val="0"/>
          <w:bCs w:val="0"/>
          <w:color w:val="000000"/>
          <w:sz w:val="24"/>
          <w:szCs w:val="24"/>
          <w:highlight w:val="none"/>
          <w:lang w:val="en-US"/>
        </w:rPr>
        <w:t>分；内容简单、合理性较差、操作性较差的得</w:t>
      </w:r>
      <w:r>
        <w:rPr>
          <w:rFonts w:hint="eastAsia" w:ascii="宋体" w:hAnsi="宋体"/>
          <w:b w:val="0"/>
          <w:bCs w:val="0"/>
          <w:color w:val="000000"/>
          <w:sz w:val="24"/>
          <w:szCs w:val="24"/>
          <w:highlight w:val="none"/>
          <w:lang w:val="en-US" w:eastAsia="zh-CN"/>
        </w:rPr>
        <w:t>5</w:t>
      </w:r>
      <w:r>
        <w:rPr>
          <w:rFonts w:hint="eastAsia" w:ascii="宋体" w:hAnsi="宋体"/>
          <w:b w:val="0"/>
          <w:bCs w:val="0"/>
          <w:color w:val="000000"/>
          <w:sz w:val="24"/>
          <w:szCs w:val="24"/>
          <w:highlight w:val="none"/>
          <w:lang w:val="en-US"/>
        </w:rPr>
        <w:t>分；内容简单提及的得</w:t>
      </w:r>
      <w:r>
        <w:rPr>
          <w:rFonts w:hint="eastAsia" w:ascii="宋体" w:hAnsi="宋体"/>
          <w:b w:val="0"/>
          <w:bCs w:val="0"/>
          <w:color w:val="000000"/>
          <w:sz w:val="24"/>
          <w:szCs w:val="24"/>
          <w:highlight w:val="none"/>
          <w:lang w:val="en-US" w:eastAsia="zh-CN"/>
        </w:rPr>
        <w:t>3</w:t>
      </w:r>
      <w:r>
        <w:rPr>
          <w:rFonts w:hint="eastAsia" w:ascii="宋体" w:hAnsi="宋体"/>
          <w:b w:val="0"/>
          <w:bCs w:val="0"/>
          <w:color w:val="000000"/>
          <w:sz w:val="24"/>
          <w:szCs w:val="24"/>
          <w:highlight w:val="none"/>
          <w:lang w:val="en-US"/>
        </w:rPr>
        <w:t>分，未提供相关内容的不得分。</w:t>
      </w:r>
    </w:p>
    <w:p w14:paraId="7F5AC019">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eastAsia="zh-CN"/>
        </w:rPr>
        <w:t>3</w:t>
      </w:r>
      <w:r>
        <w:rPr>
          <w:rFonts w:hint="eastAsia" w:ascii="宋体" w:hAnsi="宋体"/>
          <w:b w:val="0"/>
          <w:bCs w:val="0"/>
          <w:color w:val="000000"/>
          <w:sz w:val="24"/>
          <w:szCs w:val="24"/>
          <w:highlight w:val="none"/>
          <w:lang w:val="en-US"/>
        </w:rPr>
        <w:t xml:space="preserve">、应急管理方案：10分  </w:t>
      </w:r>
    </w:p>
    <w:p w14:paraId="66E6E33B">
      <w:pPr>
        <w:pStyle w:val="216"/>
        <w:numPr>
          <w:ilvl w:val="0"/>
          <w:numId w:val="0"/>
        </w:numPr>
        <w:spacing w:line="420" w:lineRule="exact"/>
        <w:ind w:firstLine="480"/>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rPr>
        <w:t>应急管理方案应包括但不限于针对维保服务的设备提供的应急管理制度、故障响应流程以及重点日期（重大活动期间、节假日等）保障方案、应急演练、预防性维护服务、特殊时期健康检查及保障人员变动风险的防范机制等内容，根据投标人提供的方案内容翔实程度、合理性、可操作性等进行横向比较：内容详细完整、合理性强、可操作性强的得10分；内容较为详细完整、合理性较强、可操作性较强的得7分；内容简单、合理性较差、操作性较差的得4分；内容简单提及的得1分，</w:t>
      </w:r>
      <w:r>
        <w:rPr>
          <w:rFonts w:hint="eastAsia" w:ascii="宋体" w:hAnsi="宋体" w:cs="宋体"/>
          <w:color w:val="000000"/>
          <w:sz w:val="24"/>
          <w:highlight w:val="none"/>
        </w:rPr>
        <w:t>未提供内容的不得分。</w:t>
      </w:r>
    </w:p>
    <w:p w14:paraId="1376B6D9">
      <w:pPr>
        <w:pStyle w:val="216"/>
        <w:spacing w:line="420" w:lineRule="exact"/>
        <w:ind w:firstLine="482"/>
        <w:rPr>
          <w:rFonts w:hint="eastAsia" w:ascii="宋体" w:hAnsi="宋体" w:eastAsia="宋体"/>
          <w:b w:val="0"/>
          <w:bCs w:val="0"/>
          <w:color w:val="000000"/>
          <w:sz w:val="24"/>
          <w:szCs w:val="24"/>
          <w:highlight w:val="none"/>
          <w:lang w:val="en-US" w:eastAsia="zh-CN"/>
        </w:rPr>
      </w:pPr>
      <w:r>
        <w:rPr>
          <w:rFonts w:hint="eastAsia" w:ascii="宋体" w:hAnsi="宋体" w:eastAsia="宋体"/>
          <w:b w:val="0"/>
          <w:bCs w:val="0"/>
          <w:color w:val="000000"/>
          <w:sz w:val="24"/>
          <w:szCs w:val="24"/>
          <w:highlight w:val="none"/>
          <w:lang w:val="en-US" w:eastAsia="zh-CN"/>
        </w:rPr>
        <w:t>4、培训方案比较：10分</w:t>
      </w:r>
    </w:p>
    <w:p w14:paraId="79D8663C">
      <w:pPr>
        <w:pStyle w:val="216"/>
        <w:spacing w:line="420" w:lineRule="exact"/>
        <w:ind w:firstLine="482"/>
        <w:rPr>
          <w:rFonts w:hint="eastAsia" w:ascii="宋体" w:hAnsi="宋体"/>
          <w:b w:val="0"/>
          <w:bCs w:val="0"/>
          <w:color w:val="000000"/>
          <w:sz w:val="21"/>
          <w:szCs w:val="21"/>
          <w:highlight w:val="none"/>
          <w:lang w:val="en-US"/>
        </w:rPr>
      </w:pPr>
      <w:r>
        <w:rPr>
          <w:rFonts w:hint="eastAsia" w:ascii="宋体" w:hAnsi="宋体" w:eastAsia="宋体"/>
          <w:b w:val="0"/>
          <w:bCs w:val="0"/>
          <w:color w:val="000000"/>
          <w:sz w:val="24"/>
          <w:szCs w:val="24"/>
          <w:highlight w:val="none"/>
          <w:lang w:val="en-US" w:eastAsia="zh-CN"/>
        </w:rPr>
        <w:t>培训方案应包括但不限于培训时间、培训内容、培训讲师能力等，根据本项目采购需求提供的培训方案的内容翔实程度、合理性、可操作性等进行横向比较：内容详细完整、合理性强、可操作性强的得10分；内容较为详细完整、合理性较强、可操作性较强的得7分；内容简单、合理性较差、操作性较差的得4分；内容简单提及的得1分，未提供内容的不得分。</w:t>
      </w:r>
    </w:p>
    <w:p w14:paraId="5B86456F">
      <w:pPr>
        <w:pStyle w:val="216"/>
        <w:spacing w:line="420" w:lineRule="exact"/>
        <w:ind w:firstLine="482"/>
        <w:rPr>
          <w:rFonts w:hint="eastAsia"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5、服务质量保障方案，最高 10分</w:t>
      </w:r>
    </w:p>
    <w:p w14:paraId="6CB5C835">
      <w:pPr>
        <w:pStyle w:val="216"/>
        <w:spacing w:line="420" w:lineRule="exact"/>
        <w:ind w:firstLine="482"/>
        <w:rPr>
          <w:rFonts w:hint="eastAsia" w:ascii="宋体" w:hAnsi="宋体"/>
          <w:b w:val="0"/>
          <w:bCs w:val="0"/>
          <w:color w:val="000000"/>
          <w:sz w:val="21"/>
          <w:szCs w:val="21"/>
          <w:highlight w:val="none"/>
          <w:lang w:val="en-US"/>
        </w:rPr>
      </w:pPr>
      <w:r>
        <w:rPr>
          <w:rFonts w:hint="eastAsia" w:ascii="宋体" w:hAnsi="宋体"/>
          <w:b w:val="0"/>
          <w:bCs w:val="0"/>
          <w:color w:val="000000"/>
          <w:sz w:val="24"/>
          <w:szCs w:val="24"/>
          <w:highlight w:val="none"/>
          <w:lang w:val="en-US" w:eastAsia="zh-CN"/>
        </w:rPr>
        <w:t>保障方案包括但不限于</w:t>
      </w:r>
      <w:r>
        <w:rPr>
          <w:rFonts w:hint="eastAsia" w:ascii="宋体" w:hAnsi="宋体"/>
          <w:b w:val="0"/>
          <w:bCs w:val="0"/>
          <w:color w:val="000000"/>
          <w:sz w:val="24"/>
          <w:szCs w:val="24"/>
          <w:highlight w:val="none"/>
          <w:lang w:val="en-US"/>
        </w:rPr>
        <w:t>人员</w:t>
      </w:r>
      <w:r>
        <w:rPr>
          <w:rFonts w:hint="eastAsia" w:ascii="宋体" w:hAnsi="宋体"/>
          <w:b w:val="0"/>
          <w:bCs w:val="0"/>
          <w:color w:val="000000"/>
          <w:sz w:val="24"/>
          <w:szCs w:val="24"/>
          <w:highlight w:val="none"/>
          <w:lang w:val="en-US" w:eastAsia="zh-CN"/>
        </w:rPr>
        <w:t>保障、措施保障、技术保障能力等</w:t>
      </w:r>
      <w:r>
        <w:rPr>
          <w:rFonts w:hint="eastAsia" w:ascii="宋体" w:hAnsi="宋体"/>
          <w:b w:val="0"/>
          <w:bCs w:val="0"/>
          <w:color w:val="000000"/>
          <w:sz w:val="24"/>
          <w:szCs w:val="24"/>
          <w:highlight w:val="none"/>
          <w:lang w:val="en-US"/>
        </w:rPr>
        <w:t>，</w:t>
      </w:r>
      <w:r>
        <w:rPr>
          <w:rFonts w:hint="eastAsia" w:ascii="宋体" w:hAnsi="宋体" w:eastAsia="宋体"/>
          <w:b w:val="0"/>
          <w:bCs w:val="0"/>
          <w:color w:val="000000"/>
          <w:sz w:val="24"/>
          <w:szCs w:val="24"/>
          <w:highlight w:val="none"/>
          <w:lang w:val="en-US" w:eastAsia="zh-CN"/>
        </w:rPr>
        <w:t>根据本项目采购需求提供的保障方案的内容翔实程度、合理性、可操作性等进行横向比较：内容详细完整、合理性强、可操作性强的得10分；内容较为详细完整、合理性较强、可操作性较强的得7分；内容简单、合理性较差、操作性较差的得4分；内容简单提及的得1分，未提供内容的不得分。</w:t>
      </w:r>
    </w:p>
    <w:p w14:paraId="17B0B8F2">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rPr>
        <w:t>（三）综合实力比较：</w:t>
      </w:r>
      <w:r>
        <w:rPr>
          <w:rFonts w:hint="eastAsia" w:ascii="宋体" w:hAnsi="宋体"/>
          <w:b w:val="0"/>
          <w:bCs w:val="0"/>
          <w:color w:val="000000"/>
          <w:sz w:val="24"/>
          <w:szCs w:val="24"/>
          <w:highlight w:val="none"/>
          <w:lang w:val="en-US" w:eastAsia="zh-CN"/>
        </w:rPr>
        <w:t>28</w:t>
      </w:r>
      <w:r>
        <w:rPr>
          <w:rFonts w:hint="eastAsia" w:ascii="宋体" w:hAnsi="宋体"/>
          <w:b w:val="0"/>
          <w:bCs w:val="0"/>
          <w:color w:val="000000"/>
          <w:sz w:val="24"/>
          <w:szCs w:val="24"/>
          <w:highlight w:val="none"/>
          <w:lang w:val="en-US"/>
        </w:rPr>
        <w:t>分</w:t>
      </w:r>
    </w:p>
    <w:p w14:paraId="2EC6CDBA">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rPr>
        <w:t>1、</w:t>
      </w:r>
      <w:r>
        <w:rPr>
          <w:rFonts w:hint="eastAsia" w:ascii="宋体" w:hAnsi="宋体"/>
          <w:b w:val="0"/>
          <w:bCs w:val="0"/>
          <w:color w:val="000000"/>
          <w:sz w:val="24"/>
          <w:szCs w:val="24"/>
          <w:highlight w:val="none"/>
          <w:lang w:val="en-US" w:eastAsia="zh-CN"/>
        </w:rPr>
        <w:t>拟投入</w:t>
      </w:r>
      <w:r>
        <w:rPr>
          <w:rFonts w:hint="eastAsia" w:ascii="宋体" w:hAnsi="宋体"/>
          <w:b w:val="0"/>
          <w:bCs w:val="0"/>
          <w:color w:val="000000"/>
          <w:sz w:val="24"/>
          <w:szCs w:val="24"/>
          <w:highlight w:val="none"/>
          <w:lang w:val="en-US"/>
        </w:rPr>
        <w:t>人员服务能力比较：9分</w:t>
      </w:r>
    </w:p>
    <w:p w14:paraId="3736F77E">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eastAsia="zh-CN"/>
        </w:rPr>
        <w:t>1.1</w:t>
      </w:r>
      <w:r>
        <w:rPr>
          <w:rFonts w:hint="eastAsia" w:ascii="宋体" w:hAnsi="宋体"/>
          <w:b w:val="0"/>
          <w:bCs w:val="0"/>
          <w:color w:val="000000"/>
          <w:sz w:val="24"/>
          <w:szCs w:val="24"/>
          <w:highlight w:val="none"/>
          <w:lang w:val="en-US"/>
        </w:rPr>
        <w:t>项目配置</w:t>
      </w:r>
      <w:r>
        <w:rPr>
          <w:rFonts w:hint="eastAsia" w:ascii="宋体" w:hAnsi="宋体"/>
          <w:b w:val="0"/>
          <w:bCs w:val="0"/>
          <w:color w:val="000000"/>
          <w:sz w:val="24"/>
          <w:szCs w:val="24"/>
          <w:highlight w:val="none"/>
          <w:lang w:val="en-US" w:eastAsia="zh-CN"/>
        </w:rPr>
        <w:t>拟</w:t>
      </w:r>
      <w:r>
        <w:rPr>
          <w:rFonts w:hint="eastAsia" w:ascii="宋体" w:hAnsi="宋体"/>
          <w:b w:val="0"/>
          <w:bCs w:val="0"/>
          <w:color w:val="000000"/>
          <w:sz w:val="24"/>
          <w:szCs w:val="24"/>
          <w:highlight w:val="none"/>
          <w:lang w:val="en-US"/>
        </w:rPr>
        <w:t>技术人员有HCIE或者H3CIE证书时，提供证书得3分；</w:t>
      </w:r>
    </w:p>
    <w:p w14:paraId="3BD10568">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eastAsia="zh-CN"/>
        </w:rPr>
        <w:t>1.2</w:t>
      </w:r>
      <w:r>
        <w:rPr>
          <w:rFonts w:hint="eastAsia" w:ascii="宋体" w:hAnsi="宋体"/>
          <w:b w:val="0"/>
          <w:bCs w:val="0"/>
          <w:color w:val="000000"/>
          <w:sz w:val="24"/>
          <w:szCs w:val="24"/>
          <w:highlight w:val="none"/>
          <w:lang w:val="en-US"/>
        </w:rPr>
        <w:t>项目配置</w:t>
      </w:r>
      <w:r>
        <w:rPr>
          <w:rFonts w:hint="eastAsia" w:ascii="宋体" w:hAnsi="宋体"/>
          <w:b w:val="0"/>
          <w:bCs w:val="0"/>
          <w:color w:val="000000"/>
          <w:sz w:val="24"/>
          <w:szCs w:val="24"/>
          <w:highlight w:val="none"/>
          <w:lang w:val="en-US" w:eastAsia="zh-CN"/>
        </w:rPr>
        <w:t>拟</w:t>
      </w:r>
      <w:r>
        <w:rPr>
          <w:rFonts w:hint="eastAsia" w:ascii="宋体" w:hAnsi="宋体"/>
          <w:b w:val="0"/>
          <w:bCs w:val="0"/>
          <w:color w:val="000000"/>
          <w:sz w:val="24"/>
          <w:szCs w:val="24"/>
          <w:highlight w:val="none"/>
          <w:lang w:val="en-US"/>
        </w:rPr>
        <w:t>技术人员有HCIP或者H3CSE证书时，每个证书得2分，最多得6分；</w:t>
      </w:r>
    </w:p>
    <w:p w14:paraId="01036185">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rPr>
        <w:t>注：以上人员在投标文件中须提供投标单位为其缴纳的近三个月的社保证明复印件，提供证书复印件</w:t>
      </w:r>
      <w:r>
        <w:rPr>
          <w:rFonts w:ascii="宋体" w:hAnsi="宋体"/>
          <w:b w:val="0"/>
          <w:bCs w:val="0"/>
          <w:color w:val="000000"/>
          <w:sz w:val="24"/>
          <w:szCs w:val="24"/>
          <w:highlight w:val="none"/>
        </w:rPr>
        <w:t>，</w:t>
      </w:r>
      <w:r>
        <w:rPr>
          <w:rFonts w:hint="eastAsia" w:ascii="宋体" w:hAnsi="宋体"/>
          <w:b w:val="0"/>
          <w:bCs w:val="0"/>
          <w:color w:val="000000"/>
          <w:sz w:val="24"/>
          <w:szCs w:val="24"/>
          <w:highlight w:val="none"/>
          <w:lang w:val="en-US"/>
        </w:rPr>
        <w:t>否则不得分。</w:t>
      </w:r>
    </w:p>
    <w:p w14:paraId="30041043">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rPr>
        <w:t>2、</w:t>
      </w:r>
      <w:r>
        <w:rPr>
          <w:rFonts w:hint="eastAsia" w:ascii="宋体" w:hAnsi="宋体"/>
          <w:b w:val="0"/>
          <w:bCs w:val="0"/>
          <w:color w:val="000000"/>
          <w:sz w:val="24"/>
          <w:szCs w:val="24"/>
          <w:highlight w:val="none"/>
          <w:lang w:val="en-US" w:eastAsia="zh-CN"/>
        </w:rPr>
        <w:t>拟投入会议系统云平台安全性比较</w:t>
      </w:r>
      <w:r>
        <w:rPr>
          <w:rFonts w:hint="eastAsia" w:ascii="宋体" w:hAnsi="宋体"/>
          <w:b w:val="0"/>
          <w:bCs w:val="0"/>
          <w:color w:val="000000"/>
          <w:sz w:val="24"/>
          <w:szCs w:val="24"/>
          <w:highlight w:val="none"/>
          <w:lang w:val="en-US"/>
        </w:rPr>
        <w:t>：</w:t>
      </w:r>
      <w:r>
        <w:rPr>
          <w:rFonts w:ascii="宋体" w:hAnsi="宋体"/>
          <w:b w:val="0"/>
          <w:bCs w:val="0"/>
          <w:color w:val="000000"/>
          <w:sz w:val="24"/>
          <w:szCs w:val="24"/>
          <w:highlight w:val="none"/>
        </w:rPr>
        <w:t>6</w:t>
      </w:r>
      <w:r>
        <w:rPr>
          <w:rFonts w:hint="eastAsia" w:ascii="宋体" w:hAnsi="宋体"/>
          <w:b w:val="0"/>
          <w:bCs w:val="0"/>
          <w:color w:val="000000"/>
          <w:sz w:val="24"/>
          <w:szCs w:val="24"/>
          <w:highlight w:val="none"/>
          <w:lang w:val="en-US"/>
        </w:rPr>
        <w:t>分</w:t>
      </w:r>
    </w:p>
    <w:p w14:paraId="222ACD1A">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b w:val="0"/>
          <w:bCs w:val="0"/>
          <w:color w:val="000000"/>
          <w:sz w:val="24"/>
          <w:szCs w:val="24"/>
          <w:highlight w:val="none"/>
          <w:lang w:val="en-US" w:eastAsia="zh-CN"/>
        </w:rPr>
        <w:t>2.1拟投入会议系统云平台</w:t>
      </w:r>
      <w:r>
        <w:rPr>
          <w:rFonts w:hint="eastAsia" w:ascii="宋体" w:hAnsi="宋体"/>
          <w:b w:val="0"/>
          <w:bCs w:val="0"/>
          <w:color w:val="000000"/>
          <w:sz w:val="24"/>
          <w:szCs w:val="24"/>
          <w:highlight w:val="none"/>
          <w:lang w:val="en-US"/>
        </w:rPr>
        <w:t>具有公安部颁发的信息系统安全等级保护三级及以上备案证明的得3分，</w:t>
      </w:r>
      <w:r>
        <w:rPr>
          <w:rFonts w:ascii="宋体" w:hAnsi="宋体"/>
          <w:b w:val="0"/>
          <w:bCs w:val="0"/>
          <w:color w:val="000000"/>
          <w:sz w:val="24"/>
          <w:szCs w:val="24"/>
          <w:highlight w:val="none"/>
        </w:rPr>
        <w:t>须</w:t>
      </w:r>
      <w:r>
        <w:rPr>
          <w:rFonts w:hint="eastAsia" w:ascii="宋体" w:hAnsi="宋体"/>
          <w:b w:val="0"/>
          <w:bCs w:val="0"/>
          <w:color w:val="000000"/>
          <w:sz w:val="24"/>
          <w:szCs w:val="24"/>
          <w:highlight w:val="none"/>
          <w:lang w:val="en-US"/>
        </w:rPr>
        <w:t>提供</w:t>
      </w:r>
      <w:r>
        <w:rPr>
          <w:rFonts w:ascii="宋体" w:hAnsi="宋体"/>
          <w:b w:val="0"/>
          <w:bCs w:val="0"/>
          <w:color w:val="000000"/>
          <w:sz w:val="24"/>
          <w:szCs w:val="24"/>
          <w:highlight w:val="none"/>
        </w:rPr>
        <w:t>备案</w:t>
      </w:r>
      <w:r>
        <w:rPr>
          <w:rFonts w:hint="eastAsia" w:ascii="宋体" w:hAnsi="宋体"/>
          <w:b w:val="0"/>
          <w:bCs w:val="0"/>
          <w:color w:val="000000"/>
          <w:sz w:val="24"/>
          <w:szCs w:val="24"/>
          <w:highlight w:val="none"/>
          <w:lang w:val="en-US"/>
        </w:rPr>
        <w:t>证明截图或</w:t>
      </w:r>
      <w:r>
        <w:rPr>
          <w:rFonts w:ascii="宋体" w:hAnsi="宋体"/>
          <w:b w:val="0"/>
          <w:bCs w:val="0"/>
          <w:color w:val="000000"/>
          <w:sz w:val="24"/>
          <w:szCs w:val="24"/>
          <w:highlight w:val="none"/>
        </w:rPr>
        <w:t>证书</w:t>
      </w:r>
      <w:r>
        <w:rPr>
          <w:rFonts w:hint="eastAsia" w:ascii="宋体" w:hAnsi="宋体"/>
          <w:b w:val="0"/>
          <w:bCs w:val="0"/>
          <w:color w:val="000000"/>
          <w:sz w:val="24"/>
          <w:szCs w:val="24"/>
          <w:highlight w:val="none"/>
          <w:lang w:val="en-US"/>
        </w:rPr>
        <w:t>复印件</w:t>
      </w:r>
      <w:r>
        <w:rPr>
          <w:rFonts w:ascii="宋体" w:hAnsi="宋体"/>
          <w:b w:val="0"/>
          <w:bCs w:val="0"/>
          <w:color w:val="000000"/>
          <w:sz w:val="24"/>
          <w:szCs w:val="24"/>
          <w:highlight w:val="none"/>
        </w:rPr>
        <w:t>，</w:t>
      </w:r>
      <w:r>
        <w:rPr>
          <w:rFonts w:hint="eastAsia" w:ascii="宋体" w:hAnsi="宋体"/>
          <w:b w:val="0"/>
          <w:bCs w:val="0"/>
          <w:color w:val="000000"/>
          <w:sz w:val="24"/>
          <w:szCs w:val="24"/>
          <w:highlight w:val="none"/>
          <w:lang w:val="en-US"/>
        </w:rPr>
        <w:t>未提供的不得分。</w:t>
      </w:r>
    </w:p>
    <w:p w14:paraId="0DEC2D5D">
      <w:pPr>
        <w:pStyle w:val="216"/>
        <w:spacing w:line="420" w:lineRule="exact"/>
        <w:ind w:firstLine="482"/>
        <w:rPr>
          <w:rFonts w:hint="eastAsia" w:ascii="宋体" w:hAnsi="宋体"/>
          <w:b w:val="0"/>
          <w:bCs w:val="0"/>
          <w:color w:val="000000"/>
          <w:sz w:val="24"/>
          <w:szCs w:val="24"/>
          <w:highlight w:val="none"/>
          <w:lang w:val="en-US"/>
        </w:rPr>
      </w:pPr>
      <w:r>
        <w:rPr>
          <w:rFonts w:ascii="宋体" w:hAnsi="宋体"/>
          <w:b w:val="0"/>
          <w:bCs w:val="0"/>
          <w:color w:val="000000"/>
          <w:sz w:val="24"/>
          <w:szCs w:val="24"/>
          <w:highlight w:val="none"/>
        </w:rPr>
        <w:t>2.2</w:t>
      </w:r>
      <w:r>
        <w:rPr>
          <w:rFonts w:hint="eastAsia" w:ascii="宋体" w:hAnsi="宋体"/>
          <w:b w:val="0"/>
          <w:bCs w:val="0"/>
          <w:color w:val="000000"/>
          <w:sz w:val="24"/>
          <w:szCs w:val="24"/>
          <w:highlight w:val="none"/>
          <w:lang w:val="en-US" w:eastAsia="zh-CN"/>
        </w:rPr>
        <w:t>拟投入会议系统云平台</w:t>
      </w:r>
      <w:r>
        <w:rPr>
          <w:rFonts w:hint="eastAsia" w:ascii="宋体" w:hAnsi="宋体"/>
          <w:b w:val="0"/>
          <w:bCs w:val="0"/>
          <w:color w:val="000000"/>
          <w:sz w:val="24"/>
          <w:szCs w:val="24"/>
          <w:highlight w:val="none"/>
          <w:lang w:val="en-US"/>
        </w:rPr>
        <w:t>通过中国信息通信研究院的可信云认证得3分，</w:t>
      </w:r>
      <w:r>
        <w:rPr>
          <w:rFonts w:ascii="宋体" w:hAnsi="宋体"/>
          <w:b w:val="0"/>
          <w:bCs w:val="0"/>
          <w:color w:val="000000"/>
          <w:sz w:val="24"/>
          <w:szCs w:val="24"/>
          <w:highlight w:val="none"/>
        </w:rPr>
        <w:t>须</w:t>
      </w:r>
      <w:r>
        <w:rPr>
          <w:rFonts w:hint="eastAsia" w:ascii="宋体" w:hAnsi="宋体"/>
          <w:b w:val="0"/>
          <w:bCs w:val="0"/>
          <w:color w:val="000000"/>
          <w:sz w:val="24"/>
          <w:szCs w:val="24"/>
          <w:highlight w:val="none"/>
          <w:lang w:val="en-US"/>
        </w:rPr>
        <w:t>提供证书截图或复印件的，未提供的不得分。</w:t>
      </w:r>
    </w:p>
    <w:p w14:paraId="7C0DCACF">
      <w:pPr>
        <w:pStyle w:val="216"/>
        <w:spacing w:line="420" w:lineRule="exact"/>
        <w:ind w:firstLine="482"/>
        <w:rPr>
          <w:rFonts w:hint="eastAsia" w:ascii="宋体" w:hAnsi="宋体" w:eastAsia="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rPr>
        <w:t>3、会议系统云平台</w:t>
      </w:r>
      <w:r>
        <w:rPr>
          <w:rFonts w:hint="eastAsia" w:ascii="宋体" w:hAnsi="宋体"/>
          <w:b w:val="0"/>
          <w:bCs w:val="0"/>
          <w:color w:val="000000"/>
          <w:sz w:val="24"/>
          <w:szCs w:val="24"/>
          <w:highlight w:val="none"/>
          <w:lang w:val="en-US" w:eastAsia="zh-CN"/>
        </w:rPr>
        <w:t>生产商</w:t>
      </w:r>
      <w:r>
        <w:rPr>
          <w:rFonts w:hint="eastAsia" w:ascii="宋体" w:hAnsi="宋体"/>
          <w:b w:val="0"/>
          <w:bCs w:val="0"/>
          <w:color w:val="000000"/>
          <w:sz w:val="24"/>
          <w:szCs w:val="24"/>
          <w:highlight w:val="none"/>
          <w:lang w:val="en-US"/>
        </w:rPr>
        <w:t>具有工信部信息技术服务标准认证证书得5分，须提证书复印件，未提供的不得分。</w:t>
      </w:r>
    </w:p>
    <w:p w14:paraId="7B87563F">
      <w:pPr>
        <w:pStyle w:val="216"/>
        <w:spacing w:line="420" w:lineRule="exact"/>
        <w:ind w:firstLine="482"/>
        <w:rPr>
          <w:rFonts w:hint="eastAsia" w:ascii="宋体" w:hAnsi="宋体"/>
          <w:b w:val="0"/>
          <w:bCs w:val="0"/>
          <w:color w:val="000000"/>
          <w:sz w:val="24"/>
          <w:szCs w:val="24"/>
          <w:highlight w:val="none"/>
          <w:lang w:val="en-US"/>
        </w:rPr>
      </w:pPr>
      <w:r>
        <w:rPr>
          <w:rFonts w:hint="eastAsia" w:ascii="宋体" w:hAnsi="宋体" w:eastAsia="宋体" w:cs="Times New Roman"/>
          <w:b w:val="0"/>
          <w:bCs w:val="0"/>
          <w:color w:val="000000"/>
          <w:sz w:val="24"/>
          <w:szCs w:val="24"/>
          <w:highlight w:val="none"/>
          <w:lang w:val="en-US" w:eastAsia="zh-CN" w:bidi="ar-SA"/>
        </w:rPr>
        <w:t>4、</w:t>
      </w:r>
      <w:r>
        <w:rPr>
          <w:rFonts w:hint="eastAsia" w:ascii="宋体" w:hAnsi="宋体"/>
          <w:b w:val="0"/>
          <w:bCs w:val="0"/>
          <w:color w:val="000000"/>
          <w:sz w:val="24"/>
          <w:szCs w:val="24"/>
          <w:highlight w:val="none"/>
          <w:lang w:val="en-US"/>
        </w:rPr>
        <w:t>类似业绩比较：供应商具有自202</w:t>
      </w:r>
      <w:r>
        <w:rPr>
          <w:rFonts w:ascii="宋体" w:hAnsi="宋体"/>
          <w:b w:val="0"/>
          <w:bCs w:val="0"/>
          <w:color w:val="000000"/>
          <w:sz w:val="24"/>
          <w:szCs w:val="24"/>
          <w:highlight w:val="none"/>
        </w:rPr>
        <w:t>2</w:t>
      </w:r>
      <w:r>
        <w:rPr>
          <w:rFonts w:hint="eastAsia" w:ascii="宋体" w:hAnsi="宋体"/>
          <w:b w:val="0"/>
          <w:bCs w:val="0"/>
          <w:color w:val="000000"/>
          <w:sz w:val="24"/>
          <w:szCs w:val="24"/>
          <w:highlight w:val="none"/>
          <w:lang w:val="en-US"/>
        </w:rPr>
        <w:t>年1月1日（以合同签订日期为准）以来独立承担的类似项目业绩，每提供一份得4分，</w:t>
      </w:r>
      <w:r>
        <w:rPr>
          <w:rFonts w:hint="eastAsia" w:ascii="宋体" w:hAnsi="宋体"/>
          <w:b w:val="0"/>
          <w:bCs w:val="0"/>
          <w:color w:val="000000"/>
          <w:sz w:val="24"/>
          <w:szCs w:val="24"/>
          <w:highlight w:val="none"/>
          <w:lang w:val="en-US" w:eastAsia="zh-CN"/>
        </w:rPr>
        <w:t>最高8分。</w:t>
      </w:r>
      <w:r>
        <w:rPr>
          <w:rFonts w:ascii="宋体" w:hAnsi="宋体"/>
          <w:b w:val="0"/>
          <w:bCs w:val="0"/>
          <w:color w:val="000000"/>
          <w:sz w:val="24"/>
          <w:szCs w:val="24"/>
          <w:highlight w:val="none"/>
        </w:rPr>
        <w:t>须</w:t>
      </w:r>
      <w:r>
        <w:rPr>
          <w:rFonts w:hint="eastAsia" w:ascii="宋体" w:hAnsi="宋体"/>
          <w:b w:val="0"/>
          <w:bCs w:val="0"/>
          <w:color w:val="000000"/>
          <w:sz w:val="24"/>
          <w:szCs w:val="24"/>
          <w:highlight w:val="none"/>
          <w:lang w:val="en-US"/>
        </w:rPr>
        <w:t>提</w:t>
      </w:r>
      <w:r>
        <w:rPr>
          <w:rFonts w:hint="eastAsia" w:ascii="宋体" w:hAnsi="宋体"/>
          <w:b w:val="0"/>
          <w:bCs w:val="0"/>
          <w:color w:val="000000"/>
          <w:sz w:val="24"/>
          <w:szCs w:val="24"/>
          <w:highlight w:val="none"/>
          <w:lang w:val="en-US" w:eastAsia="zh-CN"/>
        </w:rPr>
        <w:t>合同</w:t>
      </w:r>
      <w:r>
        <w:rPr>
          <w:rFonts w:hint="eastAsia" w:ascii="宋体" w:hAnsi="宋体"/>
          <w:b w:val="0"/>
          <w:bCs w:val="0"/>
          <w:color w:val="000000"/>
          <w:sz w:val="24"/>
          <w:szCs w:val="24"/>
          <w:highlight w:val="none"/>
          <w:lang w:val="en-US"/>
        </w:rPr>
        <w:t>复印件</w:t>
      </w:r>
      <w:r>
        <w:rPr>
          <w:rFonts w:ascii="宋体" w:hAnsi="宋体"/>
          <w:b w:val="0"/>
          <w:bCs w:val="0"/>
          <w:color w:val="000000"/>
          <w:sz w:val="24"/>
          <w:szCs w:val="24"/>
          <w:highlight w:val="none"/>
        </w:rPr>
        <w:t>，</w:t>
      </w:r>
      <w:r>
        <w:rPr>
          <w:rFonts w:hint="eastAsia" w:ascii="宋体" w:hAnsi="宋体"/>
          <w:b w:val="0"/>
          <w:bCs w:val="0"/>
          <w:color w:val="000000"/>
          <w:sz w:val="24"/>
          <w:szCs w:val="24"/>
          <w:highlight w:val="none"/>
          <w:lang w:val="en-US"/>
        </w:rPr>
        <w:t>未提供的不得分。</w:t>
      </w:r>
    </w:p>
    <w:p w14:paraId="7C8617C2">
      <w:pPr>
        <w:pStyle w:val="216"/>
        <w:numPr>
          <w:ilvl w:val="0"/>
          <w:numId w:val="0"/>
        </w:numPr>
        <w:spacing w:line="420" w:lineRule="exact"/>
        <w:ind w:firstLine="482"/>
        <w:rPr>
          <w:rFonts w:ascii="宋体" w:hAnsi="宋体"/>
          <w:color w:val="000000"/>
          <w:sz w:val="24"/>
          <w:szCs w:val="24"/>
          <w:highlight w:val="none"/>
        </w:rPr>
      </w:pPr>
      <w:r>
        <w:rPr>
          <w:rFonts w:hint="eastAsia" w:ascii="宋体" w:hAnsi="宋体"/>
          <w:b/>
          <w:bCs/>
          <w:color w:val="000000"/>
          <w:sz w:val="24"/>
          <w:szCs w:val="24"/>
          <w:highlight w:val="none"/>
          <w:lang w:val="en-US"/>
        </w:rPr>
        <w:t>备注：针对评分标准中评分的每一条，响应单位均应提供相关资料并作出相应说明供评委评判。响应单位必须保证全部投标资料的真实性，如有虚假或对招标文件所要求说明的情况故意隐瞒或虚报，视为不实质性响应招标文件，为无效投标。已中标的将取消中标资格，并按《中华人民共和国政府采购法》相关条例及处理办法执行。</w:t>
      </w:r>
    </w:p>
    <w:p w14:paraId="125FE613">
      <w:pPr>
        <w:pStyle w:val="202"/>
        <w:widowControl/>
        <w:spacing w:before="75" w:beforeAutospacing="0" w:after="75" w:afterAutospacing="0"/>
        <w:jc w:val="center"/>
        <w:rPr>
          <w:rStyle w:val="206"/>
          <w:rFonts w:ascii="宋体" w:hAnsi="宋体" w:cs="宋体"/>
          <w:color w:val="000000"/>
          <w:sz w:val="43"/>
          <w:szCs w:val="43"/>
          <w:highlight w:val="none"/>
        </w:rPr>
      </w:pPr>
      <w:r>
        <w:rPr>
          <w:rStyle w:val="206"/>
          <w:rFonts w:hint="eastAsia" w:ascii="宋体" w:hAnsi="宋体" w:cs="宋体"/>
          <w:color w:val="000000"/>
          <w:sz w:val="43"/>
          <w:szCs w:val="43"/>
          <w:highlight w:val="none"/>
        </w:rPr>
        <w:br w:type="page" w:clear="all"/>
      </w:r>
      <w:r>
        <w:rPr>
          <w:rStyle w:val="206"/>
          <w:rFonts w:hint="eastAsia" w:ascii="宋体" w:hAnsi="宋体" w:cs="宋体"/>
          <w:color w:val="000000"/>
          <w:sz w:val="43"/>
          <w:szCs w:val="43"/>
          <w:highlight w:val="none"/>
        </w:rPr>
        <w:t>第五章  合同主要条款及格式</w:t>
      </w:r>
    </w:p>
    <w:p w14:paraId="596166DD">
      <w:pPr>
        <w:widowControl/>
        <w:spacing w:line="360" w:lineRule="auto"/>
        <w:jc w:val="left"/>
        <w:rPr>
          <w:rFonts w:ascii="宋体" w:hAnsi="宋体"/>
          <w:color w:val="000000"/>
          <w:sz w:val="24"/>
          <w:highlight w:val="none"/>
        </w:rPr>
      </w:pPr>
      <w:r>
        <w:rPr>
          <w:rFonts w:hint="eastAsia" w:ascii="宋体" w:hAnsi="宋体"/>
          <w:color w:val="000000"/>
          <w:sz w:val="24"/>
          <w:highlight w:val="none"/>
        </w:rPr>
        <w:t>甲方：</w:t>
      </w:r>
      <w:r>
        <w:rPr>
          <w:rFonts w:hint="eastAsia" w:ascii="宋体" w:hAnsi="宋体"/>
          <w:color w:val="000000"/>
          <w:sz w:val="24"/>
          <w:highlight w:val="none"/>
          <w:lang w:eastAsia="zh-CN"/>
        </w:rPr>
        <w:t>江苏省苏州市中级人民法院</w:t>
      </w:r>
      <w:r>
        <w:rPr>
          <w:rFonts w:hint="eastAsia" w:ascii="宋体" w:hAnsi="宋体"/>
          <w:color w:val="000000"/>
          <w:sz w:val="24"/>
          <w:highlight w:val="none"/>
        </w:rPr>
        <w:t xml:space="preserve"> </w:t>
      </w:r>
    </w:p>
    <w:p w14:paraId="4FB42792">
      <w:pPr>
        <w:widowControl/>
        <w:spacing w:line="360" w:lineRule="auto"/>
        <w:jc w:val="left"/>
        <w:rPr>
          <w:rFonts w:ascii="宋体" w:hAnsi="宋体"/>
          <w:color w:val="000000"/>
          <w:sz w:val="24"/>
          <w:highlight w:val="none"/>
        </w:rPr>
      </w:pPr>
      <w:r>
        <w:rPr>
          <w:rFonts w:hint="eastAsia" w:ascii="宋体" w:hAnsi="宋体"/>
          <w:color w:val="000000"/>
          <w:sz w:val="24"/>
          <w:highlight w:val="none"/>
        </w:rPr>
        <w:t>联系人：</w:t>
      </w:r>
    </w:p>
    <w:p w14:paraId="23EF1001">
      <w:pPr>
        <w:widowControl/>
        <w:spacing w:line="360" w:lineRule="auto"/>
        <w:jc w:val="left"/>
        <w:rPr>
          <w:rFonts w:ascii="宋体" w:hAnsi="宋体"/>
          <w:color w:val="000000"/>
          <w:sz w:val="24"/>
          <w:highlight w:val="none"/>
        </w:rPr>
      </w:pPr>
      <w:r>
        <w:rPr>
          <w:rFonts w:hint="eastAsia" w:ascii="宋体" w:hAnsi="宋体"/>
          <w:color w:val="000000"/>
          <w:sz w:val="24"/>
          <w:highlight w:val="none"/>
        </w:rPr>
        <w:t>电话：</w:t>
      </w:r>
    </w:p>
    <w:p w14:paraId="33D7E8F7">
      <w:pPr>
        <w:widowControl/>
        <w:spacing w:line="360" w:lineRule="auto"/>
        <w:jc w:val="left"/>
        <w:rPr>
          <w:rFonts w:ascii="宋体" w:hAnsi="宋体"/>
          <w:color w:val="000000"/>
          <w:sz w:val="24"/>
          <w:highlight w:val="none"/>
        </w:rPr>
      </w:pPr>
      <w:r>
        <w:rPr>
          <w:rFonts w:hint="eastAsia" w:ascii="宋体" w:hAnsi="宋体"/>
          <w:color w:val="000000"/>
          <w:sz w:val="24"/>
          <w:highlight w:val="none"/>
        </w:rPr>
        <w:t>联系地址：</w:t>
      </w:r>
    </w:p>
    <w:p w14:paraId="3070429B">
      <w:pPr>
        <w:widowControl/>
        <w:spacing w:line="360" w:lineRule="auto"/>
        <w:jc w:val="left"/>
        <w:rPr>
          <w:rFonts w:ascii="宋体" w:hAnsi="宋体"/>
          <w:color w:val="000000"/>
          <w:sz w:val="24"/>
          <w:highlight w:val="none"/>
        </w:rPr>
      </w:pPr>
    </w:p>
    <w:p w14:paraId="22AAE039">
      <w:pPr>
        <w:widowControl/>
        <w:spacing w:line="360" w:lineRule="auto"/>
        <w:jc w:val="left"/>
        <w:rPr>
          <w:rFonts w:ascii="宋体" w:hAnsi="宋体"/>
          <w:color w:val="000000"/>
          <w:sz w:val="24"/>
          <w:highlight w:val="none"/>
        </w:rPr>
      </w:pPr>
      <w:r>
        <w:rPr>
          <w:rFonts w:hint="eastAsia" w:ascii="宋体" w:hAnsi="宋体"/>
          <w:color w:val="000000"/>
          <w:sz w:val="24"/>
          <w:highlight w:val="none"/>
        </w:rPr>
        <w:t>乙方：（成交单位）</w:t>
      </w:r>
    </w:p>
    <w:p w14:paraId="4512AA3A">
      <w:pPr>
        <w:widowControl/>
        <w:spacing w:line="360" w:lineRule="auto"/>
        <w:jc w:val="left"/>
        <w:rPr>
          <w:rFonts w:ascii="宋体" w:hAnsi="宋体"/>
          <w:color w:val="000000"/>
          <w:sz w:val="24"/>
          <w:highlight w:val="none"/>
        </w:rPr>
      </w:pPr>
      <w:r>
        <w:rPr>
          <w:rFonts w:hint="eastAsia" w:ascii="宋体" w:hAnsi="宋体"/>
          <w:color w:val="000000"/>
          <w:sz w:val="24"/>
          <w:highlight w:val="none"/>
        </w:rPr>
        <w:t>联系人：</w:t>
      </w:r>
    </w:p>
    <w:p w14:paraId="4036C84E">
      <w:pPr>
        <w:widowControl/>
        <w:spacing w:line="360" w:lineRule="auto"/>
        <w:jc w:val="left"/>
        <w:rPr>
          <w:rFonts w:ascii="宋体" w:hAnsi="宋体"/>
          <w:color w:val="000000"/>
          <w:sz w:val="24"/>
          <w:highlight w:val="none"/>
        </w:rPr>
      </w:pPr>
      <w:r>
        <w:rPr>
          <w:rFonts w:hint="eastAsia" w:ascii="宋体" w:hAnsi="宋体"/>
          <w:color w:val="000000"/>
          <w:sz w:val="24"/>
          <w:highlight w:val="none"/>
        </w:rPr>
        <w:t>电话：</w:t>
      </w:r>
    </w:p>
    <w:p w14:paraId="4966A08F">
      <w:pPr>
        <w:widowControl/>
        <w:spacing w:line="360" w:lineRule="auto"/>
        <w:jc w:val="left"/>
        <w:rPr>
          <w:rFonts w:ascii="宋体" w:hAnsi="宋体"/>
          <w:color w:val="000000"/>
          <w:sz w:val="24"/>
          <w:highlight w:val="none"/>
        </w:rPr>
      </w:pPr>
      <w:r>
        <w:rPr>
          <w:rFonts w:hint="eastAsia" w:ascii="宋体" w:hAnsi="宋体"/>
          <w:color w:val="000000"/>
          <w:sz w:val="24"/>
          <w:highlight w:val="none"/>
        </w:rPr>
        <w:t>联系地址：</w:t>
      </w:r>
    </w:p>
    <w:p w14:paraId="232C30CD">
      <w:pPr>
        <w:spacing w:line="360" w:lineRule="auto"/>
        <w:ind w:left="17" w:firstLine="480"/>
        <w:rPr>
          <w:rFonts w:ascii="宋体" w:hAnsi="宋体"/>
          <w:color w:val="000000"/>
          <w:sz w:val="24"/>
          <w:highlight w:val="none"/>
        </w:rPr>
      </w:pPr>
      <w:r>
        <w:rPr>
          <w:rFonts w:hint="eastAsia" w:ascii="宋体" w:hAnsi="宋体" w:cs="宋体"/>
          <w:color w:val="000000"/>
          <w:sz w:val="24"/>
          <w:highlight w:val="none"/>
        </w:rPr>
        <w:t>根据《中华人民共和国民法典》和《中华人民共和国政府采购法》等有关法律法规，为明确采购单位（甲方）和成交单位（乙方）合作过程中的权利、义务和经济责任，双方遵循平等、自愿、公平和诚实信用原则，经友好协商，</w:t>
      </w:r>
      <w:r>
        <w:rPr>
          <w:rFonts w:hint="eastAsia" w:ascii="宋体" w:hAnsi="宋体"/>
          <w:color w:val="000000"/>
          <w:sz w:val="24"/>
          <w:highlight w:val="none"/>
        </w:rPr>
        <w:t>甲乙双方就此次成交项目：          的购销事宜，</w:t>
      </w:r>
      <w:r>
        <w:rPr>
          <w:rFonts w:hint="eastAsia" w:ascii="宋体" w:hAnsi="宋体" w:cs="宋体"/>
          <w:color w:val="000000"/>
          <w:sz w:val="24"/>
          <w:highlight w:val="none"/>
        </w:rPr>
        <w:t>同意按照下面的条款和条件订立本合同，以资共同遵守。</w:t>
      </w:r>
    </w:p>
    <w:p w14:paraId="78E09C83">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一、定义：以下术语有特定的含义：</w:t>
      </w:r>
    </w:p>
    <w:p w14:paraId="29D58809">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服务是指根据合同规定乙方应承担</w:t>
      </w:r>
      <w:r>
        <w:rPr>
          <w:rFonts w:hint="eastAsia" w:ascii="宋体" w:hAnsi="宋体" w:cs="宋体"/>
          <w:color w:val="000000"/>
          <w:sz w:val="24"/>
          <w:highlight w:val="none"/>
          <w:lang w:eastAsia="zh-CN"/>
        </w:rPr>
        <w:t>网络债权人会议系统云平台租赁服务</w:t>
      </w:r>
      <w:r>
        <w:rPr>
          <w:rFonts w:hint="eastAsia" w:ascii="宋体" w:hAnsi="宋体" w:cs="宋体"/>
          <w:color w:val="000000"/>
          <w:sz w:val="24"/>
          <w:highlight w:val="none"/>
        </w:rPr>
        <w:t>项目等工作和合同中规定乙方应承担的其它义务。</w:t>
      </w:r>
    </w:p>
    <w:p w14:paraId="35E71E2B">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合同价是指根据中标的投标文件和合同规定，乙方在正确地履行合同义务后甲方应支付给乙方的价款。</w:t>
      </w:r>
    </w:p>
    <w:p w14:paraId="589F06C1">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甲方是指合同中明确规定的实际购买和接受服务的单位。</w:t>
      </w:r>
    </w:p>
    <w:p w14:paraId="1DD467A1">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乙方是指合同中规定的提供服务的单位。</w:t>
      </w:r>
    </w:p>
    <w:p w14:paraId="443E3A2C">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损失是指合同一方因不履行合同义务而导致另一方及第三方的各种损失的费用，还包括守约方为减轻损失或维护权利而需支付的各种调查费用、车旅费用、律师费用等。</w:t>
      </w:r>
    </w:p>
    <w:p w14:paraId="29176AB5">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二、合同标的及期限： </w:t>
      </w:r>
    </w:p>
    <w:p w14:paraId="2222FDBE">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1、乙方负责区域的</w:t>
      </w:r>
      <w:r>
        <w:rPr>
          <w:rFonts w:hint="eastAsia" w:ascii="宋体" w:hAnsi="宋体" w:cs="宋体"/>
          <w:color w:val="000000"/>
          <w:sz w:val="24"/>
          <w:highlight w:val="none"/>
          <w:lang w:eastAsia="zh-CN"/>
        </w:rPr>
        <w:t>网络债权人会议系统云平台租赁服务</w:t>
      </w:r>
      <w:r>
        <w:rPr>
          <w:rFonts w:hint="eastAsia" w:ascii="宋体" w:hAnsi="宋体" w:cs="宋体"/>
          <w:color w:val="000000"/>
          <w:sz w:val="24"/>
          <w:highlight w:val="none"/>
        </w:rPr>
        <w:t>（标段  ）。</w:t>
      </w:r>
    </w:p>
    <w:p w14:paraId="1D92978E">
      <w:pPr>
        <w:spacing w:line="360" w:lineRule="auto"/>
        <w:ind w:firstLine="482"/>
        <w:rPr>
          <w:rFonts w:hint="eastAsia" w:ascii="宋体" w:hAnsi="宋体" w:cs="宋体"/>
          <w:b/>
          <w:color w:val="000000"/>
          <w:sz w:val="24"/>
          <w:highlight w:val="none"/>
        </w:rPr>
      </w:pPr>
      <w:r>
        <w:rPr>
          <w:rFonts w:hint="eastAsia" w:ascii="宋体" w:hAnsi="宋体" w:cs="宋体"/>
          <w:b/>
          <w:color w:val="000000"/>
          <w:sz w:val="24"/>
          <w:highlight w:val="none"/>
        </w:rPr>
        <w:t>2、合同履行服务期限为：。</w:t>
      </w:r>
    </w:p>
    <w:p w14:paraId="2A7EF91A">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三、服务内容：</w:t>
      </w:r>
    </w:p>
    <w:p w14:paraId="54D01DB5">
      <w:pPr>
        <w:spacing w:line="360" w:lineRule="auto"/>
        <w:ind w:firstLine="482"/>
        <w:rPr>
          <w:rFonts w:hint="eastAsia" w:ascii="宋体" w:hAnsi="宋体" w:cs="宋体"/>
          <w:b/>
          <w:color w:val="000000"/>
          <w:sz w:val="24"/>
          <w:highlight w:val="none"/>
        </w:rPr>
      </w:pPr>
      <w:r>
        <w:rPr>
          <w:rFonts w:hint="eastAsia" w:ascii="宋体" w:hAnsi="宋体" w:cs="宋体"/>
          <w:b/>
          <w:color w:val="000000"/>
          <w:sz w:val="24"/>
          <w:highlight w:val="none"/>
        </w:rPr>
        <w:t>四、合同总价款及付款方式</w:t>
      </w:r>
    </w:p>
    <w:p w14:paraId="1C599A33">
      <w:pPr>
        <w:spacing w:line="360" w:lineRule="auto"/>
        <w:ind w:firstLine="482"/>
        <w:rPr>
          <w:rFonts w:hint="eastAsia" w:ascii="宋体" w:hAnsi="宋体" w:cs="宋体"/>
          <w:b/>
          <w:color w:val="000000"/>
          <w:sz w:val="24"/>
          <w:highlight w:val="none"/>
        </w:rPr>
      </w:pPr>
      <w:r>
        <w:rPr>
          <w:rFonts w:hint="eastAsia" w:ascii="宋体" w:hAnsi="宋体" w:cs="宋体"/>
          <w:b/>
          <w:color w:val="000000"/>
          <w:sz w:val="24"/>
          <w:highlight w:val="none"/>
        </w:rPr>
        <w:t>1、本项目合同价：              整（￥            元）。</w:t>
      </w:r>
    </w:p>
    <w:p w14:paraId="33C650F0">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2、以上费用包括在本项目履约期内综合服务需要的服务管理内容，包括并不局限于：完成本项目服务内容所需的</w:t>
      </w:r>
      <w:r>
        <w:rPr>
          <w:rFonts w:hint="eastAsia" w:ascii="宋体" w:hAnsi="宋体" w:cs="宋体"/>
          <w:color w:val="000000"/>
          <w:sz w:val="24"/>
          <w:highlight w:val="none"/>
          <w:lang w:eastAsia="zh-CN"/>
        </w:rPr>
        <w:t>设备、人工、保险、劳保、管理、设备、耗材、驻场费、税费、培训、后期维护及为完成整个项目所产生的其它所有费用</w:t>
      </w:r>
      <w:r>
        <w:rPr>
          <w:rFonts w:hint="eastAsia" w:ascii="宋体" w:hAnsi="宋体" w:cs="宋体"/>
          <w:color w:val="000000"/>
          <w:sz w:val="24"/>
          <w:highlight w:val="none"/>
        </w:rPr>
        <w:t>、招标代理费、政策性文件规定及合同包含的所有风险、责任等各项应有费用。</w:t>
      </w:r>
    </w:p>
    <w:p w14:paraId="2223DA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付款方式：签订合同乙方提供服务后，甲方一次性付清款项。</w:t>
      </w:r>
    </w:p>
    <w:p w14:paraId="5ACAFA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 xml:space="preserve">、收款账号： </w:t>
      </w:r>
    </w:p>
    <w:p w14:paraId="5FC183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乙方名称：</w:t>
      </w:r>
    </w:p>
    <w:p w14:paraId="29C535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账户：</w:t>
      </w:r>
    </w:p>
    <w:p w14:paraId="596E91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w:t>
      </w:r>
    </w:p>
    <w:p w14:paraId="33DA75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知识产权：乙方保证所提供服务涉及到的知识产权是合法取得，并享有完整的知识产权，不会因为甲方的使用而被责令停止使用、追偿或要求赔偿损失，如出现此情况，一切经济和法律责任均由乙方承担。甲方提供的所有服务必须质量符合国际或国家通用标准，如出现质量问题，乙方负责修缮，发生的费用由乙方负责。</w:t>
      </w:r>
    </w:p>
    <w:p w14:paraId="31CA0B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六</w:t>
      </w:r>
      <w:r>
        <w:rPr>
          <w:rFonts w:hint="eastAsia" w:ascii="宋体" w:hAnsi="宋体" w:eastAsia="宋体" w:cs="宋体"/>
          <w:color w:val="000000"/>
          <w:sz w:val="24"/>
          <w:szCs w:val="24"/>
          <w:highlight w:val="none"/>
        </w:rPr>
        <w:t>、违约责任</w:t>
      </w:r>
    </w:p>
    <w:p w14:paraId="13B1C2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逾期交付的，每逾期一天，乙方应向甲方支付合同总金额的 1%作为违约金。</w:t>
      </w:r>
    </w:p>
    <w:p w14:paraId="7F98C8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2、甲方对本合同规定的义务未履行或履行不力的，乙方可依法向甲方要求经济赔偿；</w:t>
      </w:r>
    </w:p>
    <w:p w14:paraId="3B8AA2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3、乙方违反本合同项下的任一项义务、责任的，或人员安排、服务质量不满足招标文件要求的，即视为违约，每次违约甲方有权扣除不超过合同总金额的 5%作为违约金。</w:t>
      </w:r>
    </w:p>
    <w:p w14:paraId="44DF73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4、甲方、乙方可就违反供应商合同规定或违纪事项向相关部门投诉。</w:t>
      </w:r>
    </w:p>
    <w:p w14:paraId="06E321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5、经甲方及相关部门联合核查，如情况属实则投诉有效，将作为有效投诉记录在案。</w:t>
      </w:r>
    </w:p>
    <w:p w14:paraId="442376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七</w:t>
      </w:r>
      <w:r>
        <w:rPr>
          <w:rFonts w:hint="eastAsia" w:ascii="宋体" w:hAnsi="宋体" w:eastAsia="宋体" w:cs="宋体"/>
          <w:color w:val="000000"/>
          <w:sz w:val="24"/>
          <w:szCs w:val="24"/>
          <w:highlight w:val="none"/>
        </w:rPr>
        <w:t>、不可抗力</w:t>
      </w:r>
    </w:p>
    <w:p w14:paraId="1F8E83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1、甲、乙双方如果因不可抗力而导致合同义务的延误或不能履行，误期赔偿或终止合同的责任。</w:t>
      </w:r>
    </w:p>
    <w:p w14:paraId="5B020E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2、本条所述的“不可抗力”系指下列甲、乙双方无法控制、不可预见的事件，但不包括甲、乙双方的违约或疏忽。这些事件包括：战争、严重火灾、洪水、台风、地震以及其他甲方和乙方商定的事件。</w:t>
      </w:r>
    </w:p>
    <w:p w14:paraId="74FB8D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如果不可抗力事件影响时间持续20天以上的，甲乙双方通过友好协商在合理的时间内达成进一步履行供应商义务的协议。</w:t>
      </w:r>
    </w:p>
    <w:p w14:paraId="389259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八</w:t>
      </w:r>
      <w:r>
        <w:rPr>
          <w:rFonts w:hint="eastAsia" w:ascii="宋体" w:hAnsi="宋体" w:eastAsia="宋体" w:cs="宋体"/>
          <w:color w:val="000000"/>
          <w:sz w:val="24"/>
          <w:szCs w:val="24"/>
          <w:highlight w:val="none"/>
        </w:rPr>
        <w:t>、合同解除</w:t>
      </w:r>
    </w:p>
    <w:p w14:paraId="2B09D3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1、甲方和乙方协商一致，可以解除合同。</w:t>
      </w:r>
    </w:p>
    <w:p w14:paraId="5EB27C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2、有权解除合同的一方，应当在违约事实或不可抗力发生之后三十天内书面通知对方提出解除合同，合同在书面通知到达对方时解除。</w:t>
      </w:r>
    </w:p>
    <w:p w14:paraId="020C8A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3、合同的部分和全部都不得擅自转让。</w:t>
      </w:r>
    </w:p>
    <w:p w14:paraId="6E31FC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4、出现下列情况之一可以解除合同：</w:t>
      </w:r>
    </w:p>
    <w:p w14:paraId="5834AA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4.1对乙方有效投诉记录累计达3次；</w:t>
      </w:r>
    </w:p>
    <w:p w14:paraId="21A71F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4.2在合同有效期内，被主管部门取消经营资格的；</w:t>
      </w:r>
    </w:p>
    <w:p w14:paraId="741B1E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4.3在合同有效期内，乙方擅自变更、转让、租借供应商资格的；</w:t>
      </w:r>
    </w:p>
    <w:p w14:paraId="48D89B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4.4不如实反映情况，提供虚假材料的；</w:t>
      </w:r>
    </w:p>
    <w:p w14:paraId="77E2BD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5、如果乙方破产、解散、清算、停业以及其他原因无法提供服务的，甲方可在任何时间以书面形式通知取消其供应商资格。 </w:t>
      </w:r>
    </w:p>
    <w:p w14:paraId="690CB2F1">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九</w:t>
      </w:r>
      <w:r>
        <w:rPr>
          <w:rFonts w:hint="eastAsia" w:ascii="宋体" w:hAnsi="宋体" w:eastAsia="宋体" w:cs="宋体"/>
          <w:color w:val="000000"/>
          <w:sz w:val="24"/>
          <w:szCs w:val="24"/>
          <w:highlight w:val="none"/>
        </w:rPr>
        <w:t>、合同修改</w:t>
      </w:r>
    </w:p>
    <w:p w14:paraId="710080FE">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1、甲方和乙方都不得擅自变更本合同，但合同继续履行将损害国家和社会公共利益的除外。如必须对合同条款进行改动时，当事人双方须共同签署书面文件，做为合同的补充。</w:t>
      </w:r>
    </w:p>
    <w:p w14:paraId="4B5FDABE">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十、转让和分包</w:t>
      </w:r>
    </w:p>
    <w:p w14:paraId="16378FBB">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1、政府采购合同的部分和全部都不得转让。</w:t>
      </w:r>
    </w:p>
    <w:p w14:paraId="7ECA715B">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经甲方和同级政府采购监督管理部门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61018199">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、合同的解除</w:t>
      </w:r>
    </w:p>
    <w:p w14:paraId="1CE0FF84">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1、有下列情形之一，合同一方可以解除合同：</w:t>
      </w:r>
    </w:p>
    <w:p w14:paraId="7E341232">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1.1因不可抗力致使不能实现合同目的，未受不可抗力影响的一方有权解除合同；</w:t>
      </w:r>
    </w:p>
    <w:p w14:paraId="09955CB1">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1.2因合同一方违约导致合同不能履行，另一方有权解除合同。</w:t>
      </w:r>
    </w:p>
    <w:p w14:paraId="3D545A14">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1.3如因本合同继续履行将损害国家利益和社会公共利益，采购人有权变更、中止或者终止、解除合同。</w:t>
      </w:r>
    </w:p>
    <w:p w14:paraId="4110FFC5">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2、有权解除合同的一方，应当在违约事实或不可抗力发生之后三十天内书面通知对方以主张解除合同，合同在书面通知到达对方时解除。</w:t>
      </w:r>
    </w:p>
    <w:p w14:paraId="19CDA0EB">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w:t>
      </w:r>
      <w:r>
        <w:rPr>
          <w:rFonts w:hint="eastAsia" w:ascii="宋体" w:hAnsi="宋体" w:cs="宋体"/>
          <w:color w:val="000000"/>
          <w:sz w:val="24"/>
          <w:szCs w:val="24"/>
          <w:highlight w:val="none"/>
          <w:lang w:val="en-US" w:eastAsia="zh-CN"/>
        </w:rPr>
        <w:t>二</w:t>
      </w:r>
      <w:r>
        <w:rPr>
          <w:rFonts w:hint="eastAsia" w:ascii="宋体" w:hAnsi="宋体" w:eastAsia="宋体" w:cs="宋体"/>
          <w:color w:val="000000"/>
          <w:sz w:val="24"/>
          <w:szCs w:val="24"/>
          <w:highlight w:val="none"/>
        </w:rPr>
        <w:t>、争议解决办法</w:t>
      </w:r>
    </w:p>
    <w:p w14:paraId="49FA4B53">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因本合同或与本合同有关的一切事项发生争议，由双方友好协商解决。协商不成的可向甲方所在地的人民法院起诉。 </w:t>
      </w:r>
    </w:p>
    <w:p w14:paraId="51B7E278">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w:t>
      </w:r>
      <w:r>
        <w:rPr>
          <w:rFonts w:hint="eastAsia" w:ascii="宋体" w:hAnsi="宋体" w:cs="宋体"/>
          <w:color w:val="000000"/>
          <w:sz w:val="24"/>
          <w:szCs w:val="24"/>
          <w:highlight w:val="none"/>
          <w:lang w:val="en-US" w:eastAsia="zh-CN"/>
        </w:rPr>
        <w:t>三</w:t>
      </w:r>
      <w:r>
        <w:rPr>
          <w:rFonts w:hint="eastAsia" w:ascii="宋体" w:hAnsi="宋体" w:eastAsia="宋体" w:cs="宋体"/>
          <w:color w:val="000000"/>
          <w:sz w:val="24"/>
          <w:szCs w:val="24"/>
          <w:highlight w:val="none"/>
        </w:rPr>
        <w:t>、合同生效及其他</w:t>
      </w:r>
    </w:p>
    <w:p w14:paraId="483D1677">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1、本合同经双方签字并盖公章后生效。</w:t>
      </w:r>
    </w:p>
    <w:p w14:paraId="12DADBCC">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2、下列文件为本合同不可分割部分：</w:t>
      </w:r>
    </w:p>
    <w:p w14:paraId="391F7AB6">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2.1成交通知书；</w:t>
      </w:r>
    </w:p>
    <w:p w14:paraId="37B5BDBA">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2.2乙方响应文件；</w:t>
      </w:r>
    </w:p>
    <w:p w14:paraId="6D23E538">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2.3磋商文件；</w:t>
      </w:r>
    </w:p>
    <w:p w14:paraId="732CB0B6">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2.4乙方在磋商过程中所作的其他承诺、声明、书面澄清等。</w:t>
      </w:r>
    </w:p>
    <w:p w14:paraId="14A7CB35">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w:t>
      </w: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rPr>
        <w:t>、未尽事宜</w:t>
      </w:r>
    </w:p>
    <w:p w14:paraId="6BF4EB83">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未尽事宜应按照《中华人民共和国民法典》、《中华人民共和国政府采购法》等相关法律法规之规定解释。</w:t>
      </w:r>
    </w:p>
    <w:p w14:paraId="04B4C3A2">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十五、附则</w:t>
      </w:r>
    </w:p>
    <w:p w14:paraId="654491D2">
      <w:pPr>
        <w:keepNext w:val="0"/>
        <w:keepLines w:val="0"/>
        <w:pageBreakBefore w:val="0"/>
        <w:widowControl w:val="0"/>
        <w:kinsoku/>
        <w:wordWrap/>
        <w:overflowPunct/>
        <w:topLinePunct w:val="0"/>
        <w:autoSpaceDE/>
        <w:autoSpaceDN/>
        <w:bidi w:val="0"/>
        <w:adjustRightInd/>
        <w:snapToGrid/>
        <w:spacing w:line="360" w:lineRule="auto"/>
        <w:ind w:right="-159"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合同份数：本合同一式【伍】份，甲乙两方各执【贰】份，采购代理机构执【壹】份</w:t>
      </w:r>
      <w:r>
        <w:rPr>
          <w:rFonts w:hint="eastAsia" w:ascii="宋体" w:hAnsi="宋体" w:eastAsia="宋体" w:cs="宋体"/>
          <w:bCs/>
          <w:color w:val="000000"/>
          <w:sz w:val="24"/>
          <w:szCs w:val="24"/>
          <w:highlight w:val="none"/>
        </w:rPr>
        <w:t>。</w:t>
      </w:r>
    </w:p>
    <w:p w14:paraId="3159A9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                                    乙方：            </w:t>
      </w:r>
    </w:p>
    <w:p w14:paraId="6C6CF2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法人代表（授权代表）：                    法人代表（授权代表）：      </w:t>
      </w:r>
    </w:p>
    <w:p w14:paraId="6C564F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color w:val="000000"/>
          <w:sz w:val="24"/>
          <w:szCs w:val="24"/>
          <w:highlight w:val="none"/>
        </w:rPr>
        <w:t xml:space="preserve">签约日期：                                签约日期：             </w:t>
      </w:r>
      <w:r>
        <w:rPr>
          <w:rFonts w:hint="eastAsia" w:ascii="宋体" w:hAnsi="宋体" w:eastAsia="宋体" w:cs="宋体"/>
          <w:b/>
          <w:color w:val="000000"/>
          <w:sz w:val="24"/>
          <w:highlight w:val="none"/>
        </w:rPr>
        <w:t>合同签定地：</w:t>
      </w:r>
      <w:r>
        <w:rPr>
          <w:rFonts w:hint="eastAsia" w:ascii="宋体" w:hAnsi="宋体" w:eastAsia="宋体" w:cs="宋体"/>
          <w:b/>
          <w:color w:val="000000"/>
          <w:sz w:val="24"/>
          <w:highlight w:val="none"/>
          <w:lang w:eastAsia="zh-CN"/>
        </w:rPr>
        <w:t>江苏省苏州市中级人民法院</w:t>
      </w:r>
    </w:p>
    <w:p w14:paraId="47C57BE8">
      <w:pPr>
        <w:spacing w:line="520" w:lineRule="exact"/>
        <w:rPr>
          <w:rFonts w:ascii="宋体" w:hAnsi="宋体"/>
          <w:b/>
          <w:color w:val="000000"/>
          <w:sz w:val="24"/>
          <w:highlight w:val="none"/>
        </w:rPr>
        <w:sectPr>
          <w:footerReference r:id="rId3" w:type="default"/>
          <w:pgSz w:w="11906" w:h="16838"/>
          <w:pgMar w:top="1440" w:right="1800" w:bottom="1440" w:left="1800" w:header="851" w:footer="992" w:gutter="0"/>
          <w:cols w:space="1701" w:num="1"/>
          <w:docGrid w:linePitch="360" w:charSpace="0"/>
        </w:sectPr>
      </w:pPr>
      <w:bookmarkStart w:id="12" w:name="_GoBack"/>
      <w:bookmarkEnd w:id="12"/>
    </w:p>
    <w:p w14:paraId="448BC526">
      <w:pPr>
        <w:spacing w:line="400" w:lineRule="exact"/>
        <w:ind w:firstLine="846"/>
        <w:rPr>
          <w:rStyle w:val="206"/>
          <w:rFonts w:hint="eastAsia" w:ascii="宋体" w:hAnsi="宋体" w:cs="宋体"/>
          <w:color w:val="000000"/>
          <w:sz w:val="43"/>
          <w:szCs w:val="43"/>
          <w:highlight w:val="none"/>
        </w:rPr>
      </w:pPr>
    </w:p>
    <w:p w14:paraId="64DC9A6A">
      <w:pPr>
        <w:spacing w:line="360" w:lineRule="auto"/>
        <w:ind w:firstLine="846"/>
        <w:rPr>
          <w:rStyle w:val="206"/>
          <w:rFonts w:ascii="宋体" w:hAnsi="宋体" w:cs="宋体"/>
          <w:color w:val="000000"/>
          <w:sz w:val="43"/>
          <w:szCs w:val="43"/>
          <w:highlight w:val="none"/>
        </w:rPr>
      </w:pPr>
      <w:r>
        <w:rPr>
          <w:rStyle w:val="206"/>
          <w:rFonts w:hint="eastAsia" w:ascii="宋体" w:hAnsi="宋体" w:cs="宋体"/>
          <w:color w:val="000000"/>
          <w:sz w:val="43"/>
          <w:szCs w:val="43"/>
          <w:highlight w:val="none"/>
        </w:rPr>
        <w:t>第六章  磋商响应文件格式</w:t>
      </w:r>
    </w:p>
    <w:p w14:paraId="0CAF4C4C">
      <w:pPr>
        <w:pStyle w:val="202"/>
        <w:widowControl/>
        <w:spacing w:before="75" w:beforeAutospacing="0" w:after="75" w:afterAutospacing="0"/>
        <w:jc w:val="center"/>
        <w:rPr>
          <w:rFonts w:ascii="sans-serif" w:hAnsi="sans-serif" w:eastAsia="sans-serif" w:cs="sans-serif"/>
          <w:color w:val="000000"/>
          <w:highlight w:val="none"/>
        </w:rPr>
      </w:pPr>
      <w:r>
        <w:rPr>
          <w:rStyle w:val="206"/>
          <w:rFonts w:hint="eastAsia" w:ascii="宋体" w:hAnsi="宋体" w:cs="宋体"/>
          <w:color w:val="000000"/>
          <w:sz w:val="36"/>
          <w:szCs w:val="36"/>
          <w:highlight w:val="none"/>
        </w:rPr>
        <w:t> </w:t>
      </w:r>
    </w:p>
    <w:p w14:paraId="574DB836">
      <w:pPr>
        <w:pStyle w:val="217"/>
        <w:widowControl/>
        <w:spacing w:before="75" w:beforeAutospacing="0" w:after="75" w:afterAutospacing="0" w:line="435" w:lineRule="atLeast"/>
        <w:jc w:val="center"/>
        <w:rPr>
          <w:rFonts w:ascii="宋体" w:hAnsi="宋体" w:cs="sans-serif"/>
          <w:color w:val="000000"/>
          <w:highlight w:val="none"/>
        </w:rPr>
      </w:pPr>
      <w:r>
        <w:rPr>
          <w:rStyle w:val="219"/>
          <w:rFonts w:hint="eastAsia" w:ascii="宋体" w:hAnsi="宋体" w:cs="宋体"/>
          <w:color w:val="000000"/>
          <w:highlight w:val="none"/>
        </w:rPr>
        <w:t>编制说明</w:t>
      </w:r>
    </w:p>
    <w:p w14:paraId="2DA2D135">
      <w:pPr>
        <w:widowControl/>
        <w:spacing w:line="360" w:lineRule="auto"/>
        <w:jc w:val="left"/>
        <w:rPr>
          <w:rFonts w:ascii="宋体" w:hAnsi="宋体"/>
          <w:b/>
          <w:color w:val="000000"/>
          <w:szCs w:val="21"/>
          <w:highlight w:val="none"/>
        </w:rPr>
      </w:pPr>
      <w:r>
        <w:rPr>
          <w:rFonts w:hint="eastAsia" w:ascii="宋体" w:hAnsi="宋体" w:cs="宋体"/>
          <w:color w:val="000000"/>
          <w:highlight w:val="none"/>
        </w:rPr>
        <w:t xml:space="preserve">   </w:t>
      </w:r>
      <w:r>
        <w:rPr>
          <w:rFonts w:ascii="宋体" w:hAnsi="宋体"/>
          <w:b/>
          <w:color w:val="000000"/>
          <w:szCs w:val="21"/>
          <w:highlight w:val="none"/>
        </w:rPr>
        <w:t>对本章所有的投标书格式，</w:t>
      </w:r>
      <w:r>
        <w:rPr>
          <w:rFonts w:hint="eastAsia" w:ascii="宋体" w:hAnsi="宋体"/>
          <w:b/>
          <w:color w:val="000000"/>
          <w:szCs w:val="21"/>
          <w:highlight w:val="none"/>
        </w:rPr>
        <w:t>供应商</w:t>
      </w:r>
      <w:r>
        <w:rPr>
          <w:rFonts w:ascii="宋体" w:hAnsi="宋体"/>
          <w:b/>
          <w:color w:val="000000"/>
          <w:szCs w:val="21"/>
          <w:highlight w:val="none"/>
        </w:rPr>
        <w:t>可根据自身情况进行补充和修改，但补充和修改不得造成与本格式内容有实质性的违背。</w:t>
      </w:r>
    </w:p>
    <w:p w14:paraId="3853F6B0">
      <w:pPr>
        <w:spacing w:line="360" w:lineRule="auto"/>
        <w:rPr>
          <w:rFonts w:ascii="宋体" w:hAnsi="宋体" w:cs="宋体"/>
          <w:color w:val="000000"/>
          <w:spacing w:val="6"/>
          <w:sz w:val="24"/>
          <w:highlight w:val="none"/>
        </w:rPr>
      </w:pPr>
    </w:p>
    <w:p w14:paraId="12CC9838">
      <w:pPr>
        <w:spacing w:line="360" w:lineRule="auto"/>
        <w:rPr>
          <w:rFonts w:ascii="宋体" w:hAnsi="宋体" w:cs="宋体"/>
          <w:color w:val="000000"/>
          <w:spacing w:val="6"/>
          <w:sz w:val="24"/>
          <w:highlight w:val="none"/>
        </w:rPr>
      </w:pPr>
    </w:p>
    <w:p w14:paraId="5C08DF71">
      <w:pPr>
        <w:spacing w:line="360" w:lineRule="auto"/>
        <w:rPr>
          <w:rFonts w:hint="eastAsia" w:ascii="宋体" w:hAnsi="宋体"/>
          <w:color w:val="000000"/>
          <w:spacing w:val="6"/>
          <w:sz w:val="24"/>
          <w:highlight w:val="none"/>
        </w:rPr>
      </w:pPr>
    </w:p>
    <w:p w14:paraId="071912EA">
      <w:pPr>
        <w:pStyle w:val="202"/>
        <w:widowControl/>
        <w:spacing w:before="75" w:beforeAutospacing="0" w:after="75" w:afterAutospacing="0" w:line="495" w:lineRule="atLeast"/>
        <w:rPr>
          <w:rFonts w:hint="eastAsia" w:ascii="宋体" w:hAnsi="宋体"/>
          <w:color w:val="000000"/>
          <w:highlight w:val="none"/>
        </w:rPr>
      </w:pPr>
      <w:r>
        <w:rPr>
          <w:rFonts w:hint="eastAsia" w:ascii="宋体" w:hAnsi="宋体"/>
          <w:color w:val="000000"/>
          <w:sz w:val="21"/>
          <w:szCs w:val="21"/>
          <w:highlight w:val="none"/>
        </w:rPr>
        <w:br w:type="page" w:clear="all"/>
      </w:r>
      <w:r>
        <w:rPr>
          <w:rFonts w:hint="eastAsia" w:ascii="宋体" w:hAnsi="宋体"/>
          <w:color w:val="000000"/>
          <w:highlight w:val="none"/>
        </w:rPr>
        <w:t xml:space="preserve">附件1               </w:t>
      </w:r>
    </w:p>
    <w:p w14:paraId="50D7308C">
      <w:pPr>
        <w:pStyle w:val="202"/>
        <w:widowControl/>
        <w:spacing w:before="75" w:beforeAutospacing="0" w:after="75" w:afterAutospacing="0" w:line="495" w:lineRule="atLeast"/>
        <w:jc w:val="center"/>
        <w:rPr>
          <w:rFonts w:hint="eastAsia" w:ascii="Arial" w:hAnsi="Arial" w:cs="Arial"/>
          <w:color w:val="000000"/>
          <w:highlight w:val="none"/>
        </w:rPr>
      </w:pPr>
      <w:r>
        <w:rPr>
          <w:rStyle w:val="220"/>
          <w:rFonts w:hint="eastAsia" w:ascii="宋体" w:hAnsi="宋体"/>
          <w:color w:val="000000"/>
          <w:highlight w:val="none"/>
        </w:rPr>
        <w:t>磋商响应声明</w:t>
      </w:r>
    </w:p>
    <w:p w14:paraId="3DB90F49">
      <w:pPr>
        <w:pStyle w:val="202"/>
        <w:widowControl/>
        <w:spacing w:before="75" w:beforeAutospacing="0" w:after="75" w:afterAutospacing="0" w:line="435" w:lineRule="atLeast"/>
        <w:rPr>
          <w:rFonts w:hint="eastAsia" w:ascii="Arial" w:hAnsi="Arial" w:cs="Arial"/>
          <w:color w:val="000000"/>
          <w:highlight w:val="none"/>
        </w:rPr>
      </w:pPr>
      <w:r>
        <w:rPr>
          <w:rFonts w:hint="eastAsia" w:ascii="宋体" w:hAnsi="宋体"/>
          <w:color w:val="000000"/>
          <w:highlight w:val="none"/>
        </w:rPr>
        <w:t xml:space="preserve"> </w:t>
      </w:r>
    </w:p>
    <w:p w14:paraId="71F4B4AF">
      <w:pPr>
        <w:pStyle w:val="202"/>
        <w:widowControl/>
        <w:spacing w:before="75" w:beforeAutospacing="0" w:after="75" w:afterAutospacing="0" w:line="435" w:lineRule="atLeast"/>
        <w:rPr>
          <w:rFonts w:ascii="Arial" w:hAnsi="Arial" w:cs="Arial"/>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(采购人或采购代理机构)       </w:t>
      </w:r>
    </w:p>
    <w:p w14:paraId="40678E62">
      <w:pPr>
        <w:spacing w:line="400" w:lineRule="exact"/>
        <w:ind w:left="420"/>
        <w:rPr>
          <w:rFonts w:ascii="宋体" w:hAnsi="宋体" w:cs="宋体"/>
          <w:color w:val="000000"/>
          <w:sz w:val="24"/>
          <w:highlight w:val="none"/>
        </w:rPr>
      </w:pPr>
      <w:r>
        <w:rPr>
          <w:rFonts w:hint="eastAsia" w:ascii="宋体" w:hAnsi="宋体" w:cs="宋体"/>
          <w:color w:val="000000"/>
          <w:sz w:val="24"/>
          <w:highlight w:val="none"/>
          <w:lang w:val="zh-CN"/>
        </w:rPr>
        <w:t>我方收到贵公司            号磋商文件，经仔细阅读和研究，我方决定参加磋商。并向贵公司承诺：</w:t>
      </w:r>
    </w:p>
    <w:p w14:paraId="6415DAE5">
      <w:pPr>
        <w:spacing w:line="360" w:lineRule="exact"/>
        <w:ind w:firstLine="420"/>
        <w:rPr>
          <w:rFonts w:ascii="宋体" w:hAnsi="宋体" w:cs="宋体"/>
          <w:color w:val="000000"/>
          <w:sz w:val="24"/>
          <w:highlight w:val="none"/>
        </w:rPr>
      </w:pPr>
      <w:r>
        <w:rPr>
          <w:rFonts w:hint="eastAsia" w:ascii="宋体" w:hAnsi="宋体" w:cs="宋体"/>
          <w:color w:val="000000"/>
          <w:sz w:val="24"/>
          <w:highlight w:val="none"/>
        </w:rPr>
        <w:t>1、愿意按照磋商文件的一切要求，提供以上所有服务，总价格及明细见《磋商采购响应报价表》。</w:t>
      </w:r>
    </w:p>
    <w:p w14:paraId="58DBEA19">
      <w:pPr>
        <w:spacing w:line="360" w:lineRule="exact"/>
        <w:ind w:firstLine="420"/>
        <w:rPr>
          <w:rFonts w:ascii="宋体" w:hAnsi="宋体" w:cs="宋体"/>
          <w:color w:val="000000"/>
          <w:sz w:val="24"/>
          <w:highlight w:val="none"/>
        </w:rPr>
      </w:pPr>
      <w:r>
        <w:rPr>
          <w:rFonts w:hint="eastAsia" w:ascii="宋体" w:hAnsi="宋体" w:cs="宋体"/>
          <w:color w:val="000000"/>
          <w:sz w:val="24"/>
          <w:highlight w:val="none"/>
        </w:rPr>
        <w:t>2、如果我们的响应文件被接受，我们将严格履行磋商文件中规定的每一项要求，按期、按质、按量履行服务义务。</w:t>
      </w:r>
    </w:p>
    <w:p w14:paraId="16FAA095">
      <w:pPr>
        <w:pStyle w:val="221"/>
        <w:spacing w:line="400" w:lineRule="exact"/>
        <w:ind w:firstLine="420"/>
        <w:rPr>
          <w:rFonts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3、我方同意按磋商文件中的规定，我方的响应文件有效期限为磋商开始后</w:t>
      </w:r>
      <w:r>
        <w:rPr>
          <w:rFonts w:hint="eastAsia" w:hAnsi="宋体" w:eastAsia="宋体" w:cs="宋体"/>
          <w:color w:val="000000"/>
          <w:sz w:val="24"/>
          <w:szCs w:val="24"/>
          <w:highlight w:val="none"/>
        </w:rPr>
        <w:t>9</w:t>
      </w:r>
      <w:r>
        <w:rPr>
          <w:rFonts w:hint="eastAsia" w:hAnsi="宋体" w:eastAsia="宋体" w:cs="宋体"/>
          <w:color w:val="000000"/>
          <w:sz w:val="24"/>
          <w:szCs w:val="24"/>
          <w:highlight w:val="none"/>
          <w:lang w:val="zh-CN"/>
        </w:rPr>
        <w:t>0天。</w:t>
      </w:r>
    </w:p>
    <w:p w14:paraId="1025E936">
      <w:pPr>
        <w:pStyle w:val="221"/>
        <w:spacing w:line="400" w:lineRule="exact"/>
        <w:ind w:firstLine="420"/>
        <w:rPr>
          <w:rFonts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4、我方愿意提供贵方在磋商文件中要求的所有资料。也同意向贵方提供贵方可能另外要求的与我方磋商文件有关的任何证据或资料。并保证所提供的资料全部是真实的、有效的，若有虚假，我方愿承担一切责任。</w:t>
      </w:r>
    </w:p>
    <w:p w14:paraId="0B0AC182">
      <w:pPr>
        <w:pStyle w:val="221"/>
        <w:spacing w:line="400" w:lineRule="exact"/>
        <w:ind w:firstLine="420"/>
        <w:rPr>
          <w:rFonts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5、我方认为贵方有权决定成交者，还认为贵方有权接受或拒绝所有的供应商成交。</w:t>
      </w:r>
    </w:p>
    <w:p w14:paraId="3F5A95A2">
      <w:pPr>
        <w:pStyle w:val="221"/>
        <w:spacing w:line="400" w:lineRule="exact"/>
        <w:ind w:firstLine="420"/>
        <w:rPr>
          <w:rFonts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6、我方愿意遵守磋商文件中所列的收费标准。</w:t>
      </w:r>
    </w:p>
    <w:p w14:paraId="3024170B">
      <w:pPr>
        <w:pStyle w:val="221"/>
        <w:spacing w:line="400" w:lineRule="exact"/>
        <w:ind w:firstLine="420"/>
        <w:rPr>
          <w:rFonts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7、我方承诺该项磋商开始后的全过程中保持有效，不作任何更改和变动。我方同意被确定成交后若不履行我方响应文件的内容要求和各项承诺及义务的即被视为违约，我方成交资格将被取消。</w:t>
      </w:r>
    </w:p>
    <w:p w14:paraId="6554B287">
      <w:pPr>
        <w:pStyle w:val="221"/>
        <w:spacing w:line="400" w:lineRule="exact"/>
        <w:ind w:firstLine="420"/>
        <w:rPr>
          <w:rFonts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8、我方同意我方若无法按约定条款履行义务等行为，采购单位有权取消我方的成交资格。</w:t>
      </w:r>
    </w:p>
    <w:p w14:paraId="4F6A3D1A">
      <w:pPr>
        <w:pStyle w:val="221"/>
        <w:spacing w:line="400" w:lineRule="exact"/>
        <w:ind w:firstLine="420"/>
        <w:rPr>
          <w:rFonts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9、如果我方被确定成交，我方愿意在签订合同时按</w:t>
      </w:r>
      <w:r>
        <w:rPr>
          <w:rFonts w:hint="eastAsia" w:hAnsi="宋体" w:eastAsia="宋体" w:cs="宋体"/>
          <w:color w:val="000000"/>
          <w:sz w:val="24"/>
          <w:szCs w:val="24"/>
          <w:highlight w:val="none"/>
        </w:rPr>
        <w:t>苏州市政府采购网公示收费标准</w:t>
      </w:r>
      <w:r>
        <w:rPr>
          <w:rFonts w:hint="eastAsia" w:hAnsi="宋体" w:eastAsia="宋体" w:cs="宋体"/>
          <w:color w:val="000000"/>
          <w:sz w:val="24"/>
          <w:szCs w:val="24"/>
          <w:highlight w:val="none"/>
          <w:lang w:val="zh-CN"/>
        </w:rPr>
        <w:t>支付成交服务费，逾期按中国人民银行公布的同期人民币贷款最高利率计付利息；</w:t>
      </w:r>
    </w:p>
    <w:p w14:paraId="18B98433">
      <w:pPr>
        <w:pStyle w:val="221"/>
        <w:spacing w:line="400" w:lineRule="exact"/>
        <w:ind w:firstLine="420"/>
        <w:rPr>
          <w:rFonts w:hAnsi="宋体" w:eastAsia="宋体" w:cs="宋体"/>
          <w:color w:val="000000"/>
          <w:sz w:val="24"/>
          <w:szCs w:val="24"/>
          <w:highlight w:val="none"/>
        </w:rPr>
      </w:pPr>
      <w:r>
        <w:rPr>
          <w:rFonts w:hint="eastAsia" w:hAnsi="宋体" w:eastAsia="宋体" w:cs="宋体"/>
          <w:color w:val="000000"/>
          <w:sz w:val="24"/>
          <w:szCs w:val="24"/>
          <w:highlight w:val="none"/>
        </w:rPr>
        <w:t>10、与本磋商有关的通讯地址：</w:t>
      </w:r>
    </w:p>
    <w:p w14:paraId="57D527C3">
      <w:pPr>
        <w:pStyle w:val="221"/>
        <w:spacing w:line="400" w:lineRule="exact"/>
        <w:ind w:firstLine="420"/>
        <w:rPr>
          <w:rFonts w:hAnsi="宋体" w:eastAsia="宋体" w:cs="宋体"/>
          <w:color w:val="000000"/>
          <w:sz w:val="24"/>
          <w:szCs w:val="24"/>
          <w:highlight w:val="none"/>
          <w:u w:val="single"/>
        </w:rPr>
      </w:pPr>
      <w:r>
        <w:rPr>
          <w:rFonts w:hint="eastAsia" w:hAnsi="宋体" w:eastAsia="宋体" w:cs="宋体"/>
          <w:color w:val="000000"/>
          <w:sz w:val="24"/>
          <w:szCs w:val="24"/>
          <w:highlight w:val="none"/>
        </w:rPr>
        <w:t>单位：联系人：</w:t>
      </w:r>
    </w:p>
    <w:p w14:paraId="161E6EF2">
      <w:pPr>
        <w:pStyle w:val="221"/>
        <w:spacing w:line="400" w:lineRule="exact"/>
        <w:ind w:firstLine="420"/>
        <w:rPr>
          <w:rFonts w:hAnsi="宋体" w:eastAsia="宋体" w:cs="宋体"/>
          <w:color w:val="000000"/>
          <w:sz w:val="24"/>
          <w:szCs w:val="24"/>
          <w:highlight w:val="none"/>
          <w:u w:val="single"/>
        </w:rPr>
      </w:pPr>
      <w:r>
        <w:rPr>
          <w:rFonts w:hint="eastAsia" w:hAnsi="宋体" w:eastAsia="宋体" w:cs="宋体"/>
          <w:color w:val="000000"/>
          <w:sz w:val="24"/>
          <w:szCs w:val="24"/>
          <w:highlight w:val="none"/>
        </w:rPr>
        <w:t>地址：邮政编码：</w:t>
      </w:r>
    </w:p>
    <w:p w14:paraId="71CF1D2D">
      <w:pPr>
        <w:pStyle w:val="221"/>
        <w:spacing w:line="400" w:lineRule="exact"/>
        <w:ind w:firstLine="420"/>
        <w:rPr>
          <w:rFonts w:hAnsi="宋体" w:eastAsia="宋体" w:cs="宋体"/>
          <w:color w:val="000000"/>
          <w:sz w:val="24"/>
          <w:szCs w:val="24"/>
          <w:highlight w:val="none"/>
          <w:u w:val="single"/>
        </w:rPr>
      </w:pPr>
      <w:r>
        <w:rPr>
          <w:rFonts w:hint="eastAsia" w:hAnsi="宋体" w:eastAsia="宋体" w:cs="宋体"/>
          <w:color w:val="000000"/>
          <w:sz w:val="24"/>
          <w:szCs w:val="24"/>
          <w:highlight w:val="none"/>
        </w:rPr>
        <w:t>联系电话：传真：</w:t>
      </w:r>
    </w:p>
    <w:p w14:paraId="1AAB89C3">
      <w:pPr>
        <w:pStyle w:val="221"/>
        <w:spacing w:line="400" w:lineRule="exact"/>
        <w:ind w:firstLine="425"/>
        <w:rPr>
          <w:rFonts w:hAnsi="宋体" w:eastAsia="宋体" w:cs="宋体"/>
          <w:color w:val="000000"/>
          <w:sz w:val="24"/>
          <w:szCs w:val="24"/>
          <w:highlight w:val="none"/>
        </w:rPr>
      </w:pPr>
      <w:r>
        <w:rPr>
          <w:rFonts w:hint="eastAsia" w:hAnsi="宋体" w:eastAsia="宋体" w:cs="宋体"/>
          <w:color w:val="000000"/>
          <w:sz w:val="24"/>
          <w:szCs w:val="24"/>
          <w:highlight w:val="none"/>
        </w:rPr>
        <w:t>供应商名称：（单位盖章）</w:t>
      </w:r>
    </w:p>
    <w:p w14:paraId="6128E0B5">
      <w:pPr>
        <w:spacing w:line="400" w:lineRule="exact"/>
        <w:ind w:firstLine="420"/>
        <w:rPr>
          <w:rFonts w:ascii="宋体" w:hAnsi="宋体" w:cs="宋体"/>
          <w:color w:val="000000"/>
          <w:sz w:val="24"/>
          <w:highlight w:val="none"/>
        </w:rPr>
      </w:pPr>
      <w:r>
        <w:rPr>
          <w:rFonts w:hint="eastAsia" w:ascii="宋体" w:hAnsi="宋体" w:cs="宋体"/>
          <w:color w:val="000000"/>
          <w:sz w:val="24"/>
          <w:highlight w:val="none"/>
        </w:rPr>
        <w:t>供应商法定代表人或代理人：（签字或签章）</w:t>
      </w:r>
    </w:p>
    <w:p w14:paraId="5CB82C60">
      <w:pPr>
        <w:spacing w:line="400" w:lineRule="exact"/>
        <w:ind w:firstLine="6300"/>
        <w:rPr>
          <w:rFonts w:ascii="宋体" w:hAnsi="宋体" w:cs="宋体"/>
          <w:b/>
          <w:bCs/>
          <w:color w:val="000000"/>
          <w:sz w:val="24"/>
          <w:highlight w:val="none"/>
        </w:rPr>
      </w:pPr>
      <w:r>
        <w:rPr>
          <w:rFonts w:hint="eastAsia" w:ascii="宋体" w:hAnsi="宋体" w:cs="宋体"/>
          <w:color w:val="000000"/>
          <w:sz w:val="24"/>
          <w:highlight w:val="none"/>
        </w:rPr>
        <w:t>年月日</w:t>
      </w:r>
    </w:p>
    <w:p w14:paraId="6B383253">
      <w:pPr>
        <w:pStyle w:val="202"/>
        <w:widowControl/>
        <w:spacing w:before="75" w:beforeAutospacing="0" w:after="75" w:afterAutospacing="0"/>
        <w:rPr>
          <w:rFonts w:hint="eastAsia" w:ascii="宋体" w:hAnsi="宋体"/>
          <w:color w:val="000000"/>
          <w:highlight w:val="none"/>
        </w:rPr>
      </w:pPr>
      <w:r>
        <w:rPr>
          <w:rFonts w:hint="eastAsia" w:ascii="宋体" w:hAnsi="宋体"/>
          <w:color w:val="000000"/>
          <w:sz w:val="21"/>
          <w:szCs w:val="21"/>
          <w:highlight w:val="none"/>
        </w:rPr>
        <w:t xml:space="preserve"> </w:t>
      </w:r>
      <w:r>
        <w:rPr>
          <w:rFonts w:hint="eastAsia" w:ascii="宋体" w:hAnsi="宋体"/>
          <w:color w:val="000000"/>
          <w:highlight w:val="none"/>
        </w:rPr>
        <w:t xml:space="preserve">附件2             </w:t>
      </w:r>
    </w:p>
    <w:p w14:paraId="799865AB">
      <w:pPr>
        <w:pStyle w:val="202"/>
        <w:widowControl/>
        <w:spacing w:before="75" w:beforeAutospacing="0" w:after="75" w:afterAutospacing="0"/>
        <w:jc w:val="center"/>
        <w:rPr>
          <w:rFonts w:hint="eastAsia" w:ascii="宋体" w:hAnsi="宋体"/>
          <w:b/>
          <w:bCs/>
          <w:color w:val="000000"/>
          <w:highlight w:val="none"/>
        </w:rPr>
      </w:pPr>
      <w:r>
        <w:rPr>
          <w:rStyle w:val="220"/>
          <w:rFonts w:hint="eastAsia" w:ascii="宋体" w:hAnsi="宋体"/>
          <w:color w:val="000000"/>
          <w:highlight w:val="none"/>
        </w:rPr>
        <w:t>磋商报价一览表</w:t>
      </w:r>
    </w:p>
    <w:p w14:paraId="09D5ADE2">
      <w:pPr>
        <w:spacing w:line="360" w:lineRule="auto"/>
        <w:rPr>
          <w:rFonts w:hint="eastAsia" w:ascii="宋体" w:hAnsi="宋体"/>
          <w:color w:val="000000"/>
          <w:sz w:val="24"/>
          <w:highlight w:val="none"/>
        </w:rPr>
      </w:pPr>
      <w:r>
        <w:rPr>
          <w:rFonts w:hint="eastAsia" w:ascii="宋体" w:hAnsi="宋体"/>
          <w:color w:val="000000"/>
          <w:sz w:val="24"/>
          <w:highlight w:val="none"/>
        </w:rPr>
        <w:t xml:space="preserve">项目名称：          </w:t>
      </w:r>
    </w:p>
    <w:p w14:paraId="3B283846">
      <w:pPr>
        <w:spacing w:line="360" w:lineRule="auto"/>
        <w:rPr>
          <w:rFonts w:hint="eastAsia" w:ascii="宋体" w:hAnsi="宋体"/>
          <w:color w:val="000000"/>
          <w:sz w:val="24"/>
          <w:highlight w:val="none"/>
        </w:rPr>
      </w:pPr>
      <w:r>
        <w:rPr>
          <w:rFonts w:hint="eastAsia" w:ascii="宋体" w:hAnsi="宋体"/>
          <w:color w:val="000000"/>
          <w:sz w:val="24"/>
          <w:highlight w:val="none"/>
        </w:rPr>
        <w:t xml:space="preserve">采购编号：    </w:t>
      </w:r>
    </w:p>
    <w:p w14:paraId="4324D80B">
      <w:pPr>
        <w:spacing w:line="360" w:lineRule="auto"/>
        <w:rPr>
          <w:rFonts w:hint="eastAsia" w:ascii="宋体" w:hAnsi="宋体"/>
          <w:b/>
          <w:bCs/>
          <w:color w:val="000000"/>
          <w:sz w:val="24"/>
          <w:highlight w:val="none"/>
        </w:rPr>
      </w:pPr>
      <w:r>
        <w:rPr>
          <w:rFonts w:hint="eastAsia" w:ascii="宋体" w:hAnsi="宋体"/>
          <w:color w:val="000000"/>
          <w:sz w:val="24"/>
          <w:highlight w:val="none"/>
        </w:rPr>
        <w:t xml:space="preserve">标段名称：                                   </w:t>
      </w:r>
    </w:p>
    <w:tbl>
      <w:tblPr>
        <w:tblStyle w:val="29"/>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3684"/>
        <w:gridCol w:w="2518"/>
        <w:gridCol w:w="1722"/>
      </w:tblGrid>
      <w:tr w14:paraId="59695FC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W w:w="3684" w:type="dxa"/>
            <w:noWrap w:val="0"/>
            <w:vAlign w:val="center"/>
          </w:tcPr>
          <w:p w14:paraId="288F8031">
            <w:pPr>
              <w:pStyle w:val="15"/>
              <w:spacing w:line="400" w:lineRule="exact"/>
              <w:jc w:val="center"/>
              <w:rPr>
                <w:rFonts w:hAnsi="宋体" w:eastAsia="宋体"/>
                <w:color w:val="000000"/>
                <w:sz w:val="24"/>
                <w:szCs w:val="24"/>
                <w:highlight w:val="none"/>
              </w:rPr>
            </w:pPr>
            <w:r>
              <w:rPr>
                <w:rFonts w:hint="eastAsia" w:hAnsi="宋体" w:eastAsia="宋体"/>
                <w:color w:val="000000"/>
                <w:sz w:val="24"/>
                <w:szCs w:val="24"/>
                <w:highlight w:val="none"/>
              </w:rPr>
              <w:t>项目名称</w:t>
            </w:r>
          </w:p>
        </w:tc>
        <w:tc>
          <w:tcPr>
            <w:tcW w:w="2518" w:type="dxa"/>
            <w:noWrap w:val="0"/>
            <w:vAlign w:val="center"/>
          </w:tcPr>
          <w:p w14:paraId="115EEAEF">
            <w:pPr>
              <w:pStyle w:val="15"/>
              <w:spacing w:line="400" w:lineRule="exact"/>
              <w:jc w:val="center"/>
              <w:rPr>
                <w:rFonts w:hAnsi="宋体" w:eastAsia="宋体"/>
                <w:color w:val="000000"/>
                <w:sz w:val="24"/>
                <w:szCs w:val="24"/>
                <w:highlight w:val="none"/>
              </w:rPr>
            </w:pPr>
            <w:r>
              <w:rPr>
                <w:rFonts w:hint="eastAsia" w:hAnsi="宋体" w:eastAsia="宋体"/>
                <w:color w:val="000000"/>
                <w:sz w:val="24"/>
                <w:szCs w:val="24"/>
                <w:highlight w:val="none"/>
              </w:rPr>
              <w:t>磋商响应报价（元）</w:t>
            </w:r>
          </w:p>
        </w:tc>
        <w:tc>
          <w:tcPr>
            <w:tcW w:w="1722" w:type="dxa"/>
            <w:noWrap w:val="0"/>
            <w:vAlign w:val="center"/>
          </w:tcPr>
          <w:p w14:paraId="47DC9053">
            <w:pPr>
              <w:pStyle w:val="15"/>
              <w:spacing w:line="400" w:lineRule="exact"/>
              <w:jc w:val="center"/>
              <w:rPr>
                <w:rFonts w:hAnsi="宋体" w:eastAsia="宋体"/>
                <w:color w:val="000000"/>
                <w:sz w:val="24"/>
                <w:szCs w:val="24"/>
                <w:highlight w:val="none"/>
              </w:rPr>
            </w:pPr>
            <w:r>
              <w:rPr>
                <w:rFonts w:hint="eastAsia" w:hAnsi="宋体" w:eastAsia="宋体"/>
                <w:color w:val="000000"/>
                <w:sz w:val="24"/>
                <w:szCs w:val="24"/>
                <w:highlight w:val="none"/>
              </w:rPr>
              <w:t>服务期</w:t>
            </w:r>
          </w:p>
        </w:tc>
      </w:tr>
      <w:tr w14:paraId="0B92306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196" w:hRule="atLeast"/>
          <w:jc w:val="center"/>
        </w:trPr>
        <w:tc>
          <w:tcPr>
            <w:tcW w:w="3684" w:type="dxa"/>
            <w:noWrap w:val="0"/>
            <w:vAlign w:val="center"/>
          </w:tcPr>
          <w:p w14:paraId="00E9E85B">
            <w:pPr>
              <w:pStyle w:val="15"/>
              <w:spacing w:line="400" w:lineRule="exact"/>
              <w:jc w:val="center"/>
              <w:rPr>
                <w:rFonts w:hAnsi="宋体" w:eastAsia="宋体"/>
                <w:color w:val="000000"/>
                <w:sz w:val="24"/>
                <w:szCs w:val="24"/>
                <w:highlight w:val="none"/>
              </w:rPr>
            </w:pPr>
          </w:p>
        </w:tc>
        <w:tc>
          <w:tcPr>
            <w:tcW w:w="2518" w:type="dxa"/>
            <w:noWrap w:val="0"/>
            <w:vAlign w:val="center"/>
          </w:tcPr>
          <w:p w14:paraId="340F643D">
            <w:pPr>
              <w:pStyle w:val="15"/>
              <w:spacing w:line="400" w:lineRule="exact"/>
              <w:jc w:val="center"/>
              <w:rPr>
                <w:rFonts w:hAnsi="宋体" w:eastAsia="宋体"/>
                <w:color w:val="000000"/>
                <w:sz w:val="24"/>
                <w:szCs w:val="24"/>
                <w:highlight w:val="none"/>
              </w:rPr>
            </w:pPr>
          </w:p>
        </w:tc>
        <w:tc>
          <w:tcPr>
            <w:tcW w:w="1722" w:type="dxa"/>
            <w:noWrap w:val="0"/>
            <w:vAlign w:val="center"/>
          </w:tcPr>
          <w:p w14:paraId="1BA7CF98">
            <w:pPr>
              <w:pStyle w:val="15"/>
              <w:spacing w:line="400" w:lineRule="exact"/>
              <w:rPr>
                <w:rFonts w:hAnsi="宋体" w:eastAsia="宋体"/>
                <w:color w:val="000000"/>
                <w:sz w:val="24"/>
                <w:szCs w:val="24"/>
                <w:highlight w:val="none"/>
              </w:rPr>
            </w:pPr>
          </w:p>
        </w:tc>
      </w:tr>
    </w:tbl>
    <w:p w14:paraId="6F2388FE">
      <w:pPr>
        <w:spacing w:line="360" w:lineRule="auto"/>
        <w:ind w:firstLine="240"/>
        <w:rPr>
          <w:rFonts w:hint="eastAsia" w:ascii="宋体" w:hAnsi="宋体"/>
          <w:color w:val="000000"/>
          <w:sz w:val="24"/>
          <w:highlight w:val="none"/>
        </w:rPr>
      </w:pPr>
      <w:r>
        <w:rPr>
          <w:rFonts w:hint="eastAsia" w:ascii="宋体" w:hAnsi="宋体"/>
          <w:color w:val="000000"/>
          <w:sz w:val="24"/>
          <w:highlight w:val="none"/>
        </w:rPr>
        <w:t>供应商签章：</w:t>
      </w:r>
    </w:p>
    <w:p w14:paraId="141AE512">
      <w:pPr>
        <w:spacing w:line="360" w:lineRule="auto"/>
        <w:ind w:firstLine="210"/>
        <w:rPr>
          <w:rFonts w:hint="eastAsia" w:ascii="宋体" w:hAnsi="宋体"/>
          <w:color w:val="000000"/>
          <w:sz w:val="24"/>
          <w:highlight w:val="none"/>
        </w:rPr>
      </w:pPr>
      <w:r>
        <w:rPr>
          <w:rFonts w:hint="eastAsia" w:ascii="宋体" w:hAnsi="宋体"/>
          <w:color w:val="000000"/>
          <w:sz w:val="24"/>
          <w:highlight w:val="none"/>
        </w:rPr>
        <w:t>法定代表人或代理人：（签字或盖章）</w:t>
      </w:r>
    </w:p>
    <w:p w14:paraId="29E67288">
      <w:pPr>
        <w:spacing w:line="360" w:lineRule="auto"/>
        <w:ind w:firstLine="210"/>
        <w:rPr>
          <w:rFonts w:hint="eastAsia" w:ascii="宋体" w:hAnsi="宋体"/>
          <w:color w:val="000000"/>
          <w:sz w:val="24"/>
          <w:highlight w:val="none"/>
        </w:rPr>
      </w:pPr>
      <w:r>
        <w:rPr>
          <w:rFonts w:hint="eastAsia" w:ascii="宋体" w:hAnsi="宋体"/>
          <w:color w:val="000000"/>
          <w:sz w:val="24"/>
          <w:highlight w:val="none"/>
        </w:rPr>
        <w:t xml:space="preserve">日期：      年     月     日 </w:t>
      </w:r>
    </w:p>
    <w:p w14:paraId="3D1A2F27">
      <w:pPr>
        <w:spacing w:line="360" w:lineRule="auto"/>
        <w:outlineLvl w:val="0"/>
        <w:rPr>
          <w:rFonts w:ascii="宋体" w:hAnsi="宋体"/>
          <w:b/>
          <w:bCs/>
          <w:color w:val="000000"/>
          <w:sz w:val="24"/>
          <w:highlight w:val="none"/>
        </w:rPr>
      </w:pPr>
      <w:r>
        <w:rPr>
          <w:rFonts w:hint="eastAsia" w:ascii="宋体" w:hAnsi="宋体"/>
          <w:b/>
          <w:bCs/>
          <w:color w:val="000000"/>
          <w:sz w:val="24"/>
          <w:highlight w:val="none"/>
        </w:rPr>
        <w:t>注：</w:t>
      </w:r>
      <w:r>
        <w:rPr>
          <w:rFonts w:hint="eastAsia"/>
          <w:b/>
          <w:bCs/>
          <w:color w:val="000000"/>
          <w:sz w:val="24"/>
          <w:highlight w:val="none"/>
        </w:rPr>
        <w:t>系统中开标一览表一栏中，只填写投标“投标总价”。</w:t>
      </w:r>
      <w:r>
        <w:rPr>
          <w:rFonts w:hint="eastAsia" w:ascii="宋体" w:hAnsi="宋体"/>
          <w:b/>
          <w:bCs/>
          <w:color w:val="000000"/>
          <w:sz w:val="24"/>
          <w:highlight w:val="none"/>
        </w:rPr>
        <w:t>除电子投标系统响应报价表固定报价格式以外，各响应单位必须制作报价明细表，列明各项分项报价明细。</w:t>
      </w:r>
    </w:p>
    <w:p w14:paraId="39BDDFC7">
      <w:pPr>
        <w:pStyle w:val="204"/>
        <w:ind w:left="0" w:firstLine="0"/>
        <w:jc w:val="both"/>
        <w:rPr>
          <w:rFonts w:hint="eastAsia" w:ascii="宋体" w:hAnsi="宋体" w:cs="宋体"/>
          <w:b/>
          <w:color w:val="000000"/>
          <w:sz w:val="24"/>
          <w:szCs w:val="24"/>
          <w:highlight w:val="none"/>
        </w:rPr>
      </w:pPr>
      <w:r>
        <w:rPr>
          <w:rFonts w:hint="eastAsia" w:ascii="仿宋" w:hAnsi="仿宋" w:eastAsia="仿宋"/>
          <w:b/>
          <w:bCs/>
          <w:color w:val="000000"/>
          <w:highlight w:val="none"/>
        </w:rPr>
        <w:br w:type="page" w:clear="all"/>
      </w:r>
      <w:r>
        <w:rPr>
          <w:rFonts w:hint="eastAsia" w:ascii="宋体" w:hAnsi="宋体" w:cs="宋体"/>
          <w:b/>
          <w:bCs/>
          <w:color w:val="000000"/>
          <w:sz w:val="24"/>
          <w:szCs w:val="24"/>
          <w:highlight w:val="none"/>
        </w:rPr>
        <w:t>附件3.</w:t>
      </w:r>
      <w:r>
        <w:rPr>
          <w:rFonts w:hint="eastAsia" w:ascii="宋体" w:hAnsi="宋体" w:cs="宋体"/>
          <w:b/>
          <w:color w:val="000000"/>
          <w:sz w:val="24"/>
          <w:szCs w:val="24"/>
          <w:highlight w:val="none"/>
        </w:rPr>
        <w:t>磋商响应报价明细表</w:t>
      </w:r>
    </w:p>
    <w:tbl>
      <w:tblPr>
        <w:tblStyle w:val="29"/>
        <w:tblW w:w="8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1"/>
        <w:gridCol w:w="3796"/>
        <w:gridCol w:w="2162"/>
        <w:gridCol w:w="1667"/>
      </w:tblGrid>
      <w:tr w14:paraId="218A9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jc w:val="center"/>
        </w:trPr>
        <w:tc>
          <w:tcPr>
            <w:tcW w:w="1091" w:type="dxa"/>
            <w:noWrap w:val="0"/>
            <w:vAlign w:val="center"/>
          </w:tcPr>
          <w:p w14:paraId="2861F872">
            <w:pPr>
              <w:pStyle w:val="192"/>
              <w:spacing w:line="360" w:lineRule="auto"/>
              <w:ind w:left="269"/>
              <w:jc w:val="center"/>
              <w:rPr>
                <w:rFonts w:hint="eastAsia" w:hAnsi="宋体" w:eastAsia="宋体" w:cs="宋体"/>
                <w:color w:val="000000"/>
                <w:sz w:val="24"/>
                <w:highlight w:val="none"/>
              </w:rPr>
            </w:pPr>
            <w:r>
              <w:rPr>
                <w:rFonts w:hint="eastAsia" w:hAnsi="宋体" w:eastAsia="宋体" w:cs="宋体"/>
                <w:color w:val="000000"/>
                <w:sz w:val="24"/>
                <w:highlight w:val="none"/>
              </w:rPr>
              <w:t>序号</w:t>
            </w:r>
          </w:p>
        </w:tc>
        <w:tc>
          <w:tcPr>
            <w:tcW w:w="3796" w:type="dxa"/>
            <w:noWrap w:val="0"/>
            <w:vAlign w:val="center"/>
          </w:tcPr>
          <w:p w14:paraId="17FA05E1">
            <w:pPr>
              <w:pStyle w:val="192"/>
              <w:spacing w:line="360" w:lineRule="auto"/>
              <w:jc w:val="center"/>
              <w:rPr>
                <w:rFonts w:hint="eastAsia" w:hAnsi="宋体" w:eastAsia="宋体" w:cs="宋体"/>
                <w:color w:val="000000"/>
                <w:sz w:val="24"/>
                <w:highlight w:val="none"/>
              </w:rPr>
            </w:pPr>
            <w:r>
              <w:rPr>
                <w:rFonts w:hint="eastAsia" w:hAnsi="宋体" w:eastAsia="宋体" w:cs="宋体"/>
                <w:color w:val="000000"/>
                <w:sz w:val="24"/>
                <w:highlight w:val="none"/>
              </w:rPr>
              <w:t>名称</w:t>
            </w:r>
          </w:p>
        </w:tc>
        <w:tc>
          <w:tcPr>
            <w:tcW w:w="2162" w:type="dxa"/>
            <w:noWrap w:val="0"/>
            <w:vAlign w:val="center"/>
          </w:tcPr>
          <w:p w14:paraId="49798AD6">
            <w:pPr>
              <w:pStyle w:val="192"/>
              <w:spacing w:line="360" w:lineRule="auto"/>
              <w:jc w:val="center"/>
              <w:rPr>
                <w:rFonts w:hint="eastAsia" w:hAnsi="宋体" w:eastAsia="宋体" w:cs="宋体"/>
                <w:color w:val="000000"/>
                <w:sz w:val="24"/>
                <w:highlight w:val="none"/>
              </w:rPr>
            </w:pPr>
            <w:r>
              <w:rPr>
                <w:rFonts w:hint="eastAsia" w:hAnsi="宋体" w:eastAsia="宋体" w:cs="宋体"/>
                <w:color w:val="000000"/>
                <w:sz w:val="24"/>
                <w:highlight w:val="none"/>
              </w:rPr>
              <w:t>报价</w:t>
            </w:r>
          </w:p>
        </w:tc>
        <w:tc>
          <w:tcPr>
            <w:tcW w:w="1667" w:type="dxa"/>
            <w:noWrap w:val="0"/>
            <w:vAlign w:val="center"/>
          </w:tcPr>
          <w:p w14:paraId="3A9EDBCD">
            <w:pPr>
              <w:pStyle w:val="192"/>
              <w:spacing w:line="360" w:lineRule="auto"/>
              <w:jc w:val="center"/>
              <w:rPr>
                <w:rFonts w:hint="eastAsia" w:hAnsi="宋体" w:eastAsia="宋体" w:cs="宋体"/>
                <w:color w:val="000000"/>
                <w:sz w:val="24"/>
                <w:highlight w:val="none"/>
              </w:rPr>
            </w:pPr>
            <w:r>
              <w:rPr>
                <w:rFonts w:hint="eastAsia" w:hAnsi="宋体" w:eastAsia="宋体" w:cs="宋体"/>
                <w:color w:val="000000"/>
                <w:sz w:val="24"/>
                <w:highlight w:val="none"/>
              </w:rPr>
              <w:t>备注</w:t>
            </w:r>
          </w:p>
        </w:tc>
      </w:tr>
      <w:tr w14:paraId="0C65F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1091" w:type="dxa"/>
            <w:noWrap w:val="0"/>
            <w:vAlign w:val="center"/>
          </w:tcPr>
          <w:p w14:paraId="30E5A651">
            <w:pPr>
              <w:pStyle w:val="192"/>
              <w:spacing w:line="360" w:lineRule="auto"/>
              <w:ind w:left="269"/>
              <w:jc w:val="center"/>
              <w:rPr>
                <w:rFonts w:hint="eastAsia" w:hAnsi="宋体" w:eastAsia="宋体" w:cs="宋体"/>
                <w:color w:val="000000"/>
                <w:sz w:val="24"/>
                <w:highlight w:val="none"/>
              </w:rPr>
            </w:pPr>
            <w:r>
              <w:rPr>
                <w:rFonts w:hint="eastAsia" w:hAnsi="宋体" w:eastAsia="宋体" w:cs="宋体"/>
                <w:color w:val="000000"/>
                <w:sz w:val="24"/>
                <w:highlight w:val="none"/>
              </w:rPr>
              <w:t>1.</w:t>
            </w:r>
          </w:p>
        </w:tc>
        <w:tc>
          <w:tcPr>
            <w:tcW w:w="3796" w:type="dxa"/>
            <w:noWrap w:val="0"/>
            <w:vAlign w:val="center"/>
          </w:tcPr>
          <w:p w14:paraId="12612690">
            <w:pPr>
              <w:pStyle w:val="192"/>
              <w:spacing w:line="360" w:lineRule="auto"/>
              <w:jc w:val="center"/>
              <w:rPr>
                <w:rFonts w:hint="eastAsia" w:hAnsi="宋体" w:eastAsia="宋体" w:cs="宋体"/>
                <w:color w:val="000000"/>
                <w:sz w:val="24"/>
                <w:highlight w:val="none"/>
              </w:rPr>
            </w:pPr>
          </w:p>
        </w:tc>
        <w:tc>
          <w:tcPr>
            <w:tcW w:w="2162" w:type="dxa"/>
            <w:noWrap w:val="0"/>
            <w:vAlign w:val="center"/>
          </w:tcPr>
          <w:p w14:paraId="68709E81">
            <w:pPr>
              <w:pStyle w:val="192"/>
              <w:spacing w:line="360" w:lineRule="auto"/>
              <w:ind w:left="1080" w:hanging="540"/>
              <w:jc w:val="center"/>
              <w:rPr>
                <w:rFonts w:hint="eastAsia" w:hAnsi="宋体" w:eastAsia="宋体" w:cs="宋体"/>
                <w:color w:val="000000"/>
                <w:sz w:val="24"/>
                <w:highlight w:val="none"/>
              </w:rPr>
            </w:pPr>
          </w:p>
        </w:tc>
        <w:tc>
          <w:tcPr>
            <w:tcW w:w="1667" w:type="dxa"/>
            <w:noWrap w:val="0"/>
            <w:vAlign w:val="center"/>
          </w:tcPr>
          <w:p w14:paraId="6015BA66">
            <w:pPr>
              <w:pStyle w:val="192"/>
              <w:spacing w:line="360" w:lineRule="auto"/>
              <w:ind w:left="1080" w:hanging="540"/>
              <w:jc w:val="center"/>
              <w:rPr>
                <w:rFonts w:hint="eastAsia" w:hAnsi="宋体" w:eastAsia="宋体" w:cs="宋体"/>
                <w:color w:val="000000"/>
                <w:sz w:val="24"/>
                <w:highlight w:val="none"/>
              </w:rPr>
            </w:pPr>
          </w:p>
        </w:tc>
      </w:tr>
      <w:tr w14:paraId="3873F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3CFEBAE6">
            <w:pPr>
              <w:pStyle w:val="192"/>
              <w:spacing w:line="360" w:lineRule="auto"/>
              <w:ind w:left="269"/>
              <w:jc w:val="center"/>
              <w:rPr>
                <w:rFonts w:hint="eastAsia" w:hAnsi="宋体" w:eastAsia="宋体" w:cs="宋体"/>
                <w:color w:val="000000"/>
                <w:sz w:val="24"/>
                <w:highlight w:val="none"/>
              </w:rPr>
            </w:pPr>
            <w:r>
              <w:rPr>
                <w:rFonts w:hint="eastAsia" w:hAnsi="宋体" w:eastAsia="宋体" w:cs="宋体"/>
                <w:color w:val="000000"/>
                <w:sz w:val="24"/>
                <w:highlight w:val="none"/>
              </w:rPr>
              <w:t>2.</w:t>
            </w:r>
          </w:p>
        </w:tc>
        <w:tc>
          <w:tcPr>
            <w:tcW w:w="3796" w:type="dxa"/>
            <w:noWrap w:val="0"/>
            <w:vAlign w:val="center"/>
          </w:tcPr>
          <w:p w14:paraId="7C097425">
            <w:pPr>
              <w:pStyle w:val="192"/>
              <w:spacing w:line="360" w:lineRule="auto"/>
              <w:jc w:val="center"/>
              <w:rPr>
                <w:rFonts w:hint="eastAsia" w:hAnsi="宋体" w:eastAsia="宋体" w:cs="宋体"/>
                <w:color w:val="000000"/>
                <w:sz w:val="24"/>
                <w:highlight w:val="none"/>
              </w:rPr>
            </w:pPr>
          </w:p>
        </w:tc>
        <w:tc>
          <w:tcPr>
            <w:tcW w:w="2162" w:type="dxa"/>
            <w:noWrap w:val="0"/>
            <w:vAlign w:val="center"/>
          </w:tcPr>
          <w:p w14:paraId="53A0221F">
            <w:pPr>
              <w:pStyle w:val="192"/>
              <w:spacing w:line="360" w:lineRule="auto"/>
              <w:ind w:left="1080" w:hanging="540"/>
              <w:jc w:val="center"/>
              <w:rPr>
                <w:rFonts w:hint="eastAsia" w:hAnsi="宋体" w:eastAsia="宋体" w:cs="宋体"/>
                <w:color w:val="000000"/>
                <w:sz w:val="24"/>
                <w:highlight w:val="none"/>
              </w:rPr>
            </w:pPr>
          </w:p>
        </w:tc>
        <w:tc>
          <w:tcPr>
            <w:tcW w:w="1667" w:type="dxa"/>
            <w:noWrap w:val="0"/>
            <w:vAlign w:val="center"/>
          </w:tcPr>
          <w:p w14:paraId="32A84EF0">
            <w:pPr>
              <w:pStyle w:val="192"/>
              <w:spacing w:line="360" w:lineRule="auto"/>
              <w:ind w:left="1080" w:hanging="540"/>
              <w:jc w:val="center"/>
              <w:rPr>
                <w:rFonts w:hint="eastAsia" w:hAnsi="宋体" w:eastAsia="宋体" w:cs="宋体"/>
                <w:color w:val="000000"/>
                <w:sz w:val="24"/>
                <w:highlight w:val="none"/>
              </w:rPr>
            </w:pPr>
          </w:p>
        </w:tc>
      </w:tr>
      <w:tr w14:paraId="2D7B1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72766D39">
            <w:pPr>
              <w:pStyle w:val="192"/>
              <w:spacing w:line="360" w:lineRule="auto"/>
              <w:ind w:left="269"/>
              <w:jc w:val="center"/>
              <w:rPr>
                <w:rFonts w:hint="eastAsia" w:hAnsi="宋体" w:eastAsia="宋体" w:cs="宋体"/>
                <w:color w:val="000000"/>
                <w:sz w:val="24"/>
                <w:highlight w:val="none"/>
              </w:rPr>
            </w:pPr>
            <w:r>
              <w:rPr>
                <w:rFonts w:hint="eastAsia" w:hAnsi="宋体" w:eastAsia="宋体" w:cs="宋体"/>
                <w:color w:val="000000"/>
                <w:sz w:val="24"/>
                <w:highlight w:val="none"/>
              </w:rPr>
              <w:t>3.</w:t>
            </w:r>
          </w:p>
        </w:tc>
        <w:tc>
          <w:tcPr>
            <w:tcW w:w="3796" w:type="dxa"/>
            <w:noWrap w:val="0"/>
            <w:vAlign w:val="center"/>
          </w:tcPr>
          <w:p w14:paraId="69FFEC23">
            <w:pPr>
              <w:pStyle w:val="192"/>
              <w:spacing w:line="360" w:lineRule="auto"/>
              <w:jc w:val="center"/>
              <w:rPr>
                <w:rFonts w:hint="eastAsia" w:hAnsi="宋体" w:eastAsia="宋体" w:cs="宋体"/>
                <w:color w:val="000000"/>
                <w:sz w:val="24"/>
                <w:highlight w:val="none"/>
              </w:rPr>
            </w:pPr>
          </w:p>
        </w:tc>
        <w:tc>
          <w:tcPr>
            <w:tcW w:w="2162" w:type="dxa"/>
            <w:noWrap w:val="0"/>
            <w:vAlign w:val="center"/>
          </w:tcPr>
          <w:p w14:paraId="4972522E">
            <w:pPr>
              <w:pStyle w:val="192"/>
              <w:spacing w:line="360" w:lineRule="auto"/>
              <w:ind w:left="1080" w:hanging="540"/>
              <w:jc w:val="center"/>
              <w:rPr>
                <w:rFonts w:hint="eastAsia" w:hAnsi="宋体" w:eastAsia="宋体" w:cs="宋体"/>
                <w:color w:val="000000"/>
                <w:sz w:val="24"/>
                <w:highlight w:val="none"/>
              </w:rPr>
            </w:pPr>
          </w:p>
        </w:tc>
        <w:tc>
          <w:tcPr>
            <w:tcW w:w="1667" w:type="dxa"/>
            <w:noWrap w:val="0"/>
            <w:vAlign w:val="center"/>
          </w:tcPr>
          <w:p w14:paraId="52FEE23F">
            <w:pPr>
              <w:pStyle w:val="192"/>
              <w:spacing w:line="360" w:lineRule="auto"/>
              <w:ind w:left="1080" w:hanging="540"/>
              <w:jc w:val="center"/>
              <w:rPr>
                <w:rFonts w:hint="eastAsia" w:hAnsi="宋体" w:eastAsia="宋体" w:cs="宋体"/>
                <w:color w:val="000000"/>
                <w:sz w:val="24"/>
                <w:highlight w:val="none"/>
              </w:rPr>
            </w:pPr>
          </w:p>
        </w:tc>
      </w:tr>
      <w:tr w14:paraId="1E4FD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6CAC4ABC">
            <w:pPr>
              <w:pStyle w:val="192"/>
              <w:spacing w:line="360" w:lineRule="auto"/>
              <w:ind w:left="269"/>
              <w:jc w:val="center"/>
              <w:rPr>
                <w:rFonts w:hint="eastAsia" w:hAnsi="宋体" w:eastAsia="宋体" w:cs="宋体"/>
                <w:color w:val="000000"/>
                <w:sz w:val="24"/>
                <w:highlight w:val="none"/>
              </w:rPr>
            </w:pPr>
            <w:r>
              <w:rPr>
                <w:rFonts w:hint="eastAsia" w:hAnsi="宋体" w:eastAsia="宋体" w:cs="宋体"/>
                <w:color w:val="000000"/>
                <w:sz w:val="24"/>
                <w:highlight w:val="none"/>
              </w:rPr>
              <w:t>...</w:t>
            </w:r>
          </w:p>
        </w:tc>
        <w:tc>
          <w:tcPr>
            <w:tcW w:w="3796" w:type="dxa"/>
            <w:noWrap w:val="0"/>
            <w:vAlign w:val="center"/>
          </w:tcPr>
          <w:p w14:paraId="4489287C">
            <w:pPr>
              <w:pStyle w:val="192"/>
              <w:spacing w:line="360" w:lineRule="auto"/>
              <w:jc w:val="center"/>
              <w:rPr>
                <w:rFonts w:hint="eastAsia" w:hAnsi="宋体" w:eastAsia="宋体" w:cs="宋体"/>
                <w:color w:val="000000"/>
                <w:sz w:val="24"/>
                <w:highlight w:val="none"/>
              </w:rPr>
            </w:pPr>
          </w:p>
        </w:tc>
        <w:tc>
          <w:tcPr>
            <w:tcW w:w="2162" w:type="dxa"/>
            <w:noWrap w:val="0"/>
            <w:vAlign w:val="center"/>
          </w:tcPr>
          <w:p w14:paraId="6C34AB50">
            <w:pPr>
              <w:pStyle w:val="192"/>
              <w:spacing w:line="360" w:lineRule="auto"/>
              <w:ind w:left="1080" w:hanging="540"/>
              <w:jc w:val="center"/>
              <w:rPr>
                <w:rFonts w:hint="eastAsia" w:hAnsi="宋体" w:eastAsia="宋体" w:cs="宋体"/>
                <w:color w:val="000000"/>
                <w:sz w:val="24"/>
                <w:highlight w:val="none"/>
              </w:rPr>
            </w:pPr>
          </w:p>
        </w:tc>
        <w:tc>
          <w:tcPr>
            <w:tcW w:w="1667" w:type="dxa"/>
            <w:noWrap w:val="0"/>
            <w:vAlign w:val="center"/>
          </w:tcPr>
          <w:p w14:paraId="47D3F33E">
            <w:pPr>
              <w:pStyle w:val="192"/>
              <w:spacing w:line="360" w:lineRule="auto"/>
              <w:ind w:left="1080" w:hanging="540"/>
              <w:jc w:val="center"/>
              <w:rPr>
                <w:rFonts w:hint="eastAsia" w:hAnsi="宋体" w:eastAsia="宋体" w:cs="宋体"/>
                <w:color w:val="000000"/>
                <w:sz w:val="24"/>
                <w:highlight w:val="none"/>
              </w:rPr>
            </w:pPr>
          </w:p>
        </w:tc>
      </w:tr>
      <w:tr w14:paraId="79C35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7" w:hRule="atLeast"/>
          <w:jc w:val="center"/>
        </w:trPr>
        <w:tc>
          <w:tcPr>
            <w:tcW w:w="7049" w:type="dxa"/>
            <w:gridSpan w:val="3"/>
            <w:noWrap w:val="0"/>
            <w:vAlign w:val="center"/>
          </w:tcPr>
          <w:p w14:paraId="0FF50D5A">
            <w:pPr>
              <w:pStyle w:val="192"/>
              <w:spacing w:line="360" w:lineRule="auto"/>
              <w:rPr>
                <w:rFonts w:hint="eastAsia" w:hAnsi="宋体" w:eastAsia="宋体" w:cs="宋体"/>
                <w:color w:val="000000"/>
                <w:sz w:val="24"/>
                <w:highlight w:val="none"/>
              </w:rPr>
            </w:pPr>
            <w:r>
              <w:rPr>
                <w:rFonts w:hint="eastAsia" w:hAnsi="宋体" w:eastAsia="宋体" w:cs="宋体"/>
                <w:color w:val="000000"/>
                <w:sz w:val="24"/>
                <w:highlight w:val="none"/>
              </w:rPr>
              <w:t>总价：</w:t>
            </w:r>
          </w:p>
        </w:tc>
        <w:tc>
          <w:tcPr>
            <w:tcW w:w="1667" w:type="dxa"/>
            <w:noWrap w:val="0"/>
            <w:vAlign w:val="center"/>
          </w:tcPr>
          <w:p w14:paraId="148E91D0">
            <w:pPr>
              <w:pStyle w:val="192"/>
              <w:spacing w:line="360" w:lineRule="auto"/>
              <w:ind w:left="1080" w:hanging="540"/>
              <w:jc w:val="center"/>
              <w:rPr>
                <w:rFonts w:hint="eastAsia" w:hAnsi="宋体" w:eastAsia="宋体" w:cs="宋体"/>
                <w:color w:val="000000"/>
                <w:sz w:val="24"/>
                <w:highlight w:val="none"/>
              </w:rPr>
            </w:pPr>
          </w:p>
        </w:tc>
      </w:tr>
    </w:tbl>
    <w:p w14:paraId="02FB6C28">
      <w:pPr>
        <w:pStyle w:val="214"/>
        <w:ind w:firstLine="0"/>
        <w:rPr>
          <w:rFonts w:hint="eastAsia" w:hAnsi="宋体" w:cs="宋体"/>
          <w:color w:val="000000"/>
          <w:sz w:val="24"/>
          <w:szCs w:val="24"/>
          <w:highlight w:val="none"/>
        </w:rPr>
      </w:pPr>
    </w:p>
    <w:p w14:paraId="6EB402C9">
      <w:pPr>
        <w:pStyle w:val="221"/>
        <w:spacing w:line="360" w:lineRule="auto"/>
        <w:rPr>
          <w:rFonts w:hint="eastAsia" w:hAnsi="宋体" w:eastAsia="宋体" w:cs="宋体"/>
          <w:color w:val="000000"/>
          <w:sz w:val="24"/>
          <w:szCs w:val="24"/>
          <w:highlight w:val="none"/>
        </w:rPr>
      </w:pPr>
      <w:r>
        <w:rPr>
          <w:rFonts w:hint="eastAsia" w:hAnsi="宋体" w:eastAsia="宋体" w:cs="宋体"/>
          <w:color w:val="000000"/>
          <w:sz w:val="24"/>
          <w:szCs w:val="24"/>
          <w:highlight w:val="none"/>
        </w:rPr>
        <w:t>响应单位：（公章）</w:t>
      </w:r>
    </w:p>
    <w:p w14:paraId="7F50D953">
      <w:pPr>
        <w:pStyle w:val="221"/>
        <w:spacing w:line="360" w:lineRule="auto"/>
        <w:ind w:firstLine="480"/>
        <w:rPr>
          <w:rFonts w:hint="eastAsia" w:hAnsi="宋体" w:eastAsia="宋体" w:cs="宋体"/>
          <w:color w:val="000000"/>
          <w:sz w:val="24"/>
          <w:szCs w:val="24"/>
          <w:highlight w:val="none"/>
        </w:rPr>
      </w:pPr>
      <w:r>
        <w:rPr>
          <w:rFonts w:hint="eastAsia" w:hAnsi="宋体" w:eastAsia="宋体" w:cs="宋体"/>
          <w:color w:val="000000"/>
          <w:sz w:val="24"/>
          <w:szCs w:val="24"/>
          <w:highlight w:val="none"/>
        </w:rPr>
        <w:t xml:space="preserve">法定代表人或被授权人：（签字或盖章）                   </w:t>
      </w:r>
    </w:p>
    <w:p w14:paraId="0D59417B">
      <w:pPr>
        <w:pStyle w:val="214"/>
        <w:ind w:firstLine="0"/>
        <w:rPr>
          <w:rFonts w:hAnsi="宋体"/>
          <w:color w:val="000000"/>
          <w:sz w:val="24"/>
          <w:szCs w:val="24"/>
          <w:highlight w:val="none"/>
        </w:rPr>
      </w:pPr>
      <w:r>
        <w:rPr>
          <w:rFonts w:hint="eastAsia" w:hAnsi="宋体" w:cs="宋体"/>
          <w:color w:val="000000"/>
          <w:sz w:val="24"/>
          <w:szCs w:val="24"/>
          <w:highlight w:val="none"/>
        </w:rPr>
        <w:t>年  月  日</w:t>
      </w:r>
      <w:r>
        <w:rPr>
          <w:rFonts w:hint="eastAsia" w:hAnsi="宋体" w:cs="宋体"/>
          <w:b/>
          <w:bCs/>
          <w:color w:val="000000"/>
          <w:sz w:val="24"/>
          <w:szCs w:val="24"/>
          <w:highlight w:val="none"/>
        </w:rPr>
        <w:br w:type="page" w:clear="all"/>
      </w:r>
      <w:r>
        <w:rPr>
          <w:rFonts w:hint="eastAsia" w:hAnsi="宋体"/>
          <w:color w:val="000000"/>
          <w:sz w:val="24"/>
          <w:szCs w:val="24"/>
          <w:highlight w:val="none"/>
        </w:rPr>
        <w:t xml:space="preserve">附件4   </w:t>
      </w:r>
      <w:r>
        <w:rPr>
          <w:rFonts w:hAnsi="宋体"/>
          <w:b/>
          <w:color w:val="000000"/>
          <w:sz w:val="24"/>
          <w:szCs w:val="24"/>
          <w:highlight w:val="none"/>
        </w:rPr>
        <w:t>关于资格文件的声明函</w:t>
      </w:r>
    </w:p>
    <w:p w14:paraId="1953A7A3">
      <w:pPr>
        <w:ind w:firstLine="420"/>
        <w:jc w:val="center"/>
        <w:rPr>
          <w:rFonts w:ascii="宋体" w:hAnsi="宋体"/>
          <w:b/>
          <w:color w:val="000000"/>
          <w:sz w:val="24"/>
          <w:highlight w:val="none"/>
        </w:rPr>
      </w:pPr>
    </w:p>
    <w:p w14:paraId="7A8CEF33">
      <w:pPr>
        <w:ind w:firstLine="420"/>
        <w:jc w:val="center"/>
        <w:rPr>
          <w:rFonts w:ascii="宋体" w:hAnsi="宋体"/>
          <w:b/>
          <w:color w:val="000000"/>
          <w:sz w:val="24"/>
          <w:highlight w:val="none"/>
        </w:rPr>
      </w:pPr>
      <w:r>
        <w:rPr>
          <w:rFonts w:ascii="宋体" w:hAnsi="宋体"/>
          <w:b/>
          <w:color w:val="000000"/>
          <w:sz w:val="24"/>
          <w:highlight w:val="none"/>
        </w:rPr>
        <w:t>关于资格文件的声明函</w:t>
      </w:r>
    </w:p>
    <w:p w14:paraId="0CF3EAF5">
      <w:pPr>
        <w:pStyle w:val="202"/>
        <w:widowControl/>
        <w:spacing w:before="75" w:beforeAutospacing="0" w:after="75" w:afterAutospacing="0" w:line="375" w:lineRule="atLeast"/>
        <w:jc w:val="both"/>
        <w:rPr>
          <w:rFonts w:ascii="Arial" w:hAnsi="Arial" w:cs="Arial"/>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(采购人或采购代理机构)       </w:t>
      </w:r>
    </w:p>
    <w:p w14:paraId="6C91C2D0">
      <w:pPr>
        <w:spacing w:line="360" w:lineRule="auto"/>
        <w:ind w:firstLine="420"/>
        <w:rPr>
          <w:rFonts w:ascii="宋体" w:hAnsi="宋体"/>
          <w:color w:val="000000"/>
          <w:sz w:val="24"/>
          <w:highlight w:val="none"/>
        </w:rPr>
      </w:pPr>
      <w:r>
        <w:rPr>
          <w:rStyle w:val="220"/>
          <w:rFonts w:hint="eastAsia" w:ascii="宋体" w:hAnsi="宋体"/>
          <w:color w:val="000000"/>
          <w:sz w:val="24"/>
          <w:highlight w:val="none"/>
        </w:rPr>
        <w:t xml:space="preserve"> </w:t>
      </w:r>
      <w:r>
        <w:rPr>
          <w:rFonts w:ascii="宋体" w:hAnsi="宋体"/>
          <w:color w:val="000000"/>
          <w:sz w:val="24"/>
          <w:highlight w:val="none"/>
        </w:rPr>
        <w:t>本公司愿就由贵</w:t>
      </w:r>
      <w:r>
        <w:rPr>
          <w:rFonts w:hint="eastAsia" w:ascii="宋体" w:hAnsi="宋体"/>
          <w:color w:val="000000"/>
          <w:sz w:val="24"/>
          <w:highlight w:val="none"/>
        </w:rPr>
        <w:t>中心</w:t>
      </w:r>
      <w:r>
        <w:rPr>
          <w:rFonts w:ascii="宋体" w:hAnsi="宋体"/>
          <w:color w:val="000000"/>
          <w:sz w:val="24"/>
          <w:highlight w:val="none"/>
        </w:rPr>
        <w:t>组织实施的编号为</w:t>
      </w:r>
      <w:r>
        <w:rPr>
          <w:rFonts w:ascii="宋体" w:hAnsi="宋体"/>
          <w:color w:val="000000"/>
          <w:sz w:val="24"/>
          <w:highlight w:val="none"/>
          <w:u w:val="single"/>
        </w:rPr>
        <w:t xml:space="preserve">              </w:t>
      </w:r>
      <w:r>
        <w:rPr>
          <w:rFonts w:ascii="宋体" w:hAnsi="宋体"/>
          <w:color w:val="000000"/>
          <w:sz w:val="24"/>
          <w:highlight w:val="none"/>
        </w:rPr>
        <w:t>号（</w:t>
      </w:r>
      <w:r>
        <w:rPr>
          <w:rFonts w:hint="eastAsia" w:ascii="宋体" w:hAnsi="宋体"/>
          <w:color w:val="000000"/>
          <w:sz w:val="24"/>
          <w:highlight w:val="none"/>
        </w:rPr>
        <w:t>项目</w:t>
      </w:r>
      <w:r>
        <w:rPr>
          <w:rFonts w:ascii="宋体" w:hAnsi="宋体"/>
          <w:color w:val="000000"/>
          <w:sz w:val="24"/>
          <w:highlight w:val="none"/>
        </w:rPr>
        <w:t>编号）的</w:t>
      </w:r>
      <w:r>
        <w:rPr>
          <w:rFonts w:hint="eastAsia" w:ascii="宋体" w:hAnsi="宋体"/>
          <w:color w:val="000000"/>
          <w:sz w:val="24"/>
          <w:highlight w:val="none"/>
        </w:rPr>
        <w:t>磋商采购</w:t>
      </w:r>
      <w:r>
        <w:rPr>
          <w:rFonts w:ascii="宋体" w:hAnsi="宋体"/>
          <w:color w:val="000000"/>
          <w:sz w:val="24"/>
          <w:highlight w:val="none"/>
        </w:rPr>
        <w:t>活动进行</w:t>
      </w:r>
      <w:r>
        <w:rPr>
          <w:rFonts w:hint="eastAsia" w:ascii="宋体" w:hAnsi="宋体"/>
          <w:color w:val="000000"/>
          <w:sz w:val="24"/>
          <w:highlight w:val="none"/>
        </w:rPr>
        <w:t>响应</w:t>
      </w:r>
      <w:r>
        <w:rPr>
          <w:rFonts w:ascii="宋体" w:hAnsi="宋体"/>
          <w:color w:val="000000"/>
          <w:sz w:val="24"/>
          <w:highlight w:val="none"/>
        </w:rPr>
        <w:t>。本公司所提交的</w:t>
      </w:r>
      <w:r>
        <w:rPr>
          <w:rFonts w:hint="eastAsia" w:ascii="宋体" w:hAnsi="宋体"/>
          <w:color w:val="000000"/>
          <w:sz w:val="24"/>
          <w:highlight w:val="none"/>
        </w:rPr>
        <w:t>响应</w:t>
      </w:r>
      <w:r>
        <w:rPr>
          <w:rFonts w:ascii="宋体" w:hAnsi="宋体"/>
          <w:color w:val="000000"/>
          <w:sz w:val="24"/>
          <w:highlight w:val="none"/>
        </w:rPr>
        <w:t>文件中所有关于</w:t>
      </w:r>
      <w:r>
        <w:rPr>
          <w:rFonts w:hint="eastAsia" w:ascii="宋体" w:hAnsi="宋体"/>
          <w:color w:val="000000"/>
          <w:sz w:val="24"/>
          <w:highlight w:val="none"/>
        </w:rPr>
        <w:t>磋商</w:t>
      </w:r>
      <w:r>
        <w:rPr>
          <w:rFonts w:ascii="宋体" w:hAnsi="宋体"/>
          <w:color w:val="000000"/>
          <w:sz w:val="24"/>
          <w:highlight w:val="none"/>
        </w:rPr>
        <w:t>资格的文件、证明和陈述均是真实的、准确的。若与真实情况不符，本公司愿意承担由此而产生的一切后果。</w:t>
      </w:r>
    </w:p>
    <w:p w14:paraId="49EAF832">
      <w:pPr>
        <w:spacing w:line="360" w:lineRule="auto"/>
        <w:ind w:firstLine="420"/>
        <w:jc w:val="left"/>
        <w:rPr>
          <w:rFonts w:ascii="宋体" w:hAnsi="宋体"/>
          <w:color w:val="000000"/>
          <w:sz w:val="24"/>
          <w:highlight w:val="none"/>
        </w:rPr>
      </w:pPr>
    </w:p>
    <w:p w14:paraId="513A7707">
      <w:pPr>
        <w:spacing w:line="360" w:lineRule="auto"/>
        <w:ind w:firstLine="420"/>
        <w:jc w:val="left"/>
        <w:rPr>
          <w:rFonts w:ascii="宋体" w:hAnsi="宋体"/>
          <w:color w:val="000000"/>
          <w:sz w:val="24"/>
          <w:highlight w:val="none"/>
        </w:rPr>
      </w:pPr>
    </w:p>
    <w:p w14:paraId="0A40079F">
      <w:pPr>
        <w:spacing w:line="360" w:lineRule="auto"/>
        <w:ind w:right="-200"/>
        <w:jc w:val="center"/>
        <w:rPr>
          <w:rFonts w:ascii="宋体" w:hAnsi="宋体" w:cs="宋体"/>
          <w:color w:val="000000"/>
          <w:sz w:val="24"/>
          <w:highlight w:val="none"/>
          <w:lang w:val="zh-CN"/>
        </w:rPr>
      </w:pP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供应商名称</w:t>
      </w:r>
      <w:r>
        <w:rPr>
          <w:rFonts w:ascii="宋体" w:hAnsi="宋体"/>
          <w:color w:val="000000"/>
          <w:sz w:val="24"/>
          <w:highlight w:val="none"/>
        </w:rPr>
        <w:t>：（公章）</w:t>
      </w:r>
      <w:r>
        <w:rPr>
          <w:rFonts w:hint="eastAsia" w:ascii="宋体" w:hAnsi="宋体" w:cs="宋体"/>
          <w:color w:val="000000"/>
          <w:sz w:val="24"/>
          <w:highlight w:val="none"/>
          <w:lang w:val="zh-CN"/>
        </w:rPr>
        <w:t> </w:t>
      </w:r>
    </w:p>
    <w:p w14:paraId="1B42E904">
      <w:pPr>
        <w:spacing w:line="360" w:lineRule="auto"/>
        <w:ind w:firstLine="210"/>
        <w:jc w:val="right"/>
        <w:rPr>
          <w:rFonts w:ascii="宋体" w:hAnsi="宋体" w:cs="宋体"/>
          <w:color w:val="000000"/>
          <w:sz w:val="24"/>
          <w:highlight w:val="none"/>
          <w:lang w:val="zh-CN"/>
        </w:rPr>
      </w:pP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法定代表人或</w:t>
      </w:r>
      <w:r>
        <w:rPr>
          <w:rFonts w:hint="eastAsia" w:ascii="宋体" w:hAnsi="宋体" w:cs="宋体"/>
          <w:color w:val="000000"/>
          <w:sz w:val="24"/>
          <w:highlight w:val="none"/>
        </w:rPr>
        <w:t>被授权</w:t>
      </w:r>
      <w:r>
        <w:rPr>
          <w:rFonts w:hint="eastAsia" w:ascii="宋体" w:hAnsi="宋体" w:cs="宋体"/>
          <w:color w:val="000000"/>
          <w:sz w:val="24"/>
          <w:highlight w:val="none"/>
          <w:lang w:val="zh-CN"/>
        </w:rPr>
        <w:t>人：（签字或盖章）</w:t>
      </w:r>
    </w:p>
    <w:p w14:paraId="18D1F25A">
      <w:pPr>
        <w:spacing w:line="400" w:lineRule="exact"/>
        <w:ind w:right="615" w:firstLine="840"/>
        <w:jc w:val="right"/>
        <w:rPr>
          <w:rFonts w:ascii="宋体" w:hAnsi="宋体" w:cs="宋体"/>
          <w:color w:val="000000"/>
          <w:sz w:val="24"/>
          <w:highlight w:val="none"/>
          <w:lang w:val="zh-CN"/>
        </w:rPr>
      </w:pPr>
      <w:r>
        <w:rPr>
          <w:rFonts w:hint="eastAsia" w:ascii="宋体" w:hAnsi="宋体" w:cs="宋体"/>
          <w:color w:val="000000"/>
          <w:sz w:val="24"/>
          <w:highlight w:val="none"/>
          <w:lang w:val="zh-CN"/>
        </w:rPr>
        <w:t xml:space="preserve"> 日    期：     年</w:t>
      </w: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 xml:space="preserve">月   </w:t>
      </w: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日</w:t>
      </w:r>
    </w:p>
    <w:p w14:paraId="7FCD8283">
      <w:pPr>
        <w:pStyle w:val="202"/>
        <w:widowControl/>
        <w:spacing w:before="75" w:beforeAutospacing="0" w:after="75" w:afterAutospacing="0" w:line="435" w:lineRule="atLeast"/>
        <w:ind w:firstLine="1560"/>
        <w:rPr>
          <w:rFonts w:ascii="宋体" w:hAnsi="宋体"/>
          <w:color w:val="000000"/>
          <w:highlight w:val="none"/>
        </w:rPr>
      </w:pPr>
    </w:p>
    <w:p w14:paraId="14D7E280">
      <w:pPr>
        <w:pStyle w:val="202"/>
        <w:widowControl/>
        <w:spacing w:before="75" w:beforeAutospacing="0" w:after="75" w:afterAutospacing="0" w:line="435" w:lineRule="atLeast"/>
        <w:rPr>
          <w:rFonts w:hint="eastAsia" w:ascii="宋体" w:hAnsi="宋体"/>
          <w:color w:val="000000"/>
          <w:highlight w:val="none"/>
        </w:rPr>
      </w:pPr>
      <w:r>
        <w:rPr>
          <w:rFonts w:hint="eastAsia" w:ascii="宋体" w:hAnsi="宋体"/>
          <w:color w:val="000000"/>
          <w:highlight w:val="none"/>
        </w:rPr>
        <w:br w:type="page" w:clear="all"/>
      </w:r>
      <w:r>
        <w:rPr>
          <w:rFonts w:hint="eastAsia" w:ascii="宋体" w:hAnsi="宋体"/>
          <w:color w:val="000000"/>
          <w:highlight w:val="none"/>
        </w:rPr>
        <w:t xml:space="preserve">附件5             </w:t>
      </w:r>
    </w:p>
    <w:p w14:paraId="660BFB69">
      <w:pPr>
        <w:pStyle w:val="202"/>
        <w:widowControl/>
        <w:spacing w:before="75" w:beforeAutospacing="0" w:after="75" w:afterAutospacing="0" w:line="435" w:lineRule="atLeast"/>
        <w:jc w:val="center"/>
        <w:rPr>
          <w:rFonts w:hint="eastAsia" w:ascii="Arial" w:hAnsi="Arial" w:cs="Arial"/>
          <w:color w:val="000000"/>
          <w:highlight w:val="none"/>
        </w:rPr>
      </w:pPr>
      <w:r>
        <w:rPr>
          <w:rStyle w:val="220"/>
          <w:rFonts w:hint="eastAsia" w:ascii="宋体" w:hAnsi="宋体"/>
          <w:color w:val="000000"/>
          <w:highlight w:val="none"/>
        </w:rPr>
        <w:t>法人代表授权书</w:t>
      </w:r>
    </w:p>
    <w:p w14:paraId="7D3C5A6A">
      <w:pPr>
        <w:pStyle w:val="202"/>
        <w:widowControl/>
        <w:spacing w:before="75" w:beforeAutospacing="0" w:after="75" w:afterAutospacing="0" w:line="405" w:lineRule="atLeast"/>
        <w:rPr>
          <w:rFonts w:hint="eastAsia" w:ascii="Arial" w:hAnsi="Arial" w:cs="Arial"/>
          <w:color w:val="000000"/>
          <w:highlight w:val="none"/>
        </w:rPr>
      </w:pPr>
      <w:r>
        <w:rPr>
          <w:rFonts w:hint="eastAsia" w:ascii="宋体" w:hAnsi="宋体"/>
          <w:color w:val="000000"/>
          <w:highlight w:val="none"/>
        </w:rPr>
        <w:t xml:space="preserve"> </w:t>
      </w:r>
    </w:p>
    <w:p w14:paraId="664BD69B">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(采购人或采购代理机构</w:t>
      </w:r>
      <w:r>
        <w:rPr>
          <w:rFonts w:eastAsia="Arial"/>
          <w:color w:val="000000"/>
          <w:highlight w:val="none"/>
          <w:u w:val="single"/>
        </w:rPr>
        <w:t xml:space="preserve">)      </w:t>
      </w:r>
      <w:r>
        <w:rPr>
          <w:rFonts w:hint="eastAsia" w:ascii="宋体" w:hAnsi="宋体"/>
          <w:color w:val="000000"/>
          <w:highlight w:val="none"/>
          <w:u w:val="single"/>
        </w:rPr>
        <w:t xml:space="preserve"> </w:t>
      </w:r>
    </w:p>
    <w:p w14:paraId="7B53B9AA">
      <w:pPr>
        <w:pStyle w:val="202"/>
        <w:widowControl/>
        <w:spacing w:before="75" w:beforeAutospacing="0" w:after="75" w:afterAutospacing="0" w:line="360" w:lineRule="atLeast"/>
        <w:ind w:firstLine="480"/>
        <w:rPr>
          <w:rFonts w:ascii="Arial" w:hAnsi="Arial" w:cs="Arial"/>
          <w:color w:val="000000"/>
          <w:highlight w:val="none"/>
        </w:rPr>
      </w:pPr>
      <w:r>
        <w:rPr>
          <w:rFonts w:hint="eastAsia" w:ascii="宋体" w:hAnsi="宋体"/>
          <w:color w:val="000000"/>
          <w:highlight w:val="none"/>
        </w:rPr>
        <w:t>我方的法人代表</w:t>
      </w:r>
      <w:r>
        <w:rPr>
          <w:rFonts w:hint="eastAsia" w:ascii="宋体" w:hAnsi="宋体"/>
          <w:color w:val="000000"/>
          <w:highlight w:val="none"/>
          <w:u w:val="single"/>
        </w:rPr>
        <w:t>（填写“法人代表全名”）</w:t>
      </w:r>
      <w:r>
        <w:rPr>
          <w:rFonts w:hint="eastAsia" w:ascii="宋体" w:hAnsi="宋体"/>
          <w:color w:val="000000"/>
          <w:highlight w:val="none"/>
        </w:rPr>
        <w:t>授权</w:t>
      </w:r>
      <w:r>
        <w:rPr>
          <w:rFonts w:hint="eastAsia" w:ascii="宋体" w:hAnsi="宋体"/>
          <w:color w:val="000000"/>
          <w:highlight w:val="none"/>
          <w:u w:val="single"/>
        </w:rPr>
        <w:t>（填写“授权代表全名”）</w:t>
      </w:r>
      <w:r>
        <w:rPr>
          <w:rFonts w:hint="eastAsia" w:ascii="宋体" w:hAnsi="宋体"/>
          <w:color w:val="000000"/>
          <w:highlight w:val="none"/>
        </w:rPr>
        <w:t>为我方的授权代表，代表我方参加</w:t>
      </w:r>
      <w:r>
        <w:rPr>
          <w:rFonts w:hint="eastAsia" w:ascii="宋体" w:hAnsi="宋体"/>
          <w:color w:val="000000"/>
          <w:highlight w:val="none"/>
          <w:u w:val="single"/>
        </w:rPr>
        <w:t xml:space="preserve">  （填写“项目名称”）   </w:t>
      </w:r>
      <w:r>
        <w:rPr>
          <w:rFonts w:hint="eastAsia" w:ascii="宋体" w:hAnsi="宋体"/>
          <w:color w:val="000000"/>
          <w:highlight w:val="none"/>
        </w:rPr>
        <w:t>项目（采购编号：</w:t>
      </w:r>
      <w:r>
        <w:rPr>
          <w:rFonts w:hint="eastAsia" w:ascii="宋体" w:hAnsi="宋体"/>
          <w:color w:val="000000"/>
          <w:highlight w:val="none"/>
          <w:u w:val="single"/>
        </w:rPr>
        <w:t xml:space="preserve">         </w:t>
      </w:r>
      <w:r>
        <w:rPr>
          <w:rFonts w:hint="eastAsia" w:ascii="宋体" w:hAnsi="宋体"/>
          <w:color w:val="000000"/>
          <w:highlight w:val="none"/>
        </w:rPr>
        <w:t>）的响应磋商，全权代表我方处理响应磋商过程的一切事宜。授权代表在响应磋商过程中所签署的一切文件和处理与之有关的一切事务，我方均予以认可并对此承担责任。授权期限自______至____。</w:t>
      </w:r>
    </w:p>
    <w:p w14:paraId="34D28103">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 xml:space="preserve">  授权代表无转委权。特此授权。</w:t>
      </w:r>
    </w:p>
    <w:p w14:paraId="32F68B23">
      <w:pPr>
        <w:pStyle w:val="202"/>
        <w:widowControl/>
        <w:spacing w:before="75" w:beforeAutospacing="0" w:after="75" w:afterAutospacing="0" w:line="360" w:lineRule="atLeast"/>
        <w:jc w:val="center"/>
        <w:rPr>
          <w:rFonts w:ascii="Arial" w:hAnsi="Arial" w:cs="Arial"/>
          <w:color w:val="000000"/>
          <w:highlight w:val="none"/>
        </w:rPr>
      </w:pPr>
      <w:r>
        <w:rPr>
          <w:rFonts w:hint="eastAsia" w:ascii="宋体" w:hAnsi="宋体"/>
          <w:color w:val="000000"/>
          <w:highlight w:val="none"/>
        </w:rPr>
        <w:t>（以下无正文）</w:t>
      </w:r>
    </w:p>
    <w:p w14:paraId="2A6B614F">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法人代表：</w:t>
      </w:r>
      <w:r>
        <w:rPr>
          <w:rFonts w:hint="eastAsia" w:ascii="宋体" w:hAnsi="宋体"/>
          <w:color w:val="000000"/>
          <w:highlight w:val="none"/>
          <w:u w:val="single"/>
        </w:rPr>
        <w:t xml:space="preserve">     </w:t>
      </w:r>
      <w:r>
        <w:rPr>
          <w:rFonts w:hint="eastAsia" w:ascii="宋体" w:hAnsi="宋体"/>
          <w:color w:val="000000"/>
          <w:highlight w:val="none"/>
        </w:rPr>
        <w:t>身份证号：</w:t>
      </w:r>
      <w:r>
        <w:rPr>
          <w:rFonts w:hint="eastAsia" w:ascii="宋体" w:hAnsi="宋体"/>
          <w:color w:val="000000"/>
          <w:highlight w:val="none"/>
          <w:u w:val="single"/>
        </w:rPr>
        <w:t xml:space="preserve">          </w:t>
      </w:r>
      <w:r>
        <w:rPr>
          <w:rFonts w:hint="eastAsia" w:ascii="宋体" w:hAnsi="宋体"/>
          <w:color w:val="000000"/>
          <w:highlight w:val="none"/>
        </w:rPr>
        <w:t>手机：</w:t>
      </w:r>
      <w:r>
        <w:rPr>
          <w:rFonts w:hint="eastAsia" w:ascii="宋体" w:hAnsi="宋体"/>
          <w:color w:val="000000"/>
          <w:highlight w:val="none"/>
          <w:u w:val="single"/>
        </w:rPr>
        <w:t xml:space="preserve">        </w:t>
      </w:r>
    </w:p>
    <w:p w14:paraId="232F908B">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授权代表：</w:t>
      </w:r>
      <w:r>
        <w:rPr>
          <w:rFonts w:hint="eastAsia" w:ascii="宋体" w:hAnsi="宋体"/>
          <w:color w:val="000000"/>
          <w:highlight w:val="none"/>
          <w:u w:val="single"/>
        </w:rPr>
        <w:t xml:space="preserve">     </w:t>
      </w:r>
      <w:r>
        <w:rPr>
          <w:rFonts w:hint="eastAsia" w:ascii="宋体" w:hAnsi="宋体"/>
          <w:color w:val="000000"/>
          <w:highlight w:val="none"/>
        </w:rPr>
        <w:t>身份证号：</w:t>
      </w:r>
      <w:r>
        <w:rPr>
          <w:rFonts w:hint="eastAsia" w:ascii="宋体" w:hAnsi="宋体"/>
          <w:color w:val="000000"/>
          <w:highlight w:val="none"/>
          <w:u w:val="single"/>
        </w:rPr>
        <w:t xml:space="preserve">           </w:t>
      </w:r>
      <w:r>
        <w:rPr>
          <w:rFonts w:hint="eastAsia" w:ascii="宋体" w:hAnsi="宋体"/>
          <w:color w:val="000000"/>
          <w:highlight w:val="none"/>
        </w:rPr>
        <w:t>手机：</w:t>
      </w:r>
      <w:r>
        <w:rPr>
          <w:rFonts w:hint="eastAsia" w:ascii="宋体" w:hAnsi="宋体"/>
          <w:color w:val="000000"/>
          <w:highlight w:val="none"/>
          <w:u w:val="single"/>
        </w:rPr>
        <w:t xml:space="preserve">        </w:t>
      </w:r>
    </w:p>
    <w:p w14:paraId="169B36D0">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 xml:space="preserve"> </w:t>
      </w:r>
    </w:p>
    <w:p w14:paraId="74498593">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授权方</w:t>
      </w:r>
    </w:p>
    <w:p w14:paraId="531F19D8">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供应商：</w:t>
      </w:r>
      <w:r>
        <w:rPr>
          <w:rFonts w:hint="eastAsia" w:ascii="宋体" w:hAnsi="宋体"/>
          <w:color w:val="000000"/>
          <w:highlight w:val="none"/>
          <w:u w:val="single"/>
        </w:rPr>
        <w:t>（全称并加盖单位公章）</w:t>
      </w:r>
    </w:p>
    <w:p w14:paraId="77492BF1">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法人代表签字或盖章：</w:t>
      </w:r>
      <w:r>
        <w:rPr>
          <w:rFonts w:hint="eastAsia" w:ascii="宋体" w:hAnsi="宋体"/>
          <w:color w:val="000000"/>
          <w:highlight w:val="none"/>
          <w:u w:val="single"/>
        </w:rPr>
        <w:t xml:space="preserve">                   </w:t>
      </w:r>
    </w:p>
    <w:p w14:paraId="0B756932">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 xml:space="preserve"> </w:t>
      </w:r>
    </w:p>
    <w:p w14:paraId="7241E180">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接受授权方</w:t>
      </w:r>
    </w:p>
    <w:p w14:paraId="211A60B4">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授权代表签字：</w:t>
      </w:r>
      <w:r>
        <w:rPr>
          <w:rFonts w:hint="eastAsia" w:ascii="宋体" w:hAnsi="宋体"/>
          <w:color w:val="000000"/>
          <w:highlight w:val="none"/>
          <w:u w:val="single"/>
        </w:rPr>
        <w:t xml:space="preserve">                   </w:t>
      </w:r>
    </w:p>
    <w:p w14:paraId="6C7EDEC4">
      <w:pPr>
        <w:pStyle w:val="202"/>
        <w:widowControl/>
        <w:spacing w:before="75" w:beforeAutospacing="0" w:after="75" w:afterAutospacing="0" w:line="360" w:lineRule="atLeast"/>
        <w:jc w:val="right"/>
        <w:rPr>
          <w:rFonts w:ascii="Arial" w:hAnsi="Arial" w:cs="Arial"/>
          <w:color w:val="000000"/>
          <w:highlight w:val="none"/>
        </w:rPr>
      </w:pPr>
      <w:r>
        <w:rPr>
          <w:rFonts w:hint="eastAsia" w:ascii="宋体" w:hAnsi="宋体"/>
          <w:color w:val="000000"/>
          <w:highlight w:val="none"/>
        </w:rPr>
        <w:t>签署日期：</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7C10E9D7">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 xml:space="preserve"> </w:t>
      </w:r>
    </w:p>
    <w:p w14:paraId="3FB4F020">
      <w:pPr>
        <w:pStyle w:val="202"/>
        <w:widowControl/>
        <w:spacing w:before="75" w:beforeAutospacing="0" w:after="75" w:afterAutospacing="0" w:line="405" w:lineRule="atLeast"/>
        <w:rPr>
          <w:rFonts w:ascii="Arial" w:hAnsi="Arial" w:cs="Arial"/>
          <w:color w:val="000000"/>
          <w:highlight w:val="none"/>
        </w:rPr>
      </w:pPr>
      <w:r>
        <w:rPr>
          <w:rFonts w:hint="eastAsia" w:ascii="宋体" w:hAnsi="宋体"/>
          <w:color w:val="000000"/>
          <w:highlight w:val="none"/>
        </w:rPr>
        <w:t>附：法人代表、授权代表的身份证正反面复印件</w:t>
      </w:r>
    </w:p>
    <w:tbl>
      <w:tblPr>
        <w:tblStyle w:val="29"/>
        <w:tblW w:w="0" w:type="auto"/>
        <w:tblInd w:w="-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
      <w:tblGrid>
        <w:gridCol w:w="8565"/>
      </w:tblGrid>
      <w:tr w14:paraId="23BB3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5" w:hRule="atLeast"/>
        </w:trPr>
        <w:tc>
          <w:tcPr>
            <w:tcW w:w="8565" w:type="dxa"/>
            <w:noWrap w:val="0"/>
            <w:tcMar>
              <w:top w:w="0" w:type="dxa"/>
              <w:left w:w="105" w:type="dxa"/>
              <w:bottom w:w="0" w:type="dxa"/>
              <w:right w:w="105" w:type="dxa"/>
            </w:tcMar>
            <w:vAlign w:val="center"/>
          </w:tcPr>
          <w:p w14:paraId="766AE235">
            <w:pPr>
              <w:pStyle w:val="202"/>
              <w:widowControl/>
              <w:spacing w:line="405" w:lineRule="atLeast"/>
              <w:jc w:val="center"/>
              <w:rPr>
                <w:color w:val="000000"/>
                <w:highlight w:val="none"/>
              </w:rPr>
            </w:pPr>
            <w:r>
              <w:rPr>
                <w:rStyle w:val="220"/>
                <w:rFonts w:hint="eastAsia" w:ascii="宋体" w:hAnsi="宋体"/>
                <w:color w:val="000000"/>
                <w:highlight w:val="none"/>
              </w:rPr>
              <w:t> </w:t>
            </w:r>
          </w:p>
          <w:p w14:paraId="33E188DE">
            <w:pPr>
              <w:pStyle w:val="202"/>
              <w:widowControl/>
              <w:spacing w:line="405" w:lineRule="atLeast"/>
              <w:jc w:val="center"/>
              <w:rPr>
                <w:color w:val="000000"/>
                <w:highlight w:val="none"/>
              </w:rPr>
            </w:pPr>
            <w:r>
              <w:rPr>
                <w:rStyle w:val="220"/>
                <w:rFonts w:hint="eastAsia" w:ascii="宋体" w:hAnsi="宋体"/>
                <w:color w:val="000000"/>
                <w:highlight w:val="none"/>
              </w:rPr>
              <w:t>要求：真实、有效、清晰</w:t>
            </w:r>
          </w:p>
          <w:p w14:paraId="506AEE5B">
            <w:pPr>
              <w:pStyle w:val="202"/>
              <w:widowControl/>
              <w:spacing w:line="405" w:lineRule="atLeast"/>
              <w:jc w:val="center"/>
              <w:rPr>
                <w:color w:val="000000"/>
                <w:highlight w:val="none"/>
              </w:rPr>
            </w:pPr>
            <w:r>
              <w:rPr>
                <w:rStyle w:val="220"/>
                <w:rFonts w:hint="eastAsia" w:ascii="宋体" w:hAnsi="宋体"/>
                <w:color w:val="000000"/>
                <w:highlight w:val="none"/>
              </w:rPr>
              <w:t> </w:t>
            </w:r>
          </w:p>
        </w:tc>
      </w:tr>
    </w:tbl>
    <w:p w14:paraId="78D75899">
      <w:pPr>
        <w:pStyle w:val="202"/>
        <w:widowControl/>
        <w:spacing w:before="75" w:beforeAutospacing="0" w:after="75" w:afterAutospacing="0" w:line="435" w:lineRule="atLeast"/>
        <w:rPr>
          <w:rFonts w:ascii="宋体" w:hAnsi="宋体"/>
          <w:color w:val="000000"/>
          <w:highlight w:val="none"/>
        </w:rPr>
      </w:pPr>
      <w:r>
        <w:rPr>
          <w:rFonts w:hint="eastAsia" w:ascii="宋体" w:hAnsi="宋体"/>
          <w:color w:val="000000"/>
          <w:sz w:val="21"/>
          <w:szCs w:val="21"/>
          <w:highlight w:val="none"/>
        </w:rPr>
        <w:br w:type="page" w:clear="all"/>
      </w:r>
      <w:r>
        <w:rPr>
          <w:rFonts w:hint="eastAsia" w:ascii="宋体" w:hAnsi="宋体"/>
          <w:color w:val="000000"/>
          <w:highlight w:val="none"/>
        </w:rPr>
        <w:t>附件6</w:t>
      </w:r>
      <w:r>
        <w:rPr>
          <w:rStyle w:val="220"/>
          <w:rFonts w:hint="eastAsia" w:ascii="宋体" w:hAnsi="宋体"/>
          <w:color w:val="000000"/>
          <w:highlight w:val="none"/>
        </w:rPr>
        <w:t xml:space="preserve">  </w:t>
      </w:r>
      <w:r>
        <w:rPr>
          <w:rFonts w:hint="eastAsia" w:ascii="宋体" w:hAnsi="宋体" w:cs="宋体"/>
          <w:b/>
          <w:color w:val="000000"/>
          <w:highlight w:val="none"/>
        </w:rPr>
        <w:t>参加政府采购活动前三年内，在经营活动中没有重大违法记录声明</w:t>
      </w:r>
      <w:r>
        <w:rPr>
          <w:rStyle w:val="220"/>
          <w:rFonts w:hint="eastAsia" w:ascii="宋体" w:hAnsi="宋体"/>
          <w:color w:val="000000"/>
          <w:highlight w:val="none"/>
        </w:rPr>
        <w:t xml:space="preserve">          </w:t>
      </w:r>
    </w:p>
    <w:p w14:paraId="22B70F81">
      <w:pPr>
        <w:pStyle w:val="202"/>
        <w:widowControl/>
        <w:spacing w:before="75" w:beforeAutospacing="0" w:after="75" w:afterAutospacing="0" w:line="360" w:lineRule="atLeast"/>
        <w:rPr>
          <w:rFonts w:ascii="Arial" w:hAnsi="Arial" w:cs="Arial"/>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(采购人或采购代理机构</w:t>
      </w:r>
      <w:r>
        <w:rPr>
          <w:rFonts w:eastAsia="Arial"/>
          <w:color w:val="000000"/>
          <w:highlight w:val="none"/>
          <w:u w:val="single"/>
        </w:rPr>
        <w:t xml:space="preserve">)      </w:t>
      </w:r>
      <w:r>
        <w:rPr>
          <w:rFonts w:hint="eastAsia" w:ascii="宋体" w:hAnsi="宋体"/>
          <w:color w:val="000000"/>
          <w:highlight w:val="none"/>
          <w:u w:val="single"/>
        </w:rPr>
        <w:t xml:space="preserve"> </w:t>
      </w:r>
    </w:p>
    <w:p w14:paraId="7A0F8690">
      <w:pPr>
        <w:spacing w:line="360" w:lineRule="auto"/>
        <w:ind w:firstLine="420"/>
        <w:rPr>
          <w:rFonts w:ascii="宋体" w:hAnsi="宋体"/>
          <w:color w:val="000000"/>
          <w:sz w:val="24"/>
          <w:highlight w:val="none"/>
        </w:rPr>
      </w:pPr>
      <w:r>
        <w:rPr>
          <w:rFonts w:hint="eastAsia" w:ascii="宋体" w:hAnsi="宋体"/>
          <w:color w:val="000000"/>
          <w:sz w:val="24"/>
          <w:highlight w:val="none"/>
        </w:rPr>
        <w:t>我单位</w:t>
      </w:r>
      <w:r>
        <w:rPr>
          <w:rFonts w:hint="eastAsia" w:ascii="宋体" w:hAnsi="宋体"/>
          <w:color w:val="000000"/>
          <w:sz w:val="24"/>
          <w:highlight w:val="none"/>
          <w:u w:val="single"/>
        </w:rPr>
        <w:t xml:space="preserve">         （供应商名称）        </w:t>
      </w:r>
      <w:r>
        <w:rPr>
          <w:rFonts w:hint="eastAsia" w:ascii="宋体" w:hAnsi="宋体"/>
          <w:color w:val="000000"/>
          <w:sz w:val="24"/>
          <w:highlight w:val="none"/>
        </w:rPr>
        <w:t xml:space="preserve"> 在参加政府采购活动前三年内，没有重大违法记录，特此声明。</w:t>
      </w:r>
    </w:p>
    <w:p w14:paraId="119B2E55">
      <w:pPr>
        <w:spacing w:line="360" w:lineRule="auto"/>
        <w:ind w:firstLine="420"/>
        <w:rPr>
          <w:rFonts w:ascii="宋体" w:hAnsi="宋体"/>
          <w:color w:val="000000"/>
          <w:sz w:val="24"/>
          <w:highlight w:val="none"/>
        </w:rPr>
      </w:pPr>
      <w:r>
        <w:rPr>
          <w:rFonts w:hint="eastAsia" w:ascii="宋体" w:hAnsi="宋体"/>
          <w:color w:val="000000"/>
          <w:sz w:val="24"/>
          <w:highlight w:val="none"/>
        </w:rPr>
        <w:t>若采购代理机构在本项目采购过程中发现我单位近三年内在经营活动中有重大违法记录，我单位将无条件退出本项目的磋商，并承担因此引起的一起后果。</w:t>
      </w:r>
    </w:p>
    <w:p w14:paraId="18E88245">
      <w:pPr>
        <w:spacing w:line="360" w:lineRule="auto"/>
        <w:ind w:right="-200"/>
        <w:jc w:val="center"/>
        <w:rPr>
          <w:rFonts w:ascii="宋体" w:hAnsi="宋体" w:cs="宋体"/>
          <w:color w:val="000000"/>
          <w:sz w:val="24"/>
          <w:highlight w:val="none"/>
          <w:lang w:val="zh-CN"/>
        </w:rPr>
      </w:pPr>
      <w:r>
        <w:rPr>
          <w:rFonts w:ascii="宋体" w:hAnsi="宋体" w:cs="宋体"/>
          <w:color w:val="000000"/>
          <w:sz w:val="24"/>
          <w:highlight w:val="none"/>
        </w:rPr>
        <w:t xml:space="preserve">   </w:t>
      </w:r>
      <w:r>
        <w:rPr>
          <w:rFonts w:hint="eastAsia" w:ascii="宋体" w:hAnsi="宋体" w:cs="宋体"/>
          <w:color w:val="000000"/>
          <w:sz w:val="24"/>
          <w:highlight w:val="none"/>
        </w:rPr>
        <w:t>供应商名称</w:t>
      </w:r>
      <w:r>
        <w:rPr>
          <w:rFonts w:ascii="宋体" w:hAnsi="宋体"/>
          <w:color w:val="000000"/>
          <w:sz w:val="24"/>
          <w:highlight w:val="none"/>
        </w:rPr>
        <w:t>：（公章）</w:t>
      </w:r>
      <w:r>
        <w:rPr>
          <w:rFonts w:hint="eastAsia" w:ascii="宋体" w:hAnsi="宋体" w:cs="宋体"/>
          <w:color w:val="000000"/>
          <w:sz w:val="24"/>
          <w:highlight w:val="none"/>
          <w:lang w:val="zh-CN"/>
        </w:rPr>
        <w:t> </w:t>
      </w:r>
    </w:p>
    <w:p w14:paraId="53742EF9">
      <w:pPr>
        <w:spacing w:line="360" w:lineRule="auto"/>
        <w:ind w:firstLine="210"/>
        <w:jc w:val="right"/>
        <w:rPr>
          <w:rFonts w:ascii="宋体" w:hAnsi="宋体" w:cs="宋体"/>
          <w:color w:val="000000"/>
          <w:sz w:val="24"/>
          <w:highlight w:val="none"/>
          <w:lang w:val="zh-CN"/>
        </w:rPr>
      </w:pP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法定代表人或</w:t>
      </w:r>
      <w:r>
        <w:rPr>
          <w:rFonts w:hint="eastAsia" w:ascii="宋体" w:hAnsi="宋体" w:cs="宋体"/>
          <w:color w:val="000000"/>
          <w:sz w:val="24"/>
          <w:highlight w:val="none"/>
        </w:rPr>
        <w:t>被授权</w:t>
      </w:r>
      <w:r>
        <w:rPr>
          <w:rFonts w:hint="eastAsia" w:ascii="宋体" w:hAnsi="宋体" w:cs="宋体"/>
          <w:color w:val="000000"/>
          <w:sz w:val="24"/>
          <w:highlight w:val="none"/>
          <w:lang w:val="zh-CN"/>
        </w:rPr>
        <w:t>人：（签字或盖章）</w:t>
      </w:r>
    </w:p>
    <w:p w14:paraId="1873093E">
      <w:pPr>
        <w:spacing w:line="400" w:lineRule="exact"/>
        <w:ind w:right="615" w:firstLine="840"/>
        <w:jc w:val="right"/>
        <w:rPr>
          <w:rFonts w:ascii="宋体" w:hAnsi="宋体" w:cs="宋体"/>
          <w:color w:val="000000"/>
          <w:sz w:val="24"/>
          <w:highlight w:val="none"/>
          <w:lang w:val="zh-CN"/>
        </w:rPr>
      </w:pPr>
      <w:r>
        <w:rPr>
          <w:rFonts w:hint="eastAsia" w:ascii="宋体" w:hAnsi="宋体" w:cs="宋体"/>
          <w:color w:val="000000"/>
          <w:sz w:val="24"/>
          <w:highlight w:val="none"/>
          <w:lang w:val="zh-CN"/>
        </w:rPr>
        <w:t xml:space="preserve"> 日    期：     年</w:t>
      </w: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 xml:space="preserve">月   </w:t>
      </w: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日</w:t>
      </w:r>
    </w:p>
    <w:p w14:paraId="5B603B9C">
      <w:pPr>
        <w:pStyle w:val="202"/>
        <w:widowControl/>
        <w:spacing w:before="75" w:beforeAutospacing="0" w:after="75" w:afterAutospacing="0" w:line="435" w:lineRule="atLeast"/>
        <w:ind w:firstLine="1560"/>
        <w:rPr>
          <w:rFonts w:ascii="宋体" w:hAnsi="宋体"/>
          <w:color w:val="000000"/>
          <w:highlight w:val="none"/>
        </w:rPr>
      </w:pPr>
    </w:p>
    <w:p w14:paraId="39066105">
      <w:pPr>
        <w:pStyle w:val="187"/>
        <w:ind w:firstLine="0"/>
        <w:rPr>
          <w:rFonts w:ascii="宋体" w:hAnsi="宋体" w:eastAsia="宋体"/>
          <w:b/>
          <w:bCs/>
          <w:color w:val="000000"/>
          <w:highlight w:val="none"/>
        </w:rPr>
      </w:pPr>
      <w:r>
        <w:rPr>
          <w:rFonts w:hint="eastAsia" w:ascii="宋体" w:hAnsi="宋体" w:eastAsia="宋体"/>
          <w:color w:val="000000"/>
          <w:sz w:val="21"/>
          <w:szCs w:val="21"/>
          <w:highlight w:val="none"/>
        </w:rPr>
        <w:br w:type="page" w:clear="all"/>
      </w:r>
      <w:r>
        <w:rPr>
          <w:rFonts w:hint="eastAsia" w:ascii="宋体" w:hAnsi="宋体" w:eastAsia="宋体"/>
          <w:color w:val="000000"/>
          <w:highlight w:val="none"/>
        </w:rPr>
        <w:t>附件7：投标单位情况表（参考）</w:t>
      </w:r>
    </w:p>
    <w:p w14:paraId="735D8708">
      <w:pPr>
        <w:pStyle w:val="187"/>
        <w:ind w:firstLine="0"/>
        <w:rPr>
          <w:rFonts w:hint="eastAsia" w:ascii="宋体" w:hAnsi="宋体" w:eastAsia="宋体"/>
          <w:color w:val="000000"/>
          <w:highlight w:val="none"/>
        </w:rPr>
      </w:pPr>
      <w:r>
        <w:rPr>
          <w:rFonts w:hint="eastAsia" w:ascii="宋体" w:hAnsi="宋体" w:eastAsia="宋体"/>
          <w:color w:val="000000"/>
          <w:highlight w:val="none"/>
        </w:rPr>
        <w:t xml:space="preserve"> </w:t>
      </w:r>
    </w:p>
    <w:p w14:paraId="5A2320BA">
      <w:pPr>
        <w:pStyle w:val="187"/>
        <w:rPr>
          <w:rFonts w:hint="eastAsia" w:ascii="宋体" w:hAnsi="宋体" w:eastAsia="宋体"/>
          <w:color w:val="000000"/>
          <w:highlight w:val="none"/>
        </w:rPr>
      </w:pPr>
      <w:r>
        <w:rPr>
          <w:rFonts w:hint="eastAsia" w:ascii="宋体" w:hAnsi="宋体" w:eastAsia="宋体"/>
          <w:color w:val="000000"/>
          <w:highlight w:val="none"/>
        </w:rPr>
        <w:t xml:space="preserve">                          投标单位情况表</w:t>
      </w:r>
    </w:p>
    <w:p w14:paraId="7C7BC59C">
      <w:pPr>
        <w:pStyle w:val="187"/>
        <w:rPr>
          <w:rFonts w:hint="eastAsia" w:ascii="宋体" w:hAnsi="宋体" w:eastAsia="宋体"/>
          <w:color w:val="000000"/>
          <w:highlight w:val="none"/>
        </w:rPr>
      </w:pPr>
      <w:r>
        <w:rPr>
          <w:rFonts w:hint="eastAsia" w:ascii="宋体" w:hAnsi="宋体" w:eastAsia="宋体"/>
          <w:color w:val="000000"/>
          <w:highlight w:val="none"/>
        </w:rPr>
        <w:t>单位名称（盖章）</w:t>
      </w:r>
    </w:p>
    <w:tbl>
      <w:tblPr>
        <w:tblStyle w:val="29"/>
        <w:tblW w:w="0" w:type="auto"/>
        <w:jc w:val="center"/>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2510"/>
        <w:gridCol w:w="2005"/>
        <w:gridCol w:w="1461"/>
        <w:gridCol w:w="2056"/>
        <w:gridCol w:w="1236"/>
      </w:tblGrid>
      <w:tr w14:paraId="1DE3D4A2">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850" w:hRule="exact"/>
          <w:jc w:val="center"/>
        </w:trPr>
        <w:tc>
          <w:tcPr>
            <w:tcW w:w="2510" w:type="dxa"/>
            <w:noWrap w:val="0"/>
            <w:vAlign w:val="center"/>
          </w:tcPr>
          <w:p w14:paraId="53635A9E">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法定代表人</w:t>
            </w:r>
          </w:p>
        </w:tc>
        <w:tc>
          <w:tcPr>
            <w:tcW w:w="2005" w:type="dxa"/>
            <w:noWrap w:val="0"/>
            <w:vAlign w:val="center"/>
          </w:tcPr>
          <w:p w14:paraId="036600F6">
            <w:pPr>
              <w:spacing w:line="360" w:lineRule="auto"/>
              <w:jc w:val="center"/>
              <w:rPr>
                <w:rFonts w:ascii="宋体" w:hAnsi="宋体" w:cs="宋体"/>
                <w:color w:val="000000"/>
                <w:sz w:val="24"/>
                <w:highlight w:val="none"/>
              </w:rPr>
            </w:pPr>
          </w:p>
        </w:tc>
        <w:tc>
          <w:tcPr>
            <w:tcW w:w="1461" w:type="dxa"/>
            <w:noWrap w:val="0"/>
            <w:vAlign w:val="center"/>
          </w:tcPr>
          <w:p w14:paraId="5A42DE62">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成立日期</w:t>
            </w:r>
          </w:p>
        </w:tc>
        <w:tc>
          <w:tcPr>
            <w:tcW w:w="3292" w:type="dxa"/>
            <w:gridSpan w:val="2"/>
            <w:noWrap w:val="0"/>
            <w:vAlign w:val="center"/>
          </w:tcPr>
          <w:p w14:paraId="1D77BAA9">
            <w:pPr>
              <w:spacing w:line="360" w:lineRule="auto"/>
              <w:jc w:val="center"/>
              <w:rPr>
                <w:rFonts w:ascii="宋体" w:hAnsi="宋体" w:cs="宋体"/>
                <w:color w:val="000000"/>
                <w:sz w:val="24"/>
                <w:highlight w:val="none"/>
              </w:rPr>
            </w:pPr>
          </w:p>
        </w:tc>
      </w:tr>
      <w:tr w14:paraId="040439A6">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850" w:hRule="exact"/>
          <w:jc w:val="center"/>
        </w:trPr>
        <w:tc>
          <w:tcPr>
            <w:tcW w:w="2510" w:type="dxa"/>
            <w:noWrap w:val="0"/>
            <w:vAlign w:val="center"/>
          </w:tcPr>
          <w:p w14:paraId="65025A1F">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企业地址</w:t>
            </w:r>
          </w:p>
        </w:tc>
        <w:tc>
          <w:tcPr>
            <w:tcW w:w="2005" w:type="dxa"/>
            <w:noWrap w:val="0"/>
            <w:vAlign w:val="center"/>
          </w:tcPr>
          <w:p w14:paraId="2A9A2026">
            <w:pPr>
              <w:spacing w:line="360" w:lineRule="auto"/>
              <w:jc w:val="center"/>
              <w:rPr>
                <w:rFonts w:ascii="宋体" w:hAnsi="宋体" w:cs="宋体"/>
                <w:color w:val="000000"/>
                <w:sz w:val="24"/>
                <w:highlight w:val="none"/>
              </w:rPr>
            </w:pPr>
          </w:p>
        </w:tc>
        <w:tc>
          <w:tcPr>
            <w:tcW w:w="1461" w:type="dxa"/>
            <w:noWrap w:val="0"/>
            <w:vAlign w:val="center"/>
          </w:tcPr>
          <w:p w14:paraId="34A91B6F">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注册资本</w:t>
            </w:r>
          </w:p>
        </w:tc>
        <w:tc>
          <w:tcPr>
            <w:tcW w:w="3292" w:type="dxa"/>
            <w:gridSpan w:val="2"/>
            <w:noWrap w:val="0"/>
            <w:vAlign w:val="center"/>
          </w:tcPr>
          <w:p w14:paraId="3E93A994">
            <w:pPr>
              <w:spacing w:line="360" w:lineRule="auto"/>
              <w:ind w:firstLine="2160"/>
              <w:jc w:val="center"/>
              <w:rPr>
                <w:rFonts w:ascii="宋体" w:hAnsi="宋体" w:cs="宋体"/>
                <w:color w:val="000000"/>
                <w:sz w:val="24"/>
                <w:highlight w:val="none"/>
              </w:rPr>
            </w:pPr>
            <w:r>
              <w:rPr>
                <w:rFonts w:hint="eastAsia" w:ascii="宋体" w:hAnsi="宋体" w:cs="宋体"/>
                <w:color w:val="000000"/>
                <w:sz w:val="24"/>
                <w:highlight w:val="none"/>
                <w:lang w:val="zh-CN"/>
              </w:rPr>
              <w:t>万元</w:t>
            </w:r>
          </w:p>
        </w:tc>
      </w:tr>
      <w:tr w14:paraId="1F970DB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850" w:hRule="exact"/>
          <w:jc w:val="center"/>
        </w:trPr>
        <w:tc>
          <w:tcPr>
            <w:tcW w:w="2510" w:type="dxa"/>
            <w:noWrap w:val="0"/>
            <w:vAlign w:val="center"/>
          </w:tcPr>
          <w:p w14:paraId="0A81C454">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经营范围</w:t>
            </w:r>
          </w:p>
        </w:tc>
        <w:tc>
          <w:tcPr>
            <w:tcW w:w="6758" w:type="dxa"/>
            <w:gridSpan w:val="4"/>
            <w:noWrap w:val="0"/>
            <w:vAlign w:val="center"/>
          </w:tcPr>
          <w:p w14:paraId="5FAAC656">
            <w:pPr>
              <w:spacing w:line="360" w:lineRule="auto"/>
              <w:jc w:val="center"/>
              <w:rPr>
                <w:rFonts w:ascii="宋体" w:hAnsi="宋体" w:cs="宋体"/>
                <w:color w:val="000000"/>
                <w:sz w:val="24"/>
                <w:highlight w:val="none"/>
              </w:rPr>
            </w:pPr>
          </w:p>
        </w:tc>
      </w:tr>
      <w:tr w14:paraId="21D9DD08">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850" w:hRule="exact"/>
          <w:jc w:val="center"/>
        </w:trPr>
        <w:tc>
          <w:tcPr>
            <w:tcW w:w="2510" w:type="dxa"/>
            <w:noWrap w:val="0"/>
            <w:vAlign w:val="center"/>
          </w:tcPr>
          <w:p w14:paraId="5A1C560A">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职工人数</w:t>
            </w:r>
          </w:p>
        </w:tc>
        <w:tc>
          <w:tcPr>
            <w:tcW w:w="2005" w:type="dxa"/>
            <w:noWrap w:val="0"/>
            <w:vAlign w:val="center"/>
          </w:tcPr>
          <w:p w14:paraId="4D9B4B91">
            <w:pPr>
              <w:spacing w:line="360" w:lineRule="auto"/>
              <w:jc w:val="center"/>
              <w:rPr>
                <w:rFonts w:ascii="宋体" w:hAnsi="宋体" w:cs="宋体"/>
                <w:color w:val="000000"/>
                <w:sz w:val="24"/>
                <w:highlight w:val="none"/>
              </w:rPr>
            </w:pPr>
          </w:p>
        </w:tc>
        <w:tc>
          <w:tcPr>
            <w:tcW w:w="3517" w:type="dxa"/>
            <w:gridSpan w:val="2"/>
            <w:noWrap w:val="0"/>
            <w:vAlign w:val="center"/>
          </w:tcPr>
          <w:p w14:paraId="59CEA686">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其中：有中高级以上职称的人数</w:t>
            </w:r>
          </w:p>
        </w:tc>
        <w:tc>
          <w:tcPr>
            <w:tcW w:w="1236" w:type="dxa"/>
            <w:noWrap w:val="0"/>
            <w:vAlign w:val="center"/>
          </w:tcPr>
          <w:p w14:paraId="1E39F458">
            <w:pPr>
              <w:spacing w:line="360" w:lineRule="auto"/>
              <w:jc w:val="center"/>
              <w:rPr>
                <w:rFonts w:ascii="宋体" w:hAnsi="宋体" w:cs="宋体"/>
                <w:color w:val="000000"/>
                <w:sz w:val="24"/>
                <w:highlight w:val="none"/>
              </w:rPr>
            </w:pPr>
          </w:p>
        </w:tc>
      </w:tr>
      <w:tr w14:paraId="44F1B091">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850" w:hRule="exact"/>
          <w:jc w:val="center"/>
        </w:trPr>
        <w:tc>
          <w:tcPr>
            <w:tcW w:w="2510" w:type="dxa"/>
            <w:noWrap w:val="0"/>
            <w:vAlign w:val="center"/>
          </w:tcPr>
          <w:p w14:paraId="407A9971">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资产总计</w:t>
            </w:r>
          </w:p>
        </w:tc>
        <w:tc>
          <w:tcPr>
            <w:tcW w:w="2005" w:type="dxa"/>
            <w:noWrap w:val="0"/>
            <w:vAlign w:val="center"/>
          </w:tcPr>
          <w:p w14:paraId="25C4FC91">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万元</w:t>
            </w:r>
          </w:p>
        </w:tc>
        <w:tc>
          <w:tcPr>
            <w:tcW w:w="1461" w:type="dxa"/>
            <w:noWrap w:val="0"/>
            <w:vAlign w:val="center"/>
          </w:tcPr>
          <w:p w14:paraId="531DFAE4">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净资产</w:t>
            </w:r>
          </w:p>
        </w:tc>
        <w:tc>
          <w:tcPr>
            <w:tcW w:w="3292" w:type="dxa"/>
            <w:gridSpan w:val="2"/>
            <w:noWrap w:val="0"/>
            <w:vAlign w:val="center"/>
          </w:tcPr>
          <w:p w14:paraId="326C7B3C">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万元</w:t>
            </w:r>
          </w:p>
        </w:tc>
      </w:tr>
      <w:tr w14:paraId="70B544ED">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850" w:hRule="exact"/>
          <w:jc w:val="center"/>
        </w:trPr>
        <w:tc>
          <w:tcPr>
            <w:tcW w:w="2510" w:type="dxa"/>
            <w:noWrap w:val="0"/>
            <w:vAlign w:val="center"/>
          </w:tcPr>
          <w:p w14:paraId="0D1D9D37">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股东权益</w:t>
            </w:r>
          </w:p>
        </w:tc>
        <w:tc>
          <w:tcPr>
            <w:tcW w:w="2005" w:type="dxa"/>
            <w:noWrap w:val="0"/>
            <w:vAlign w:val="center"/>
          </w:tcPr>
          <w:p w14:paraId="16AE93EC">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万元</w:t>
            </w:r>
          </w:p>
        </w:tc>
        <w:tc>
          <w:tcPr>
            <w:tcW w:w="1461" w:type="dxa"/>
            <w:noWrap w:val="0"/>
            <w:vAlign w:val="center"/>
          </w:tcPr>
          <w:p w14:paraId="7C9FCDC4">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营业</w:t>
            </w:r>
            <w:r>
              <w:rPr>
                <w:rFonts w:hint="eastAsia" w:ascii="宋体" w:hAnsi="宋体" w:cs="宋体"/>
                <w:color w:val="000000"/>
                <w:sz w:val="24"/>
                <w:highlight w:val="none"/>
                <w:lang w:val="zh-CN"/>
              </w:rPr>
              <w:t>收入</w:t>
            </w:r>
          </w:p>
        </w:tc>
        <w:tc>
          <w:tcPr>
            <w:tcW w:w="3292" w:type="dxa"/>
            <w:gridSpan w:val="2"/>
            <w:noWrap w:val="0"/>
            <w:vAlign w:val="center"/>
          </w:tcPr>
          <w:p w14:paraId="2482D956">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20</w:t>
            </w:r>
            <w:r>
              <w:rPr>
                <w:rFonts w:hint="eastAsia" w:ascii="宋体" w:hAnsi="宋体" w:cs="宋体"/>
                <w:color w:val="000000"/>
                <w:sz w:val="24"/>
                <w:highlight w:val="none"/>
              </w:rPr>
              <w:t>24</w:t>
            </w:r>
            <w:r>
              <w:rPr>
                <w:rFonts w:hint="eastAsia" w:ascii="宋体" w:hAnsi="宋体" w:cs="宋体"/>
                <w:color w:val="000000"/>
                <w:sz w:val="24"/>
                <w:highlight w:val="none"/>
                <w:lang w:val="zh-CN"/>
              </w:rPr>
              <w:t>年          万元</w:t>
            </w:r>
          </w:p>
        </w:tc>
      </w:tr>
      <w:tr w14:paraId="763B7441">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850" w:hRule="exact"/>
          <w:jc w:val="center"/>
        </w:trPr>
        <w:tc>
          <w:tcPr>
            <w:tcW w:w="2510" w:type="dxa"/>
            <w:noWrap w:val="0"/>
            <w:vAlign w:val="center"/>
          </w:tcPr>
          <w:p w14:paraId="60230613">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实现利润</w:t>
            </w:r>
          </w:p>
        </w:tc>
        <w:tc>
          <w:tcPr>
            <w:tcW w:w="2005" w:type="dxa"/>
            <w:noWrap w:val="0"/>
            <w:vAlign w:val="center"/>
          </w:tcPr>
          <w:p w14:paraId="0E6971E8">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20</w:t>
            </w:r>
            <w:r>
              <w:rPr>
                <w:rFonts w:hint="eastAsia" w:ascii="宋体" w:hAnsi="宋体" w:cs="宋体"/>
                <w:color w:val="000000"/>
                <w:sz w:val="24"/>
                <w:highlight w:val="none"/>
              </w:rPr>
              <w:t>24</w:t>
            </w:r>
            <w:r>
              <w:rPr>
                <w:rFonts w:hint="eastAsia" w:ascii="宋体" w:hAnsi="宋体" w:cs="宋体"/>
                <w:color w:val="000000"/>
                <w:sz w:val="24"/>
                <w:highlight w:val="none"/>
                <w:lang w:val="zh-CN"/>
              </w:rPr>
              <w:t>年    万元</w:t>
            </w:r>
          </w:p>
        </w:tc>
        <w:tc>
          <w:tcPr>
            <w:tcW w:w="1461" w:type="dxa"/>
            <w:noWrap w:val="0"/>
            <w:vAlign w:val="center"/>
          </w:tcPr>
          <w:p w14:paraId="66323A98">
            <w:pPr>
              <w:spacing w:line="360" w:lineRule="auto"/>
              <w:jc w:val="center"/>
              <w:rPr>
                <w:rFonts w:ascii="宋体" w:hAnsi="宋体" w:cs="宋体"/>
                <w:color w:val="000000"/>
                <w:sz w:val="24"/>
                <w:highlight w:val="none"/>
              </w:rPr>
            </w:pPr>
          </w:p>
        </w:tc>
        <w:tc>
          <w:tcPr>
            <w:tcW w:w="3292" w:type="dxa"/>
            <w:gridSpan w:val="2"/>
            <w:noWrap w:val="0"/>
            <w:vAlign w:val="center"/>
          </w:tcPr>
          <w:p w14:paraId="34FD4D8D">
            <w:pPr>
              <w:spacing w:line="360" w:lineRule="auto"/>
              <w:jc w:val="center"/>
              <w:rPr>
                <w:rFonts w:ascii="宋体" w:hAnsi="宋体" w:cs="宋体"/>
                <w:color w:val="000000"/>
                <w:sz w:val="24"/>
                <w:highlight w:val="none"/>
              </w:rPr>
            </w:pPr>
          </w:p>
        </w:tc>
      </w:tr>
      <w:tr w14:paraId="728254A4">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1180" w:hRule="exact"/>
          <w:jc w:val="center"/>
        </w:trPr>
        <w:tc>
          <w:tcPr>
            <w:tcW w:w="2510" w:type="dxa"/>
            <w:noWrap w:val="0"/>
            <w:vAlign w:val="center"/>
          </w:tcPr>
          <w:p w14:paraId="185501CD">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营业面积</w:t>
            </w:r>
          </w:p>
        </w:tc>
        <w:tc>
          <w:tcPr>
            <w:tcW w:w="2005" w:type="dxa"/>
            <w:noWrap w:val="0"/>
            <w:vAlign w:val="center"/>
          </w:tcPr>
          <w:p w14:paraId="351E4D9A">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平方米</w:t>
            </w:r>
          </w:p>
        </w:tc>
        <w:tc>
          <w:tcPr>
            <w:tcW w:w="1461" w:type="dxa"/>
            <w:noWrap w:val="0"/>
            <w:vAlign w:val="center"/>
          </w:tcPr>
          <w:p w14:paraId="43276A6D">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其中：</w:t>
            </w:r>
          </w:p>
        </w:tc>
        <w:tc>
          <w:tcPr>
            <w:tcW w:w="3292" w:type="dxa"/>
            <w:gridSpan w:val="2"/>
            <w:noWrap w:val="0"/>
            <w:vAlign w:val="center"/>
          </w:tcPr>
          <w:p w14:paraId="590DAB2F">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自有面积         平方米</w:t>
            </w:r>
          </w:p>
          <w:p w14:paraId="06ECA349">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承租面积         平方米</w:t>
            </w:r>
          </w:p>
        </w:tc>
      </w:tr>
      <w:tr w14:paraId="19EC0ACF">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1375" w:hRule="exact"/>
          <w:jc w:val="center"/>
        </w:trPr>
        <w:tc>
          <w:tcPr>
            <w:tcW w:w="2510" w:type="dxa"/>
            <w:noWrap w:val="0"/>
            <w:vAlign w:val="center"/>
          </w:tcPr>
          <w:p w14:paraId="47F3A6DA">
            <w:pPr>
              <w:spacing w:line="360" w:lineRule="auto"/>
              <w:jc w:val="center"/>
              <w:rPr>
                <w:rFonts w:ascii="宋体" w:hAnsi="宋体" w:cs="宋体"/>
                <w:color w:val="000000"/>
                <w:sz w:val="24"/>
                <w:highlight w:val="none"/>
              </w:rPr>
            </w:pPr>
          </w:p>
          <w:p w14:paraId="2B40D785">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单位简历及内设机构情况</w:t>
            </w:r>
          </w:p>
        </w:tc>
        <w:tc>
          <w:tcPr>
            <w:tcW w:w="6758" w:type="dxa"/>
            <w:gridSpan w:val="4"/>
            <w:noWrap w:val="0"/>
            <w:vAlign w:val="center"/>
          </w:tcPr>
          <w:p w14:paraId="1011C261">
            <w:pPr>
              <w:spacing w:line="360" w:lineRule="auto"/>
              <w:jc w:val="center"/>
              <w:rPr>
                <w:rFonts w:ascii="宋体" w:hAnsi="宋体" w:cs="宋体"/>
                <w:color w:val="000000"/>
                <w:sz w:val="24"/>
                <w:highlight w:val="none"/>
              </w:rPr>
            </w:pPr>
          </w:p>
        </w:tc>
      </w:tr>
      <w:tr w14:paraId="573C89D0">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1150" w:hRule="exact"/>
          <w:jc w:val="center"/>
        </w:trPr>
        <w:tc>
          <w:tcPr>
            <w:tcW w:w="2510" w:type="dxa"/>
            <w:noWrap w:val="0"/>
            <w:vAlign w:val="center"/>
          </w:tcPr>
          <w:p w14:paraId="3EFB92F5">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单位优势及特长</w:t>
            </w:r>
          </w:p>
        </w:tc>
        <w:tc>
          <w:tcPr>
            <w:tcW w:w="6758" w:type="dxa"/>
            <w:gridSpan w:val="4"/>
            <w:noWrap w:val="0"/>
            <w:vAlign w:val="center"/>
          </w:tcPr>
          <w:p w14:paraId="45B44FDD">
            <w:pPr>
              <w:spacing w:line="360" w:lineRule="auto"/>
              <w:jc w:val="center"/>
              <w:rPr>
                <w:rFonts w:ascii="宋体" w:hAnsi="宋体" w:cs="宋体"/>
                <w:color w:val="000000"/>
                <w:sz w:val="24"/>
                <w:highlight w:val="none"/>
              </w:rPr>
            </w:pPr>
          </w:p>
        </w:tc>
      </w:tr>
      <w:tr w14:paraId="17B42FB0">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1240" w:hRule="exact"/>
          <w:jc w:val="center"/>
        </w:trPr>
        <w:tc>
          <w:tcPr>
            <w:tcW w:w="2510" w:type="dxa"/>
            <w:noWrap w:val="0"/>
            <w:vAlign w:val="center"/>
          </w:tcPr>
          <w:p w14:paraId="7B4E7AC2">
            <w:pPr>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zh-CN"/>
              </w:rPr>
              <w:t>其他需要说明的情况</w:t>
            </w:r>
          </w:p>
        </w:tc>
        <w:tc>
          <w:tcPr>
            <w:tcW w:w="6758" w:type="dxa"/>
            <w:gridSpan w:val="4"/>
            <w:noWrap w:val="0"/>
            <w:vAlign w:val="center"/>
          </w:tcPr>
          <w:p w14:paraId="3D9B4E86">
            <w:pPr>
              <w:spacing w:line="360" w:lineRule="auto"/>
              <w:jc w:val="center"/>
              <w:rPr>
                <w:rFonts w:ascii="宋体" w:hAnsi="宋体" w:cs="宋体"/>
                <w:color w:val="000000"/>
                <w:sz w:val="24"/>
                <w:highlight w:val="none"/>
              </w:rPr>
            </w:pPr>
          </w:p>
        </w:tc>
      </w:tr>
    </w:tbl>
    <w:p w14:paraId="6E3520FB">
      <w:pPr>
        <w:pStyle w:val="187"/>
        <w:ind w:firstLine="0"/>
        <w:rPr>
          <w:rFonts w:hint="eastAsia" w:ascii="宋体" w:hAnsi="宋体" w:eastAsia="宋体"/>
          <w:b/>
          <w:bCs/>
          <w:color w:val="000000"/>
          <w:highlight w:val="none"/>
        </w:rPr>
      </w:pPr>
      <w:r>
        <w:rPr>
          <w:color w:val="000000"/>
          <w:sz w:val="21"/>
          <w:szCs w:val="21"/>
          <w:highlight w:val="none"/>
        </w:rPr>
        <w:br w:type="page" w:clear="all"/>
      </w:r>
      <w:r>
        <w:rPr>
          <w:rFonts w:hint="eastAsia" w:ascii="宋体" w:hAnsi="宋体" w:eastAsia="宋体"/>
          <w:color w:val="000000"/>
          <w:highlight w:val="none"/>
        </w:rPr>
        <w:t>附件8：配备项目组人员情况表（参考格式）</w:t>
      </w:r>
    </w:p>
    <w:p w14:paraId="6F92B33C">
      <w:pPr>
        <w:rPr>
          <w:rFonts w:hint="eastAsia" w:ascii="宋体" w:hAnsi="宋体"/>
          <w:color w:val="000000"/>
          <w:sz w:val="24"/>
          <w:highlight w:val="none"/>
        </w:rPr>
      </w:pPr>
      <w:r>
        <w:rPr>
          <w:rFonts w:hint="eastAsia" w:ascii="宋体" w:hAnsi="宋体"/>
          <w:color w:val="000000"/>
          <w:sz w:val="24"/>
          <w:highlight w:val="none"/>
        </w:rPr>
        <w:t xml:space="preserve"> </w:t>
      </w:r>
    </w:p>
    <w:p w14:paraId="1B30056D">
      <w:pPr>
        <w:spacing w:line="360" w:lineRule="auto"/>
        <w:jc w:val="center"/>
        <w:rPr>
          <w:b/>
          <w:bCs/>
          <w:color w:val="000000"/>
          <w:spacing w:val="20"/>
          <w:sz w:val="24"/>
          <w:highlight w:val="none"/>
        </w:rPr>
      </w:pPr>
    </w:p>
    <w:tbl>
      <w:tblPr>
        <w:tblStyle w:val="29"/>
        <w:tblW w:w="83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839"/>
        <w:gridCol w:w="1332"/>
        <w:gridCol w:w="980"/>
        <w:gridCol w:w="939"/>
        <w:gridCol w:w="997"/>
        <w:gridCol w:w="824"/>
        <w:gridCol w:w="825"/>
      </w:tblGrid>
      <w:tr w14:paraId="7FAFF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645" w:type="dxa"/>
            <w:noWrap w:val="0"/>
            <w:vAlign w:val="center"/>
          </w:tcPr>
          <w:p w14:paraId="14AC748C">
            <w:pPr>
              <w:spacing w:line="360" w:lineRule="auto"/>
              <w:jc w:val="center"/>
              <w:rPr>
                <w:color w:val="000000"/>
                <w:sz w:val="24"/>
                <w:highlight w:val="none"/>
              </w:rPr>
            </w:pPr>
            <w:r>
              <w:rPr>
                <w:color w:val="000000"/>
                <w:sz w:val="24"/>
                <w:highlight w:val="none"/>
              </w:rPr>
              <w:t>序号</w:t>
            </w:r>
          </w:p>
        </w:tc>
        <w:tc>
          <w:tcPr>
            <w:tcW w:w="1839" w:type="dxa"/>
            <w:noWrap w:val="0"/>
            <w:vAlign w:val="center"/>
          </w:tcPr>
          <w:p w14:paraId="25040470">
            <w:pPr>
              <w:spacing w:line="360" w:lineRule="auto"/>
              <w:jc w:val="center"/>
              <w:rPr>
                <w:color w:val="000000"/>
                <w:sz w:val="24"/>
                <w:highlight w:val="none"/>
              </w:rPr>
            </w:pPr>
            <w:r>
              <w:rPr>
                <w:color w:val="000000"/>
                <w:sz w:val="24"/>
                <w:highlight w:val="none"/>
              </w:rPr>
              <w:t>岗位</w:t>
            </w:r>
          </w:p>
        </w:tc>
        <w:tc>
          <w:tcPr>
            <w:tcW w:w="1332" w:type="dxa"/>
            <w:noWrap w:val="0"/>
            <w:vAlign w:val="center"/>
          </w:tcPr>
          <w:p w14:paraId="4EC94638">
            <w:pPr>
              <w:spacing w:line="360" w:lineRule="auto"/>
              <w:jc w:val="center"/>
              <w:rPr>
                <w:color w:val="000000"/>
                <w:sz w:val="24"/>
                <w:highlight w:val="none"/>
              </w:rPr>
            </w:pPr>
            <w:r>
              <w:rPr>
                <w:color w:val="000000"/>
                <w:sz w:val="24"/>
                <w:highlight w:val="none"/>
              </w:rPr>
              <w:t>姓名</w:t>
            </w:r>
          </w:p>
        </w:tc>
        <w:tc>
          <w:tcPr>
            <w:tcW w:w="980" w:type="dxa"/>
            <w:noWrap w:val="0"/>
            <w:vAlign w:val="center"/>
          </w:tcPr>
          <w:p w14:paraId="798DAE1F">
            <w:pPr>
              <w:spacing w:line="360" w:lineRule="auto"/>
              <w:jc w:val="center"/>
              <w:rPr>
                <w:color w:val="000000"/>
                <w:sz w:val="24"/>
                <w:highlight w:val="none"/>
              </w:rPr>
            </w:pPr>
            <w:r>
              <w:rPr>
                <w:color w:val="000000"/>
                <w:sz w:val="24"/>
                <w:highlight w:val="none"/>
              </w:rPr>
              <w:t>性别</w:t>
            </w:r>
          </w:p>
        </w:tc>
        <w:tc>
          <w:tcPr>
            <w:tcW w:w="939" w:type="dxa"/>
            <w:noWrap w:val="0"/>
            <w:vAlign w:val="center"/>
          </w:tcPr>
          <w:p w14:paraId="72F34CE7">
            <w:pPr>
              <w:spacing w:line="360" w:lineRule="auto"/>
              <w:jc w:val="center"/>
              <w:rPr>
                <w:color w:val="000000"/>
                <w:sz w:val="24"/>
                <w:highlight w:val="none"/>
              </w:rPr>
            </w:pPr>
            <w:r>
              <w:rPr>
                <w:color w:val="000000"/>
                <w:sz w:val="24"/>
                <w:highlight w:val="none"/>
              </w:rPr>
              <w:t>学历</w:t>
            </w:r>
          </w:p>
        </w:tc>
        <w:tc>
          <w:tcPr>
            <w:tcW w:w="997" w:type="dxa"/>
            <w:noWrap w:val="0"/>
            <w:vAlign w:val="center"/>
          </w:tcPr>
          <w:p w14:paraId="627F83BD">
            <w:pPr>
              <w:spacing w:line="360" w:lineRule="auto"/>
              <w:jc w:val="center"/>
              <w:rPr>
                <w:color w:val="000000"/>
                <w:sz w:val="24"/>
                <w:highlight w:val="none"/>
              </w:rPr>
            </w:pPr>
            <w:r>
              <w:rPr>
                <w:color w:val="000000"/>
                <w:sz w:val="24"/>
                <w:highlight w:val="none"/>
              </w:rPr>
              <w:t>职称</w:t>
            </w:r>
          </w:p>
        </w:tc>
        <w:tc>
          <w:tcPr>
            <w:tcW w:w="824" w:type="dxa"/>
            <w:noWrap w:val="0"/>
            <w:vAlign w:val="center"/>
          </w:tcPr>
          <w:p w14:paraId="44D48EAD">
            <w:pPr>
              <w:spacing w:line="360" w:lineRule="auto"/>
              <w:jc w:val="center"/>
              <w:rPr>
                <w:color w:val="000000"/>
                <w:sz w:val="24"/>
                <w:highlight w:val="none"/>
              </w:rPr>
            </w:pPr>
            <w:r>
              <w:rPr>
                <w:color w:val="000000"/>
                <w:sz w:val="24"/>
                <w:highlight w:val="none"/>
              </w:rPr>
              <w:t>个人业绩</w:t>
            </w:r>
          </w:p>
        </w:tc>
        <w:tc>
          <w:tcPr>
            <w:tcW w:w="825" w:type="dxa"/>
            <w:noWrap w:val="0"/>
            <w:vAlign w:val="center"/>
          </w:tcPr>
          <w:p w14:paraId="1B3DBD75">
            <w:pPr>
              <w:spacing w:line="360" w:lineRule="auto"/>
              <w:jc w:val="center"/>
              <w:rPr>
                <w:color w:val="000000"/>
                <w:sz w:val="24"/>
                <w:highlight w:val="none"/>
              </w:rPr>
            </w:pPr>
            <w:r>
              <w:rPr>
                <w:color w:val="000000"/>
                <w:sz w:val="24"/>
                <w:highlight w:val="none"/>
              </w:rPr>
              <w:t>备注</w:t>
            </w:r>
          </w:p>
        </w:tc>
      </w:tr>
      <w:tr w14:paraId="1C562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645" w:type="dxa"/>
            <w:noWrap w:val="0"/>
            <w:vAlign w:val="center"/>
          </w:tcPr>
          <w:p w14:paraId="5E125EB4">
            <w:pPr>
              <w:spacing w:line="360" w:lineRule="auto"/>
              <w:jc w:val="center"/>
              <w:rPr>
                <w:color w:val="000000"/>
                <w:sz w:val="24"/>
                <w:highlight w:val="none"/>
              </w:rPr>
            </w:pPr>
            <w:r>
              <w:rPr>
                <w:color w:val="000000"/>
                <w:sz w:val="24"/>
                <w:highlight w:val="none"/>
              </w:rPr>
              <w:t>1</w:t>
            </w:r>
          </w:p>
        </w:tc>
        <w:tc>
          <w:tcPr>
            <w:tcW w:w="1839" w:type="dxa"/>
            <w:noWrap w:val="0"/>
            <w:vAlign w:val="center"/>
          </w:tcPr>
          <w:p w14:paraId="26D2F9C6">
            <w:pPr>
              <w:spacing w:line="360" w:lineRule="auto"/>
              <w:rPr>
                <w:color w:val="000000"/>
                <w:sz w:val="24"/>
                <w:highlight w:val="none"/>
              </w:rPr>
            </w:pPr>
          </w:p>
        </w:tc>
        <w:tc>
          <w:tcPr>
            <w:tcW w:w="1332" w:type="dxa"/>
            <w:noWrap w:val="0"/>
            <w:vAlign w:val="center"/>
          </w:tcPr>
          <w:p w14:paraId="64477060">
            <w:pPr>
              <w:spacing w:line="360" w:lineRule="auto"/>
              <w:jc w:val="center"/>
              <w:rPr>
                <w:color w:val="000000"/>
                <w:sz w:val="24"/>
                <w:highlight w:val="none"/>
              </w:rPr>
            </w:pPr>
          </w:p>
        </w:tc>
        <w:tc>
          <w:tcPr>
            <w:tcW w:w="980" w:type="dxa"/>
            <w:noWrap w:val="0"/>
            <w:vAlign w:val="center"/>
          </w:tcPr>
          <w:p w14:paraId="6935A5C9">
            <w:pPr>
              <w:spacing w:line="360" w:lineRule="auto"/>
              <w:jc w:val="center"/>
              <w:rPr>
                <w:color w:val="000000"/>
                <w:sz w:val="24"/>
                <w:highlight w:val="none"/>
              </w:rPr>
            </w:pPr>
          </w:p>
        </w:tc>
        <w:tc>
          <w:tcPr>
            <w:tcW w:w="939" w:type="dxa"/>
            <w:noWrap w:val="0"/>
            <w:vAlign w:val="center"/>
          </w:tcPr>
          <w:p w14:paraId="6D0C1BA3">
            <w:pPr>
              <w:spacing w:line="360" w:lineRule="auto"/>
              <w:jc w:val="center"/>
              <w:rPr>
                <w:color w:val="000000"/>
                <w:sz w:val="24"/>
                <w:highlight w:val="none"/>
              </w:rPr>
            </w:pPr>
          </w:p>
        </w:tc>
        <w:tc>
          <w:tcPr>
            <w:tcW w:w="997" w:type="dxa"/>
            <w:noWrap w:val="0"/>
            <w:vAlign w:val="center"/>
          </w:tcPr>
          <w:p w14:paraId="2BF66F05">
            <w:pPr>
              <w:spacing w:line="360" w:lineRule="auto"/>
              <w:jc w:val="center"/>
              <w:rPr>
                <w:color w:val="000000"/>
                <w:sz w:val="24"/>
                <w:highlight w:val="none"/>
              </w:rPr>
            </w:pPr>
          </w:p>
        </w:tc>
        <w:tc>
          <w:tcPr>
            <w:tcW w:w="824" w:type="dxa"/>
            <w:noWrap w:val="0"/>
            <w:vAlign w:val="center"/>
          </w:tcPr>
          <w:p w14:paraId="43AC2DD6">
            <w:pPr>
              <w:spacing w:line="360" w:lineRule="auto"/>
              <w:jc w:val="center"/>
              <w:rPr>
                <w:color w:val="000000"/>
                <w:sz w:val="24"/>
                <w:highlight w:val="none"/>
              </w:rPr>
            </w:pPr>
          </w:p>
        </w:tc>
        <w:tc>
          <w:tcPr>
            <w:tcW w:w="825" w:type="dxa"/>
            <w:noWrap w:val="0"/>
            <w:vAlign w:val="center"/>
          </w:tcPr>
          <w:p w14:paraId="7E5D6DC7">
            <w:pPr>
              <w:spacing w:line="360" w:lineRule="auto"/>
              <w:jc w:val="center"/>
              <w:rPr>
                <w:color w:val="000000"/>
                <w:sz w:val="24"/>
                <w:highlight w:val="none"/>
              </w:rPr>
            </w:pPr>
          </w:p>
        </w:tc>
      </w:tr>
      <w:tr w14:paraId="5CBB1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0DF4B3DB">
            <w:pPr>
              <w:spacing w:line="360" w:lineRule="auto"/>
              <w:jc w:val="center"/>
              <w:rPr>
                <w:color w:val="000000"/>
                <w:sz w:val="24"/>
                <w:highlight w:val="none"/>
              </w:rPr>
            </w:pPr>
            <w:r>
              <w:rPr>
                <w:color w:val="000000"/>
                <w:sz w:val="24"/>
                <w:highlight w:val="none"/>
              </w:rPr>
              <w:t>2</w:t>
            </w:r>
          </w:p>
        </w:tc>
        <w:tc>
          <w:tcPr>
            <w:tcW w:w="1839" w:type="dxa"/>
            <w:noWrap w:val="0"/>
            <w:vAlign w:val="center"/>
          </w:tcPr>
          <w:p w14:paraId="3211C583">
            <w:pPr>
              <w:spacing w:line="360" w:lineRule="auto"/>
              <w:rPr>
                <w:color w:val="000000"/>
                <w:sz w:val="24"/>
                <w:highlight w:val="none"/>
              </w:rPr>
            </w:pPr>
          </w:p>
        </w:tc>
        <w:tc>
          <w:tcPr>
            <w:tcW w:w="1332" w:type="dxa"/>
            <w:noWrap w:val="0"/>
            <w:vAlign w:val="center"/>
          </w:tcPr>
          <w:p w14:paraId="27A7841F">
            <w:pPr>
              <w:spacing w:line="360" w:lineRule="auto"/>
              <w:jc w:val="center"/>
              <w:rPr>
                <w:color w:val="000000"/>
                <w:sz w:val="24"/>
                <w:highlight w:val="none"/>
              </w:rPr>
            </w:pPr>
          </w:p>
        </w:tc>
        <w:tc>
          <w:tcPr>
            <w:tcW w:w="980" w:type="dxa"/>
            <w:noWrap w:val="0"/>
            <w:vAlign w:val="center"/>
          </w:tcPr>
          <w:p w14:paraId="77D6628C">
            <w:pPr>
              <w:spacing w:line="360" w:lineRule="auto"/>
              <w:jc w:val="center"/>
              <w:rPr>
                <w:color w:val="000000"/>
                <w:sz w:val="24"/>
                <w:highlight w:val="none"/>
              </w:rPr>
            </w:pPr>
          </w:p>
        </w:tc>
        <w:tc>
          <w:tcPr>
            <w:tcW w:w="939" w:type="dxa"/>
            <w:noWrap w:val="0"/>
            <w:vAlign w:val="center"/>
          </w:tcPr>
          <w:p w14:paraId="69BEC3A7">
            <w:pPr>
              <w:spacing w:line="360" w:lineRule="auto"/>
              <w:jc w:val="center"/>
              <w:rPr>
                <w:color w:val="000000"/>
                <w:sz w:val="24"/>
                <w:highlight w:val="none"/>
              </w:rPr>
            </w:pPr>
          </w:p>
        </w:tc>
        <w:tc>
          <w:tcPr>
            <w:tcW w:w="997" w:type="dxa"/>
            <w:noWrap w:val="0"/>
            <w:vAlign w:val="center"/>
          </w:tcPr>
          <w:p w14:paraId="53169845">
            <w:pPr>
              <w:spacing w:line="360" w:lineRule="auto"/>
              <w:jc w:val="center"/>
              <w:rPr>
                <w:color w:val="000000"/>
                <w:sz w:val="24"/>
                <w:highlight w:val="none"/>
              </w:rPr>
            </w:pPr>
          </w:p>
        </w:tc>
        <w:tc>
          <w:tcPr>
            <w:tcW w:w="824" w:type="dxa"/>
            <w:noWrap w:val="0"/>
            <w:vAlign w:val="center"/>
          </w:tcPr>
          <w:p w14:paraId="2C2987DB">
            <w:pPr>
              <w:spacing w:line="360" w:lineRule="auto"/>
              <w:jc w:val="center"/>
              <w:rPr>
                <w:color w:val="000000"/>
                <w:sz w:val="24"/>
                <w:highlight w:val="none"/>
              </w:rPr>
            </w:pPr>
          </w:p>
        </w:tc>
        <w:tc>
          <w:tcPr>
            <w:tcW w:w="825" w:type="dxa"/>
            <w:noWrap w:val="0"/>
            <w:vAlign w:val="center"/>
          </w:tcPr>
          <w:p w14:paraId="7D7554F6">
            <w:pPr>
              <w:spacing w:line="360" w:lineRule="auto"/>
              <w:jc w:val="center"/>
              <w:rPr>
                <w:color w:val="000000"/>
                <w:sz w:val="24"/>
                <w:highlight w:val="none"/>
              </w:rPr>
            </w:pPr>
          </w:p>
        </w:tc>
      </w:tr>
      <w:tr w14:paraId="1ABB5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0374265A">
            <w:pPr>
              <w:spacing w:line="360" w:lineRule="auto"/>
              <w:jc w:val="center"/>
              <w:rPr>
                <w:color w:val="000000"/>
                <w:sz w:val="24"/>
                <w:highlight w:val="none"/>
              </w:rPr>
            </w:pPr>
            <w:r>
              <w:rPr>
                <w:color w:val="000000"/>
                <w:sz w:val="24"/>
                <w:highlight w:val="none"/>
              </w:rPr>
              <w:t>3</w:t>
            </w:r>
          </w:p>
        </w:tc>
        <w:tc>
          <w:tcPr>
            <w:tcW w:w="1839" w:type="dxa"/>
            <w:noWrap w:val="0"/>
            <w:vAlign w:val="center"/>
          </w:tcPr>
          <w:p w14:paraId="682FAB01">
            <w:pPr>
              <w:spacing w:line="360" w:lineRule="auto"/>
              <w:rPr>
                <w:color w:val="000000"/>
                <w:sz w:val="24"/>
                <w:highlight w:val="none"/>
              </w:rPr>
            </w:pPr>
          </w:p>
        </w:tc>
        <w:tc>
          <w:tcPr>
            <w:tcW w:w="1332" w:type="dxa"/>
            <w:noWrap w:val="0"/>
            <w:vAlign w:val="center"/>
          </w:tcPr>
          <w:p w14:paraId="7602EAFF">
            <w:pPr>
              <w:spacing w:line="360" w:lineRule="auto"/>
              <w:rPr>
                <w:color w:val="000000"/>
                <w:sz w:val="24"/>
                <w:highlight w:val="none"/>
              </w:rPr>
            </w:pPr>
          </w:p>
        </w:tc>
        <w:tc>
          <w:tcPr>
            <w:tcW w:w="980" w:type="dxa"/>
            <w:noWrap w:val="0"/>
            <w:vAlign w:val="center"/>
          </w:tcPr>
          <w:p w14:paraId="5C4071E7">
            <w:pPr>
              <w:spacing w:line="360" w:lineRule="auto"/>
              <w:rPr>
                <w:color w:val="000000"/>
                <w:sz w:val="24"/>
                <w:highlight w:val="none"/>
              </w:rPr>
            </w:pPr>
          </w:p>
        </w:tc>
        <w:tc>
          <w:tcPr>
            <w:tcW w:w="939" w:type="dxa"/>
            <w:noWrap w:val="0"/>
            <w:vAlign w:val="center"/>
          </w:tcPr>
          <w:p w14:paraId="55D868DF">
            <w:pPr>
              <w:spacing w:line="360" w:lineRule="auto"/>
              <w:rPr>
                <w:color w:val="000000"/>
                <w:sz w:val="24"/>
                <w:highlight w:val="none"/>
              </w:rPr>
            </w:pPr>
          </w:p>
        </w:tc>
        <w:tc>
          <w:tcPr>
            <w:tcW w:w="997" w:type="dxa"/>
            <w:noWrap w:val="0"/>
            <w:vAlign w:val="center"/>
          </w:tcPr>
          <w:p w14:paraId="6F13B3CE">
            <w:pPr>
              <w:spacing w:line="360" w:lineRule="auto"/>
              <w:rPr>
                <w:color w:val="000000"/>
                <w:sz w:val="24"/>
                <w:highlight w:val="none"/>
              </w:rPr>
            </w:pPr>
          </w:p>
        </w:tc>
        <w:tc>
          <w:tcPr>
            <w:tcW w:w="824" w:type="dxa"/>
            <w:noWrap w:val="0"/>
            <w:vAlign w:val="center"/>
          </w:tcPr>
          <w:p w14:paraId="1BF1BF27">
            <w:pPr>
              <w:spacing w:line="360" w:lineRule="auto"/>
              <w:jc w:val="center"/>
              <w:rPr>
                <w:color w:val="000000"/>
                <w:sz w:val="24"/>
                <w:highlight w:val="none"/>
              </w:rPr>
            </w:pPr>
          </w:p>
        </w:tc>
        <w:tc>
          <w:tcPr>
            <w:tcW w:w="825" w:type="dxa"/>
            <w:noWrap w:val="0"/>
            <w:vAlign w:val="center"/>
          </w:tcPr>
          <w:p w14:paraId="4C2FB807">
            <w:pPr>
              <w:spacing w:line="360" w:lineRule="auto"/>
              <w:jc w:val="center"/>
              <w:rPr>
                <w:color w:val="000000"/>
                <w:sz w:val="24"/>
                <w:highlight w:val="none"/>
              </w:rPr>
            </w:pPr>
          </w:p>
        </w:tc>
      </w:tr>
      <w:tr w14:paraId="046FF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52A0DD1B">
            <w:pPr>
              <w:spacing w:line="360" w:lineRule="auto"/>
              <w:jc w:val="center"/>
              <w:rPr>
                <w:color w:val="000000"/>
                <w:sz w:val="24"/>
                <w:highlight w:val="none"/>
              </w:rPr>
            </w:pPr>
            <w:r>
              <w:rPr>
                <w:color w:val="000000"/>
                <w:sz w:val="24"/>
                <w:highlight w:val="none"/>
              </w:rPr>
              <w:t>4</w:t>
            </w:r>
          </w:p>
        </w:tc>
        <w:tc>
          <w:tcPr>
            <w:tcW w:w="1839" w:type="dxa"/>
            <w:noWrap w:val="0"/>
            <w:vAlign w:val="center"/>
          </w:tcPr>
          <w:p w14:paraId="73D15AE9">
            <w:pPr>
              <w:spacing w:line="360" w:lineRule="auto"/>
              <w:rPr>
                <w:color w:val="000000"/>
                <w:sz w:val="24"/>
                <w:highlight w:val="none"/>
              </w:rPr>
            </w:pPr>
          </w:p>
        </w:tc>
        <w:tc>
          <w:tcPr>
            <w:tcW w:w="1332" w:type="dxa"/>
            <w:noWrap w:val="0"/>
            <w:vAlign w:val="center"/>
          </w:tcPr>
          <w:p w14:paraId="039C6437">
            <w:pPr>
              <w:spacing w:line="360" w:lineRule="auto"/>
              <w:rPr>
                <w:color w:val="000000"/>
                <w:sz w:val="24"/>
                <w:highlight w:val="none"/>
              </w:rPr>
            </w:pPr>
          </w:p>
        </w:tc>
        <w:tc>
          <w:tcPr>
            <w:tcW w:w="980" w:type="dxa"/>
            <w:noWrap w:val="0"/>
            <w:vAlign w:val="center"/>
          </w:tcPr>
          <w:p w14:paraId="02B4E478">
            <w:pPr>
              <w:spacing w:line="360" w:lineRule="auto"/>
              <w:rPr>
                <w:color w:val="000000"/>
                <w:sz w:val="24"/>
                <w:highlight w:val="none"/>
              </w:rPr>
            </w:pPr>
          </w:p>
        </w:tc>
        <w:tc>
          <w:tcPr>
            <w:tcW w:w="939" w:type="dxa"/>
            <w:noWrap w:val="0"/>
            <w:vAlign w:val="center"/>
          </w:tcPr>
          <w:p w14:paraId="338B134C">
            <w:pPr>
              <w:spacing w:line="360" w:lineRule="auto"/>
              <w:rPr>
                <w:color w:val="000000"/>
                <w:sz w:val="24"/>
                <w:highlight w:val="none"/>
              </w:rPr>
            </w:pPr>
          </w:p>
        </w:tc>
        <w:tc>
          <w:tcPr>
            <w:tcW w:w="997" w:type="dxa"/>
            <w:noWrap w:val="0"/>
            <w:vAlign w:val="center"/>
          </w:tcPr>
          <w:p w14:paraId="3D991135">
            <w:pPr>
              <w:spacing w:line="360" w:lineRule="auto"/>
              <w:rPr>
                <w:color w:val="000000"/>
                <w:sz w:val="24"/>
                <w:highlight w:val="none"/>
              </w:rPr>
            </w:pPr>
          </w:p>
        </w:tc>
        <w:tc>
          <w:tcPr>
            <w:tcW w:w="824" w:type="dxa"/>
            <w:noWrap w:val="0"/>
            <w:vAlign w:val="center"/>
          </w:tcPr>
          <w:p w14:paraId="4300C92F">
            <w:pPr>
              <w:spacing w:line="360" w:lineRule="auto"/>
              <w:jc w:val="center"/>
              <w:rPr>
                <w:color w:val="000000"/>
                <w:sz w:val="24"/>
                <w:highlight w:val="none"/>
              </w:rPr>
            </w:pPr>
          </w:p>
        </w:tc>
        <w:tc>
          <w:tcPr>
            <w:tcW w:w="825" w:type="dxa"/>
            <w:noWrap w:val="0"/>
            <w:vAlign w:val="center"/>
          </w:tcPr>
          <w:p w14:paraId="042FF526">
            <w:pPr>
              <w:spacing w:line="360" w:lineRule="auto"/>
              <w:jc w:val="center"/>
              <w:rPr>
                <w:color w:val="000000"/>
                <w:sz w:val="24"/>
                <w:highlight w:val="none"/>
              </w:rPr>
            </w:pPr>
          </w:p>
        </w:tc>
      </w:tr>
      <w:tr w14:paraId="72AB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16EFE087">
            <w:pPr>
              <w:spacing w:line="360" w:lineRule="auto"/>
              <w:jc w:val="center"/>
              <w:rPr>
                <w:color w:val="000000"/>
                <w:sz w:val="24"/>
                <w:highlight w:val="none"/>
              </w:rPr>
            </w:pPr>
            <w:r>
              <w:rPr>
                <w:color w:val="000000"/>
                <w:sz w:val="24"/>
                <w:highlight w:val="none"/>
              </w:rPr>
              <w:t>5</w:t>
            </w:r>
          </w:p>
        </w:tc>
        <w:tc>
          <w:tcPr>
            <w:tcW w:w="1839" w:type="dxa"/>
            <w:noWrap w:val="0"/>
            <w:vAlign w:val="center"/>
          </w:tcPr>
          <w:p w14:paraId="3587AEC8">
            <w:pPr>
              <w:spacing w:line="360" w:lineRule="auto"/>
              <w:rPr>
                <w:color w:val="000000"/>
                <w:sz w:val="24"/>
                <w:highlight w:val="none"/>
              </w:rPr>
            </w:pPr>
          </w:p>
        </w:tc>
        <w:tc>
          <w:tcPr>
            <w:tcW w:w="1332" w:type="dxa"/>
            <w:noWrap w:val="0"/>
            <w:vAlign w:val="center"/>
          </w:tcPr>
          <w:p w14:paraId="6B4CAE00">
            <w:pPr>
              <w:spacing w:line="360" w:lineRule="auto"/>
              <w:rPr>
                <w:color w:val="000000"/>
                <w:sz w:val="24"/>
                <w:highlight w:val="none"/>
              </w:rPr>
            </w:pPr>
          </w:p>
        </w:tc>
        <w:tc>
          <w:tcPr>
            <w:tcW w:w="980" w:type="dxa"/>
            <w:noWrap w:val="0"/>
            <w:vAlign w:val="center"/>
          </w:tcPr>
          <w:p w14:paraId="33B265BC">
            <w:pPr>
              <w:spacing w:line="360" w:lineRule="auto"/>
              <w:rPr>
                <w:color w:val="000000"/>
                <w:sz w:val="24"/>
                <w:highlight w:val="none"/>
              </w:rPr>
            </w:pPr>
          </w:p>
        </w:tc>
        <w:tc>
          <w:tcPr>
            <w:tcW w:w="939" w:type="dxa"/>
            <w:noWrap w:val="0"/>
            <w:vAlign w:val="center"/>
          </w:tcPr>
          <w:p w14:paraId="37469110">
            <w:pPr>
              <w:spacing w:line="360" w:lineRule="auto"/>
              <w:rPr>
                <w:color w:val="000000"/>
                <w:sz w:val="24"/>
                <w:highlight w:val="none"/>
              </w:rPr>
            </w:pPr>
          </w:p>
        </w:tc>
        <w:tc>
          <w:tcPr>
            <w:tcW w:w="997" w:type="dxa"/>
            <w:noWrap w:val="0"/>
            <w:vAlign w:val="center"/>
          </w:tcPr>
          <w:p w14:paraId="3BB04BCD">
            <w:pPr>
              <w:spacing w:line="360" w:lineRule="auto"/>
              <w:rPr>
                <w:color w:val="000000"/>
                <w:sz w:val="24"/>
                <w:highlight w:val="none"/>
              </w:rPr>
            </w:pPr>
          </w:p>
        </w:tc>
        <w:tc>
          <w:tcPr>
            <w:tcW w:w="824" w:type="dxa"/>
            <w:noWrap w:val="0"/>
            <w:vAlign w:val="center"/>
          </w:tcPr>
          <w:p w14:paraId="6D0F2F37">
            <w:pPr>
              <w:spacing w:line="360" w:lineRule="auto"/>
              <w:jc w:val="center"/>
              <w:rPr>
                <w:color w:val="000000"/>
                <w:sz w:val="24"/>
                <w:highlight w:val="none"/>
              </w:rPr>
            </w:pPr>
          </w:p>
        </w:tc>
        <w:tc>
          <w:tcPr>
            <w:tcW w:w="825" w:type="dxa"/>
            <w:noWrap w:val="0"/>
            <w:vAlign w:val="center"/>
          </w:tcPr>
          <w:p w14:paraId="743691F0">
            <w:pPr>
              <w:spacing w:line="360" w:lineRule="auto"/>
              <w:jc w:val="center"/>
              <w:rPr>
                <w:color w:val="000000"/>
                <w:sz w:val="24"/>
                <w:highlight w:val="none"/>
              </w:rPr>
            </w:pPr>
          </w:p>
        </w:tc>
      </w:tr>
      <w:tr w14:paraId="2877E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7BA8CBEC">
            <w:pPr>
              <w:spacing w:line="360" w:lineRule="auto"/>
              <w:jc w:val="center"/>
              <w:rPr>
                <w:color w:val="000000"/>
                <w:sz w:val="24"/>
                <w:highlight w:val="none"/>
              </w:rPr>
            </w:pPr>
            <w:r>
              <w:rPr>
                <w:color w:val="000000"/>
                <w:sz w:val="24"/>
                <w:highlight w:val="none"/>
              </w:rPr>
              <w:t>6</w:t>
            </w:r>
          </w:p>
        </w:tc>
        <w:tc>
          <w:tcPr>
            <w:tcW w:w="1839" w:type="dxa"/>
            <w:noWrap w:val="0"/>
            <w:vAlign w:val="center"/>
          </w:tcPr>
          <w:p w14:paraId="611884BC">
            <w:pPr>
              <w:spacing w:line="360" w:lineRule="auto"/>
              <w:rPr>
                <w:color w:val="000000"/>
                <w:sz w:val="24"/>
                <w:highlight w:val="none"/>
              </w:rPr>
            </w:pPr>
          </w:p>
        </w:tc>
        <w:tc>
          <w:tcPr>
            <w:tcW w:w="1332" w:type="dxa"/>
            <w:noWrap w:val="0"/>
            <w:vAlign w:val="center"/>
          </w:tcPr>
          <w:p w14:paraId="781E8785">
            <w:pPr>
              <w:spacing w:line="360" w:lineRule="auto"/>
              <w:rPr>
                <w:color w:val="000000"/>
                <w:sz w:val="24"/>
                <w:highlight w:val="none"/>
              </w:rPr>
            </w:pPr>
          </w:p>
        </w:tc>
        <w:tc>
          <w:tcPr>
            <w:tcW w:w="980" w:type="dxa"/>
            <w:noWrap w:val="0"/>
            <w:vAlign w:val="center"/>
          </w:tcPr>
          <w:p w14:paraId="1342DCAF">
            <w:pPr>
              <w:spacing w:line="360" w:lineRule="auto"/>
              <w:rPr>
                <w:color w:val="000000"/>
                <w:sz w:val="24"/>
                <w:highlight w:val="none"/>
              </w:rPr>
            </w:pPr>
          </w:p>
        </w:tc>
        <w:tc>
          <w:tcPr>
            <w:tcW w:w="939" w:type="dxa"/>
            <w:noWrap w:val="0"/>
            <w:vAlign w:val="center"/>
          </w:tcPr>
          <w:p w14:paraId="585B0C2E">
            <w:pPr>
              <w:spacing w:line="360" w:lineRule="auto"/>
              <w:rPr>
                <w:color w:val="000000"/>
                <w:sz w:val="24"/>
                <w:highlight w:val="none"/>
              </w:rPr>
            </w:pPr>
          </w:p>
        </w:tc>
        <w:tc>
          <w:tcPr>
            <w:tcW w:w="997" w:type="dxa"/>
            <w:noWrap w:val="0"/>
            <w:vAlign w:val="center"/>
          </w:tcPr>
          <w:p w14:paraId="18E08237">
            <w:pPr>
              <w:spacing w:line="360" w:lineRule="auto"/>
              <w:rPr>
                <w:color w:val="000000"/>
                <w:sz w:val="24"/>
                <w:highlight w:val="none"/>
              </w:rPr>
            </w:pPr>
          </w:p>
        </w:tc>
        <w:tc>
          <w:tcPr>
            <w:tcW w:w="824" w:type="dxa"/>
            <w:noWrap w:val="0"/>
            <w:vAlign w:val="center"/>
          </w:tcPr>
          <w:p w14:paraId="3D432D77">
            <w:pPr>
              <w:spacing w:line="360" w:lineRule="auto"/>
              <w:jc w:val="center"/>
              <w:rPr>
                <w:color w:val="000000"/>
                <w:sz w:val="24"/>
                <w:highlight w:val="none"/>
              </w:rPr>
            </w:pPr>
          </w:p>
        </w:tc>
        <w:tc>
          <w:tcPr>
            <w:tcW w:w="825" w:type="dxa"/>
            <w:noWrap w:val="0"/>
            <w:vAlign w:val="center"/>
          </w:tcPr>
          <w:p w14:paraId="3CCE1D5C">
            <w:pPr>
              <w:spacing w:line="360" w:lineRule="auto"/>
              <w:jc w:val="center"/>
              <w:rPr>
                <w:color w:val="000000"/>
                <w:sz w:val="24"/>
                <w:highlight w:val="none"/>
              </w:rPr>
            </w:pPr>
          </w:p>
        </w:tc>
      </w:tr>
      <w:tr w14:paraId="4C3D0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098B9C9A">
            <w:pPr>
              <w:spacing w:line="360" w:lineRule="auto"/>
              <w:jc w:val="center"/>
              <w:rPr>
                <w:color w:val="000000"/>
                <w:sz w:val="24"/>
                <w:highlight w:val="none"/>
              </w:rPr>
            </w:pPr>
            <w:r>
              <w:rPr>
                <w:color w:val="000000"/>
                <w:sz w:val="24"/>
                <w:highlight w:val="none"/>
              </w:rPr>
              <w:t>7</w:t>
            </w:r>
          </w:p>
        </w:tc>
        <w:tc>
          <w:tcPr>
            <w:tcW w:w="1839" w:type="dxa"/>
            <w:noWrap w:val="0"/>
            <w:vAlign w:val="center"/>
          </w:tcPr>
          <w:p w14:paraId="51FB6155">
            <w:pPr>
              <w:spacing w:line="360" w:lineRule="auto"/>
              <w:rPr>
                <w:color w:val="000000"/>
                <w:sz w:val="24"/>
                <w:highlight w:val="none"/>
              </w:rPr>
            </w:pPr>
          </w:p>
        </w:tc>
        <w:tc>
          <w:tcPr>
            <w:tcW w:w="1332" w:type="dxa"/>
            <w:noWrap w:val="0"/>
            <w:vAlign w:val="center"/>
          </w:tcPr>
          <w:p w14:paraId="19886D8D">
            <w:pPr>
              <w:spacing w:line="360" w:lineRule="auto"/>
              <w:rPr>
                <w:color w:val="000000"/>
                <w:sz w:val="24"/>
                <w:highlight w:val="none"/>
              </w:rPr>
            </w:pPr>
          </w:p>
        </w:tc>
        <w:tc>
          <w:tcPr>
            <w:tcW w:w="980" w:type="dxa"/>
            <w:noWrap w:val="0"/>
            <w:vAlign w:val="center"/>
          </w:tcPr>
          <w:p w14:paraId="31B0C93E">
            <w:pPr>
              <w:spacing w:line="360" w:lineRule="auto"/>
              <w:rPr>
                <w:color w:val="000000"/>
                <w:sz w:val="24"/>
                <w:highlight w:val="none"/>
              </w:rPr>
            </w:pPr>
          </w:p>
        </w:tc>
        <w:tc>
          <w:tcPr>
            <w:tcW w:w="939" w:type="dxa"/>
            <w:noWrap w:val="0"/>
            <w:vAlign w:val="center"/>
          </w:tcPr>
          <w:p w14:paraId="48F0ABAC">
            <w:pPr>
              <w:spacing w:line="360" w:lineRule="auto"/>
              <w:rPr>
                <w:color w:val="000000"/>
                <w:sz w:val="24"/>
                <w:highlight w:val="none"/>
              </w:rPr>
            </w:pPr>
          </w:p>
        </w:tc>
        <w:tc>
          <w:tcPr>
            <w:tcW w:w="997" w:type="dxa"/>
            <w:noWrap w:val="0"/>
            <w:vAlign w:val="center"/>
          </w:tcPr>
          <w:p w14:paraId="229F2686">
            <w:pPr>
              <w:spacing w:line="360" w:lineRule="auto"/>
              <w:rPr>
                <w:color w:val="000000"/>
                <w:sz w:val="24"/>
                <w:highlight w:val="none"/>
              </w:rPr>
            </w:pPr>
          </w:p>
        </w:tc>
        <w:tc>
          <w:tcPr>
            <w:tcW w:w="824" w:type="dxa"/>
            <w:noWrap w:val="0"/>
            <w:vAlign w:val="center"/>
          </w:tcPr>
          <w:p w14:paraId="3B5FA04C">
            <w:pPr>
              <w:spacing w:line="360" w:lineRule="auto"/>
              <w:jc w:val="center"/>
              <w:rPr>
                <w:color w:val="000000"/>
                <w:sz w:val="24"/>
                <w:highlight w:val="none"/>
              </w:rPr>
            </w:pPr>
          </w:p>
        </w:tc>
        <w:tc>
          <w:tcPr>
            <w:tcW w:w="825" w:type="dxa"/>
            <w:noWrap w:val="0"/>
            <w:vAlign w:val="center"/>
          </w:tcPr>
          <w:p w14:paraId="4E592471">
            <w:pPr>
              <w:spacing w:line="360" w:lineRule="auto"/>
              <w:jc w:val="center"/>
              <w:rPr>
                <w:color w:val="000000"/>
                <w:sz w:val="24"/>
                <w:highlight w:val="none"/>
              </w:rPr>
            </w:pPr>
          </w:p>
        </w:tc>
      </w:tr>
      <w:tr w14:paraId="04A14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2CB05431">
            <w:pPr>
              <w:spacing w:line="360" w:lineRule="auto"/>
              <w:jc w:val="center"/>
              <w:rPr>
                <w:color w:val="000000"/>
                <w:sz w:val="24"/>
                <w:highlight w:val="none"/>
              </w:rPr>
            </w:pPr>
            <w:r>
              <w:rPr>
                <w:color w:val="000000"/>
                <w:sz w:val="24"/>
                <w:highlight w:val="none"/>
              </w:rPr>
              <w:t>8</w:t>
            </w:r>
          </w:p>
        </w:tc>
        <w:tc>
          <w:tcPr>
            <w:tcW w:w="1839" w:type="dxa"/>
            <w:noWrap w:val="0"/>
            <w:vAlign w:val="center"/>
          </w:tcPr>
          <w:p w14:paraId="05A590B9">
            <w:pPr>
              <w:spacing w:line="360" w:lineRule="auto"/>
              <w:rPr>
                <w:color w:val="000000"/>
                <w:sz w:val="24"/>
                <w:highlight w:val="none"/>
              </w:rPr>
            </w:pPr>
          </w:p>
        </w:tc>
        <w:tc>
          <w:tcPr>
            <w:tcW w:w="1332" w:type="dxa"/>
            <w:noWrap w:val="0"/>
            <w:vAlign w:val="center"/>
          </w:tcPr>
          <w:p w14:paraId="5304B46B">
            <w:pPr>
              <w:spacing w:line="360" w:lineRule="auto"/>
              <w:rPr>
                <w:color w:val="000000"/>
                <w:sz w:val="24"/>
                <w:highlight w:val="none"/>
              </w:rPr>
            </w:pPr>
          </w:p>
        </w:tc>
        <w:tc>
          <w:tcPr>
            <w:tcW w:w="980" w:type="dxa"/>
            <w:noWrap w:val="0"/>
            <w:vAlign w:val="center"/>
          </w:tcPr>
          <w:p w14:paraId="3AF1E0C4">
            <w:pPr>
              <w:spacing w:line="360" w:lineRule="auto"/>
              <w:rPr>
                <w:color w:val="000000"/>
                <w:sz w:val="24"/>
                <w:highlight w:val="none"/>
              </w:rPr>
            </w:pPr>
          </w:p>
        </w:tc>
        <w:tc>
          <w:tcPr>
            <w:tcW w:w="939" w:type="dxa"/>
            <w:noWrap w:val="0"/>
            <w:vAlign w:val="center"/>
          </w:tcPr>
          <w:p w14:paraId="05D6D9AF">
            <w:pPr>
              <w:spacing w:line="360" w:lineRule="auto"/>
              <w:rPr>
                <w:color w:val="000000"/>
                <w:sz w:val="24"/>
                <w:highlight w:val="none"/>
              </w:rPr>
            </w:pPr>
          </w:p>
        </w:tc>
        <w:tc>
          <w:tcPr>
            <w:tcW w:w="997" w:type="dxa"/>
            <w:noWrap w:val="0"/>
            <w:vAlign w:val="center"/>
          </w:tcPr>
          <w:p w14:paraId="51D7B45C">
            <w:pPr>
              <w:spacing w:line="360" w:lineRule="auto"/>
              <w:rPr>
                <w:color w:val="000000"/>
                <w:sz w:val="24"/>
                <w:highlight w:val="none"/>
              </w:rPr>
            </w:pPr>
          </w:p>
        </w:tc>
        <w:tc>
          <w:tcPr>
            <w:tcW w:w="824" w:type="dxa"/>
            <w:noWrap w:val="0"/>
            <w:vAlign w:val="center"/>
          </w:tcPr>
          <w:p w14:paraId="36C9F012">
            <w:pPr>
              <w:spacing w:line="360" w:lineRule="auto"/>
              <w:jc w:val="center"/>
              <w:rPr>
                <w:color w:val="000000"/>
                <w:sz w:val="24"/>
                <w:highlight w:val="none"/>
              </w:rPr>
            </w:pPr>
          </w:p>
        </w:tc>
        <w:tc>
          <w:tcPr>
            <w:tcW w:w="825" w:type="dxa"/>
            <w:noWrap w:val="0"/>
            <w:vAlign w:val="center"/>
          </w:tcPr>
          <w:p w14:paraId="6E053A45">
            <w:pPr>
              <w:spacing w:line="360" w:lineRule="auto"/>
              <w:jc w:val="center"/>
              <w:rPr>
                <w:color w:val="000000"/>
                <w:sz w:val="24"/>
                <w:highlight w:val="none"/>
              </w:rPr>
            </w:pPr>
          </w:p>
        </w:tc>
      </w:tr>
      <w:tr w14:paraId="3A6C7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08E5DC25">
            <w:pPr>
              <w:spacing w:line="360" w:lineRule="auto"/>
              <w:jc w:val="center"/>
              <w:rPr>
                <w:color w:val="000000"/>
                <w:sz w:val="24"/>
                <w:highlight w:val="none"/>
              </w:rPr>
            </w:pPr>
            <w:r>
              <w:rPr>
                <w:color w:val="000000"/>
                <w:sz w:val="24"/>
                <w:highlight w:val="none"/>
              </w:rPr>
              <w:t>9</w:t>
            </w:r>
          </w:p>
        </w:tc>
        <w:tc>
          <w:tcPr>
            <w:tcW w:w="1839" w:type="dxa"/>
            <w:noWrap w:val="0"/>
            <w:vAlign w:val="center"/>
          </w:tcPr>
          <w:p w14:paraId="3429DA58">
            <w:pPr>
              <w:spacing w:line="360" w:lineRule="auto"/>
              <w:rPr>
                <w:color w:val="000000"/>
                <w:sz w:val="24"/>
                <w:highlight w:val="none"/>
              </w:rPr>
            </w:pPr>
          </w:p>
        </w:tc>
        <w:tc>
          <w:tcPr>
            <w:tcW w:w="1332" w:type="dxa"/>
            <w:noWrap w:val="0"/>
            <w:vAlign w:val="center"/>
          </w:tcPr>
          <w:p w14:paraId="30BC832B">
            <w:pPr>
              <w:spacing w:line="360" w:lineRule="auto"/>
              <w:rPr>
                <w:color w:val="000000"/>
                <w:sz w:val="24"/>
                <w:highlight w:val="none"/>
              </w:rPr>
            </w:pPr>
          </w:p>
        </w:tc>
        <w:tc>
          <w:tcPr>
            <w:tcW w:w="980" w:type="dxa"/>
            <w:noWrap w:val="0"/>
            <w:vAlign w:val="center"/>
          </w:tcPr>
          <w:p w14:paraId="2860D9FA">
            <w:pPr>
              <w:spacing w:line="360" w:lineRule="auto"/>
              <w:rPr>
                <w:color w:val="000000"/>
                <w:sz w:val="24"/>
                <w:highlight w:val="none"/>
              </w:rPr>
            </w:pPr>
          </w:p>
        </w:tc>
        <w:tc>
          <w:tcPr>
            <w:tcW w:w="939" w:type="dxa"/>
            <w:noWrap w:val="0"/>
            <w:vAlign w:val="center"/>
          </w:tcPr>
          <w:p w14:paraId="5C2908AC">
            <w:pPr>
              <w:spacing w:line="360" w:lineRule="auto"/>
              <w:rPr>
                <w:color w:val="000000"/>
                <w:sz w:val="24"/>
                <w:highlight w:val="none"/>
              </w:rPr>
            </w:pPr>
          </w:p>
        </w:tc>
        <w:tc>
          <w:tcPr>
            <w:tcW w:w="997" w:type="dxa"/>
            <w:noWrap w:val="0"/>
            <w:vAlign w:val="center"/>
          </w:tcPr>
          <w:p w14:paraId="0F868552">
            <w:pPr>
              <w:spacing w:line="360" w:lineRule="auto"/>
              <w:rPr>
                <w:color w:val="000000"/>
                <w:sz w:val="24"/>
                <w:highlight w:val="none"/>
              </w:rPr>
            </w:pPr>
          </w:p>
        </w:tc>
        <w:tc>
          <w:tcPr>
            <w:tcW w:w="824" w:type="dxa"/>
            <w:noWrap w:val="0"/>
            <w:vAlign w:val="center"/>
          </w:tcPr>
          <w:p w14:paraId="4F211E05">
            <w:pPr>
              <w:spacing w:line="360" w:lineRule="auto"/>
              <w:jc w:val="center"/>
              <w:rPr>
                <w:color w:val="000000"/>
                <w:sz w:val="24"/>
                <w:highlight w:val="none"/>
              </w:rPr>
            </w:pPr>
          </w:p>
        </w:tc>
        <w:tc>
          <w:tcPr>
            <w:tcW w:w="825" w:type="dxa"/>
            <w:noWrap w:val="0"/>
            <w:vAlign w:val="center"/>
          </w:tcPr>
          <w:p w14:paraId="07FFC140">
            <w:pPr>
              <w:spacing w:line="360" w:lineRule="auto"/>
              <w:jc w:val="center"/>
              <w:rPr>
                <w:color w:val="000000"/>
                <w:sz w:val="24"/>
                <w:highlight w:val="none"/>
              </w:rPr>
            </w:pPr>
          </w:p>
        </w:tc>
      </w:tr>
      <w:tr w14:paraId="215F2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764C2F5C">
            <w:pPr>
              <w:spacing w:line="360" w:lineRule="auto"/>
              <w:jc w:val="center"/>
              <w:rPr>
                <w:color w:val="000000"/>
                <w:sz w:val="24"/>
                <w:highlight w:val="none"/>
              </w:rPr>
            </w:pPr>
            <w:r>
              <w:rPr>
                <w:color w:val="000000"/>
                <w:sz w:val="24"/>
                <w:highlight w:val="none"/>
              </w:rPr>
              <w:t>10</w:t>
            </w:r>
          </w:p>
        </w:tc>
        <w:tc>
          <w:tcPr>
            <w:tcW w:w="1839" w:type="dxa"/>
            <w:noWrap w:val="0"/>
            <w:vAlign w:val="center"/>
          </w:tcPr>
          <w:p w14:paraId="31747906">
            <w:pPr>
              <w:spacing w:line="360" w:lineRule="auto"/>
              <w:rPr>
                <w:color w:val="000000"/>
                <w:sz w:val="24"/>
                <w:highlight w:val="none"/>
              </w:rPr>
            </w:pPr>
          </w:p>
        </w:tc>
        <w:tc>
          <w:tcPr>
            <w:tcW w:w="1332" w:type="dxa"/>
            <w:noWrap w:val="0"/>
            <w:vAlign w:val="center"/>
          </w:tcPr>
          <w:p w14:paraId="23EDE09B">
            <w:pPr>
              <w:spacing w:line="360" w:lineRule="auto"/>
              <w:rPr>
                <w:color w:val="000000"/>
                <w:sz w:val="24"/>
                <w:highlight w:val="none"/>
              </w:rPr>
            </w:pPr>
          </w:p>
        </w:tc>
        <w:tc>
          <w:tcPr>
            <w:tcW w:w="980" w:type="dxa"/>
            <w:noWrap w:val="0"/>
            <w:vAlign w:val="center"/>
          </w:tcPr>
          <w:p w14:paraId="138A4A9F">
            <w:pPr>
              <w:spacing w:line="360" w:lineRule="auto"/>
              <w:rPr>
                <w:color w:val="000000"/>
                <w:sz w:val="24"/>
                <w:highlight w:val="none"/>
              </w:rPr>
            </w:pPr>
          </w:p>
        </w:tc>
        <w:tc>
          <w:tcPr>
            <w:tcW w:w="939" w:type="dxa"/>
            <w:noWrap w:val="0"/>
            <w:vAlign w:val="center"/>
          </w:tcPr>
          <w:p w14:paraId="45747725">
            <w:pPr>
              <w:spacing w:line="360" w:lineRule="auto"/>
              <w:rPr>
                <w:color w:val="000000"/>
                <w:sz w:val="24"/>
                <w:highlight w:val="none"/>
              </w:rPr>
            </w:pPr>
          </w:p>
        </w:tc>
        <w:tc>
          <w:tcPr>
            <w:tcW w:w="997" w:type="dxa"/>
            <w:noWrap w:val="0"/>
            <w:vAlign w:val="center"/>
          </w:tcPr>
          <w:p w14:paraId="3DD72AD0">
            <w:pPr>
              <w:spacing w:line="360" w:lineRule="auto"/>
              <w:rPr>
                <w:color w:val="000000"/>
                <w:sz w:val="24"/>
                <w:highlight w:val="none"/>
              </w:rPr>
            </w:pPr>
          </w:p>
        </w:tc>
        <w:tc>
          <w:tcPr>
            <w:tcW w:w="824" w:type="dxa"/>
            <w:noWrap w:val="0"/>
            <w:vAlign w:val="center"/>
          </w:tcPr>
          <w:p w14:paraId="20F4AC2C">
            <w:pPr>
              <w:spacing w:line="360" w:lineRule="auto"/>
              <w:jc w:val="center"/>
              <w:rPr>
                <w:color w:val="000000"/>
                <w:sz w:val="24"/>
                <w:highlight w:val="none"/>
              </w:rPr>
            </w:pPr>
          </w:p>
        </w:tc>
        <w:tc>
          <w:tcPr>
            <w:tcW w:w="825" w:type="dxa"/>
            <w:noWrap w:val="0"/>
            <w:vAlign w:val="center"/>
          </w:tcPr>
          <w:p w14:paraId="1102F91B">
            <w:pPr>
              <w:spacing w:line="360" w:lineRule="auto"/>
              <w:jc w:val="center"/>
              <w:rPr>
                <w:color w:val="000000"/>
                <w:sz w:val="24"/>
                <w:highlight w:val="none"/>
              </w:rPr>
            </w:pPr>
          </w:p>
        </w:tc>
      </w:tr>
      <w:tr w14:paraId="3736F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754D2817">
            <w:pPr>
              <w:spacing w:line="360" w:lineRule="auto"/>
              <w:jc w:val="center"/>
              <w:rPr>
                <w:color w:val="000000"/>
                <w:sz w:val="24"/>
                <w:highlight w:val="none"/>
              </w:rPr>
            </w:pPr>
            <w:r>
              <w:rPr>
                <w:color w:val="000000"/>
                <w:sz w:val="24"/>
                <w:highlight w:val="none"/>
              </w:rPr>
              <w:t>…</w:t>
            </w:r>
          </w:p>
        </w:tc>
        <w:tc>
          <w:tcPr>
            <w:tcW w:w="1839" w:type="dxa"/>
            <w:noWrap w:val="0"/>
            <w:vAlign w:val="center"/>
          </w:tcPr>
          <w:p w14:paraId="6E466303">
            <w:pPr>
              <w:spacing w:line="360" w:lineRule="auto"/>
              <w:rPr>
                <w:color w:val="000000"/>
                <w:sz w:val="24"/>
                <w:highlight w:val="none"/>
              </w:rPr>
            </w:pPr>
          </w:p>
        </w:tc>
        <w:tc>
          <w:tcPr>
            <w:tcW w:w="1332" w:type="dxa"/>
            <w:noWrap w:val="0"/>
            <w:vAlign w:val="center"/>
          </w:tcPr>
          <w:p w14:paraId="23C81C44">
            <w:pPr>
              <w:spacing w:line="360" w:lineRule="auto"/>
              <w:rPr>
                <w:color w:val="000000"/>
                <w:sz w:val="24"/>
                <w:highlight w:val="none"/>
              </w:rPr>
            </w:pPr>
          </w:p>
        </w:tc>
        <w:tc>
          <w:tcPr>
            <w:tcW w:w="980" w:type="dxa"/>
            <w:noWrap w:val="0"/>
            <w:vAlign w:val="center"/>
          </w:tcPr>
          <w:p w14:paraId="5AE47EE8">
            <w:pPr>
              <w:spacing w:line="360" w:lineRule="auto"/>
              <w:rPr>
                <w:color w:val="000000"/>
                <w:sz w:val="24"/>
                <w:highlight w:val="none"/>
              </w:rPr>
            </w:pPr>
          </w:p>
        </w:tc>
        <w:tc>
          <w:tcPr>
            <w:tcW w:w="939" w:type="dxa"/>
            <w:noWrap w:val="0"/>
            <w:vAlign w:val="center"/>
          </w:tcPr>
          <w:p w14:paraId="6965071E">
            <w:pPr>
              <w:spacing w:line="360" w:lineRule="auto"/>
              <w:rPr>
                <w:color w:val="000000"/>
                <w:sz w:val="24"/>
                <w:highlight w:val="none"/>
              </w:rPr>
            </w:pPr>
          </w:p>
        </w:tc>
        <w:tc>
          <w:tcPr>
            <w:tcW w:w="997" w:type="dxa"/>
            <w:noWrap w:val="0"/>
            <w:vAlign w:val="center"/>
          </w:tcPr>
          <w:p w14:paraId="3A834E27">
            <w:pPr>
              <w:spacing w:line="360" w:lineRule="auto"/>
              <w:rPr>
                <w:color w:val="000000"/>
                <w:sz w:val="24"/>
                <w:highlight w:val="none"/>
              </w:rPr>
            </w:pPr>
          </w:p>
        </w:tc>
        <w:tc>
          <w:tcPr>
            <w:tcW w:w="824" w:type="dxa"/>
            <w:noWrap w:val="0"/>
            <w:vAlign w:val="center"/>
          </w:tcPr>
          <w:p w14:paraId="38EB9F2F">
            <w:pPr>
              <w:spacing w:line="360" w:lineRule="auto"/>
              <w:jc w:val="center"/>
              <w:rPr>
                <w:color w:val="000000"/>
                <w:sz w:val="24"/>
                <w:highlight w:val="none"/>
              </w:rPr>
            </w:pPr>
          </w:p>
        </w:tc>
        <w:tc>
          <w:tcPr>
            <w:tcW w:w="825" w:type="dxa"/>
            <w:noWrap w:val="0"/>
            <w:vAlign w:val="center"/>
          </w:tcPr>
          <w:p w14:paraId="1C1B17B0">
            <w:pPr>
              <w:spacing w:line="360" w:lineRule="auto"/>
              <w:jc w:val="center"/>
              <w:rPr>
                <w:color w:val="000000"/>
                <w:sz w:val="24"/>
                <w:highlight w:val="none"/>
              </w:rPr>
            </w:pPr>
          </w:p>
        </w:tc>
      </w:tr>
      <w:tr w14:paraId="3CAE2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28638CC1">
            <w:pPr>
              <w:spacing w:line="360" w:lineRule="auto"/>
              <w:jc w:val="center"/>
              <w:rPr>
                <w:color w:val="000000"/>
                <w:sz w:val="24"/>
                <w:highlight w:val="none"/>
              </w:rPr>
            </w:pPr>
          </w:p>
        </w:tc>
        <w:tc>
          <w:tcPr>
            <w:tcW w:w="1839" w:type="dxa"/>
            <w:noWrap w:val="0"/>
            <w:vAlign w:val="center"/>
          </w:tcPr>
          <w:p w14:paraId="6C2773D9">
            <w:pPr>
              <w:spacing w:line="360" w:lineRule="auto"/>
              <w:rPr>
                <w:color w:val="000000"/>
                <w:sz w:val="24"/>
                <w:highlight w:val="none"/>
              </w:rPr>
            </w:pPr>
          </w:p>
        </w:tc>
        <w:tc>
          <w:tcPr>
            <w:tcW w:w="1332" w:type="dxa"/>
            <w:noWrap w:val="0"/>
            <w:vAlign w:val="center"/>
          </w:tcPr>
          <w:p w14:paraId="76BE52E3">
            <w:pPr>
              <w:spacing w:line="360" w:lineRule="auto"/>
              <w:rPr>
                <w:color w:val="000000"/>
                <w:sz w:val="24"/>
                <w:highlight w:val="none"/>
              </w:rPr>
            </w:pPr>
          </w:p>
        </w:tc>
        <w:tc>
          <w:tcPr>
            <w:tcW w:w="980" w:type="dxa"/>
            <w:noWrap w:val="0"/>
            <w:vAlign w:val="center"/>
          </w:tcPr>
          <w:p w14:paraId="766A8216">
            <w:pPr>
              <w:spacing w:line="360" w:lineRule="auto"/>
              <w:rPr>
                <w:color w:val="000000"/>
                <w:sz w:val="24"/>
                <w:highlight w:val="none"/>
              </w:rPr>
            </w:pPr>
          </w:p>
        </w:tc>
        <w:tc>
          <w:tcPr>
            <w:tcW w:w="939" w:type="dxa"/>
            <w:noWrap w:val="0"/>
            <w:vAlign w:val="center"/>
          </w:tcPr>
          <w:p w14:paraId="10BDEB27">
            <w:pPr>
              <w:spacing w:line="360" w:lineRule="auto"/>
              <w:rPr>
                <w:color w:val="000000"/>
                <w:sz w:val="24"/>
                <w:highlight w:val="none"/>
              </w:rPr>
            </w:pPr>
          </w:p>
        </w:tc>
        <w:tc>
          <w:tcPr>
            <w:tcW w:w="997" w:type="dxa"/>
            <w:noWrap w:val="0"/>
            <w:vAlign w:val="center"/>
          </w:tcPr>
          <w:p w14:paraId="524ED92B">
            <w:pPr>
              <w:spacing w:line="360" w:lineRule="auto"/>
              <w:rPr>
                <w:color w:val="000000"/>
                <w:sz w:val="24"/>
                <w:highlight w:val="none"/>
              </w:rPr>
            </w:pPr>
          </w:p>
        </w:tc>
        <w:tc>
          <w:tcPr>
            <w:tcW w:w="824" w:type="dxa"/>
            <w:noWrap w:val="0"/>
            <w:vAlign w:val="center"/>
          </w:tcPr>
          <w:p w14:paraId="1CCBC2D7">
            <w:pPr>
              <w:spacing w:line="360" w:lineRule="auto"/>
              <w:jc w:val="center"/>
              <w:rPr>
                <w:color w:val="000000"/>
                <w:sz w:val="24"/>
                <w:highlight w:val="none"/>
              </w:rPr>
            </w:pPr>
          </w:p>
        </w:tc>
        <w:tc>
          <w:tcPr>
            <w:tcW w:w="825" w:type="dxa"/>
            <w:noWrap w:val="0"/>
            <w:vAlign w:val="center"/>
          </w:tcPr>
          <w:p w14:paraId="37DF453B">
            <w:pPr>
              <w:spacing w:line="360" w:lineRule="auto"/>
              <w:jc w:val="center"/>
              <w:rPr>
                <w:color w:val="000000"/>
                <w:sz w:val="24"/>
                <w:highlight w:val="none"/>
              </w:rPr>
            </w:pPr>
          </w:p>
        </w:tc>
      </w:tr>
      <w:tr w14:paraId="34CAD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645" w:type="dxa"/>
            <w:noWrap w:val="0"/>
            <w:vAlign w:val="center"/>
          </w:tcPr>
          <w:p w14:paraId="42A4FD6E">
            <w:pPr>
              <w:spacing w:line="360" w:lineRule="auto"/>
              <w:jc w:val="center"/>
              <w:rPr>
                <w:color w:val="000000"/>
                <w:sz w:val="24"/>
                <w:highlight w:val="none"/>
              </w:rPr>
            </w:pPr>
          </w:p>
        </w:tc>
        <w:tc>
          <w:tcPr>
            <w:tcW w:w="1839" w:type="dxa"/>
            <w:noWrap w:val="0"/>
            <w:vAlign w:val="center"/>
          </w:tcPr>
          <w:p w14:paraId="4A5403A8">
            <w:pPr>
              <w:spacing w:line="360" w:lineRule="auto"/>
              <w:rPr>
                <w:color w:val="000000"/>
                <w:sz w:val="24"/>
                <w:highlight w:val="none"/>
              </w:rPr>
            </w:pPr>
          </w:p>
        </w:tc>
        <w:tc>
          <w:tcPr>
            <w:tcW w:w="1332" w:type="dxa"/>
            <w:noWrap w:val="0"/>
            <w:vAlign w:val="center"/>
          </w:tcPr>
          <w:p w14:paraId="06EBD160">
            <w:pPr>
              <w:spacing w:line="360" w:lineRule="auto"/>
              <w:rPr>
                <w:color w:val="000000"/>
                <w:sz w:val="24"/>
                <w:highlight w:val="none"/>
              </w:rPr>
            </w:pPr>
          </w:p>
        </w:tc>
        <w:tc>
          <w:tcPr>
            <w:tcW w:w="980" w:type="dxa"/>
            <w:noWrap w:val="0"/>
            <w:vAlign w:val="center"/>
          </w:tcPr>
          <w:p w14:paraId="431629B0">
            <w:pPr>
              <w:spacing w:line="360" w:lineRule="auto"/>
              <w:rPr>
                <w:color w:val="000000"/>
                <w:sz w:val="24"/>
                <w:highlight w:val="none"/>
              </w:rPr>
            </w:pPr>
          </w:p>
        </w:tc>
        <w:tc>
          <w:tcPr>
            <w:tcW w:w="939" w:type="dxa"/>
            <w:noWrap w:val="0"/>
            <w:vAlign w:val="center"/>
          </w:tcPr>
          <w:p w14:paraId="1ED9408C">
            <w:pPr>
              <w:spacing w:line="360" w:lineRule="auto"/>
              <w:rPr>
                <w:color w:val="000000"/>
                <w:sz w:val="24"/>
                <w:highlight w:val="none"/>
              </w:rPr>
            </w:pPr>
          </w:p>
        </w:tc>
        <w:tc>
          <w:tcPr>
            <w:tcW w:w="997" w:type="dxa"/>
            <w:noWrap w:val="0"/>
            <w:vAlign w:val="center"/>
          </w:tcPr>
          <w:p w14:paraId="0E0B664D">
            <w:pPr>
              <w:spacing w:line="360" w:lineRule="auto"/>
              <w:rPr>
                <w:color w:val="000000"/>
                <w:sz w:val="24"/>
                <w:highlight w:val="none"/>
              </w:rPr>
            </w:pPr>
          </w:p>
        </w:tc>
        <w:tc>
          <w:tcPr>
            <w:tcW w:w="824" w:type="dxa"/>
            <w:noWrap w:val="0"/>
            <w:vAlign w:val="center"/>
          </w:tcPr>
          <w:p w14:paraId="456C4B16">
            <w:pPr>
              <w:spacing w:line="360" w:lineRule="auto"/>
              <w:jc w:val="center"/>
              <w:rPr>
                <w:color w:val="000000"/>
                <w:sz w:val="24"/>
                <w:highlight w:val="none"/>
              </w:rPr>
            </w:pPr>
          </w:p>
        </w:tc>
        <w:tc>
          <w:tcPr>
            <w:tcW w:w="825" w:type="dxa"/>
            <w:noWrap w:val="0"/>
            <w:vAlign w:val="center"/>
          </w:tcPr>
          <w:p w14:paraId="5D387124">
            <w:pPr>
              <w:spacing w:line="360" w:lineRule="auto"/>
              <w:jc w:val="center"/>
              <w:rPr>
                <w:color w:val="000000"/>
                <w:sz w:val="24"/>
                <w:highlight w:val="none"/>
              </w:rPr>
            </w:pPr>
          </w:p>
        </w:tc>
      </w:tr>
      <w:tr w14:paraId="09B28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8381" w:type="dxa"/>
            <w:gridSpan w:val="8"/>
            <w:noWrap w:val="0"/>
            <w:vAlign w:val="center"/>
          </w:tcPr>
          <w:p w14:paraId="32813D1E">
            <w:pPr>
              <w:spacing w:line="360" w:lineRule="auto"/>
              <w:rPr>
                <w:color w:val="000000"/>
                <w:sz w:val="24"/>
                <w:highlight w:val="none"/>
              </w:rPr>
            </w:pPr>
            <w:r>
              <w:rPr>
                <w:color w:val="000000"/>
                <w:sz w:val="24"/>
                <w:highlight w:val="none"/>
              </w:rPr>
              <w:t>合计：   人数</w:t>
            </w:r>
          </w:p>
        </w:tc>
      </w:tr>
    </w:tbl>
    <w:p w14:paraId="3DD7602F">
      <w:pPr>
        <w:pStyle w:val="15"/>
        <w:spacing w:line="360" w:lineRule="auto"/>
        <w:rPr>
          <w:rFonts w:hint="eastAsia" w:hAnsi="宋体" w:eastAsia="宋体"/>
          <w:color w:val="000000"/>
          <w:sz w:val="24"/>
          <w:szCs w:val="24"/>
          <w:highlight w:val="none"/>
        </w:rPr>
      </w:pPr>
      <w:r>
        <w:rPr>
          <w:rFonts w:hint="eastAsia" w:hAnsi="宋体" w:eastAsia="宋体"/>
          <w:color w:val="000000"/>
          <w:sz w:val="24"/>
          <w:szCs w:val="24"/>
          <w:highlight w:val="none"/>
        </w:rPr>
        <w:t>响应单位：（公章）</w:t>
      </w:r>
    </w:p>
    <w:p w14:paraId="7BF02D52">
      <w:pPr>
        <w:spacing w:line="360" w:lineRule="auto"/>
        <w:rPr>
          <w:rFonts w:hint="eastAsia" w:ascii="宋体" w:hAnsi="宋体"/>
          <w:color w:val="000000"/>
          <w:szCs w:val="21"/>
          <w:highlight w:val="none"/>
        </w:rPr>
      </w:pPr>
      <w:r>
        <w:rPr>
          <w:rFonts w:hint="eastAsia" w:ascii="宋体" w:hAnsi="宋体"/>
          <w:color w:val="000000"/>
          <w:sz w:val="24"/>
          <w:highlight w:val="none"/>
        </w:rPr>
        <w:t xml:space="preserve">法定代表人或被授权人：（签字或盖章）                   年  月  </w:t>
      </w:r>
      <w:r>
        <w:rPr>
          <w:rFonts w:hint="eastAsia" w:ascii="宋体" w:hAnsi="宋体"/>
          <w:color w:val="000000"/>
          <w:szCs w:val="21"/>
          <w:highlight w:val="none"/>
        </w:rPr>
        <w:t>日</w:t>
      </w:r>
    </w:p>
    <w:p w14:paraId="2FE91BAA">
      <w:pPr>
        <w:jc w:val="left"/>
        <w:rPr>
          <w:rFonts w:hint="eastAsia" w:ascii="宋体" w:hAnsi="宋体"/>
          <w:b/>
          <w:bCs/>
          <w:color w:val="000000"/>
          <w:sz w:val="24"/>
          <w:highlight w:val="none"/>
        </w:rPr>
      </w:pPr>
      <w:r>
        <w:rPr>
          <w:rFonts w:hint="eastAsia" w:ascii="宋体" w:hAnsi="宋体"/>
          <w:b/>
          <w:bCs/>
          <w:color w:val="000000"/>
          <w:sz w:val="24"/>
          <w:highlight w:val="none"/>
        </w:rPr>
        <w:t xml:space="preserve"> </w:t>
      </w:r>
    </w:p>
    <w:p w14:paraId="0CCBD6E8">
      <w:pPr>
        <w:jc w:val="left"/>
        <w:rPr>
          <w:rFonts w:hint="eastAsia" w:ascii="宋体" w:hAnsi="宋体"/>
          <w:b/>
          <w:bCs/>
          <w:color w:val="000000"/>
          <w:sz w:val="24"/>
          <w:highlight w:val="none"/>
        </w:rPr>
      </w:pPr>
      <w:r>
        <w:rPr>
          <w:rFonts w:hint="eastAsia" w:ascii="宋体" w:hAnsi="宋体"/>
          <w:b/>
          <w:bCs/>
          <w:color w:val="000000"/>
          <w:sz w:val="24"/>
          <w:highlight w:val="none"/>
        </w:rPr>
        <w:t xml:space="preserve"> </w:t>
      </w:r>
    </w:p>
    <w:p w14:paraId="5B6BE339">
      <w:pPr>
        <w:jc w:val="center"/>
        <w:rPr>
          <w:rFonts w:hint="eastAsia" w:ascii="宋体" w:hAnsi="宋体"/>
          <w:b/>
          <w:bCs/>
          <w:color w:val="000000"/>
          <w:sz w:val="24"/>
          <w:highlight w:val="none"/>
        </w:rPr>
      </w:pPr>
      <w:r>
        <w:rPr>
          <w:rFonts w:hint="eastAsia" w:ascii="宋体" w:hAnsi="宋体"/>
          <w:b/>
          <w:bCs/>
          <w:color w:val="000000"/>
          <w:sz w:val="24"/>
          <w:highlight w:val="none"/>
        </w:rPr>
        <w:t xml:space="preserve"> </w:t>
      </w:r>
    </w:p>
    <w:p w14:paraId="0788A740">
      <w:pPr>
        <w:rPr>
          <w:rFonts w:hint="eastAsia" w:ascii="宋体" w:hAnsi="宋体"/>
          <w:b/>
          <w:bCs/>
          <w:color w:val="000000"/>
          <w:sz w:val="24"/>
          <w:highlight w:val="none"/>
        </w:rPr>
      </w:pPr>
      <w:r>
        <w:rPr>
          <w:rFonts w:hint="eastAsia" w:ascii="宋体" w:hAnsi="宋体"/>
          <w:b/>
          <w:bCs/>
          <w:color w:val="000000"/>
          <w:sz w:val="24"/>
          <w:highlight w:val="none"/>
        </w:rPr>
        <w:t xml:space="preserve"> </w:t>
      </w:r>
    </w:p>
    <w:p w14:paraId="2F65730E">
      <w:pPr>
        <w:pStyle w:val="214"/>
        <w:rPr>
          <w:rFonts w:hint="eastAsia"/>
          <w:color w:val="000000"/>
          <w:sz w:val="24"/>
          <w:szCs w:val="24"/>
          <w:highlight w:val="none"/>
        </w:rPr>
      </w:pPr>
      <w:r>
        <w:rPr>
          <w:rFonts w:hint="eastAsia"/>
          <w:color w:val="000000"/>
          <w:sz w:val="24"/>
          <w:szCs w:val="24"/>
          <w:highlight w:val="none"/>
        </w:rPr>
        <w:t xml:space="preserve"> </w:t>
      </w:r>
    </w:p>
    <w:p w14:paraId="45E6024F">
      <w:pPr>
        <w:spacing w:line="360" w:lineRule="auto"/>
        <w:rPr>
          <w:rFonts w:hint="eastAsia" w:ascii="宋体" w:hAnsi="宋体"/>
          <w:color w:val="000000"/>
          <w:sz w:val="24"/>
          <w:highlight w:val="none"/>
        </w:rPr>
      </w:pPr>
      <w:r>
        <w:rPr>
          <w:rFonts w:hint="eastAsia"/>
          <w:b/>
          <w:bCs/>
          <w:color w:val="000000"/>
          <w:highlight w:val="none"/>
        </w:rPr>
        <w:br w:type="page" w:clear="all"/>
      </w:r>
      <w:r>
        <w:rPr>
          <w:rFonts w:hint="eastAsia" w:ascii="宋体" w:hAnsi="宋体"/>
          <w:color w:val="000000"/>
          <w:sz w:val="24"/>
          <w:highlight w:val="none"/>
        </w:rPr>
        <w:t>附件</w:t>
      </w:r>
      <w:r>
        <w:rPr>
          <w:rFonts w:hint="eastAsia" w:ascii="宋体" w:hAnsi="宋体"/>
          <w:color w:val="000000"/>
          <w:sz w:val="24"/>
          <w:highlight w:val="none"/>
          <w:lang w:val="en-US" w:eastAsia="zh-CN"/>
        </w:rPr>
        <w:t>9</w:t>
      </w:r>
      <w:r>
        <w:rPr>
          <w:rFonts w:hint="eastAsia" w:ascii="宋体" w:hAnsi="宋体"/>
          <w:color w:val="000000"/>
          <w:sz w:val="24"/>
          <w:highlight w:val="none"/>
        </w:rPr>
        <w:t>：业绩证明材料</w:t>
      </w:r>
    </w:p>
    <w:p w14:paraId="652C76E3">
      <w:pPr>
        <w:spacing w:before="100" w:beforeAutospacing="1" w:after="100" w:afterAutospacing="1" w:line="360" w:lineRule="auto"/>
        <w:rPr>
          <w:rFonts w:hint="eastAsia" w:ascii="宋体" w:hAnsi="宋体" w:cs="宋体"/>
          <w:color w:val="000000"/>
          <w:sz w:val="24"/>
          <w:highlight w:val="none"/>
        </w:rPr>
      </w:pPr>
      <w:r>
        <w:rPr>
          <w:rFonts w:hint="eastAsia" w:ascii="宋体" w:hAnsi="宋体" w:cs="宋体"/>
          <w:color w:val="000000"/>
          <w:sz w:val="24"/>
          <w:highlight w:val="none"/>
        </w:rPr>
        <w:t>项目编号：</w:t>
      </w:r>
      <w:r>
        <w:rPr>
          <w:rFonts w:hint="eastAsia" w:ascii="宋体" w:hAnsi="宋体" w:cs="宋体"/>
          <w:color w:val="000000"/>
          <w:sz w:val="24"/>
          <w:highlight w:val="none"/>
          <w:u w:val="single"/>
        </w:rPr>
        <w:t xml:space="preserve">                   </w:t>
      </w:r>
    </w:p>
    <w:p w14:paraId="2B0D94B8">
      <w:pPr>
        <w:spacing w:before="100" w:beforeAutospacing="1" w:after="100" w:afterAutospacing="1" w:line="360" w:lineRule="auto"/>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p>
    <w:p w14:paraId="4EE4FA67">
      <w:pPr>
        <w:spacing w:before="100" w:beforeAutospacing="1" w:after="100" w:afterAutospacing="1"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标段编号：</w:t>
      </w:r>
      <w:r>
        <w:rPr>
          <w:rFonts w:hint="eastAsia" w:ascii="宋体" w:hAnsi="宋体" w:cs="宋体"/>
          <w:color w:val="000000"/>
          <w:sz w:val="24"/>
          <w:highlight w:val="none"/>
          <w:u w:val="single"/>
        </w:rPr>
        <w:t xml:space="preserve">                   </w:t>
      </w:r>
    </w:p>
    <w:p w14:paraId="044E465D">
      <w:pPr>
        <w:spacing w:before="100" w:beforeAutospacing="1" w:after="100" w:afterAutospacing="1"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标段名称：</w:t>
      </w:r>
      <w:r>
        <w:rPr>
          <w:rFonts w:hint="eastAsia" w:ascii="宋体" w:hAnsi="宋体" w:cs="宋体"/>
          <w:color w:val="000000"/>
          <w:sz w:val="24"/>
          <w:highlight w:val="none"/>
          <w:u w:val="single"/>
        </w:rPr>
        <w:t xml:space="preserve">                   </w:t>
      </w:r>
    </w:p>
    <w:tbl>
      <w:tblPr>
        <w:tblStyle w:val="29"/>
        <w:tblW w:w="4998" w:type="pct"/>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92"/>
        <w:gridCol w:w="1945"/>
        <w:gridCol w:w="1869"/>
        <w:gridCol w:w="1569"/>
        <w:gridCol w:w="1164"/>
        <w:gridCol w:w="1220"/>
      </w:tblGrid>
      <w:tr w14:paraId="6B1CE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318" w:hRule="exact"/>
        </w:trPr>
        <w:tc>
          <w:tcPr>
            <w:tcW w:w="354" w:type="dxa"/>
            <w:noWrap w:val="0"/>
            <w:vAlign w:val="center"/>
          </w:tcPr>
          <w:p w14:paraId="06364995">
            <w:pPr>
              <w:jc w:val="center"/>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1163" w:type="dxa"/>
            <w:noWrap w:val="0"/>
            <w:vAlign w:val="center"/>
          </w:tcPr>
          <w:p w14:paraId="79A24467">
            <w:pPr>
              <w:jc w:val="center"/>
              <w:rPr>
                <w:rFonts w:hint="eastAsia" w:ascii="宋体" w:hAnsi="宋体" w:cs="宋体"/>
                <w:color w:val="000000"/>
                <w:sz w:val="24"/>
                <w:highlight w:val="none"/>
              </w:rPr>
            </w:pPr>
            <w:r>
              <w:rPr>
                <w:rFonts w:hint="eastAsia" w:ascii="宋体" w:hAnsi="宋体" w:cs="宋体"/>
                <w:color w:val="000000"/>
                <w:sz w:val="24"/>
                <w:highlight w:val="none"/>
              </w:rPr>
              <w:t>业主单位名称</w:t>
            </w:r>
          </w:p>
        </w:tc>
        <w:tc>
          <w:tcPr>
            <w:tcW w:w="1117" w:type="dxa"/>
            <w:noWrap w:val="0"/>
            <w:vAlign w:val="center"/>
          </w:tcPr>
          <w:p w14:paraId="68F99054">
            <w:pPr>
              <w:jc w:val="center"/>
              <w:rPr>
                <w:rFonts w:hint="eastAsia" w:ascii="宋体" w:hAnsi="宋体" w:cs="宋体"/>
                <w:color w:val="000000"/>
                <w:sz w:val="24"/>
                <w:highlight w:val="none"/>
              </w:rPr>
            </w:pPr>
            <w:r>
              <w:rPr>
                <w:rFonts w:hint="eastAsia" w:ascii="宋体" w:hAnsi="宋体" w:cs="宋体"/>
                <w:color w:val="000000"/>
                <w:sz w:val="24"/>
                <w:highlight w:val="none"/>
              </w:rPr>
              <w:t>合同名称</w:t>
            </w:r>
          </w:p>
        </w:tc>
        <w:tc>
          <w:tcPr>
            <w:tcW w:w="938" w:type="dxa"/>
            <w:noWrap w:val="0"/>
            <w:vAlign w:val="center"/>
          </w:tcPr>
          <w:p w14:paraId="2EFFD2CD">
            <w:pPr>
              <w:jc w:val="center"/>
              <w:rPr>
                <w:rFonts w:hint="eastAsia" w:ascii="宋体" w:hAnsi="宋体" w:cs="宋体"/>
                <w:color w:val="000000"/>
                <w:sz w:val="24"/>
                <w:highlight w:val="none"/>
              </w:rPr>
            </w:pPr>
            <w:r>
              <w:rPr>
                <w:rFonts w:hint="eastAsia" w:ascii="宋体" w:hAnsi="宋体" w:cs="宋体"/>
                <w:color w:val="000000"/>
                <w:sz w:val="24"/>
                <w:highlight w:val="none"/>
              </w:rPr>
              <w:t>合同金额</w:t>
            </w:r>
          </w:p>
        </w:tc>
        <w:tc>
          <w:tcPr>
            <w:tcW w:w="696" w:type="dxa"/>
            <w:noWrap w:val="0"/>
            <w:vAlign w:val="center"/>
          </w:tcPr>
          <w:p w14:paraId="42ABAF60">
            <w:pPr>
              <w:jc w:val="center"/>
              <w:rPr>
                <w:rFonts w:hint="eastAsia" w:ascii="宋体" w:hAnsi="宋体" w:cs="宋体"/>
                <w:color w:val="000000"/>
                <w:sz w:val="24"/>
                <w:highlight w:val="none"/>
              </w:rPr>
            </w:pPr>
            <w:r>
              <w:rPr>
                <w:rFonts w:hint="eastAsia" w:ascii="宋体" w:hAnsi="宋体" w:cs="宋体"/>
                <w:color w:val="000000"/>
                <w:sz w:val="24"/>
                <w:highlight w:val="none"/>
              </w:rPr>
              <w:t>项目时间</w:t>
            </w:r>
          </w:p>
        </w:tc>
        <w:tc>
          <w:tcPr>
            <w:tcW w:w="729" w:type="dxa"/>
            <w:noWrap w:val="0"/>
            <w:vAlign w:val="center"/>
          </w:tcPr>
          <w:p w14:paraId="099824CC">
            <w:pPr>
              <w:jc w:val="center"/>
              <w:rPr>
                <w:rFonts w:hint="eastAsia" w:ascii="宋体" w:hAnsi="宋体" w:cs="宋体"/>
                <w:color w:val="000000"/>
                <w:sz w:val="24"/>
                <w:highlight w:val="none"/>
              </w:rPr>
            </w:pPr>
            <w:r>
              <w:rPr>
                <w:rFonts w:hint="eastAsia" w:ascii="宋体" w:hAnsi="宋体" w:cs="宋体"/>
                <w:color w:val="000000"/>
                <w:sz w:val="24"/>
                <w:highlight w:val="none"/>
              </w:rPr>
              <w:t>与项目所需服务内容的相关性说明</w:t>
            </w:r>
          </w:p>
        </w:tc>
      </w:tr>
      <w:tr w14:paraId="608E9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20" w:hRule="exact"/>
        </w:trPr>
        <w:tc>
          <w:tcPr>
            <w:tcW w:w="354" w:type="dxa"/>
            <w:noWrap w:val="0"/>
            <w:vAlign w:val="top"/>
          </w:tcPr>
          <w:p w14:paraId="1B04891A">
            <w:pPr>
              <w:jc w:val="center"/>
              <w:rPr>
                <w:rFonts w:hint="eastAsia" w:ascii="宋体" w:hAnsi="宋体" w:cs="宋体"/>
                <w:color w:val="000000"/>
                <w:sz w:val="24"/>
                <w:highlight w:val="none"/>
              </w:rPr>
            </w:pPr>
          </w:p>
        </w:tc>
        <w:tc>
          <w:tcPr>
            <w:tcW w:w="1163" w:type="dxa"/>
            <w:noWrap w:val="0"/>
            <w:vAlign w:val="top"/>
          </w:tcPr>
          <w:p w14:paraId="09794FA9">
            <w:pPr>
              <w:spacing w:line="360" w:lineRule="auto"/>
              <w:jc w:val="center"/>
              <w:rPr>
                <w:rFonts w:hint="eastAsia" w:ascii="宋体" w:hAnsi="宋体" w:cs="宋体"/>
                <w:color w:val="000000"/>
                <w:sz w:val="24"/>
                <w:highlight w:val="none"/>
              </w:rPr>
            </w:pPr>
          </w:p>
        </w:tc>
        <w:tc>
          <w:tcPr>
            <w:tcW w:w="1117" w:type="dxa"/>
            <w:noWrap w:val="0"/>
            <w:vAlign w:val="top"/>
          </w:tcPr>
          <w:p w14:paraId="2E6D541A">
            <w:pPr>
              <w:jc w:val="center"/>
              <w:rPr>
                <w:rFonts w:hint="eastAsia" w:ascii="宋体" w:hAnsi="宋体" w:cs="宋体"/>
                <w:color w:val="000000"/>
                <w:sz w:val="24"/>
                <w:highlight w:val="none"/>
              </w:rPr>
            </w:pPr>
          </w:p>
        </w:tc>
        <w:tc>
          <w:tcPr>
            <w:tcW w:w="938" w:type="dxa"/>
            <w:noWrap w:val="0"/>
            <w:vAlign w:val="top"/>
          </w:tcPr>
          <w:p w14:paraId="3EE870EF">
            <w:pPr>
              <w:jc w:val="center"/>
              <w:rPr>
                <w:rFonts w:hint="eastAsia" w:ascii="宋体" w:hAnsi="宋体" w:cs="宋体"/>
                <w:color w:val="000000"/>
                <w:sz w:val="24"/>
                <w:highlight w:val="none"/>
              </w:rPr>
            </w:pPr>
          </w:p>
        </w:tc>
        <w:tc>
          <w:tcPr>
            <w:tcW w:w="696" w:type="dxa"/>
            <w:noWrap w:val="0"/>
            <w:vAlign w:val="top"/>
          </w:tcPr>
          <w:p w14:paraId="6BEA9303">
            <w:pPr>
              <w:jc w:val="center"/>
              <w:rPr>
                <w:rFonts w:hint="eastAsia" w:ascii="宋体" w:hAnsi="宋体" w:cs="宋体"/>
                <w:color w:val="000000"/>
                <w:sz w:val="24"/>
                <w:highlight w:val="none"/>
              </w:rPr>
            </w:pPr>
          </w:p>
        </w:tc>
        <w:tc>
          <w:tcPr>
            <w:tcW w:w="729" w:type="dxa"/>
            <w:noWrap w:val="0"/>
            <w:vAlign w:val="top"/>
          </w:tcPr>
          <w:p w14:paraId="48BB9F3E">
            <w:pPr>
              <w:jc w:val="center"/>
              <w:rPr>
                <w:rFonts w:hint="eastAsia" w:ascii="宋体" w:hAnsi="宋体" w:cs="宋体"/>
                <w:color w:val="000000"/>
                <w:sz w:val="24"/>
                <w:highlight w:val="none"/>
              </w:rPr>
            </w:pPr>
          </w:p>
        </w:tc>
      </w:tr>
      <w:tr w14:paraId="5B3E1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20" w:hRule="exact"/>
        </w:trPr>
        <w:tc>
          <w:tcPr>
            <w:tcW w:w="354" w:type="dxa"/>
            <w:noWrap w:val="0"/>
            <w:vAlign w:val="top"/>
          </w:tcPr>
          <w:p w14:paraId="017BBA95">
            <w:pPr>
              <w:jc w:val="center"/>
              <w:rPr>
                <w:rFonts w:hint="eastAsia" w:ascii="宋体" w:hAnsi="宋体" w:cs="宋体"/>
                <w:color w:val="000000"/>
                <w:sz w:val="24"/>
                <w:highlight w:val="none"/>
              </w:rPr>
            </w:pPr>
          </w:p>
        </w:tc>
        <w:tc>
          <w:tcPr>
            <w:tcW w:w="1163" w:type="dxa"/>
            <w:noWrap w:val="0"/>
            <w:vAlign w:val="top"/>
          </w:tcPr>
          <w:p w14:paraId="732FDF39">
            <w:pPr>
              <w:jc w:val="center"/>
              <w:rPr>
                <w:rFonts w:hint="eastAsia" w:ascii="宋体" w:hAnsi="宋体" w:cs="宋体"/>
                <w:color w:val="000000"/>
                <w:sz w:val="24"/>
                <w:highlight w:val="none"/>
              </w:rPr>
            </w:pPr>
          </w:p>
        </w:tc>
        <w:tc>
          <w:tcPr>
            <w:tcW w:w="1117" w:type="dxa"/>
            <w:noWrap w:val="0"/>
            <w:vAlign w:val="top"/>
          </w:tcPr>
          <w:p w14:paraId="47F27E43">
            <w:pPr>
              <w:jc w:val="center"/>
              <w:rPr>
                <w:rFonts w:hint="eastAsia" w:ascii="宋体" w:hAnsi="宋体" w:cs="宋体"/>
                <w:color w:val="000000"/>
                <w:sz w:val="24"/>
                <w:highlight w:val="none"/>
              </w:rPr>
            </w:pPr>
          </w:p>
        </w:tc>
        <w:tc>
          <w:tcPr>
            <w:tcW w:w="938" w:type="dxa"/>
            <w:noWrap w:val="0"/>
            <w:vAlign w:val="top"/>
          </w:tcPr>
          <w:p w14:paraId="756EB255">
            <w:pPr>
              <w:jc w:val="center"/>
              <w:rPr>
                <w:rFonts w:hint="eastAsia" w:ascii="宋体" w:hAnsi="宋体" w:cs="宋体"/>
                <w:color w:val="000000"/>
                <w:sz w:val="24"/>
                <w:highlight w:val="none"/>
              </w:rPr>
            </w:pPr>
          </w:p>
        </w:tc>
        <w:tc>
          <w:tcPr>
            <w:tcW w:w="696" w:type="dxa"/>
            <w:noWrap w:val="0"/>
            <w:vAlign w:val="top"/>
          </w:tcPr>
          <w:p w14:paraId="3A4A2C15">
            <w:pPr>
              <w:jc w:val="center"/>
              <w:rPr>
                <w:rFonts w:hint="eastAsia" w:ascii="宋体" w:hAnsi="宋体" w:cs="宋体"/>
                <w:color w:val="000000"/>
                <w:sz w:val="24"/>
                <w:highlight w:val="none"/>
              </w:rPr>
            </w:pPr>
          </w:p>
        </w:tc>
        <w:tc>
          <w:tcPr>
            <w:tcW w:w="729" w:type="dxa"/>
            <w:noWrap w:val="0"/>
            <w:vAlign w:val="top"/>
          </w:tcPr>
          <w:p w14:paraId="13B5C37A">
            <w:pPr>
              <w:jc w:val="center"/>
              <w:rPr>
                <w:rFonts w:hint="eastAsia" w:ascii="宋体" w:hAnsi="宋体" w:cs="宋体"/>
                <w:color w:val="000000"/>
                <w:sz w:val="24"/>
                <w:highlight w:val="none"/>
              </w:rPr>
            </w:pPr>
          </w:p>
        </w:tc>
      </w:tr>
      <w:tr w14:paraId="5E9B9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20" w:hRule="exact"/>
        </w:trPr>
        <w:tc>
          <w:tcPr>
            <w:tcW w:w="354" w:type="dxa"/>
            <w:noWrap w:val="0"/>
            <w:vAlign w:val="top"/>
          </w:tcPr>
          <w:p w14:paraId="5CCFD1F5">
            <w:pPr>
              <w:jc w:val="center"/>
              <w:rPr>
                <w:rFonts w:hint="eastAsia" w:ascii="宋体" w:hAnsi="宋体" w:cs="宋体"/>
                <w:color w:val="000000"/>
                <w:sz w:val="24"/>
                <w:highlight w:val="none"/>
              </w:rPr>
            </w:pPr>
          </w:p>
        </w:tc>
        <w:tc>
          <w:tcPr>
            <w:tcW w:w="1163" w:type="dxa"/>
            <w:noWrap w:val="0"/>
            <w:vAlign w:val="top"/>
          </w:tcPr>
          <w:p w14:paraId="082B14AE">
            <w:pPr>
              <w:jc w:val="center"/>
              <w:rPr>
                <w:rFonts w:hint="eastAsia" w:ascii="宋体" w:hAnsi="宋体" w:cs="宋体"/>
                <w:color w:val="000000"/>
                <w:sz w:val="24"/>
                <w:highlight w:val="none"/>
              </w:rPr>
            </w:pPr>
          </w:p>
        </w:tc>
        <w:tc>
          <w:tcPr>
            <w:tcW w:w="1117" w:type="dxa"/>
            <w:noWrap w:val="0"/>
            <w:vAlign w:val="top"/>
          </w:tcPr>
          <w:p w14:paraId="0E251AA3">
            <w:pPr>
              <w:jc w:val="center"/>
              <w:rPr>
                <w:rFonts w:hint="eastAsia" w:ascii="宋体" w:hAnsi="宋体" w:cs="宋体"/>
                <w:color w:val="000000"/>
                <w:sz w:val="24"/>
                <w:highlight w:val="none"/>
              </w:rPr>
            </w:pPr>
          </w:p>
        </w:tc>
        <w:tc>
          <w:tcPr>
            <w:tcW w:w="938" w:type="dxa"/>
            <w:noWrap w:val="0"/>
            <w:vAlign w:val="top"/>
          </w:tcPr>
          <w:p w14:paraId="560B6A35">
            <w:pPr>
              <w:jc w:val="center"/>
              <w:rPr>
                <w:rFonts w:hint="eastAsia" w:ascii="宋体" w:hAnsi="宋体" w:cs="宋体"/>
                <w:color w:val="000000"/>
                <w:sz w:val="24"/>
                <w:highlight w:val="none"/>
              </w:rPr>
            </w:pPr>
          </w:p>
        </w:tc>
        <w:tc>
          <w:tcPr>
            <w:tcW w:w="696" w:type="dxa"/>
            <w:noWrap w:val="0"/>
            <w:vAlign w:val="top"/>
          </w:tcPr>
          <w:p w14:paraId="57A89B57">
            <w:pPr>
              <w:jc w:val="center"/>
              <w:rPr>
                <w:rFonts w:hint="eastAsia" w:ascii="宋体" w:hAnsi="宋体" w:cs="宋体"/>
                <w:color w:val="000000"/>
                <w:sz w:val="24"/>
                <w:highlight w:val="none"/>
              </w:rPr>
            </w:pPr>
          </w:p>
        </w:tc>
        <w:tc>
          <w:tcPr>
            <w:tcW w:w="729" w:type="dxa"/>
            <w:noWrap w:val="0"/>
            <w:vAlign w:val="top"/>
          </w:tcPr>
          <w:p w14:paraId="1AC7B43F">
            <w:pPr>
              <w:jc w:val="center"/>
              <w:rPr>
                <w:rFonts w:hint="eastAsia" w:ascii="宋体" w:hAnsi="宋体" w:cs="宋体"/>
                <w:color w:val="000000"/>
                <w:sz w:val="24"/>
                <w:highlight w:val="none"/>
              </w:rPr>
            </w:pPr>
          </w:p>
        </w:tc>
      </w:tr>
      <w:tr w14:paraId="2300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20" w:hRule="exact"/>
        </w:trPr>
        <w:tc>
          <w:tcPr>
            <w:tcW w:w="354" w:type="dxa"/>
            <w:noWrap w:val="0"/>
            <w:vAlign w:val="top"/>
          </w:tcPr>
          <w:p w14:paraId="2A6EAB15">
            <w:pPr>
              <w:jc w:val="center"/>
              <w:rPr>
                <w:rFonts w:hint="eastAsia" w:ascii="宋体" w:hAnsi="宋体" w:cs="宋体"/>
                <w:color w:val="000000"/>
                <w:sz w:val="24"/>
                <w:highlight w:val="none"/>
              </w:rPr>
            </w:pPr>
          </w:p>
        </w:tc>
        <w:tc>
          <w:tcPr>
            <w:tcW w:w="1163" w:type="dxa"/>
            <w:noWrap w:val="0"/>
            <w:vAlign w:val="top"/>
          </w:tcPr>
          <w:p w14:paraId="615D669B">
            <w:pPr>
              <w:jc w:val="center"/>
              <w:rPr>
                <w:rFonts w:hint="eastAsia" w:ascii="宋体" w:hAnsi="宋体" w:cs="宋体"/>
                <w:color w:val="000000"/>
                <w:sz w:val="24"/>
                <w:highlight w:val="none"/>
              </w:rPr>
            </w:pPr>
          </w:p>
        </w:tc>
        <w:tc>
          <w:tcPr>
            <w:tcW w:w="1117" w:type="dxa"/>
            <w:noWrap w:val="0"/>
            <w:vAlign w:val="top"/>
          </w:tcPr>
          <w:p w14:paraId="139A3616">
            <w:pPr>
              <w:jc w:val="center"/>
              <w:rPr>
                <w:rFonts w:hint="eastAsia" w:ascii="宋体" w:hAnsi="宋体" w:cs="宋体"/>
                <w:color w:val="000000"/>
                <w:sz w:val="24"/>
                <w:highlight w:val="none"/>
              </w:rPr>
            </w:pPr>
          </w:p>
        </w:tc>
        <w:tc>
          <w:tcPr>
            <w:tcW w:w="938" w:type="dxa"/>
            <w:noWrap w:val="0"/>
            <w:vAlign w:val="top"/>
          </w:tcPr>
          <w:p w14:paraId="02FFA0AD">
            <w:pPr>
              <w:jc w:val="center"/>
              <w:rPr>
                <w:rFonts w:hint="eastAsia" w:ascii="宋体" w:hAnsi="宋体" w:cs="宋体"/>
                <w:color w:val="000000"/>
                <w:sz w:val="24"/>
                <w:highlight w:val="none"/>
              </w:rPr>
            </w:pPr>
          </w:p>
        </w:tc>
        <w:tc>
          <w:tcPr>
            <w:tcW w:w="696" w:type="dxa"/>
            <w:noWrap w:val="0"/>
            <w:vAlign w:val="top"/>
          </w:tcPr>
          <w:p w14:paraId="78621DB2">
            <w:pPr>
              <w:jc w:val="center"/>
              <w:rPr>
                <w:rFonts w:hint="eastAsia" w:ascii="宋体" w:hAnsi="宋体" w:cs="宋体"/>
                <w:color w:val="000000"/>
                <w:sz w:val="24"/>
                <w:highlight w:val="none"/>
              </w:rPr>
            </w:pPr>
          </w:p>
        </w:tc>
        <w:tc>
          <w:tcPr>
            <w:tcW w:w="729" w:type="dxa"/>
            <w:noWrap w:val="0"/>
            <w:vAlign w:val="top"/>
          </w:tcPr>
          <w:p w14:paraId="24DD4267">
            <w:pPr>
              <w:jc w:val="center"/>
              <w:rPr>
                <w:rFonts w:hint="eastAsia" w:ascii="宋体" w:hAnsi="宋体" w:cs="宋体"/>
                <w:color w:val="000000"/>
                <w:sz w:val="24"/>
                <w:highlight w:val="none"/>
              </w:rPr>
            </w:pPr>
          </w:p>
        </w:tc>
      </w:tr>
    </w:tbl>
    <w:p w14:paraId="06739917">
      <w:pPr>
        <w:spacing w:line="360" w:lineRule="auto"/>
        <w:ind w:firstLine="210"/>
        <w:rPr>
          <w:color w:val="000000"/>
          <w:sz w:val="24"/>
          <w:highlight w:val="none"/>
          <w:lang w:val="zh-CN"/>
        </w:rPr>
      </w:pPr>
    </w:p>
    <w:p w14:paraId="13F3131F">
      <w:pPr>
        <w:pStyle w:val="15"/>
        <w:spacing w:line="360" w:lineRule="auto"/>
        <w:ind w:firstLine="480"/>
        <w:rPr>
          <w:rFonts w:hint="eastAsia" w:hAnsi="宋体" w:eastAsia="宋体"/>
          <w:color w:val="000000"/>
          <w:sz w:val="24"/>
          <w:szCs w:val="24"/>
          <w:highlight w:val="none"/>
        </w:rPr>
      </w:pPr>
      <w:r>
        <w:rPr>
          <w:rFonts w:hint="eastAsia" w:hAnsi="宋体" w:eastAsia="宋体"/>
          <w:color w:val="000000"/>
          <w:sz w:val="24"/>
          <w:szCs w:val="24"/>
          <w:highlight w:val="none"/>
        </w:rPr>
        <w:t>磋商单位：（公章）</w:t>
      </w:r>
    </w:p>
    <w:p w14:paraId="2074C377">
      <w:pPr>
        <w:rPr>
          <w:rFonts w:hint="eastAsia" w:ascii="宋体" w:hAnsi="宋体"/>
          <w:color w:val="000000"/>
          <w:sz w:val="24"/>
          <w:highlight w:val="none"/>
        </w:rPr>
      </w:pPr>
      <w:r>
        <w:rPr>
          <w:rFonts w:hint="eastAsia" w:ascii="宋体" w:hAnsi="宋体"/>
          <w:color w:val="000000"/>
          <w:sz w:val="24"/>
          <w:highlight w:val="none"/>
        </w:rPr>
        <w:t>法定代表人或被授权人：（签字或盖章）                   年  月  日</w:t>
      </w:r>
    </w:p>
    <w:p w14:paraId="0DC97983">
      <w:pPr>
        <w:rPr>
          <w:rFonts w:hint="eastAsia" w:ascii="宋体" w:hAnsi="宋体"/>
          <w:color w:val="000000"/>
          <w:szCs w:val="21"/>
          <w:highlight w:val="none"/>
        </w:rPr>
      </w:pPr>
      <w:r>
        <w:rPr>
          <w:rFonts w:hint="eastAsia" w:ascii="宋体" w:hAnsi="宋体"/>
          <w:color w:val="000000"/>
          <w:szCs w:val="21"/>
          <w:highlight w:val="none"/>
        </w:rPr>
        <w:t xml:space="preserve"> </w:t>
      </w:r>
    </w:p>
    <w:p w14:paraId="1AE0388B">
      <w:pPr>
        <w:spacing w:line="360" w:lineRule="auto"/>
        <w:rPr>
          <w:rFonts w:hint="eastAsia" w:ascii="宋体" w:hAnsi="宋体"/>
          <w:color w:val="000000"/>
          <w:sz w:val="24"/>
          <w:highlight w:val="none"/>
        </w:rPr>
      </w:pPr>
      <w:r>
        <w:rPr>
          <w:rFonts w:hint="eastAsia" w:ascii="宋体" w:hAnsi="宋体"/>
          <w:color w:val="000000"/>
          <w:sz w:val="24"/>
          <w:highlight w:val="none"/>
        </w:rPr>
        <w:t xml:space="preserve"> </w:t>
      </w:r>
    </w:p>
    <w:p w14:paraId="28A50888">
      <w:pPr>
        <w:widowControl/>
        <w:tabs>
          <w:tab w:val="left" w:pos="1320"/>
        </w:tabs>
        <w:spacing w:line="360" w:lineRule="auto"/>
        <w:rPr>
          <w:rFonts w:ascii="宋体" w:hAnsi="宋体"/>
          <w:b/>
          <w:color w:val="000000"/>
          <w:sz w:val="24"/>
          <w:highlight w:val="none"/>
        </w:rPr>
      </w:pPr>
      <w:r>
        <w:rPr>
          <w:rFonts w:hint="eastAsia" w:ascii="宋体" w:hAnsi="宋体"/>
          <w:color w:val="000000"/>
          <w:sz w:val="24"/>
          <w:highlight w:val="none"/>
        </w:rPr>
        <w:br w:type="page" w:clear="all"/>
      </w:r>
      <w:r>
        <w:rPr>
          <w:rFonts w:hint="eastAsia" w:ascii="宋体" w:hAnsi="宋体"/>
          <w:color w:val="000000"/>
          <w:sz w:val="24"/>
          <w:highlight w:val="none"/>
        </w:rPr>
        <w:t>附件1</w:t>
      </w:r>
      <w:r>
        <w:rPr>
          <w:rFonts w:hint="eastAsia" w:ascii="宋体" w:hAnsi="宋体"/>
          <w:color w:val="000000"/>
          <w:sz w:val="24"/>
          <w:highlight w:val="none"/>
          <w:lang w:val="en-US" w:eastAsia="zh-CN"/>
        </w:rPr>
        <w:t>0</w:t>
      </w:r>
      <w:r>
        <w:rPr>
          <w:rFonts w:hint="eastAsia" w:ascii="宋体" w:hAnsi="宋体"/>
          <w:color w:val="000000"/>
          <w:sz w:val="24"/>
          <w:highlight w:val="none"/>
        </w:rPr>
        <w:t>：</w:t>
      </w:r>
      <w:r>
        <w:rPr>
          <w:rFonts w:hint="eastAsia" w:ascii="宋体" w:hAnsi="宋体"/>
          <w:b/>
          <w:color w:val="000000"/>
          <w:sz w:val="24"/>
          <w:highlight w:val="none"/>
        </w:rPr>
        <w:t>商务条款偏离表</w:t>
      </w:r>
    </w:p>
    <w:p w14:paraId="07B70FC3">
      <w:pPr>
        <w:widowControl/>
        <w:tabs>
          <w:tab w:val="left" w:pos="1320"/>
        </w:tabs>
        <w:spacing w:line="360" w:lineRule="auto"/>
        <w:jc w:val="center"/>
        <w:rPr>
          <w:rFonts w:ascii="宋体" w:hAnsi="宋体"/>
          <w:color w:val="000000"/>
          <w:sz w:val="24"/>
          <w:highlight w:val="none"/>
        </w:rPr>
      </w:pPr>
    </w:p>
    <w:p w14:paraId="53801070">
      <w:pPr>
        <w:widowControl/>
        <w:spacing w:line="360" w:lineRule="auto"/>
        <w:jc w:val="left"/>
        <w:rPr>
          <w:rFonts w:ascii="宋体" w:hAnsi="宋体"/>
          <w:color w:val="000000"/>
          <w:spacing w:val="20"/>
          <w:sz w:val="24"/>
          <w:highlight w:val="none"/>
          <w:lang w:val="zh-CN"/>
        </w:rPr>
      </w:pPr>
      <w:r>
        <w:rPr>
          <w:rFonts w:hint="eastAsia" w:ascii="宋体" w:hAnsi="宋体"/>
          <w:color w:val="000000"/>
          <w:spacing w:val="20"/>
          <w:sz w:val="24"/>
          <w:highlight w:val="none"/>
          <w:lang w:val="zh-CN"/>
        </w:rPr>
        <w:t>单位名称（盖章）：                       采购</w:t>
      </w:r>
      <w:r>
        <w:rPr>
          <w:rFonts w:ascii="宋体" w:hAnsi="宋体"/>
          <w:color w:val="000000"/>
          <w:spacing w:val="20"/>
          <w:sz w:val="24"/>
          <w:highlight w:val="none"/>
          <w:lang w:val="zh-CN"/>
        </w:rPr>
        <w:t>编号：</w:t>
      </w:r>
    </w:p>
    <w:tbl>
      <w:tblPr>
        <w:tblStyle w:val="2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1"/>
        <w:gridCol w:w="2132"/>
        <w:gridCol w:w="2132"/>
        <w:gridCol w:w="2133"/>
      </w:tblGrid>
      <w:tr w14:paraId="0F071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1" w:type="dxa"/>
            <w:noWrap w:val="0"/>
            <w:vAlign w:val="center"/>
          </w:tcPr>
          <w:p w14:paraId="428C1246">
            <w:pPr>
              <w:spacing w:line="360" w:lineRule="auto"/>
              <w:jc w:val="center"/>
              <w:rPr>
                <w:rFonts w:ascii="宋体" w:hAnsi="宋体"/>
                <w:color w:val="000000"/>
                <w:sz w:val="24"/>
                <w:highlight w:val="none"/>
              </w:rPr>
            </w:pPr>
            <w:r>
              <w:rPr>
                <w:rFonts w:ascii="宋体" w:hAnsi="宋体"/>
                <w:color w:val="000000"/>
                <w:sz w:val="24"/>
                <w:highlight w:val="none"/>
              </w:rPr>
              <w:t>项      目</w:t>
            </w:r>
          </w:p>
        </w:tc>
        <w:tc>
          <w:tcPr>
            <w:tcW w:w="2132" w:type="dxa"/>
            <w:noWrap w:val="0"/>
            <w:vAlign w:val="center"/>
          </w:tcPr>
          <w:p w14:paraId="54A63103">
            <w:pPr>
              <w:spacing w:line="360" w:lineRule="auto"/>
              <w:jc w:val="center"/>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要求</w:t>
            </w:r>
          </w:p>
        </w:tc>
        <w:tc>
          <w:tcPr>
            <w:tcW w:w="2132" w:type="dxa"/>
            <w:noWrap w:val="0"/>
            <w:vAlign w:val="center"/>
          </w:tcPr>
          <w:p w14:paraId="60A73866">
            <w:pPr>
              <w:spacing w:line="360" w:lineRule="auto"/>
              <w:jc w:val="center"/>
              <w:rPr>
                <w:rFonts w:ascii="宋体" w:hAnsi="宋体"/>
                <w:color w:val="000000"/>
                <w:sz w:val="24"/>
                <w:highlight w:val="none"/>
              </w:rPr>
            </w:pPr>
            <w:r>
              <w:rPr>
                <w:rFonts w:hint="eastAsia" w:ascii="宋体" w:hAnsi="宋体"/>
                <w:color w:val="000000"/>
                <w:sz w:val="24"/>
                <w:highlight w:val="none"/>
              </w:rPr>
              <w:t>响应</w:t>
            </w:r>
            <w:r>
              <w:rPr>
                <w:rFonts w:ascii="宋体" w:hAnsi="宋体"/>
                <w:color w:val="000000"/>
                <w:sz w:val="24"/>
                <w:highlight w:val="none"/>
              </w:rPr>
              <w:t>内容</w:t>
            </w:r>
          </w:p>
        </w:tc>
        <w:tc>
          <w:tcPr>
            <w:tcW w:w="2133" w:type="dxa"/>
            <w:noWrap w:val="0"/>
            <w:vAlign w:val="center"/>
          </w:tcPr>
          <w:p w14:paraId="560505D4">
            <w:pPr>
              <w:spacing w:line="360" w:lineRule="auto"/>
              <w:jc w:val="center"/>
              <w:rPr>
                <w:rFonts w:ascii="宋体" w:hAnsi="宋体"/>
                <w:color w:val="000000"/>
                <w:sz w:val="24"/>
                <w:highlight w:val="none"/>
              </w:rPr>
            </w:pPr>
            <w:r>
              <w:rPr>
                <w:rFonts w:ascii="宋体" w:hAnsi="宋体"/>
                <w:color w:val="000000"/>
                <w:sz w:val="24"/>
                <w:highlight w:val="none"/>
              </w:rPr>
              <w:t>偏离说明</w:t>
            </w:r>
          </w:p>
        </w:tc>
      </w:tr>
      <w:tr w14:paraId="19CED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1" w:type="dxa"/>
            <w:noWrap w:val="0"/>
            <w:vAlign w:val="top"/>
          </w:tcPr>
          <w:p w14:paraId="562C3609">
            <w:pPr>
              <w:spacing w:line="360" w:lineRule="auto"/>
              <w:jc w:val="left"/>
              <w:rPr>
                <w:rFonts w:ascii="宋体" w:hAnsi="宋体"/>
                <w:color w:val="000000"/>
                <w:sz w:val="24"/>
                <w:highlight w:val="none"/>
              </w:rPr>
            </w:pPr>
          </w:p>
        </w:tc>
        <w:tc>
          <w:tcPr>
            <w:tcW w:w="2132" w:type="dxa"/>
            <w:noWrap w:val="0"/>
            <w:vAlign w:val="top"/>
          </w:tcPr>
          <w:p w14:paraId="757BE458">
            <w:pPr>
              <w:spacing w:line="360" w:lineRule="auto"/>
              <w:jc w:val="center"/>
              <w:rPr>
                <w:rFonts w:ascii="宋体" w:hAnsi="宋体"/>
                <w:color w:val="000000"/>
                <w:sz w:val="24"/>
                <w:highlight w:val="none"/>
              </w:rPr>
            </w:pPr>
          </w:p>
        </w:tc>
        <w:tc>
          <w:tcPr>
            <w:tcW w:w="2132" w:type="dxa"/>
            <w:noWrap w:val="0"/>
            <w:vAlign w:val="top"/>
          </w:tcPr>
          <w:p w14:paraId="206364C0">
            <w:pPr>
              <w:spacing w:line="360" w:lineRule="auto"/>
              <w:jc w:val="center"/>
              <w:rPr>
                <w:rFonts w:ascii="宋体" w:hAnsi="宋体"/>
                <w:color w:val="000000"/>
                <w:sz w:val="24"/>
                <w:highlight w:val="none"/>
              </w:rPr>
            </w:pPr>
          </w:p>
        </w:tc>
        <w:tc>
          <w:tcPr>
            <w:tcW w:w="2133" w:type="dxa"/>
            <w:noWrap w:val="0"/>
            <w:vAlign w:val="top"/>
          </w:tcPr>
          <w:p w14:paraId="241FCB1C">
            <w:pPr>
              <w:spacing w:line="360" w:lineRule="auto"/>
              <w:jc w:val="center"/>
              <w:rPr>
                <w:rFonts w:ascii="宋体" w:hAnsi="宋体"/>
                <w:color w:val="000000"/>
                <w:sz w:val="24"/>
                <w:highlight w:val="none"/>
              </w:rPr>
            </w:pPr>
          </w:p>
        </w:tc>
      </w:tr>
      <w:tr w14:paraId="23D3F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1" w:type="dxa"/>
            <w:noWrap w:val="0"/>
            <w:vAlign w:val="top"/>
          </w:tcPr>
          <w:p w14:paraId="1874D023">
            <w:pPr>
              <w:spacing w:line="360" w:lineRule="auto"/>
              <w:jc w:val="left"/>
              <w:rPr>
                <w:rFonts w:ascii="宋体" w:hAnsi="宋体"/>
                <w:color w:val="000000"/>
                <w:sz w:val="24"/>
                <w:highlight w:val="none"/>
              </w:rPr>
            </w:pPr>
          </w:p>
        </w:tc>
        <w:tc>
          <w:tcPr>
            <w:tcW w:w="2132" w:type="dxa"/>
            <w:noWrap w:val="0"/>
            <w:vAlign w:val="top"/>
          </w:tcPr>
          <w:p w14:paraId="44D6AF4C">
            <w:pPr>
              <w:spacing w:line="360" w:lineRule="auto"/>
              <w:jc w:val="center"/>
              <w:rPr>
                <w:rFonts w:ascii="宋体" w:hAnsi="宋体"/>
                <w:color w:val="000000"/>
                <w:sz w:val="24"/>
                <w:highlight w:val="none"/>
              </w:rPr>
            </w:pPr>
          </w:p>
        </w:tc>
        <w:tc>
          <w:tcPr>
            <w:tcW w:w="2132" w:type="dxa"/>
            <w:noWrap w:val="0"/>
            <w:vAlign w:val="top"/>
          </w:tcPr>
          <w:p w14:paraId="34FA2B72">
            <w:pPr>
              <w:spacing w:line="360" w:lineRule="auto"/>
              <w:jc w:val="center"/>
              <w:rPr>
                <w:rFonts w:ascii="宋体" w:hAnsi="宋体"/>
                <w:color w:val="000000"/>
                <w:sz w:val="24"/>
                <w:highlight w:val="none"/>
              </w:rPr>
            </w:pPr>
          </w:p>
        </w:tc>
        <w:tc>
          <w:tcPr>
            <w:tcW w:w="2133" w:type="dxa"/>
            <w:noWrap w:val="0"/>
            <w:vAlign w:val="top"/>
          </w:tcPr>
          <w:p w14:paraId="5F9F7D70">
            <w:pPr>
              <w:spacing w:line="360" w:lineRule="auto"/>
              <w:jc w:val="center"/>
              <w:rPr>
                <w:rFonts w:ascii="宋体" w:hAnsi="宋体"/>
                <w:color w:val="000000"/>
                <w:sz w:val="24"/>
                <w:highlight w:val="none"/>
              </w:rPr>
            </w:pPr>
          </w:p>
        </w:tc>
      </w:tr>
      <w:tr w14:paraId="65065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1" w:type="dxa"/>
            <w:noWrap w:val="0"/>
            <w:vAlign w:val="top"/>
          </w:tcPr>
          <w:p w14:paraId="110F0A33">
            <w:pPr>
              <w:spacing w:line="360" w:lineRule="auto"/>
              <w:jc w:val="center"/>
              <w:rPr>
                <w:rFonts w:ascii="宋体" w:hAnsi="宋体"/>
                <w:color w:val="000000"/>
                <w:sz w:val="24"/>
                <w:highlight w:val="none"/>
              </w:rPr>
            </w:pPr>
          </w:p>
        </w:tc>
        <w:tc>
          <w:tcPr>
            <w:tcW w:w="2132" w:type="dxa"/>
            <w:noWrap w:val="0"/>
            <w:vAlign w:val="top"/>
          </w:tcPr>
          <w:p w14:paraId="32D878D4">
            <w:pPr>
              <w:spacing w:line="360" w:lineRule="auto"/>
              <w:jc w:val="center"/>
              <w:rPr>
                <w:rFonts w:ascii="宋体" w:hAnsi="宋体"/>
                <w:color w:val="000000"/>
                <w:sz w:val="24"/>
                <w:highlight w:val="none"/>
              </w:rPr>
            </w:pPr>
          </w:p>
        </w:tc>
        <w:tc>
          <w:tcPr>
            <w:tcW w:w="2132" w:type="dxa"/>
            <w:noWrap w:val="0"/>
            <w:vAlign w:val="top"/>
          </w:tcPr>
          <w:p w14:paraId="13217070">
            <w:pPr>
              <w:spacing w:line="360" w:lineRule="auto"/>
              <w:jc w:val="center"/>
              <w:rPr>
                <w:rFonts w:ascii="宋体" w:hAnsi="宋体"/>
                <w:color w:val="000000"/>
                <w:sz w:val="24"/>
                <w:highlight w:val="none"/>
              </w:rPr>
            </w:pPr>
          </w:p>
        </w:tc>
        <w:tc>
          <w:tcPr>
            <w:tcW w:w="2133" w:type="dxa"/>
            <w:noWrap w:val="0"/>
            <w:vAlign w:val="top"/>
          </w:tcPr>
          <w:p w14:paraId="5C5ECDB2">
            <w:pPr>
              <w:spacing w:line="360" w:lineRule="auto"/>
              <w:jc w:val="center"/>
              <w:rPr>
                <w:rFonts w:ascii="宋体" w:hAnsi="宋体"/>
                <w:color w:val="000000"/>
                <w:sz w:val="24"/>
                <w:highlight w:val="none"/>
              </w:rPr>
            </w:pPr>
          </w:p>
        </w:tc>
      </w:tr>
      <w:tr w14:paraId="0C176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1" w:type="dxa"/>
            <w:noWrap w:val="0"/>
            <w:vAlign w:val="top"/>
          </w:tcPr>
          <w:p w14:paraId="4CC49C41">
            <w:pPr>
              <w:spacing w:line="360" w:lineRule="auto"/>
              <w:jc w:val="center"/>
              <w:rPr>
                <w:rFonts w:ascii="宋体" w:hAnsi="宋体"/>
                <w:color w:val="000000"/>
                <w:sz w:val="24"/>
                <w:highlight w:val="none"/>
              </w:rPr>
            </w:pPr>
          </w:p>
        </w:tc>
        <w:tc>
          <w:tcPr>
            <w:tcW w:w="2132" w:type="dxa"/>
            <w:noWrap w:val="0"/>
            <w:vAlign w:val="top"/>
          </w:tcPr>
          <w:p w14:paraId="09F6EFED">
            <w:pPr>
              <w:spacing w:line="360" w:lineRule="auto"/>
              <w:jc w:val="center"/>
              <w:rPr>
                <w:rFonts w:ascii="宋体" w:hAnsi="宋体"/>
                <w:color w:val="000000"/>
                <w:sz w:val="24"/>
                <w:highlight w:val="none"/>
              </w:rPr>
            </w:pPr>
          </w:p>
        </w:tc>
        <w:tc>
          <w:tcPr>
            <w:tcW w:w="2132" w:type="dxa"/>
            <w:noWrap w:val="0"/>
            <w:vAlign w:val="top"/>
          </w:tcPr>
          <w:p w14:paraId="65A5AEE3">
            <w:pPr>
              <w:spacing w:line="360" w:lineRule="auto"/>
              <w:jc w:val="center"/>
              <w:rPr>
                <w:rFonts w:ascii="宋体" w:hAnsi="宋体"/>
                <w:color w:val="000000"/>
                <w:sz w:val="24"/>
                <w:highlight w:val="none"/>
              </w:rPr>
            </w:pPr>
          </w:p>
        </w:tc>
        <w:tc>
          <w:tcPr>
            <w:tcW w:w="2133" w:type="dxa"/>
            <w:noWrap w:val="0"/>
            <w:vAlign w:val="top"/>
          </w:tcPr>
          <w:p w14:paraId="40BA7D66">
            <w:pPr>
              <w:spacing w:line="360" w:lineRule="auto"/>
              <w:jc w:val="center"/>
              <w:rPr>
                <w:rFonts w:ascii="宋体" w:hAnsi="宋体"/>
                <w:color w:val="000000"/>
                <w:sz w:val="24"/>
                <w:highlight w:val="none"/>
              </w:rPr>
            </w:pPr>
          </w:p>
        </w:tc>
      </w:tr>
      <w:tr w14:paraId="40A4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1" w:type="dxa"/>
            <w:noWrap w:val="0"/>
            <w:vAlign w:val="top"/>
          </w:tcPr>
          <w:p w14:paraId="5EE460B5">
            <w:pPr>
              <w:spacing w:line="360" w:lineRule="auto"/>
              <w:jc w:val="center"/>
              <w:rPr>
                <w:rFonts w:ascii="宋体" w:hAnsi="宋体"/>
                <w:color w:val="000000"/>
                <w:sz w:val="24"/>
                <w:highlight w:val="none"/>
              </w:rPr>
            </w:pPr>
          </w:p>
        </w:tc>
        <w:tc>
          <w:tcPr>
            <w:tcW w:w="2132" w:type="dxa"/>
            <w:noWrap w:val="0"/>
            <w:vAlign w:val="top"/>
          </w:tcPr>
          <w:p w14:paraId="55CDF85B">
            <w:pPr>
              <w:spacing w:line="360" w:lineRule="auto"/>
              <w:jc w:val="center"/>
              <w:rPr>
                <w:rFonts w:ascii="宋体" w:hAnsi="宋体"/>
                <w:color w:val="000000"/>
                <w:sz w:val="24"/>
                <w:highlight w:val="none"/>
              </w:rPr>
            </w:pPr>
          </w:p>
        </w:tc>
        <w:tc>
          <w:tcPr>
            <w:tcW w:w="2132" w:type="dxa"/>
            <w:noWrap w:val="0"/>
            <w:vAlign w:val="top"/>
          </w:tcPr>
          <w:p w14:paraId="4B1B1647">
            <w:pPr>
              <w:spacing w:line="360" w:lineRule="auto"/>
              <w:jc w:val="center"/>
              <w:rPr>
                <w:rFonts w:ascii="宋体" w:hAnsi="宋体"/>
                <w:color w:val="000000"/>
                <w:sz w:val="24"/>
                <w:highlight w:val="none"/>
              </w:rPr>
            </w:pPr>
          </w:p>
        </w:tc>
        <w:tc>
          <w:tcPr>
            <w:tcW w:w="2133" w:type="dxa"/>
            <w:noWrap w:val="0"/>
            <w:vAlign w:val="top"/>
          </w:tcPr>
          <w:p w14:paraId="5C8FE13D">
            <w:pPr>
              <w:spacing w:line="360" w:lineRule="auto"/>
              <w:jc w:val="center"/>
              <w:rPr>
                <w:rFonts w:ascii="宋体" w:hAnsi="宋体"/>
                <w:color w:val="000000"/>
                <w:sz w:val="24"/>
                <w:highlight w:val="none"/>
              </w:rPr>
            </w:pPr>
          </w:p>
        </w:tc>
      </w:tr>
    </w:tbl>
    <w:p w14:paraId="1D49254C">
      <w:pPr>
        <w:widowControl/>
        <w:spacing w:line="360" w:lineRule="auto"/>
        <w:jc w:val="left"/>
        <w:rPr>
          <w:rFonts w:ascii="宋体" w:hAnsi="宋体"/>
          <w:color w:val="000000"/>
          <w:spacing w:val="20"/>
          <w:sz w:val="24"/>
          <w:highlight w:val="none"/>
          <w:lang w:val="zh-CN"/>
        </w:rPr>
      </w:pPr>
    </w:p>
    <w:p w14:paraId="63C08725">
      <w:pPr>
        <w:widowControl/>
        <w:spacing w:line="360" w:lineRule="auto"/>
        <w:jc w:val="left"/>
        <w:rPr>
          <w:rFonts w:ascii="宋体" w:hAnsi="宋体"/>
          <w:color w:val="000000"/>
          <w:spacing w:val="20"/>
          <w:sz w:val="24"/>
          <w:highlight w:val="none"/>
          <w:lang w:val="zh-CN"/>
        </w:rPr>
      </w:pPr>
    </w:p>
    <w:p w14:paraId="2684BABA">
      <w:pPr>
        <w:widowControl/>
        <w:spacing w:line="360" w:lineRule="auto"/>
        <w:jc w:val="left"/>
        <w:rPr>
          <w:rFonts w:ascii="宋体" w:hAnsi="宋体"/>
          <w:color w:val="000000"/>
          <w:spacing w:val="20"/>
          <w:sz w:val="24"/>
          <w:highlight w:val="none"/>
          <w:lang w:val="zh-CN"/>
        </w:rPr>
      </w:pPr>
      <w:r>
        <w:rPr>
          <w:rFonts w:hint="eastAsia" w:ascii="宋体" w:hAnsi="宋体"/>
          <w:color w:val="000000"/>
          <w:spacing w:val="20"/>
          <w:sz w:val="24"/>
          <w:highlight w:val="none"/>
          <w:lang w:val="zh-CN"/>
        </w:rPr>
        <w:t>法定代表人或代理人：（签字或盖章）</w:t>
      </w:r>
    </w:p>
    <w:p w14:paraId="5768553C">
      <w:pPr>
        <w:widowControl/>
        <w:spacing w:line="360" w:lineRule="auto"/>
        <w:jc w:val="left"/>
        <w:rPr>
          <w:rFonts w:ascii="宋体" w:hAnsi="宋体"/>
          <w:color w:val="000000"/>
          <w:spacing w:val="20"/>
          <w:sz w:val="24"/>
          <w:highlight w:val="none"/>
          <w:lang w:val="zh-CN"/>
        </w:rPr>
      </w:pPr>
      <w:r>
        <w:rPr>
          <w:rFonts w:hint="eastAsia" w:ascii="宋体" w:hAnsi="宋体"/>
          <w:color w:val="000000"/>
          <w:spacing w:val="20"/>
          <w:sz w:val="24"/>
          <w:highlight w:val="none"/>
          <w:lang w:val="zh-CN"/>
        </w:rPr>
        <w:t>日期：</w:t>
      </w:r>
      <w:r>
        <w:rPr>
          <w:rFonts w:ascii="宋体" w:hAnsi="宋体"/>
          <w:color w:val="000000"/>
          <w:spacing w:val="20"/>
          <w:sz w:val="24"/>
          <w:highlight w:val="none"/>
          <w:lang w:val="zh-CN"/>
        </w:rPr>
        <w:t xml:space="preserve">   </w:t>
      </w:r>
      <w:r>
        <w:rPr>
          <w:rFonts w:hint="eastAsia" w:ascii="宋体" w:hAnsi="宋体"/>
          <w:color w:val="000000"/>
          <w:spacing w:val="20"/>
          <w:sz w:val="24"/>
          <w:highlight w:val="none"/>
          <w:lang w:val="zh-CN"/>
        </w:rPr>
        <w:t>年</w:t>
      </w:r>
      <w:r>
        <w:rPr>
          <w:rFonts w:ascii="宋体" w:hAnsi="宋体"/>
          <w:color w:val="000000"/>
          <w:spacing w:val="20"/>
          <w:sz w:val="24"/>
          <w:highlight w:val="none"/>
          <w:lang w:val="zh-CN"/>
        </w:rPr>
        <w:t xml:space="preserve">    </w:t>
      </w:r>
      <w:r>
        <w:rPr>
          <w:rFonts w:hint="eastAsia" w:ascii="宋体" w:hAnsi="宋体"/>
          <w:color w:val="000000"/>
          <w:spacing w:val="20"/>
          <w:sz w:val="24"/>
          <w:highlight w:val="none"/>
          <w:lang w:val="zh-CN"/>
        </w:rPr>
        <w:t>月</w:t>
      </w:r>
      <w:r>
        <w:rPr>
          <w:rFonts w:ascii="宋体" w:hAnsi="宋体"/>
          <w:color w:val="000000"/>
          <w:spacing w:val="20"/>
          <w:sz w:val="24"/>
          <w:highlight w:val="none"/>
          <w:lang w:val="zh-CN"/>
        </w:rPr>
        <w:t xml:space="preserve">    </w:t>
      </w:r>
      <w:r>
        <w:rPr>
          <w:rFonts w:hint="eastAsia" w:ascii="宋体" w:hAnsi="宋体"/>
          <w:color w:val="000000"/>
          <w:spacing w:val="20"/>
          <w:sz w:val="24"/>
          <w:highlight w:val="none"/>
          <w:lang w:val="zh-CN"/>
        </w:rPr>
        <w:t>日</w:t>
      </w:r>
    </w:p>
    <w:p w14:paraId="45DD5409">
      <w:pPr>
        <w:pStyle w:val="15"/>
        <w:spacing w:line="360" w:lineRule="auto"/>
        <w:ind w:firstLine="480"/>
        <w:rPr>
          <w:rFonts w:hint="eastAsia" w:hAnsi="宋体" w:eastAsia="宋体"/>
          <w:color w:val="000000"/>
          <w:sz w:val="24"/>
          <w:szCs w:val="24"/>
          <w:highlight w:val="none"/>
        </w:rPr>
      </w:pPr>
    </w:p>
    <w:p w14:paraId="36974157">
      <w:pPr>
        <w:widowControl/>
        <w:spacing w:line="360" w:lineRule="auto"/>
        <w:rPr>
          <w:rFonts w:ascii="宋体" w:hAnsi="宋体"/>
          <w:b/>
          <w:color w:val="000000"/>
          <w:sz w:val="24"/>
          <w:highlight w:val="none"/>
        </w:rPr>
      </w:pPr>
      <w:r>
        <w:rPr>
          <w:rFonts w:hAnsi="宋体"/>
          <w:b/>
          <w:bCs/>
          <w:color w:val="000000"/>
          <w:highlight w:val="none"/>
        </w:rPr>
        <w:br w:type="page" w:clear="all"/>
      </w:r>
      <w:r>
        <w:rPr>
          <w:rFonts w:hint="eastAsia" w:ascii="宋体" w:hAnsi="宋体"/>
          <w:color w:val="000000"/>
          <w:sz w:val="24"/>
          <w:highlight w:val="none"/>
        </w:rPr>
        <w:t>附件1</w:t>
      </w:r>
      <w:r>
        <w:rPr>
          <w:rFonts w:hint="eastAsia" w:ascii="宋体" w:hAnsi="宋体"/>
          <w:color w:val="000000"/>
          <w:sz w:val="24"/>
          <w:highlight w:val="none"/>
          <w:lang w:val="en-US" w:eastAsia="zh-CN"/>
        </w:rPr>
        <w:t>1</w:t>
      </w:r>
      <w:r>
        <w:rPr>
          <w:rFonts w:hint="eastAsia" w:ascii="宋体" w:hAnsi="宋体"/>
          <w:color w:val="000000"/>
          <w:sz w:val="24"/>
          <w:highlight w:val="none"/>
        </w:rPr>
        <w:t>：</w:t>
      </w:r>
      <w:r>
        <w:rPr>
          <w:rFonts w:hint="eastAsia" w:ascii="宋体" w:hAnsi="宋体"/>
          <w:b/>
          <w:color w:val="000000"/>
          <w:sz w:val="24"/>
          <w:highlight w:val="none"/>
          <w:lang w:val="en-US" w:eastAsia="zh-CN"/>
        </w:rPr>
        <w:t>技术</w:t>
      </w:r>
      <w:r>
        <w:rPr>
          <w:rFonts w:hint="eastAsia" w:ascii="宋体" w:hAnsi="宋体"/>
          <w:b/>
          <w:color w:val="000000"/>
          <w:sz w:val="24"/>
          <w:highlight w:val="none"/>
        </w:rPr>
        <w:t>要求偏离表</w:t>
      </w:r>
    </w:p>
    <w:p w14:paraId="7824BB48">
      <w:pPr>
        <w:widowControl/>
        <w:spacing w:line="360" w:lineRule="auto"/>
        <w:ind w:firstLine="750"/>
        <w:jc w:val="left"/>
        <w:rPr>
          <w:rFonts w:ascii="宋体" w:hAnsi="宋体"/>
          <w:color w:val="000000"/>
          <w:sz w:val="24"/>
          <w:highlight w:val="none"/>
        </w:rPr>
      </w:pPr>
      <w:r>
        <w:rPr>
          <w:rFonts w:hint="eastAsia" w:ascii="宋体" w:hAnsi="宋体"/>
          <w:color w:val="000000"/>
          <w:spacing w:val="20"/>
          <w:sz w:val="24"/>
          <w:highlight w:val="none"/>
          <w:lang w:val="zh-CN"/>
        </w:rPr>
        <w:t xml:space="preserve">单位名称（盖章）： </w:t>
      </w:r>
      <w:r>
        <w:rPr>
          <w:rFonts w:ascii="宋体" w:hAnsi="宋体"/>
          <w:color w:val="000000"/>
          <w:spacing w:val="20"/>
          <w:sz w:val="24"/>
          <w:highlight w:val="none"/>
          <w:lang w:val="zh-CN"/>
        </w:rPr>
        <w:t xml:space="preserve">                       </w:t>
      </w:r>
      <w:r>
        <w:rPr>
          <w:rFonts w:hint="eastAsia" w:ascii="宋体" w:hAnsi="宋体"/>
          <w:color w:val="000000"/>
          <w:sz w:val="24"/>
          <w:highlight w:val="none"/>
        </w:rPr>
        <w:t>采购编号∶</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1683"/>
        <w:gridCol w:w="2051"/>
        <w:gridCol w:w="2052"/>
        <w:gridCol w:w="2052"/>
      </w:tblGrid>
      <w:tr w14:paraId="37A66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958" w:type="dxa"/>
            <w:noWrap w:val="0"/>
            <w:vAlign w:val="center"/>
          </w:tcPr>
          <w:p w14:paraId="3687236B">
            <w:pPr>
              <w:widowControl/>
              <w:spacing w:line="360" w:lineRule="auto"/>
              <w:jc w:val="center"/>
              <w:rPr>
                <w:rFonts w:ascii="宋体" w:hAnsi="宋体"/>
                <w:color w:val="000000"/>
                <w:sz w:val="24"/>
                <w:highlight w:val="none"/>
              </w:rPr>
            </w:pPr>
            <w:r>
              <w:rPr>
                <w:rFonts w:hint="eastAsia" w:ascii="宋体" w:hAnsi="宋体"/>
                <w:color w:val="000000"/>
                <w:sz w:val="24"/>
                <w:highlight w:val="none"/>
              </w:rPr>
              <w:t>序号</w:t>
            </w:r>
          </w:p>
        </w:tc>
        <w:tc>
          <w:tcPr>
            <w:tcW w:w="1683" w:type="dxa"/>
            <w:noWrap w:val="0"/>
            <w:vAlign w:val="center"/>
          </w:tcPr>
          <w:p w14:paraId="262F464B">
            <w:pPr>
              <w:spacing w:line="360" w:lineRule="auto"/>
              <w:ind w:left="54"/>
              <w:jc w:val="center"/>
              <w:rPr>
                <w:rFonts w:ascii="宋体" w:hAnsi="宋体"/>
                <w:color w:val="000000"/>
                <w:sz w:val="24"/>
                <w:highlight w:val="none"/>
              </w:rPr>
            </w:pPr>
            <w:r>
              <w:rPr>
                <w:rFonts w:hint="eastAsia" w:ascii="宋体" w:hAnsi="宋体"/>
                <w:color w:val="000000"/>
                <w:sz w:val="24"/>
                <w:highlight w:val="none"/>
              </w:rPr>
              <w:t>项目</w:t>
            </w:r>
          </w:p>
        </w:tc>
        <w:tc>
          <w:tcPr>
            <w:tcW w:w="2051" w:type="dxa"/>
            <w:noWrap w:val="0"/>
            <w:vAlign w:val="center"/>
          </w:tcPr>
          <w:p w14:paraId="0B55091E">
            <w:pPr>
              <w:spacing w:line="360" w:lineRule="auto"/>
              <w:jc w:val="center"/>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要求</w:t>
            </w:r>
          </w:p>
        </w:tc>
        <w:tc>
          <w:tcPr>
            <w:tcW w:w="2052" w:type="dxa"/>
            <w:noWrap w:val="0"/>
            <w:vAlign w:val="center"/>
          </w:tcPr>
          <w:p w14:paraId="15DEEAC2">
            <w:pPr>
              <w:spacing w:line="360" w:lineRule="auto"/>
              <w:jc w:val="center"/>
              <w:rPr>
                <w:rFonts w:ascii="宋体" w:hAnsi="宋体"/>
                <w:color w:val="000000"/>
                <w:sz w:val="24"/>
                <w:highlight w:val="none"/>
              </w:rPr>
            </w:pPr>
            <w:r>
              <w:rPr>
                <w:rFonts w:hint="eastAsia" w:ascii="宋体" w:hAnsi="宋体"/>
                <w:color w:val="000000"/>
                <w:sz w:val="24"/>
                <w:highlight w:val="none"/>
              </w:rPr>
              <w:t>响应情况</w:t>
            </w:r>
          </w:p>
        </w:tc>
        <w:tc>
          <w:tcPr>
            <w:tcW w:w="2052" w:type="dxa"/>
            <w:noWrap w:val="0"/>
            <w:vAlign w:val="center"/>
          </w:tcPr>
          <w:p w14:paraId="4C01843E">
            <w:pPr>
              <w:spacing w:line="360" w:lineRule="auto"/>
              <w:jc w:val="center"/>
              <w:rPr>
                <w:rFonts w:ascii="宋体" w:hAnsi="宋体"/>
                <w:color w:val="000000"/>
                <w:sz w:val="24"/>
                <w:highlight w:val="none"/>
              </w:rPr>
            </w:pPr>
            <w:r>
              <w:rPr>
                <w:rFonts w:ascii="宋体" w:hAnsi="宋体"/>
                <w:color w:val="000000"/>
                <w:sz w:val="24"/>
                <w:highlight w:val="none"/>
              </w:rPr>
              <w:t>偏离说明</w:t>
            </w:r>
          </w:p>
        </w:tc>
      </w:tr>
      <w:tr w14:paraId="6B9E8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noWrap w:val="0"/>
            <w:vAlign w:val="center"/>
          </w:tcPr>
          <w:p w14:paraId="1DF3E0C6">
            <w:pPr>
              <w:widowControl/>
              <w:spacing w:line="360" w:lineRule="auto"/>
              <w:jc w:val="center"/>
              <w:rPr>
                <w:rFonts w:ascii="宋体" w:hAnsi="宋体"/>
                <w:color w:val="000000"/>
                <w:sz w:val="24"/>
                <w:highlight w:val="none"/>
              </w:rPr>
            </w:pPr>
            <w:r>
              <w:rPr>
                <w:rFonts w:hint="eastAsia" w:ascii="宋体" w:hAnsi="宋体"/>
                <w:color w:val="000000"/>
                <w:sz w:val="24"/>
                <w:highlight w:val="none"/>
              </w:rPr>
              <w:t>1</w:t>
            </w:r>
          </w:p>
        </w:tc>
        <w:tc>
          <w:tcPr>
            <w:tcW w:w="1683" w:type="dxa"/>
            <w:noWrap w:val="0"/>
            <w:vAlign w:val="top"/>
          </w:tcPr>
          <w:p w14:paraId="62BB9585">
            <w:pPr>
              <w:spacing w:line="360" w:lineRule="auto"/>
              <w:ind w:firstLine="699"/>
              <w:jc w:val="center"/>
              <w:rPr>
                <w:rFonts w:ascii="宋体" w:hAnsi="宋体"/>
                <w:color w:val="000000"/>
                <w:sz w:val="24"/>
                <w:highlight w:val="none"/>
              </w:rPr>
            </w:pPr>
          </w:p>
        </w:tc>
        <w:tc>
          <w:tcPr>
            <w:tcW w:w="2051" w:type="dxa"/>
            <w:noWrap w:val="0"/>
            <w:vAlign w:val="top"/>
          </w:tcPr>
          <w:p w14:paraId="0990998B">
            <w:pPr>
              <w:spacing w:line="360" w:lineRule="auto"/>
              <w:ind w:firstLine="699"/>
              <w:jc w:val="center"/>
              <w:rPr>
                <w:rFonts w:ascii="宋体" w:hAnsi="宋体"/>
                <w:color w:val="000000"/>
                <w:sz w:val="24"/>
                <w:highlight w:val="none"/>
              </w:rPr>
            </w:pPr>
          </w:p>
        </w:tc>
        <w:tc>
          <w:tcPr>
            <w:tcW w:w="2052" w:type="dxa"/>
            <w:noWrap w:val="0"/>
            <w:vAlign w:val="top"/>
          </w:tcPr>
          <w:p w14:paraId="7049C49F">
            <w:pPr>
              <w:spacing w:line="360" w:lineRule="auto"/>
              <w:ind w:firstLine="699"/>
              <w:jc w:val="center"/>
              <w:rPr>
                <w:rFonts w:ascii="宋体" w:hAnsi="宋体"/>
                <w:color w:val="000000"/>
                <w:sz w:val="24"/>
                <w:highlight w:val="none"/>
              </w:rPr>
            </w:pPr>
          </w:p>
        </w:tc>
        <w:tc>
          <w:tcPr>
            <w:tcW w:w="2052" w:type="dxa"/>
            <w:noWrap w:val="0"/>
            <w:vAlign w:val="top"/>
          </w:tcPr>
          <w:p w14:paraId="3093A762">
            <w:pPr>
              <w:spacing w:line="360" w:lineRule="auto"/>
              <w:ind w:firstLine="699"/>
              <w:jc w:val="center"/>
              <w:rPr>
                <w:rFonts w:ascii="宋体" w:hAnsi="宋体"/>
                <w:color w:val="000000"/>
                <w:sz w:val="24"/>
                <w:highlight w:val="none"/>
              </w:rPr>
            </w:pPr>
          </w:p>
        </w:tc>
      </w:tr>
      <w:tr w14:paraId="089DF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noWrap w:val="0"/>
            <w:vAlign w:val="center"/>
          </w:tcPr>
          <w:p w14:paraId="487AB8A1">
            <w:pPr>
              <w:widowControl/>
              <w:spacing w:line="360" w:lineRule="auto"/>
              <w:jc w:val="center"/>
              <w:rPr>
                <w:rFonts w:ascii="宋体" w:hAnsi="宋体"/>
                <w:color w:val="000000"/>
                <w:sz w:val="24"/>
                <w:highlight w:val="none"/>
              </w:rPr>
            </w:pPr>
            <w:r>
              <w:rPr>
                <w:rFonts w:hint="eastAsia" w:ascii="宋体" w:hAnsi="宋体"/>
                <w:color w:val="000000"/>
                <w:sz w:val="24"/>
                <w:highlight w:val="none"/>
              </w:rPr>
              <w:t>2</w:t>
            </w:r>
          </w:p>
        </w:tc>
        <w:tc>
          <w:tcPr>
            <w:tcW w:w="1683" w:type="dxa"/>
            <w:noWrap w:val="0"/>
            <w:vAlign w:val="top"/>
          </w:tcPr>
          <w:p w14:paraId="4CD1BFFD">
            <w:pPr>
              <w:spacing w:line="360" w:lineRule="auto"/>
              <w:ind w:firstLine="699"/>
              <w:jc w:val="center"/>
              <w:rPr>
                <w:rFonts w:ascii="宋体" w:hAnsi="宋体"/>
                <w:color w:val="000000"/>
                <w:sz w:val="24"/>
                <w:highlight w:val="none"/>
              </w:rPr>
            </w:pPr>
          </w:p>
        </w:tc>
        <w:tc>
          <w:tcPr>
            <w:tcW w:w="2051" w:type="dxa"/>
            <w:noWrap w:val="0"/>
            <w:vAlign w:val="top"/>
          </w:tcPr>
          <w:p w14:paraId="42689BA3">
            <w:pPr>
              <w:spacing w:line="360" w:lineRule="auto"/>
              <w:ind w:firstLine="699"/>
              <w:jc w:val="center"/>
              <w:rPr>
                <w:rFonts w:ascii="宋体" w:hAnsi="宋体"/>
                <w:color w:val="000000"/>
                <w:sz w:val="24"/>
                <w:highlight w:val="none"/>
              </w:rPr>
            </w:pPr>
          </w:p>
        </w:tc>
        <w:tc>
          <w:tcPr>
            <w:tcW w:w="2052" w:type="dxa"/>
            <w:noWrap w:val="0"/>
            <w:vAlign w:val="top"/>
          </w:tcPr>
          <w:p w14:paraId="297E7C08">
            <w:pPr>
              <w:spacing w:line="360" w:lineRule="auto"/>
              <w:ind w:firstLine="699"/>
              <w:jc w:val="center"/>
              <w:rPr>
                <w:rFonts w:ascii="宋体" w:hAnsi="宋体"/>
                <w:color w:val="000000"/>
                <w:sz w:val="24"/>
                <w:highlight w:val="none"/>
              </w:rPr>
            </w:pPr>
          </w:p>
        </w:tc>
        <w:tc>
          <w:tcPr>
            <w:tcW w:w="2052" w:type="dxa"/>
            <w:noWrap w:val="0"/>
            <w:vAlign w:val="top"/>
          </w:tcPr>
          <w:p w14:paraId="43D16125">
            <w:pPr>
              <w:spacing w:line="360" w:lineRule="auto"/>
              <w:ind w:firstLine="699"/>
              <w:jc w:val="center"/>
              <w:rPr>
                <w:rFonts w:ascii="宋体" w:hAnsi="宋体"/>
                <w:color w:val="000000"/>
                <w:sz w:val="24"/>
                <w:highlight w:val="none"/>
              </w:rPr>
            </w:pPr>
          </w:p>
        </w:tc>
      </w:tr>
      <w:tr w14:paraId="1AAC2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noWrap w:val="0"/>
            <w:vAlign w:val="center"/>
          </w:tcPr>
          <w:p w14:paraId="09F2B17D">
            <w:pPr>
              <w:widowControl/>
              <w:spacing w:line="360" w:lineRule="auto"/>
              <w:jc w:val="center"/>
              <w:rPr>
                <w:rFonts w:ascii="宋体" w:hAnsi="宋体"/>
                <w:color w:val="000000"/>
                <w:sz w:val="24"/>
                <w:highlight w:val="none"/>
              </w:rPr>
            </w:pPr>
            <w:r>
              <w:rPr>
                <w:rFonts w:hint="eastAsia" w:ascii="宋体" w:hAnsi="宋体"/>
                <w:color w:val="000000"/>
                <w:sz w:val="24"/>
                <w:highlight w:val="none"/>
              </w:rPr>
              <w:t>3</w:t>
            </w:r>
          </w:p>
        </w:tc>
        <w:tc>
          <w:tcPr>
            <w:tcW w:w="1683" w:type="dxa"/>
            <w:noWrap w:val="0"/>
            <w:vAlign w:val="top"/>
          </w:tcPr>
          <w:p w14:paraId="7735BC85">
            <w:pPr>
              <w:spacing w:line="360" w:lineRule="auto"/>
              <w:ind w:firstLine="699"/>
              <w:jc w:val="center"/>
              <w:rPr>
                <w:rFonts w:ascii="宋体" w:hAnsi="宋体"/>
                <w:color w:val="000000"/>
                <w:sz w:val="24"/>
                <w:highlight w:val="none"/>
              </w:rPr>
            </w:pPr>
          </w:p>
        </w:tc>
        <w:tc>
          <w:tcPr>
            <w:tcW w:w="2051" w:type="dxa"/>
            <w:noWrap w:val="0"/>
            <w:vAlign w:val="top"/>
          </w:tcPr>
          <w:p w14:paraId="346400E9">
            <w:pPr>
              <w:spacing w:line="360" w:lineRule="auto"/>
              <w:ind w:firstLine="699"/>
              <w:jc w:val="center"/>
              <w:rPr>
                <w:rFonts w:ascii="宋体" w:hAnsi="宋体"/>
                <w:color w:val="000000"/>
                <w:sz w:val="24"/>
                <w:highlight w:val="none"/>
              </w:rPr>
            </w:pPr>
          </w:p>
        </w:tc>
        <w:tc>
          <w:tcPr>
            <w:tcW w:w="2052" w:type="dxa"/>
            <w:noWrap w:val="0"/>
            <w:vAlign w:val="top"/>
          </w:tcPr>
          <w:p w14:paraId="2929CD08">
            <w:pPr>
              <w:spacing w:line="360" w:lineRule="auto"/>
              <w:ind w:firstLine="699"/>
              <w:jc w:val="center"/>
              <w:rPr>
                <w:rFonts w:ascii="宋体" w:hAnsi="宋体"/>
                <w:color w:val="000000"/>
                <w:sz w:val="24"/>
                <w:highlight w:val="none"/>
              </w:rPr>
            </w:pPr>
          </w:p>
        </w:tc>
        <w:tc>
          <w:tcPr>
            <w:tcW w:w="2052" w:type="dxa"/>
            <w:noWrap w:val="0"/>
            <w:vAlign w:val="top"/>
          </w:tcPr>
          <w:p w14:paraId="310938B3">
            <w:pPr>
              <w:spacing w:line="360" w:lineRule="auto"/>
              <w:ind w:firstLine="699"/>
              <w:jc w:val="center"/>
              <w:rPr>
                <w:rFonts w:ascii="宋体" w:hAnsi="宋体"/>
                <w:color w:val="000000"/>
                <w:sz w:val="24"/>
                <w:highlight w:val="none"/>
              </w:rPr>
            </w:pPr>
          </w:p>
        </w:tc>
      </w:tr>
      <w:tr w14:paraId="058B4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noWrap w:val="0"/>
            <w:vAlign w:val="center"/>
          </w:tcPr>
          <w:p w14:paraId="401EE4E9">
            <w:pPr>
              <w:widowControl/>
              <w:spacing w:line="360" w:lineRule="auto"/>
              <w:jc w:val="center"/>
              <w:rPr>
                <w:rFonts w:ascii="宋体" w:hAnsi="宋体"/>
                <w:color w:val="000000"/>
                <w:sz w:val="24"/>
                <w:highlight w:val="none"/>
              </w:rPr>
            </w:pPr>
            <w:r>
              <w:rPr>
                <w:rFonts w:hint="eastAsia" w:ascii="宋体" w:hAnsi="宋体"/>
                <w:color w:val="000000"/>
                <w:sz w:val="24"/>
                <w:highlight w:val="none"/>
              </w:rPr>
              <w:t>4</w:t>
            </w:r>
          </w:p>
        </w:tc>
        <w:tc>
          <w:tcPr>
            <w:tcW w:w="1683" w:type="dxa"/>
            <w:noWrap w:val="0"/>
            <w:vAlign w:val="top"/>
          </w:tcPr>
          <w:p w14:paraId="23D908AA">
            <w:pPr>
              <w:spacing w:line="360" w:lineRule="auto"/>
              <w:ind w:firstLine="699"/>
              <w:jc w:val="center"/>
              <w:rPr>
                <w:rFonts w:ascii="宋体" w:hAnsi="宋体"/>
                <w:color w:val="000000"/>
                <w:sz w:val="24"/>
                <w:highlight w:val="none"/>
              </w:rPr>
            </w:pPr>
          </w:p>
        </w:tc>
        <w:tc>
          <w:tcPr>
            <w:tcW w:w="2051" w:type="dxa"/>
            <w:noWrap w:val="0"/>
            <w:vAlign w:val="top"/>
          </w:tcPr>
          <w:p w14:paraId="507ACE5F">
            <w:pPr>
              <w:spacing w:line="360" w:lineRule="auto"/>
              <w:ind w:firstLine="699"/>
              <w:jc w:val="center"/>
              <w:rPr>
                <w:rFonts w:ascii="宋体" w:hAnsi="宋体"/>
                <w:color w:val="000000"/>
                <w:sz w:val="24"/>
                <w:highlight w:val="none"/>
              </w:rPr>
            </w:pPr>
          </w:p>
        </w:tc>
        <w:tc>
          <w:tcPr>
            <w:tcW w:w="2052" w:type="dxa"/>
            <w:noWrap w:val="0"/>
            <w:vAlign w:val="top"/>
          </w:tcPr>
          <w:p w14:paraId="3828EDCE">
            <w:pPr>
              <w:spacing w:line="360" w:lineRule="auto"/>
              <w:ind w:firstLine="699"/>
              <w:jc w:val="center"/>
              <w:rPr>
                <w:rFonts w:ascii="宋体" w:hAnsi="宋体"/>
                <w:color w:val="000000"/>
                <w:sz w:val="24"/>
                <w:highlight w:val="none"/>
              </w:rPr>
            </w:pPr>
          </w:p>
        </w:tc>
        <w:tc>
          <w:tcPr>
            <w:tcW w:w="2052" w:type="dxa"/>
            <w:noWrap w:val="0"/>
            <w:vAlign w:val="top"/>
          </w:tcPr>
          <w:p w14:paraId="20C48562">
            <w:pPr>
              <w:spacing w:line="360" w:lineRule="auto"/>
              <w:ind w:firstLine="699"/>
              <w:jc w:val="center"/>
              <w:rPr>
                <w:rFonts w:ascii="宋体" w:hAnsi="宋体"/>
                <w:color w:val="000000"/>
                <w:sz w:val="24"/>
                <w:highlight w:val="none"/>
              </w:rPr>
            </w:pPr>
          </w:p>
        </w:tc>
      </w:tr>
      <w:tr w14:paraId="020D0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noWrap w:val="0"/>
            <w:vAlign w:val="center"/>
          </w:tcPr>
          <w:p w14:paraId="437703D6">
            <w:pPr>
              <w:widowControl/>
              <w:spacing w:line="360" w:lineRule="auto"/>
              <w:jc w:val="center"/>
              <w:rPr>
                <w:rFonts w:ascii="宋体" w:hAnsi="宋体"/>
                <w:color w:val="000000"/>
                <w:sz w:val="24"/>
                <w:highlight w:val="none"/>
              </w:rPr>
            </w:pPr>
            <w:r>
              <w:rPr>
                <w:rFonts w:hint="eastAsia" w:ascii="宋体" w:hAnsi="宋体"/>
                <w:color w:val="000000"/>
                <w:sz w:val="24"/>
                <w:highlight w:val="none"/>
              </w:rPr>
              <w:t>5</w:t>
            </w:r>
          </w:p>
        </w:tc>
        <w:tc>
          <w:tcPr>
            <w:tcW w:w="1683" w:type="dxa"/>
            <w:noWrap w:val="0"/>
            <w:vAlign w:val="top"/>
          </w:tcPr>
          <w:p w14:paraId="28EBC2F5">
            <w:pPr>
              <w:spacing w:line="360" w:lineRule="auto"/>
              <w:ind w:firstLine="699"/>
              <w:jc w:val="center"/>
              <w:rPr>
                <w:rFonts w:ascii="宋体" w:hAnsi="宋体"/>
                <w:color w:val="000000"/>
                <w:sz w:val="24"/>
                <w:highlight w:val="none"/>
              </w:rPr>
            </w:pPr>
          </w:p>
        </w:tc>
        <w:tc>
          <w:tcPr>
            <w:tcW w:w="2051" w:type="dxa"/>
            <w:noWrap w:val="0"/>
            <w:vAlign w:val="top"/>
          </w:tcPr>
          <w:p w14:paraId="3C437516">
            <w:pPr>
              <w:spacing w:line="360" w:lineRule="auto"/>
              <w:ind w:firstLine="699"/>
              <w:jc w:val="center"/>
              <w:rPr>
                <w:rFonts w:ascii="宋体" w:hAnsi="宋体"/>
                <w:color w:val="000000"/>
                <w:sz w:val="24"/>
                <w:highlight w:val="none"/>
              </w:rPr>
            </w:pPr>
          </w:p>
        </w:tc>
        <w:tc>
          <w:tcPr>
            <w:tcW w:w="2052" w:type="dxa"/>
            <w:noWrap w:val="0"/>
            <w:vAlign w:val="top"/>
          </w:tcPr>
          <w:p w14:paraId="2D07064F">
            <w:pPr>
              <w:spacing w:line="360" w:lineRule="auto"/>
              <w:ind w:firstLine="699"/>
              <w:jc w:val="center"/>
              <w:rPr>
                <w:rFonts w:ascii="宋体" w:hAnsi="宋体"/>
                <w:color w:val="000000"/>
                <w:sz w:val="24"/>
                <w:highlight w:val="none"/>
              </w:rPr>
            </w:pPr>
          </w:p>
        </w:tc>
        <w:tc>
          <w:tcPr>
            <w:tcW w:w="2052" w:type="dxa"/>
            <w:noWrap w:val="0"/>
            <w:vAlign w:val="top"/>
          </w:tcPr>
          <w:p w14:paraId="6012F228">
            <w:pPr>
              <w:spacing w:line="360" w:lineRule="auto"/>
              <w:ind w:firstLine="699"/>
              <w:jc w:val="center"/>
              <w:rPr>
                <w:rFonts w:ascii="宋体" w:hAnsi="宋体"/>
                <w:color w:val="000000"/>
                <w:sz w:val="24"/>
                <w:highlight w:val="none"/>
              </w:rPr>
            </w:pPr>
          </w:p>
        </w:tc>
      </w:tr>
    </w:tbl>
    <w:p w14:paraId="51F28F59">
      <w:pPr>
        <w:widowControl/>
        <w:spacing w:line="360" w:lineRule="auto"/>
        <w:jc w:val="left"/>
        <w:rPr>
          <w:rFonts w:ascii="宋体" w:hAnsi="宋体"/>
          <w:color w:val="000000"/>
          <w:spacing w:val="20"/>
          <w:sz w:val="24"/>
          <w:highlight w:val="none"/>
          <w:lang w:val="zh-CN"/>
        </w:rPr>
      </w:pPr>
    </w:p>
    <w:p w14:paraId="54210FB6">
      <w:pPr>
        <w:widowControl/>
        <w:spacing w:line="360" w:lineRule="auto"/>
        <w:ind w:firstLine="375"/>
        <w:jc w:val="left"/>
        <w:rPr>
          <w:rFonts w:ascii="宋体" w:hAnsi="宋体"/>
          <w:color w:val="000000"/>
          <w:spacing w:val="20"/>
          <w:sz w:val="24"/>
          <w:highlight w:val="none"/>
          <w:lang w:val="zh-CN"/>
        </w:rPr>
      </w:pPr>
      <w:r>
        <w:rPr>
          <w:rFonts w:hint="eastAsia" w:ascii="宋体" w:hAnsi="宋体"/>
          <w:color w:val="000000"/>
          <w:spacing w:val="20"/>
          <w:sz w:val="24"/>
          <w:highlight w:val="none"/>
          <w:lang w:val="zh-CN"/>
        </w:rPr>
        <w:t>法定代表人或代理人：（签字或盖章）</w:t>
      </w:r>
    </w:p>
    <w:p w14:paraId="4099E84E">
      <w:pPr>
        <w:spacing w:line="360" w:lineRule="auto"/>
        <w:ind w:firstLine="420"/>
        <w:rPr>
          <w:rFonts w:ascii="宋体" w:hAnsi="宋体"/>
          <w:color w:val="000000"/>
          <w:sz w:val="24"/>
          <w:highlight w:val="none"/>
        </w:rPr>
      </w:pPr>
      <w:r>
        <w:rPr>
          <w:rFonts w:hint="eastAsia" w:ascii="宋体" w:hAnsi="宋体"/>
          <w:color w:val="000000"/>
          <w:spacing w:val="20"/>
          <w:sz w:val="24"/>
          <w:highlight w:val="none"/>
          <w:lang w:val="zh-CN"/>
        </w:rPr>
        <w:t>日期：</w:t>
      </w:r>
      <w:r>
        <w:rPr>
          <w:rFonts w:ascii="宋体" w:hAnsi="宋体"/>
          <w:color w:val="000000"/>
          <w:spacing w:val="20"/>
          <w:sz w:val="24"/>
          <w:highlight w:val="none"/>
          <w:lang w:val="zh-CN"/>
        </w:rPr>
        <w:t xml:space="preserve">   </w:t>
      </w:r>
      <w:r>
        <w:rPr>
          <w:rFonts w:hint="eastAsia" w:ascii="宋体" w:hAnsi="宋体"/>
          <w:color w:val="000000"/>
          <w:spacing w:val="20"/>
          <w:sz w:val="24"/>
          <w:highlight w:val="none"/>
          <w:lang w:val="zh-CN"/>
        </w:rPr>
        <w:t>年</w:t>
      </w:r>
      <w:r>
        <w:rPr>
          <w:rFonts w:ascii="宋体" w:hAnsi="宋体"/>
          <w:color w:val="000000"/>
          <w:spacing w:val="20"/>
          <w:sz w:val="24"/>
          <w:highlight w:val="none"/>
          <w:lang w:val="zh-CN"/>
        </w:rPr>
        <w:t xml:space="preserve">   </w:t>
      </w:r>
      <w:r>
        <w:rPr>
          <w:rFonts w:hint="eastAsia" w:ascii="宋体" w:hAnsi="宋体"/>
          <w:color w:val="000000"/>
          <w:spacing w:val="20"/>
          <w:sz w:val="24"/>
          <w:highlight w:val="none"/>
          <w:lang w:val="zh-CN"/>
        </w:rPr>
        <w:t>月</w:t>
      </w:r>
      <w:r>
        <w:rPr>
          <w:rFonts w:ascii="宋体" w:hAnsi="宋体"/>
          <w:color w:val="000000"/>
          <w:spacing w:val="20"/>
          <w:sz w:val="24"/>
          <w:highlight w:val="none"/>
          <w:lang w:val="zh-CN"/>
        </w:rPr>
        <w:t xml:space="preserve">   </w:t>
      </w:r>
      <w:r>
        <w:rPr>
          <w:rFonts w:hint="eastAsia" w:ascii="宋体" w:hAnsi="宋体"/>
          <w:color w:val="000000"/>
          <w:spacing w:val="20"/>
          <w:sz w:val="24"/>
          <w:highlight w:val="none"/>
          <w:lang w:val="zh-CN"/>
        </w:rPr>
        <w:t>日</w:t>
      </w:r>
    </w:p>
    <w:p w14:paraId="1E6606A2">
      <w:pPr>
        <w:widowControl/>
        <w:spacing w:line="360" w:lineRule="auto"/>
        <w:jc w:val="left"/>
        <w:rPr>
          <w:rFonts w:ascii="宋体" w:hAnsi="宋体"/>
          <w:b/>
          <w:color w:val="000000"/>
          <w:sz w:val="24"/>
          <w:highlight w:val="none"/>
        </w:rPr>
      </w:pPr>
      <w:r>
        <w:rPr>
          <w:rFonts w:hint="eastAsia" w:ascii="宋体" w:hAnsi="宋体"/>
          <w:color w:val="000000"/>
          <w:szCs w:val="21"/>
          <w:highlight w:val="none"/>
        </w:rPr>
        <w:br w:type="page" w:clear="all"/>
      </w:r>
      <w:r>
        <w:rPr>
          <w:rFonts w:hint="eastAsia" w:ascii="宋体" w:hAnsi="宋体"/>
          <w:color w:val="000000"/>
          <w:sz w:val="24"/>
          <w:highlight w:val="none"/>
        </w:rPr>
        <w:t>附件1</w:t>
      </w:r>
      <w:r>
        <w:rPr>
          <w:rFonts w:hint="eastAsia" w:ascii="宋体" w:hAnsi="宋体"/>
          <w:color w:val="000000"/>
          <w:sz w:val="24"/>
          <w:highlight w:val="none"/>
          <w:lang w:val="en-US" w:eastAsia="zh-CN"/>
        </w:rPr>
        <w:t>2</w:t>
      </w:r>
      <w:r>
        <w:rPr>
          <w:rFonts w:hint="eastAsia" w:ascii="宋体" w:hAnsi="宋体"/>
          <w:color w:val="000000"/>
          <w:sz w:val="24"/>
          <w:highlight w:val="none"/>
        </w:rPr>
        <w:t>：</w:t>
      </w:r>
      <w:r>
        <w:rPr>
          <w:color w:val="000000"/>
          <w:sz w:val="24"/>
          <w:highlight w:val="none"/>
        </w:rPr>
        <w:t xml:space="preserve"> </w:t>
      </w:r>
      <w:r>
        <w:rPr>
          <w:rFonts w:hint="eastAsia" w:ascii="宋体" w:hAnsi="宋体"/>
          <w:b/>
          <w:color w:val="000000"/>
          <w:sz w:val="24"/>
          <w:highlight w:val="none"/>
        </w:rPr>
        <w:t>中小企业声明函</w:t>
      </w:r>
    </w:p>
    <w:p w14:paraId="40D55B64">
      <w:pPr>
        <w:widowControl/>
        <w:spacing w:line="360" w:lineRule="auto"/>
        <w:jc w:val="left"/>
        <w:rPr>
          <w:rFonts w:ascii="宋体" w:hAnsi="宋体"/>
          <w:color w:val="000000"/>
          <w:sz w:val="24"/>
          <w:highlight w:val="none"/>
          <w:lang w:val="zh-CN"/>
        </w:rPr>
      </w:pPr>
    </w:p>
    <w:p w14:paraId="35BE724E">
      <w:pPr>
        <w:widowControl/>
        <w:spacing w:line="360" w:lineRule="auto"/>
        <w:jc w:val="center"/>
        <w:rPr>
          <w:rFonts w:ascii="宋体" w:hAnsi="宋体"/>
          <w:b/>
          <w:color w:val="000000"/>
          <w:sz w:val="24"/>
          <w:highlight w:val="none"/>
        </w:rPr>
      </w:pPr>
      <w:r>
        <w:rPr>
          <w:rFonts w:hint="eastAsia" w:ascii="宋体" w:hAnsi="宋体"/>
          <w:b/>
          <w:color w:val="000000"/>
          <w:sz w:val="24"/>
          <w:highlight w:val="none"/>
        </w:rPr>
        <w:t>中小企业声明函</w:t>
      </w:r>
    </w:p>
    <w:p w14:paraId="04D0BC85">
      <w:pPr>
        <w:widowControl/>
        <w:spacing w:line="360" w:lineRule="auto"/>
        <w:ind w:firstLine="840"/>
        <w:jc w:val="left"/>
        <w:rPr>
          <w:rFonts w:ascii="宋体" w:hAnsi="宋体" w:cs="仿宋"/>
          <w:color w:val="000000"/>
          <w:sz w:val="24"/>
          <w:highlight w:val="none"/>
        </w:rPr>
      </w:pPr>
      <w:r>
        <w:rPr>
          <w:rFonts w:hint="eastAsia" w:ascii="宋体" w:hAnsi="宋体" w:cs="仿宋"/>
          <w:color w:val="000000"/>
          <w:sz w:val="24"/>
          <w:highlight w:val="none"/>
        </w:rPr>
        <w:t>本公司（联合体）郑重声明，根据《政府采购促进中小企业发展管理办法》（财库</w:t>
      </w:r>
      <w:r>
        <w:rPr>
          <w:rFonts w:hint="eastAsia" w:ascii="宋体" w:hAnsi="宋体" w:cs="宋体"/>
          <w:color w:val="000000"/>
          <w:sz w:val="24"/>
          <w:highlight w:val="none"/>
        </w:rPr>
        <w:t>﹝</w:t>
      </w:r>
      <w:r>
        <w:rPr>
          <w:rFonts w:ascii="宋体" w:hAnsi="宋体" w:cs="仿宋"/>
          <w:color w:val="000000"/>
          <w:sz w:val="24"/>
          <w:highlight w:val="none"/>
        </w:rPr>
        <w:t>2020</w:t>
      </w:r>
      <w:r>
        <w:rPr>
          <w:rFonts w:hint="eastAsia" w:ascii="宋体" w:hAnsi="宋体" w:cs="宋体"/>
          <w:color w:val="000000"/>
          <w:sz w:val="24"/>
          <w:highlight w:val="none"/>
        </w:rPr>
        <w:t>﹞</w:t>
      </w:r>
      <w:r>
        <w:rPr>
          <w:rFonts w:ascii="宋体" w:hAnsi="宋体" w:cs="仿宋"/>
          <w:color w:val="000000"/>
          <w:sz w:val="24"/>
          <w:highlight w:val="none"/>
        </w:rPr>
        <w:t xml:space="preserve">46 </w:t>
      </w:r>
      <w:r>
        <w:rPr>
          <w:rFonts w:hint="eastAsia" w:ascii="宋体" w:hAnsi="宋体" w:cs="仿宋"/>
          <w:color w:val="000000"/>
          <w:sz w:val="24"/>
          <w:highlight w:val="none"/>
        </w:rPr>
        <w:t>号）的规定，本公司（联合体）参加</w:t>
      </w:r>
      <w:r>
        <w:rPr>
          <w:rFonts w:hint="eastAsia" w:ascii="宋体" w:hAnsi="宋体" w:cs="仿宋"/>
          <w:color w:val="000000"/>
          <w:sz w:val="24"/>
          <w:highlight w:val="none"/>
          <w:u w:val="single"/>
        </w:rPr>
        <w:t>（单位名称）</w:t>
      </w:r>
      <w:r>
        <w:rPr>
          <w:rFonts w:hint="eastAsia" w:ascii="宋体" w:hAnsi="宋体" w:cs="仿宋"/>
          <w:color w:val="000000"/>
          <w:sz w:val="24"/>
          <w:highlight w:val="none"/>
        </w:rPr>
        <w:t>的</w:t>
      </w:r>
      <w:r>
        <w:rPr>
          <w:rFonts w:hint="eastAsia" w:ascii="宋体" w:hAnsi="宋体" w:cs="仿宋"/>
          <w:color w:val="000000"/>
          <w:sz w:val="24"/>
          <w:highlight w:val="none"/>
          <w:u w:val="single"/>
        </w:rPr>
        <w:t>（项目名称）</w:t>
      </w:r>
      <w:r>
        <w:rPr>
          <w:rFonts w:hint="eastAsia" w:ascii="宋体" w:hAnsi="宋体" w:cs="仿宋"/>
          <w:color w:val="000000"/>
          <w:sz w:val="24"/>
          <w:highlight w:val="none"/>
        </w:rPr>
        <w:t>采购活动，服务全部由符合政策要求的中小企业承接 。相关企业（含联合体中的中小企业、签订分包意向协议的中小企业）的具体情况如下：</w:t>
      </w:r>
    </w:p>
    <w:p w14:paraId="5F7BED95">
      <w:pPr>
        <w:widowControl/>
        <w:spacing w:line="360" w:lineRule="auto"/>
        <w:ind w:firstLine="315"/>
        <w:jc w:val="left"/>
        <w:rPr>
          <w:rFonts w:ascii="宋体" w:hAnsi="宋体" w:cs="仿宋"/>
          <w:color w:val="000000"/>
          <w:sz w:val="24"/>
          <w:highlight w:val="none"/>
        </w:rPr>
      </w:pPr>
      <w:r>
        <w:rPr>
          <w:rFonts w:ascii="宋体" w:hAnsi="宋体" w:cs="仿宋"/>
          <w:color w:val="000000"/>
          <w:sz w:val="24"/>
          <w:highlight w:val="none"/>
        </w:rPr>
        <w:t xml:space="preserve">1. </w:t>
      </w:r>
      <w:r>
        <w:rPr>
          <w:rFonts w:hint="eastAsia" w:ascii="宋体" w:hAnsi="宋体" w:cs="仿宋"/>
          <w:color w:val="000000"/>
          <w:sz w:val="24"/>
          <w:highlight w:val="none"/>
          <w:u w:val="single"/>
        </w:rPr>
        <w:t>（标的名称）</w:t>
      </w:r>
      <w:r>
        <w:rPr>
          <w:rFonts w:ascii="宋体" w:hAnsi="宋体" w:cs="仿宋"/>
          <w:color w:val="000000"/>
          <w:sz w:val="24"/>
          <w:highlight w:val="none"/>
          <w:u w:val="single"/>
        </w:rPr>
        <w:t xml:space="preserve"> </w:t>
      </w:r>
      <w:r>
        <w:rPr>
          <w:rFonts w:hint="eastAsia" w:ascii="宋体" w:hAnsi="宋体" w:cs="仿宋"/>
          <w:color w:val="000000"/>
          <w:sz w:val="24"/>
          <w:highlight w:val="none"/>
        </w:rPr>
        <w:t>，属于</w:t>
      </w:r>
      <w:r>
        <w:rPr>
          <w:rFonts w:hint="eastAsia" w:ascii="宋体" w:hAnsi="宋体" w:cs="仿宋"/>
          <w:color w:val="000000"/>
          <w:sz w:val="24"/>
          <w:highlight w:val="none"/>
          <w:u w:val="single"/>
        </w:rPr>
        <w:t>（</w:t>
      </w:r>
      <w:r>
        <w:rPr>
          <w:rFonts w:hint="eastAsia" w:ascii="宋体" w:hAnsi="宋体" w:cs="仿宋"/>
          <w:color w:val="000000"/>
          <w:sz w:val="24"/>
          <w:highlight w:val="none"/>
          <w:u w:val="single"/>
          <w:lang w:eastAsia="zh-CN"/>
        </w:rPr>
        <w:t>软件和信息技术服务业</w:t>
      </w:r>
      <w:r>
        <w:rPr>
          <w:rFonts w:hint="eastAsia" w:ascii="宋体" w:hAnsi="宋体" w:cs="仿宋"/>
          <w:color w:val="000000"/>
          <w:sz w:val="24"/>
          <w:highlight w:val="none"/>
          <w:u w:val="single"/>
        </w:rPr>
        <w:t>）</w:t>
      </w:r>
      <w:r>
        <w:rPr>
          <w:rFonts w:hint="eastAsia" w:ascii="宋体" w:hAnsi="宋体" w:cs="仿宋"/>
          <w:color w:val="000000"/>
          <w:sz w:val="24"/>
          <w:highlight w:val="none"/>
        </w:rPr>
        <w:t>行业； 承接 企业为</w:t>
      </w:r>
      <w:r>
        <w:rPr>
          <w:rFonts w:hint="eastAsia" w:ascii="宋体" w:hAnsi="宋体" w:cs="仿宋"/>
          <w:color w:val="000000"/>
          <w:sz w:val="24"/>
          <w:highlight w:val="none"/>
          <w:u w:val="single"/>
        </w:rPr>
        <w:t>（企业名称）</w:t>
      </w:r>
      <w:r>
        <w:rPr>
          <w:rFonts w:hint="eastAsia" w:ascii="宋体" w:hAnsi="宋体" w:cs="仿宋"/>
          <w:color w:val="000000"/>
          <w:sz w:val="24"/>
          <w:highlight w:val="none"/>
        </w:rPr>
        <w:t>，从业人员</w:t>
      </w:r>
      <w:r>
        <w:rPr>
          <w:rFonts w:hint="eastAsia" w:ascii="宋体" w:hAnsi="宋体" w:cs="仿宋"/>
          <w:color w:val="000000"/>
          <w:sz w:val="24"/>
          <w:highlight w:val="none"/>
          <w:u w:val="single"/>
        </w:rPr>
        <w:t xml:space="preserve">       </w:t>
      </w:r>
      <w:r>
        <w:rPr>
          <w:rFonts w:hint="eastAsia" w:ascii="宋体" w:hAnsi="宋体" w:cs="仿宋"/>
          <w:color w:val="000000"/>
          <w:sz w:val="24"/>
          <w:highlight w:val="none"/>
        </w:rPr>
        <w:t>人，营业收入为</w:t>
      </w:r>
      <w:r>
        <w:rPr>
          <w:rFonts w:hint="eastAsia" w:ascii="宋体" w:hAnsi="宋体" w:cs="仿宋"/>
          <w:color w:val="000000"/>
          <w:sz w:val="24"/>
          <w:highlight w:val="none"/>
          <w:u w:val="single"/>
        </w:rPr>
        <w:t xml:space="preserve">      </w:t>
      </w:r>
      <w:r>
        <w:rPr>
          <w:rFonts w:hint="eastAsia" w:ascii="宋体" w:hAnsi="宋体" w:cs="仿宋"/>
          <w:color w:val="000000"/>
          <w:sz w:val="24"/>
          <w:highlight w:val="none"/>
        </w:rPr>
        <w:t>万元，资产总额为</w:t>
      </w:r>
      <w:r>
        <w:rPr>
          <w:rFonts w:hint="eastAsia" w:ascii="宋体" w:hAnsi="宋体" w:cs="仿宋"/>
          <w:color w:val="000000"/>
          <w:sz w:val="24"/>
          <w:highlight w:val="none"/>
          <w:u w:val="single"/>
        </w:rPr>
        <w:t xml:space="preserve">      </w:t>
      </w:r>
      <w:r>
        <w:rPr>
          <w:rFonts w:hint="eastAsia" w:ascii="宋体" w:hAnsi="宋体" w:cs="仿宋"/>
          <w:color w:val="000000"/>
          <w:sz w:val="24"/>
          <w:highlight w:val="none"/>
        </w:rPr>
        <w:t>万元</w:t>
      </w:r>
      <w:r>
        <w:rPr>
          <w:rFonts w:ascii="宋体" w:hAnsi="宋体" w:cs="仿宋"/>
          <w:color w:val="000000"/>
          <w:sz w:val="24"/>
          <w:highlight w:val="none"/>
          <w:vertAlign w:val="superscript"/>
        </w:rPr>
        <w:t>1</w:t>
      </w:r>
      <w:r>
        <w:rPr>
          <w:rFonts w:hint="eastAsia" w:ascii="宋体" w:hAnsi="宋体" w:cs="仿宋"/>
          <w:color w:val="000000"/>
          <w:sz w:val="24"/>
          <w:highlight w:val="none"/>
        </w:rPr>
        <w:t>，属于</w:t>
      </w:r>
      <w:r>
        <w:rPr>
          <w:rFonts w:hint="eastAsia" w:ascii="宋体" w:hAnsi="宋体" w:cs="仿宋"/>
          <w:color w:val="000000"/>
          <w:sz w:val="24"/>
          <w:highlight w:val="none"/>
          <w:u w:val="single"/>
        </w:rPr>
        <w:t>（中型企业、小型企业、微型企业）</w:t>
      </w:r>
      <w:r>
        <w:rPr>
          <w:rFonts w:hint="eastAsia" w:ascii="宋体" w:hAnsi="宋体" w:cs="仿宋"/>
          <w:color w:val="000000"/>
          <w:sz w:val="24"/>
          <w:highlight w:val="none"/>
        </w:rPr>
        <w:t>；</w:t>
      </w:r>
    </w:p>
    <w:p w14:paraId="5E5AB32B">
      <w:pPr>
        <w:widowControl/>
        <w:spacing w:line="360" w:lineRule="auto"/>
        <w:ind w:firstLine="315"/>
        <w:jc w:val="left"/>
        <w:rPr>
          <w:rFonts w:ascii="宋体" w:hAnsi="宋体" w:cs="仿宋"/>
          <w:color w:val="000000"/>
          <w:sz w:val="24"/>
          <w:highlight w:val="none"/>
        </w:rPr>
      </w:pPr>
      <w:r>
        <w:rPr>
          <w:rFonts w:ascii="宋体" w:hAnsi="宋体" w:cs="仿宋"/>
          <w:color w:val="000000"/>
          <w:sz w:val="24"/>
          <w:highlight w:val="none"/>
        </w:rPr>
        <w:t>2.</w:t>
      </w:r>
      <w:r>
        <w:rPr>
          <w:rFonts w:ascii="宋体" w:hAnsi="宋体" w:cs="仿宋"/>
          <w:color w:val="000000"/>
          <w:sz w:val="24"/>
          <w:highlight w:val="none"/>
          <w:u w:val="single"/>
        </w:rPr>
        <w:t xml:space="preserve"> </w:t>
      </w:r>
      <w:r>
        <w:rPr>
          <w:rFonts w:hint="eastAsia" w:ascii="宋体" w:hAnsi="宋体" w:cs="仿宋"/>
          <w:color w:val="000000"/>
          <w:sz w:val="24"/>
          <w:highlight w:val="none"/>
          <w:u w:val="single"/>
        </w:rPr>
        <w:t>（标的名称）</w:t>
      </w:r>
      <w:r>
        <w:rPr>
          <w:rFonts w:ascii="宋体" w:hAnsi="宋体" w:cs="仿宋"/>
          <w:color w:val="000000"/>
          <w:sz w:val="24"/>
          <w:highlight w:val="none"/>
          <w:u w:val="single"/>
        </w:rPr>
        <w:t xml:space="preserve"> </w:t>
      </w:r>
      <w:r>
        <w:rPr>
          <w:rFonts w:hint="eastAsia" w:ascii="宋体" w:hAnsi="宋体" w:cs="仿宋"/>
          <w:color w:val="000000"/>
          <w:sz w:val="24"/>
          <w:highlight w:val="none"/>
        </w:rPr>
        <w:t>，属于</w:t>
      </w:r>
      <w:r>
        <w:rPr>
          <w:rFonts w:hint="eastAsia" w:ascii="宋体" w:hAnsi="宋体" w:cs="仿宋"/>
          <w:color w:val="000000"/>
          <w:sz w:val="24"/>
          <w:highlight w:val="none"/>
          <w:u w:val="single"/>
        </w:rPr>
        <w:t>（采购文件中明确的所属行业）</w:t>
      </w:r>
      <w:r>
        <w:rPr>
          <w:rFonts w:hint="eastAsia" w:ascii="宋体" w:hAnsi="宋体" w:cs="仿宋"/>
          <w:color w:val="000000"/>
          <w:sz w:val="24"/>
          <w:highlight w:val="none"/>
        </w:rPr>
        <w:t>行业； 承接 企业为</w:t>
      </w:r>
      <w:r>
        <w:rPr>
          <w:rFonts w:hint="eastAsia" w:ascii="宋体" w:hAnsi="宋体" w:cs="仿宋"/>
          <w:color w:val="000000"/>
          <w:sz w:val="24"/>
          <w:highlight w:val="none"/>
          <w:u w:val="single"/>
        </w:rPr>
        <w:t>（企业名称）</w:t>
      </w:r>
      <w:r>
        <w:rPr>
          <w:rFonts w:hint="eastAsia" w:ascii="宋体" w:hAnsi="宋体" w:cs="仿宋"/>
          <w:color w:val="000000"/>
          <w:sz w:val="24"/>
          <w:highlight w:val="none"/>
        </w:rPr>
        <w:t>，从业人员</w:t>
      </w:r>
      <w:r>
        <w:rPr>
          <w:rFonts w:hint="eastAsia" w:ascii="宋体" w:hAnsi="宋体" w:cs="仿宋"/>
          <w:color w:val="000000"/>
          <w:sz w:val="24"/>
          <w:highlight w:val="none"/>
          <w:u w:val="single"/>
        </w:rPr>
        <w:t xml:space="preserve">       </w:t>
      </w:r>
      <w:r>
        <w:rPr>
          <w:rFonts w:hint="eastAsia" w:ascii="宋体" w:hAnsi="宋体" w:cs="仿宋"/>
          <w:color w:val="000000"/>
          <w:sz w:val="24"/>
          <w:highlight w:val="none"/>
        </w:rPr>
        <w:t>人，营业收入为</w:t>
      </w:r>
      <w:r>
        <w:rPr>
          <w:rFonts w:hint="eastAsia" w:ascii="宋体" w:hAnsi="宋体" w:cs="仿宋"/>
          <w:color w:val="000000"/>
          <w:sz w:val="24"/>
          <w:highlight w:val="none"/>
          <w:u w:val="single"/>
        </w:rPr>
        <w:t xml:space="preserve">      </w:t>
      </w:r>
      <w:r>
        <w:rPr>
          <w:rFonts w:hint="eastAsia" w:ascii="宋体" w:hAnsi="宋体" w:cs="仿宋"/>
          <w:color w:val="000000"/>
          <w:sz w:val="24"/>
          <w:highlight w:val="none"/>
        </w:rPr>
        <w:t>万元，资产总额为</w:t>
      </w:r>
      <w:r>
        <w:rPr>
          <w:rFonts w:hint="eastAsia" w:ascii="宋体" w:hAnsi="宋体" w:cs="仿宋"/>
          <w:color w:val="000000"/>
          <w:sz w:val="24"/>
          <w:highlight w:val="none"/>
          <w:u w:val="single"/>
        </w:rPr>
        <w:t xml:space="preserve">      </w:t>
      </w:r>
      <w:r>
        <w:rPr>
          <w:rFonts w:hint="eastAsia" w:ascii="宋体" w:hAnsi="宋体" w:cs="仿宋"/>
          <w:color w:val="000000"/>
          <w:sz w:val="24"/>
          <w:highlight w:val="none"/>
        </w:rPr>
        <w:t>万元</w:t>
      </w:r>
      <w:r>
        <w:rPr>
          <w:rFonts w:ascii="宋体" w:hAnsi="宋体" w:cs="仿宋"/>
          <w:color w:val="000000"/>
          <w:sz w:val="24"/>
          <w:highlight w:val="none"/>
          <w:vertAlign w:val="superscript"/>
        </w:rPr>
        <w:t>1</w:t>
      </w:r>
      <w:r>
        <w:rPr>
          <w:rFonts w:hint="eastAsia" w:ascii="宋体" w:hAnsi="宋体" w:cs="仿宋"/>
          <w:color w:val="000000"/>
          <w:sz w:val="24"/>
          <w:highlight w:val="none"/>
        </w:rPr>
        <w:t>，属于</w:t>
      </w:r>
      <w:r>
        <w:rPr>
          <w:rFonts w:hint="eastAsia" w:ascii="宋体" w:hAnsi="宋体" w:cs="仿宋"/>
          <w:color w:val="000000"/>
          <w:sz w:val="24"/>
          <w:highlight w:val="none"/>
          <w:u w:val="single"/>
        </w:rPr>
        <w:t>（中型企业、小型企业、微型企业）</w:t>
      </w:r>
      <w:r>
        <w:rPr>
          <w:rFonts w:hint="eastAsia" w:ascii="宋体" w:hAnsi="宋体" w:cs="仿宋"/>
          <w:color w:val="000000"/>
          <w:sz w:val="24"/>
          <w:highlight w:val="none"/>
        </w:rPr>
        <w:t>；</w:t>
      </w:r>
    </w:p>
    <w:p w14:paraId="00E70C03">
      <w:pPr>
        <w:widowControl/>
        <w:spacing w:line="360" w:lineRule="auto"/>
        <w:ind w:firstLine="525"/>
        <w:jc w:val="left"/>
        <w:rPr>
          <w:rFonts w:ascii="宋体" w:hAnsi="宋体" w:cs="仿宋"/>
          <w:color w:val="000000"/>
          <w:sz w:val="24"/>
          <w:highlight w:val="none"/>
        </w:rPr>
      </w:pPr>
      <w:r>
        <w:rPr>
          <w:rFonts w:hint="eastAsia" w:ascii="宋体" w:hAnsi="宋体" w:cs="仿宋"/>
          <w:color w:val="000000"/>
          <w:sz w:val="24"/>
          <w:highlight w:val="none"/>
        </w:rPr>
        <w:t xml:space="preserve"> 以上企业，不属于大企业的分支机构，不存在控股股东为大企业的情形，也不存在与大企业的负责人为同一人的情形。</w:t>
      </w:r>
    </w:p>
    <w:p w14:paraId="1DD30219">
      <w:pPr>
        <w:widowControl/>
        <w:spacing w:line="360" w:lineRule="auto"/>
        <w:ind w:firstLine="525"/>
        <w:jc w:val="left"/>
        <w:rPr>
          <w:rFonts w:ascii="宋体" w:hAnsi="宋体" w:cs="仿宋"/>
          <w:color w:val="000000"/>
          <w:sz w:val="24"/>
          <w:highlight w:val="none"/>
        </w:rPr>
      </w:pPr>
      <w:r>
        <w:rPr>
          <w:rFonts w:hint="eastAsia" w:ascii="宋体" w:hAnsi="宋体" w:cs="仿宋"/>
          <w:color w:val="000000"/>
          <w:sz w:val="24"/>
          <w:highlight w:val="none"/>
        </w:rPr>
        <w:t>本企业对上述声明内容的真实性负责。如有虚假，将依法承担相应责任。</w:t>
      </w:r>
    </w:p>
    <w:p w14:paraId="127FAC24">
      <w:pPr>
        <w:widowControl/>
        <w:spacing w:line="360" w:lineRule="auto"/>
        <w:jc w:val="left"/>
        <w:rPr>
          <w:rFonts w:ascii="宋体" w:hAnsi="宋体" w:cs="仿宋"/>
          <w:color w:val="000000"/>
          <w:sz w:val="24"/>
          <w:highlight w:val="none"/>
        </w:rPr>
      </w:pPr>
    </w:p>
    <w:p w14:paraId="4A137E88">
      <w:pPr>
        <w:spacing w:line="360" w:lineRule="auto"/>
        <w:ind w:right="-200"/>
        <w:jc w:val="center"/>
        <w:rPr>
          <w:rFonts w:ascii="宋体" w:hAnsi="宋体" w:cs="宋体"/>
          <w:color w:val="000000"/>
          <w:sz w:val="24"/>
          <w:highlight w:val="none"/>
          <w:lang w:val="zh-CN"/>
        </w:rPr>
      </w:pPr>
      <w:r>
        <w:rPr>
          <w:rFonts w:hint="eastAsia" w:ascii="宋体" w:hAnsi="宋体" w:cs="宋体"/>
          <w:color w:val="000000"/>
          <w:sz w:val="24"/>
          <w:highlight w:val="none"/>
        </w:rPr>
        <w:t>供应商名称</w:t>
      </w:r>
      <w:r>
        <w:rPr>
          <w:rFonts w:ascii="宋体" w:hAnsi="宋体"/>
          <w:color w:val="000000"/>
          <w:sz w:val="24"/>
          <w:highlight w:val="none"/>
        </w:rPr>
        <w:t>：（公章）</w:t>
      </w:r>
      <w:r>
        <w:rPr>
          <w:rFonts w:hint="eastAsia" w:ascii="宋体" w:hAnsi="宋体" w:cs="宋体"/>
          <w:color w:val="000000"/>
          <w:sz w:val="24"/>
          <w:highlight w:val="none"/>
          <w:lang w:val="zh-CN"/>
        </w:rPr>
        <w:t> </w:t>
      </w:r>
    </w:p>
    <w:p w14:paraId="500908FA">
      <w:pPr>
        <w:spacing w:line="400" w:lineRule="exact"/>
        <w:ind w:right="615" w:firstLine="840"/>
        <w:jc w:val="right"/>
        <w:rPr>
          <w:rFonts w:ascii="宋体" w:hAnsi="宋体" w:cs="宋体"/>
          <w:color w:val="000000"/>
          <w:sz w:val="24"/>
          <w:highlight w:val="none"/>
          <w:lang w:val="zh-CN"/>
        </w:rPr>
      </w:pPr>
      <w:r>
        <w:rPr>
          <w:rFonts w:hint="eastAsia" w:ascii="宋体" w:hAnsi="宋体" w:cs="宋体"/>
          <w:color w:val="000000"/>
          <w:sz w:val="24"/>
          <w:highlight w:val="none"/>
          <w:lang w:val="zh-CN"/>
        </w:rPr>
        <w:t xml:space="preserve"> 日    期：     年</w:t>
      </w: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 xml:space="preserve">月   </w:t>
      </w: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日</w:t>
      </w:r>
    </w:p>
    <w:p w14:paraId="52752862">
      <w:pPr>
        <w:widowControl/>
        <w:spacing w:line="360" w:lineRule="auto"/>
        <w:jc w:val="left"/>
        <w:rPr>
          <w:rFonts w:hint="eastAsia" w:ascii="宋体" w:hAnsi="宋体" w:cs="宋体"/>
          <w:b/>
          <w:bCs/>
          <w:color w:val="000000"/>
          <w:sz w:val="24"/>
          <w:highlight w:val="none"/>
        </w:rPr>
      </w:pPr>
    </w:p>
    <w:p w14:paraId="523CD891">
      <w:pPr>
        <w:widowControl/>
        <w:spacing w:line="360" w:lineRule="auto"/>
        <w:jc w:val="left"/>
        <w:rPr>
          <w:rFonts w:hint="eastAsia" w:ascii="宋体" w:hAnsi="宋体" w:cs="宋体"/>
          <w:b/>
          <w:bCs/>
          <w:color w:val="000000"/>
          <w:sz w:val="24"/>
          <w:highlight w:val="none"/>
        </w:rPr>
      </w:pPr>
    </w:p>
    <w:p w14:paraId="0AC6ED98">
      <w:pPr>
        <w:widowControl/>
        <w:jc w:val="left"/>
        <w:rPr>
          <w:rFonts w:hint="eastAsia" w:ascii="宋体" w:hAnsi="宋体" w:cs="宋体"/>
          <w:color w:val="000000"/>
          <w:sz w:val="24"/>
          <w:highlight w:val="none"/>
        </w:rPr>
      </w:pPr>
      <w:r>
        <w:rPr>
          <w:rFonts w:hint="eastAsia" w:ascii="宋体" w:hAnsi="宋体" w:cs="宋体"/>
          <w:color w:val="000000"/>
          <w:sz w:val="24"/>
          <w:highlight w:val="none"/>
        </w:rPr>
        <w:t>备注：1.从业人员、营业收入、资产总额填报上一年度数据，无上一年度数据的新成立企业可不填报。</w:t>
      </w:r>
    </w:p>
    <w:p w14:paraId="3C0E651A">
      <w:pPr>
        <w:widowControl/>
        <w:jc w:val="left"/>
        <w:rPr>
          <w:rFonts w:hint="eastAsia" w:ascii="宋体" w:hAnsi="宋体" w:cs="宋体"/>
          <w:color w:val="000000"/>
          <w:sz w:val="24"/>
          <w:highlight w:val="none"/>
        </w:rPr>
      </w:pPr>
      <w:r>
        <w:rPr>
          <w:rFonts w:hint="eastAsia" w:ascii="宋体" w:hAnsi="宋体" w:cs="宋体"/>
          <w:color w:val="000000"/>
          <w:sz w:val="24"/>
          <w:highlight w:val="none"/>
        </w:rPr>
        <w:t>2.在服务采购项目中，服务由中小企业承接，即提供服务的人员为中小企业依照《中华人民共和国劳动合同法》订立劳动合同的从业人员。服务类项目中供应商若使用退休人员，将不享受相应扶持政策。</w:t>
      </w:r>
    </w:p>
    <w:p w14:paraId="67FC203D">
      <w:pPr>
        <w:widowControl/>
        <w:jc w:val="left"/>
        <w:rPr>
          <w:rFonts w:hint="eastAsia" w:ascii="宋体" w:hAnsi="宋体" w:cs="宋体"/>
          <w:color w:val="000000"/>
          <w:sz w:val="24"/>
          <w:highlight w:val="none"/>
        </w:rPr>
      </w:pPr>
      <w:r>
        <w:rPr>
          <w:rFonts w:hint="eastAsia" w:ascii="宋体" w:hAnsi="宋体" w:cs="宋体"/>
          <w:color w:val="000000"/>
          <w:sz w:val="24"/>
          <w:highlight w:val="none"/>
        </w:rPr>
        <w:t>3.《中小企业声明函》中所填的行业应与本采购标的对应的中小企业划分标准所属行业一致，不一致的不可享受相应政策优惠。本采购标的对应的中小企业划分标准所属行业，以采购文件中具体规定为准。</w:t>
      </w:r>
    </w:p>
    <w:p w14:paraId="3C471591">
      <w:pPr>
        <w:widowControl/>
        <w:jc w:val="left"/>
        <w:rPr>
          <w:rFonts w:hint="eastAsia" w:ascii="宋体" w:hAnsi="宋体" w:cs="宋体"/>
          <w:color w:val="000000"/>
          <w:sz w:val="24"/>
          <w:highlight w:val="none"/>
        </w:rPr>
      </w:pPr>
      <w:r>
        <w:rPr>
          <w:rFonts w:hint="eastAsia" w:ascii="宋体" w:hAnsi="宋体" w:cs="宋体"/>
          <w:color w:val="000000"/>
          <w:sz w:val="24"/>
          <w:highlight w:val="none"/>
        </w:rPr>
        <w:t>4.如未对（中型企业、小型企业、微型企业）进行勾选，视同非中小微企业，不可享受相应扶持政策。</w:t>
      </w:r>
    </w:p>
    <w:p w14:paraId="08316B5E">
      <w:pPr>
        <w:spacing w:line="280" w:lineRule="exact"/>
        <w:rPr>
          <w:rFonts w:ascii="宋体" w:hAnsi="宋体"/>
          <w:b/>
          <w:color w:val="000000"/>
          <w:sz w:val="24"/>
          <w:szCs w:val="24"/>
          <w:highlight w:val="none"/>
        </w:rPr>
      </w:pPr>
      <w:r>
        <w:rPr>
          <w:rFonts w:hint="eastAsia" w:ascii="宋体" w:hAnsi="宋体" w:cs="宋体"/>
          <w:color w:val="000000"/>
          <w:sz w:val="24"/>
          <w:highlight w:val="none"/>
        </w:rPr>
        <w:t>5.成交单位为中小企业的，《中小企业声明函》将随成交结果同时公告。</w:t>
      </w:r>
      <w:r>
        <w:rPr>
          <w:rFonts w:hint="eastAsia" w:ascii="宋体" w:hAnsi="宋体" w:cs="宋体"/>
          <w:color w:val="000000"/>
          <w:sz w:val="24"/>
          <w:highlight w:val="none"/>
        </w:rPr>
        <w:br w:type="page" w:clear="all"/>
      </w:r>
      <w:r>
        <w:rPr>
          <w:rFonts w:hint="eastAsia" w:ascii="宋体" w:hAnsi="宋体"/>
          <w:b/>
          <w:color w:val="000000"/>
          <w:sz w:val="24"/>
          <w:szCs w:val="24"/>
          <w:highlight w:val="none"/>
        </w:rPr>
        <w:t>附：中小企业划型标准规定</w:t>
      </w:r>
    </w:p>
    <w:p w14:paraId="041CC593">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（一）农、林、牧、渔业。</w:t>
      </w:r>
      <w:r>
        <w:rPr>
          <w:rFonts w:hint="eastAsia" w:ascii="宋体" w:hAnsi="宋体"/>
          <w:color w:val="000000"/>
          <w:sz w:val="24"/>
          <w:szCs w:val="24"/>
          <w:highlight w:val="none"/>
        </w:rPr>
        <w:t>营业收入20000万元以下的为中小微型企业。其中，营业收入500万元及以上的为中型企业，营业收入50万元及以上的为小型企业，营业收入50万元以下的为微型企业。</w:t>
      </w:r>
    </w:p>
    <w:p w14:paraId="1E40832D">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（二）工业。</w:t>
      </w:r>
      <w:r>
        <w:rPr>
          <w:rFonts w:hint="eastAsia" w:ascii="宋体" w:hAnsi="宋体"/>
          <w:color w:val="00000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586DAC">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（三）建筑业。</w:t>
      </w:r>
      <w:r>
        <w:rPr>
          <w:rFonts w:hint="eastAsia" w:ascii="宋体" w:hAnsi="宋体"/>
          <w:color w:val="000000"/>
          <w:sz w:val="24"/>
          <w:szCs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EC5E0A">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（四）批发业。</w:t>
      </w:r>
      <w:r>
        <w:rPr>
          <w:rFonts w:hint="eastAsia" w:ascii="宋体" w:hAnsi="宋体"/>
          <w:color w:val="000000"/>
          <w:sz w:val="24"/>
          <w:szCs w:val="24"/>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557A6B">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（五）零售业。</w:t>
      </w:r>
      <w:r>
        <w:rPr>
          <w:rFonts w:hint="eastAsia" w:ascii="宋体" w:hAnsi="宋体"/>
          <w:color w:val="000000"/>
          <w:sz w:val="24"/>
          <w:szCs w:val="24"/>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23C1A93">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（六）交通运输业。</w:t>
      </w:r>
      <w:r>
        <w:rPr>
          <w:rFonts w:hint="eastAsia" w:ascii="宋体" w:hAnsi="宋体"/>
          <w:color w:val="000000"/>
          <w:sz w:val="24"/>
          <w:szCs w:val="24"/>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2390A5">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（七）仓储业。</w:t>
      </w:r>
      <w:r>
        <w:rPr>
          <w:rFonts w:hint="eastAsia" w:ascii="宋体" w:hAnsi="宋体"/>
          <w:color w:val="000000"/>
          <w:sz w:val="24"/>
          <w:szCs w:val="24"/>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23214F4">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（八）邮政业。</w:t>
      </w:r>
      <w:r>
        <w:rPr>
          <w:rFonts w:hint="eastAsia" w:ascii="宋体" w:hAnsi="宋体"/>
          <w:color w:val="000000"/>
          <w:sz w:val="24"/>
          <w:szCs w:val="24"/>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E68ABA">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（九）住宿业。</w:t>
      </w:r>
      <w:r>
        <w:rPr>
          <w:rFonts w:hint="eastAsia" w:ascii="宋体" w:hAnsi="宋体"/>
          <w:color w:val="000000"/>
          <w:sz w:val="24"/>
          <w:szCs w:val="24"/>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846F2F">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（十）餐饮业。</w:t>
      </w:r>
      <w:r>
        <w:rPr>
          <w:rFonts w:hint="eastAsia" w:ascii="宋体" w:hAnsi="宋体"/>
          <w:color w:val="000000"/>
          <w:sz w:val="24"/>
          <w:szCs w:val="24"/>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E2E8CE">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（十一）信息传输业。</w:t>
      </w:r>
      <w:r>
        <w:rPr>
          <w:rFonts w:hint="eastAsia" w:ascii="宋体" w:hAnsi="宋体"/>
          <w:color w:val="000000"/>
          <w:sz w:val="24"/>
          <w:szCs w:val="24"/>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60CF6B">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（十二）软件和信息技术服务业。</w:t>
      </w:r>
      <w:r>
        <w:rPr>
          <w:rFonts w:hint="eastAsia" w:ascii="宋体" w:hAnsi="宋体"/>
          <w:color w:val="00000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21A4C4">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（十三）房地产开发经营。</w:t>
      </w:r>
      <w:r>
        <w:rPr>
          <w:rFonts w:hint="eastAsia" w:ascii="宋体" w:hAnsi="宋体"/>
          <w:color w:val="000000"/>
          <w:sz w:val="24"/>
          <w:szCs w:val="24"/>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3D411AD">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（十四）物业管理。</w:t>
      </w:r>
      <w:r>
        <w:rPr>
          <w:rFonts w:hint="eastAsia" w:ascii="宋体" w:hAnsi="宋体"/>
          <w:color w:val="000000"/>
          <w:sz w:val="24"/>
          <w:szCs w:val="24"/>
          <w:highlight w:val="none"/>
        </w:rPr>
        <w:t>从业人员1000人以下或营业收入5000万元以下的为中小微型企业。其中，从业人员</w:t>
      </w:r>
    </w:p>
    <w:p w14:paraId="3A0FB884">
      <w:pPr>
        <w:spacing w:line="280" w:lineRule="exact"/>
        <w:rPr>
          <w:rFonts w:ascii="宋体" w:hAnsi="宋体"/>
          <w:color w:val="000000"/>
          <w:sz w:val="24"/>
          <w:szCs w:val="24"/>
          <w:highlight w:val="none"/>
        </w:rPr>
      </w:pPr>
      <w:r>
        <w:rPr>
          <w:rFonts w:hint="eastAsia" w:ascii="宋体" w:hAnsi="宋体"/>
          <w:color w:val="000000"/>
          <w:sz w:val="24"/>
          <w:szCs w:val="24"/>
          <w:highlight w:val="none"/>
        </w:rPr>
        <w:t>300人及以上，且营业收入1000万元及以上的为中型企业；从业人员100人及以上，且营业收入500万元及以上的为小型企业；从业人员100人以下或营业收入500万元以下的为微型企业。</w:t>
      </w:r>
    </w:p>
    <w:p w14:paraId="1597BEB9">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（十五）租赁和商务服务业。</w:t>
      </w:r>
      <w:r>
        <w:rPr>
          <w:rFonts w:hint="eastAsia" w:ascii="宋体" w:hAnsi="宋体"/>
          <w:color w:val="000000"/>
          <w:sz w:val="24"/>
          <w:szCs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57715B">
      <w:pPr>
        <w:spacing w:line="280" w:lineRule="exact"/>
        <w:ind w:firstLine="402"/>
        <w:rPr>
          <w:rFonts w:ascii="宋体" w:hAnsi="宋体"/>
          <w:color w:val="000000"/>
          <w:sz w:val="24"/>
          <w:szCs w:val="24"/>
          <w:highlight w:val="none"/>
        </w:rPr>
      </w:pPr>
      <w:r>
        <w:rPr>
          <w:rFonts w:hint="eastAsia" w:ascii="宋体" w:hAnsi="宋体"/>
          <w:b/>
          <w:color w:val="000000"/>
          <w:sz w:val="24"/>
          <w:szCs w:val="24"/>
          <w:highlight w:val="none"/>
        </w:rPr>
        <w:t>（十六）其他未列明行业。</w:t>
      </w:r>
      <w:r>
        <w:rPr>
          <w:rFonts w:hint="eastAsia" w:ascii="宋体" w:hAnsi="宋体"/>
          <w:color w:val="000000"/>
          <w:sz w:val="24"/>
          <w:szCs w:val="24"/>
          <w:highlight w:val="none"/>
        </w:rPr>
        <w:t>从业人员300人以下的为中小微型企业。其中，从业人员100人及以上的为中型企业；从业人员10人及以上的为小型企业；从业人员10人以下的为微型企业。</w:t>
      </w:r>
    </w:p>
    <w:p w14:paraId="5B217567">
      <w:pPr>
        <w:spacing w:line="280" w:lineRule="exact"/>
        <w:ind w:firstLine="402"/>
        <w:rPr>
          <w:rFonts w:ascii="宋体" w:hAnsi="宋体"/>
          <w:color w:val="000000"/>
          <w:sz w:val="24"/>
          <w:highlight w:val="none"/>
        </w:rPr>
      </w:pPr>
    </w:p>
    <w:p w14:paraId="23C2C5FA">
      <w:pPr>
        <w:spacing w:line="480" w:lineRule="exact"/>
        <w:jc w:val="left"/>
        <w:rPr>
          <w:rFonts w:ascii="宋体" w:hAnsi="宋体" w:cs="宋体"/>
          <w:b/>
          <w:bCs/>
          <w:color w:val="000000"/>
          <w:szCs w:val="21"/>
          <w:highlight w:val="none"/>
        </w:rPr>
      </w:pPr>
    </w:p>
    <w:p w14:paraId="157C0A71">
      <w:pPr>
        <w:widowControl/>
        <w:spacing w:line="360" w:lineRule="auto"/>
        <w:jc w:val="left"/>
        <w:rPr>
          <w:rFonts w:ascii="宋体" w:hAnsi="宋体" w:cs="仿宋"/>
          <w:color w:val="000000"/>
          <w:szCs w:val="21"/>
          <w:highlight w:val="none"/>
        </w:rPr>
      </w:pPr>
    </w:p>
    <w:p w14:paraId="332FCB17">
      <w:pPr>
        <w:widowControl/>
        <w:jc w:val="left"/>
        <w:rPr>
          <w:rFonts w:ascii="宋体" w:hAnsi="宋体"/>
          <w:b/>
          <w:bCs/>
          <w:color w:val="000000"/>
          <w:sz w:val="24"/>
          <w:highlight w:val="none"/>
        </w:rPr>
      </w:pPr>
      <w:r>
        <w:rPr>
          <w:rFonts w:ascii="宋体" w:hAnsi="宋体"/>
          <w:color w:val="000000"/>
          <w:szCs w:val="21"/>
          <w:highlight w:val="none"/>
        </w:rPr>
        <w:br w:type="page" w:clear="all"/>
      </w:r>
      <w:r>
        <w:rPr>
          <w:rFonts w:hint="eastAsia" w:ascii="宋体" w:hAnsi="宋体"/>
          <w:color w:val="000000"/>
          <w:sz w:val="24"/>
          <w:highlight w:val="none"/>
        </w:rPr>
        <w:t>附件1</w:t>
      </w:r>
      <w:r>
        <w:rPr>
          <w:rFonts w:hint="eastAsia" w:ascii="宋体" w:hAnsi="宋体"/>
          <w:color w:val="000000"/>
          <w:sz w:val="24"/>
          <w:highlight w:val="none"/>
          <w:lang w:val="en-US" w:eastAsia="zh-CN"/>
        </w:rPr>
        <w:t>3</w:t>
      </w:r>
      <w:r>
        <w:rPr>
          <w:rFonts w:hint="eastAsia" w:ascii="宋体" w:hAnsi="宋体"/>
          <w:color w:val="000000"/>
          <w:sz w:val="24"/>
          <w:highlight w:val="none"/>
        </w:rPr>
        <w:t>：</w:t>
      </w:r>
      <w:r>
        <w:rPr>
          <w:rFonts w:ascii="宋体" w:hAnsi="宋体"/>
          <w:b/>
          <w:bCs/>
          <w:color w:val="000000"/>
          <w:sz w:val="24"/>
          <w:highlight w:val="none"/>
        </w:rPr>
        <w:t>残疾人福利性单位声明函</w:t>
      </w:r>
    </w:p>
    <w:p w14:paraId="40101B4B">
      <w:pPr>
        <w:widowControl/>
        <w:spacing w:before="100" w:beforeAutospacing="1" w:afterAutospacing="1" w:line="360" w:lineRule="auto"/>
        <w:jc w:val="center"/>
        <w:rPr>
          <w:rFonts w:ascii="宋体" w:hAnsi="宋体"/>
          <w:b/>
          <w:bCs/>
          <w:color w:val="000000"/>
          <w:sz w:val="24"/>
          <w:highlight w:val="none"/>
        </w:rPr>
      </w:pPr>
      <w:r>
        <w:rPr>
          <w:rFonts w:ascii="宋体" w:hAnsi="宋体"/>
          <w:b/>
          <w:bCs/>
          <w:color w:val="000000"/>
          <w:sz w:val="24"/>
          <w:highlight w:val="none"/>
        </w:rPr>
        <w:t>残疾人福利性单位声明函</w:t>
      </w:r>
    </w:p>
    <w:p w14:paraId="3EC4276E">
      <w:pPr>
        <w:widowControl/>
        <w:spacing w:before="100" w:beforeAutospacing="1" w:afterAutospacing="1" w:line="360" w:lineRule="auto"/>
        <w:ind w:firstLine="420"/>
        <w:jc w:val="left"/>
        <w:rPr>
          <w:rFonts w:ascii="宋体" w:hAnsi="宋体"/>
          <w:color w:val="000000"/>
          <w:sz w:val="24"/>
          <w:highlight w:val="none"/>
          <w:lang w:val="zh-CN"/>
        </w:rPr>
      </w:pPr>
      <w:r>
        <w:rPr>
          <w:rFonts w:ascii="宋体" w:hAnsi="宋体"/>
          <w:color w:val="000000"/>
          <w:sz w:val="24"/>
          <w:highlight w:val="none"/>
          <w:lang w:val="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AA6177">
      <w:pPr>
        <w:widowControl/>
        <w:spacing w:before="100" w:beforeAutospacing="1" w:afterAutospacing="1" w:line="360" w:lineRule="auto"/>
        <w:ind w:firstLine="420"/>
        <w:jc w:val="left"/>
        <w:rPr>
          <w:rFonts w:ascii="宋体" w:hAnsi="宋体"/>
          <w:color w:val="000000"/>
          <w:sz w:val="24"/>
          <w:highlight w:val="none"/>
          <w:lang w:val="zh-CN"/>
        </w:rPr>
      </w:pPr>
      <w:r>
        <w:rPr>
          <w:rFonts w:ascii="宋体" w:hAnsi="宋体"/>
          <w:color w:val="000000"/>
          <w:sz w:val="24"/>
          <w:highlight w:val="none"/>
          <w:lang w:val="zh-CN"/>
        </w:rPr>
        <w:t>本单位对上述声明的真实性负责。如有虚假，将依法承担相应责任。</w:t>
      </w:r>
    </w:p>
    <w:p w14:paraId="2ACA37C3">
      <w:pPr>
        <w:widowControl/>
        <w:spacing w:before="100" w:beforeAutospacing="1" w:afterAutospacing="1" w:line="360" w:lineRule="auto"/>
        <w:jc w:val="left"/>
        <w:rPr>
          <w:rFonts w:ascii="宋体" w:hAnsi="宋体"/>
          <w:color w:val="000000"/>
          <w:sz w:val="24"/>
          <w:highlight w:val="none"/>
        </w:rPr>
      </w:pPr>
    </w:p>
    <w:p w14:paraId="31431FF9">
      <w:pPr>
        <w:widowControl/>
        <w:spacing w:before="100" w:beforeAutospacing="1" w:afterAutospacing="1" w:line="360" w:lineRule="auto"/>
        <w:ind w:firstLine="105"/>
        <w:jc w:val="left"/>
        <w:rPr>
          <w:rFonts w:ascii="宋体" w:hAnsi="宋体"/>
          <w:color w:val="000000"/>
          <w:sz w:val="24"/>
          <w:highlight w:val="none"/>
          <w:lang w:val="zh-CN"/>
        </w:rPr>
      </w:pPr>
      <w:r>
        <w:rPr>
          <w:rFonts w:ascii="宋体" w:hAnsi="宋体"/>
          <w:color w:val="000000"/>
          <w:sz w:val="24"/>
          <w:highlight w:val="none"/>
        </w:rPr>
        <w:t xml:space="preserve">                                                    </w:t>
      </w:r>
      <w:r>
        <w:rPr>
          <w:rFonts w:ascii="宋体" w:hAnsi="宋体"/>
          <w:color w:val="000000"/>
          <w:sz w:val="24"/>
          <w:highlight w:val="none"/>
          <w:lang w:val="zh-CN"/>
        </w:rPr>
        <w:t>单位名称（盖章）：</w:t>
      </w:r>
    </w:p>
    <w:p w14:paraId="25FD7DCC">
      <w:pPr>
        <w:widowControl/>
        <w:spacing w:before="100" w:beforeAutospacing="1" w:afterAutospacing="1" w:line="360" w:lineRule="auto"/>
        <w:ind w:firstLine="105"/>
        <w:jc w:val="left"/>
        <w:rPr>
          <w:rFonts w:ascii="宋体" w:hAnsi="宋体"/>
          <w:color w:val="000000"/>
          <w:sz w:val="24"/>
          <w:highlight w:val="none"/>
          <w:lang w:val="zh-CN"/>
        </w:rPr>
      </w:pPr>
      <w:r>
        <w:rPr>
          <w:rFonts w:ascii="宋体" w:hAnsi="宋体"/>
          <w:color w:val="000000"/>
          <w:sz w:val="24"/>
          <w:highlight w:val="none"/>
        </w:rPr>
        <w:t xml:space="preserve">                                                         </w:t>
      </w:r>
      <w:r>
        <w:rPr>
          <w:rFonts w:ascii="宋体" w:hAnsi="宋体"/>
          <w:color w:val="000000"/>
          <w:sz w:val="24"/>
          <w:highlight w:val="none"/>
          <w:lang w:val="zh-CN"/>
        </w:rPr>
        <w:t xml:space="preserve"> 日    期：</w:t>
      </w:r>
    </w:p>
    <w:p w14:paraId="68772725">
      <w:pPr>
        <w:widowControl/>
        <w:jc w:val="left"/>
        <w:rPr>
          <w:rFonts w:hint="eastAsia" w:ascii="宋体" w:hAnsi="宋体"/>
          <w:bCs/>
          <w:color w:val="000000"/>
          <w:sz w:val="24"/>
          <w:highlight w:val="none"/>
        </w:rPr>
      </w:pPr>
      <w:r>
        <w:rPr>
          <w:rFonts w:hint="eastAsia" w:ascii="宋体" w:hAnsi="宋体"/>
          <w:bCs/>
          <w:color w:val="000000"/>
          <w:sz w:val="24"/>
          <w:highlight w:val="none"/>
        </w:rPr>
        <w:t>备注：1.享受政府采购支持政策的残疾人福利性单位应当同时满足以下条件：</w:t>
      </w:r>
    </w:p>
    <w:p w14:paraId="37BD458C">
      <w:pPr>
        <w:widowControl/>
        <w:jc w:val="left"/>
        <w:rPr>
          <w:rFonts w:hint="eastAsia" w:ascii="宋体" w:hAnsi="宋体"/>
          <w:bCs/>
          <w:color w:val="000000"/>
          <w:sz w:val="24"/>
          <w:highlight w:val="none"/>
        </w:rPr>
      </w:pPr>
      <w:r>
        <w:rPr>
          <w:rFonts w:hint="eastAsia" w:ascii="宋体" w:hAnsi="宋体"/>
          <w:bCs/>
          <w:color w:val="000000"/>
          <w:sz w:val="24"/>
          <w:highlight w:val="none"/>
        </w:rPr>
        <w:t>①安置的残疾人占本单位在职职工人数的比例不低于25%（含25%），并且安置的残疾人人数不少于10人（含10人）；</w:t>
      </w:r>
    </w:p>
    <w:p w14:paraId="2FA25464">
      <w:pPr>
        <w:widowControl/>
        <w:jc w:val="left"/>
        <w:rPr>
          <w:rFonts w:hint="eastAsia" w:ascii="宋体" w:hAnsi="宋体"/>
          <w:bCs/>
          <w:color w:val="000000"/>
          <w:sz w:val="24"/>
          <w:highlight w:val="none"/>
        </w:rPr>
      </w:pPr>
      <w:r>
        <w:rPr>
          <w:rFonts w:hint="eastAsia" w:ascii="宋体" w:hAnsi="宋体"/>
          <w:bCs/>
          <w:color w:val="000000"/>
          <w:sz w:val="24"/>
          <w:highlight w:val="none"/>
        </w:rPr>
        <w:t>②依法与安置的每位残疾人签订了一年以上（含一年）的劳动合同或服务协议；</w:t>
      </w:r>
    </w:p>
    <w:p w14:paraId="239D2497">
      <w:pPr>
        <w:widowControl/>
        <w:jc w:val="left"/>
        <w:rPr>
          <w:rFonts w:hint="eastAsia" w:ascii="宋体" w:hAnsi="宋体"/>
          <w:bCs/>
          <w:color w:val="000000"/>
          <w:sz w:val="24"/>
          <w:highlight w:val="none"/>
        </w:rPr>
      </w:pPr>
      <w:r>
        <w:rPr>
          <w:rFonts w:hint="eastAsia" w:ascii="宋体" w:hAnsi="宋体"/>
          <w:bCs/>
          <w:color w:val="000000"/>
          <w:sz w:val="24"/>
          <w:highlight w:val="none"/>
        </w:rPr>
        <w:t>③为安置的每位残疾人按月足额缴纳了基本养老保险、基本医疗保险、失业保险、工伤保险和生育保险等社会保险费；</w:t>
      </w:r>
    </w:p>
    <w:p w14:paraId="2BB44569">
      <w:pPr>
        <w:widowControl/>
        <w:jc w:val="left"/>
        <w:rPr>
          <w:rFonts w:hint="eastAsia" w:ascii="宋体" w:hAnsi="宋体"/>
          <w:bCs/>
          <w:color w:val="000000"/>
          <w:sz w:val="24"/>
          <w:highlight w:val="none"/>
        </w:rPr>
      </w:pPr>
      <w:r>
        <w:rPr>
          <w:rFonts w:hint="eastAsia" w:ascii="宋体" w:hAnsi="宋体"/>
          <w:bCs/>
          <w:color w:val="000000"/>
          <w:sz w:val="24"/>
          <w:highlight w:val="none"/>
        </w:rPr>
        <w:t>④通过银行等金融机构向安置的每位残疾人，按月支付了不低于单位所在区县适用的经省级人民政府批准的月最低工资标准的工资；</w:t>
      </w:r>
    </w:p>
    <w:p w14:paraId="7E093653">
      <w:pPr>
        <w:widowControl/>
        <w:jc w:val="left"/>
        <w:rPr>
          <w:rFonts w:hint="eastAsia" w:ascii="宋体" w:hAnsi="宋体"/>
          <w:bCs/>
          <w:color w:val="000000"/>
          <w:sz w:val="24"/>
          <w:highlight w:val="none"/>
        </w:rPr>
      </w:pPr>
      <w:r>
        <w:rPr>
          <w:rFonts w:hint="eastAsia" w:ascii="宋体" w:hAnsi="宋体"/>
          <w:bCs/>
          <w:color w:val="000000"/>
          <w:sz w:val="24"/>
          <w:highlight w:val="none"/>
        </w:rPr>
        <w:t>⑤提供本单位制造的货物、承担的工程或者服务（以下简称产品），或者提供其他残疾人福利性单位制造的货物（不包括使用非残疾人福利性单位注册商标的货物）。</w:t>
      </w:r>
    </w:p>
    <w:p w14:paraId="0897DB79">
      <w:pPr>
        <w:widowControl/>
        <w:jc w:val="left"/>
        <w:rPr>
          <w:rFonts w:hint="eastAsia" w:ascii="宋体" w:hAnsi="宋体"/>
          <w:bCs/>
          <w:color w:val="000000"/>
          <w:sz w:val="24"/>
          <w:highlight w:val="none"/>
        </w:rPr>
      </w:pPr>
      <w:r>
        <w:rPr>
          <w:rFonts w:hint="eastAsia" w:ascii="宋体" w:hAnsi="宋体"/>
          <w:bCs/>
          <w:color w:val="00000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2213235">
      <w:pPr>
        <w:widowControl/>
        <w:numPr>
          <w:ilvl w:val="0"/>
          <w:numId w:val="2"/>
        </w:numPr>
        <w:jc w:val="left"/>
        <w:rPr>
          <w:rFonts w:hint="eastAsia" w:ascii="宋体" w:hAnsi="宋体"/>
          <w:bCs/>
          <w:color w:val="000000"/>
          <w:sz w:val="24"/>
          <w:highlight w:val="none"/>
        </w:rPr>
      </w:pPr>
      <w:r>
        <w:rPr>
          <w:rFonts w:hint="eastAsia" w:ascii="宋体" w:hAnsi="宋体"/>
          <w:bCs/>
          <w:color w:val="000000"/>
          <w:sz w:val="24"/>
          <w:highlight w:val="none"/>
        </w:rPr>
        <w:t>成交单位为残疾人福利性单位的，《残疾人福利性单位声明函》将随成交结果同时公告。</w:t>
      </w:r>
    </w:p>
    <w:p w14:paraId="2C53739B">
      <w:pPr>
        <w:widowControl/>
        <w:numPr>
          <w:ilvl w:val="0"/>
          <w:numId w:val="0"/>
        </w:numPr>
        <w:jc w:val="left"/>
        <w:rPr>
          <w:bCs/>
          <w:color w:val="000000"/>
          <w:highlight w:val="none"/>
        </w:rPr>
      </w:pPr>
      <w:r>
        <w:rPr>
          <w:rFonts w:hint="eastAsia" w:ascii="宋体" w:hAnsi="宋体"/>
          <w:bCs/>
          <w:color w:val="000000"/>
          <w:sz w:val="24"/>
          <w:highlight w:val="none"/>
        </w:rPr>
        <w:t>3.供应商提供的《残疾人福利性单位声明函》与事实不符的，依照《政府采购法》第七十七条第一款的规定追究法律责任。</w:t>
      </w:r>
      <w:r>
        <w:rPr>
          <w:rFonts w:ascii="宋体" w:hAnsi="宋体"/>
          <w:b/>
          <w:color w:val="000000"/>
          <w:sz w:val="24"/>
          <w:highlight w:val="none"/>
        </w:rPr>
        <w:br w:type="page" w:clear="all"/>
      </w:r>
      <w:r>
        <w:rPr>
          <w:rFonts w:hint="eastAsia" w:ascii="宋体" w:hAnsi="宋体"/>
          <w:b/>
          <w:color w:val="000000"/>
          <w:szCs w:val="21"/>
          <w:highlight w:val="none"/>
        </w:rPr>
        <w:t>附件1</w:t>
      </w:r>
      <w:r>
        <w:rPr>
          <w:rFonts w:hint="eastAsia" w:ascii="宋体" w:hAnsi="宋体"/>
          <w:b/>
          <w:color w:val="000000"/>
          <w:szCs w:val="21"/>
          <w:highlight w:val="none"/>
          <w:lang w:val="en-US" w:eastAsia="zh-CN"/>
        </w:rPr>
        <w:t>4</w:t>
      </w:r>
      <w:r>
        <w:rPr>
          <w:rFonts w:hint="eastAsia" w:ascii="宋体" w:hAnsi="宋体"/>
          <w:color w:val="000000"/>
          <w:szCs w:val="21"/>
          <w:highlight w:val="none"/>
        </w:rPr>
        <w:t>：</w:t>
      </w:r>
      <w:r>
        <w:rPr>
          <w:b/>
          <w:bCs/>
          <w:color w:val="000000"/>
          <w:sz w:val="24"/>
          <w:highlight w:val="none"/>
        </w:rPr>
        <w:t>投标（响应）保证承诺书</w:t>
      </w:r>
    </w:p>
    <w:p w14:paraId="6436D893">
      <w:pPr>
        <w:widowControl/>
        <w:spacing w:line="600" w:lineRule="atLeast"/>
        <w:jc w:val="center"/>
        <w:rPr>
          <w:color w:val="000000"/>
          <w:sz w:val="24"/>
          <w:highlight w:val="none"/>
        </w:rPr>
      </w:pPr>
      <w:r>
        <w:rPr>
          <w:color w:val="000000"/>
          <w:sz w:val="24"/>
          <w:highlight w:val="none"/>
        </w:rPr>
        <w:t>投标（响应）保证承诺书</w:t>
      </w:r>
    </w:p>
    <w:p w14:paraId="3FD7EEF0">
      <w:pPr>
        <w:widowControl/>
        <w:spacing w:line="360" w:lineRule="auto"/>
        <w:jc w:val="left"/>
        <w:rPr>
          <w:color w:val="000000"/>
          <w:sz w:val="24"/>
          <w:highlight w:val="none"/>
        </w:rPr>
      </w:pPr>
      <w:r>
        <w:rPr>
          <w:color w:val="000000"/>
          <w:sz w:val="24"/>
          <w:highlight w:val="none"/>
        </w:rPr>
        <w:t>致：</w:t>
      </w:r>
      <w:r>
        <w:rPr>
          <w:color w:val="000000"/>
          <w:sz w:val="24"/>
          <w:highlight w:val="none"/>
          <w:u w:val="single"/>
        </w:rPr>
        <w:t>         （采购代理机构名称）</w:t>
      </w:r>
    </w:p>
    <w:p w14:paraId="0F2DB4F6">
      <w:pPr>
        <w:widowControl/>
        <w:spacing w:line="360" w:lineRule="auto"/>
        <w:ind w:firstLine="600"/>
        <w:jc w:val="left"/>
        <w:rPr>
          <w:color w:val="000000"/>
          <w:sz w:val="24"/>
          <w:highlight w:val="none"/>
        </w:rPr>
      </w:pPr>
      <w:r>
        <w:rPr>
          <w:color w:val="000000"/>
          <w:sz w:val="24"/>
          <w:highlight w:val="none"/>
        </w:rPr>
        <w:t>我（单位/本人，以下统称我单位）自愿参加</w:t>
      </w:r>
      <w:r>
        <w:rPr>
          <w:color w:val="000000"/>
          <w:sz w:val="24"/>
          <w:highlight w:val="none"/>
          <w:u w:val="single"/>
        </w:rPr>
        <w:t xml:space="preserve">              （项目名称和采购编号）</w:t>
      </w:r>
      <w:r>
        <w:rPr>
          <w:color w:val="000000"/>
          <w:sz w:val="24"/>
          <w:highlight w:val="none"/>
        </w:rPr>
        <w:t>的投标（响应）,并做出如下承诺：</w:t>
      </w:r>
    </w:p>
    <w:p w14:paraId="338086AF">
      <w:pPr>
        <w:widowControl/>
        <w:spacing w:line="360" w:lineRule="auto"/>
        <w:ind w:firstLine="600"/>
        <w:jc w:val="left"/>
        <w:rPr>
          <w:color w:val="000000"/>
          <w:sz w:val="24"/>
          <w:highlight w:val="none"/>
        </w:rPr>
      </w:pPr>
      <w:r>
        <w:rPr>
          <w:color w:val="000000"/>
          <w:sz w:val="24"/>
          <w:highlight w:val="none"/>
        </w:rPr>
        <w:t>一、  除不可抗力外，我单位如果发生以下行为，将在行为发生的10个工作日内，向贵方</w:t>
      </w:r>
      <w:r>
        <w:rPr>
          <w:color w:val="000000"/>
          <w:sz w:val="24"/>
          <w:highlight w:val="none"/>
          <w:u w:val="single"/>
        </w:rPr>
        <w:t>（或</w:t>
      </w:r>
      <w:r>
        <w:rPr>
          <w:rFonts w:hint="eastAsia"/>
          <w:color w:val="000000"/>
          <w:sz w:val="24"/>
          <w:highlight w:val="none"/>
          <w:u w:val="single"/>
        </w:rPr>
        <w:t>采购人</w:t>
      </w:r>
      <w:r>
        <w:rPr>
          <w:color w:val="000000"/>
          <w:sz w:val="24"/>
          <w:highlight w:val="none"/>
          <w:u w:val="single"/>
        </w:rPr>
        <w:t>）</w:t>
      </w:r>
      <w:r>
        <w:rPr>
          <w:color w:val="000000"/>
          <w:sz w:val="24"/>
          <w:highlight w:val="none"/>
        </w:rPr>
        <w:t>支付本招标文件公布的预算金额（或最高限价）的2%作为违约赔偿金（数量不确定的单价采购须约定具体金额）。</w:t>
      </w:r>
    </w:p>
    <w:p w14:paraId="4552919A">
      <w:pPr>
        <w:widowControl/>
        <w:spacing w:line="360" w:lineRule="auto"/>
        <w:ind w:firstLine="555"/>
        <w:jc w:val="left"/>
        <w:rPr>
          <w:color w:val="000000"/>
          <w:sz w:val="24"/>
          <w:highlight w:val="none"/>
        </w:rPr>
      </w:pPr>
      <w:r>
        <w:rPr>
          <w:color w:val="000000"/>
          <w:sz w:val="24"/>
          <w:highlight w:val="none"/>
        </w:rPr>
        <w:t>1.自投标（响应）截止时间至本项目发布中标（成交）公告为止，撤销投标（响应）；</w:t>
      </w:r>
    </w:p>
    <w:p w14:paraId="347FB80C">
      <w:pPr>
        <w:widowControl/>
        <w:spacing w:line="360" w:lineRule="auto"/>
        <w:ind w:firstLine="555"/>
        <w:jc w:val="left"/>
        <w:rPr>
          <w:color w:val="000000"/>
          <w:sz w:val="24"/>
          <w:highlight w:val="none"/>
        </w:rPr>
      </w:pPr>
      <w:r>
        <w:rPr>
          <w:color w:val="000000"/>
          <w:sz w:val="24"/>
          <w:highlight w:val="none"/>
        </w:rPr>
        <w:t>2.中标（成交）后不依法与</w:t>
      </w:r>
      <w:r>
        <w:rPr>
          <w:rFonts w:hint="eastAsia"/>
          <w:color w:val="000000"/>
          <w:sz w:val="24"/>
          <w:highlight w:val="none"/>
        </w:rPr>
        <w:t>采购人</w:t>
      </w:r>
      <w:r>
        <w:rPr>
          <w:color w:val="000000"/>
          <w:sz w:val="24"/>
          <w:highlight w:val="none"/>
        </w:rPr>
        <w:t>签订合同；</w:t>
      </w:r>
    </w:p>
    <w:p w14:paraId="13E7AB22">
      <w:pPr>
        <w:widowControl/>
        <w:spacing w:line="360" w:lineRule="auto"/>
        <w:ind w:firstLine="555"/>
        <w:jc w:val="left"/>
        <w:rPr>
          <w:color w:val="000000"/>
          <w:sz w:val="24"/>
          <w:highlight w:val="none"/>
        </w:rPr>
      </w:pPr>
      <w:r>
        <w:rPr>
          <w:color w:val="000000"/>
          <w:sz w:val="24"/>
          <w:highlight w:val="none"/>
        </w:rPr>
        <w:t>3.中标（成交）后不按本招标文件规定向</w:t>
      </w:r>
      <w:r>
        <w:rPr>
          <w:rFonts w:hint="eastAsia"/>
          <w:color w:val="000000"/>
          <w:sz w:val="24"/>
          <w:highlight w:val="none"/>
        </w:rPr>
        <w:t>采购人</w:t>
      </w:r>
      <w:r>
        <w:rPr>
          <w:color w:val="000000"/>
          <w:sz w:val="24"/>
          <w:highlight w:val="none"/>
        </w:rPr>
        <w:t>提交履约保证金（如有）；</w:t>
      </w:r>
    </w:p>
    <w:p w14:paraId="2FF68CE2">
      <w:pPr>
        <w:widowControl/>
        <w:spacing w:line="360" w:lineRule="auto"/>
        <w:ind w:firstLine="555"/>
        <w:jc w:val="left"/>
        <w:rPr>
          <w:color w:val="000000"/>
          <w:sz w:val="24"/>
          <w:highlight w:val="none"/>
        </w:rPr>
      </w:pPr>
      <w:r>
        <w:rPr>
          <w:color w:val="000000"/>
          <w:sz w:val="24"/>
          <w:highlight w:val="none"/>
        </w:rPr>
        <w:t>4.中标（成交）后不按本招标文件规定向贵方缴纳采购代理费。</w:t>
      </w:r>
    </w:p>
    <w:p w14:paraId="28A3D1E0">
      <w:pPr>
        <w:widowControl/>
        <w:spacing w:line="360" w:lineRule="auto"/>
        <w:ind w:firstLine="600"/>
        <w:jc w:val="left"/>
        <w:rPr>
          <w:color w:val="000000"/>
          <w:sz w:val="24"/>
          <w:highlight w:val="none"/>
        </w:rPr>
      </w:pPr>
      <w:r>
        <w:rPr>
          <w:color w:val="000000"/>
          <w:sz w:val="24"/>
          <w:highlight w:val="none"/>
        </w:rPr>
        <w:t>二、  我单位知晓上述行为的法律后果，承认本承诺书作为贵方</w:t>
      </w:r>
      <w:r>
        <w:rPr>
          <w:color w:val="000000"/>
          <w:sz w:val="24"/>
          <w:highlight w:val="none"/>
          <w:u w:val="single"/>
        </w:rPr>
        <w:t>（或</w:t>
      </w:r>
      <w:r>
        <w:rPr>
          <w:rFonts w:hint="eastAsia"/>
          <w:color w:val="000000"/>
          <w:sz w:val="24"/>
          <w:highlight w:val="none"/>
          <w:u w:val="single"/>
        </w:rPr>
        <w:t>采购人</w:t>
      </w:r>
      <w:r>
        <w:rPr>
          <w:color w:val="000000"/>
          <w:sz w:val="24"/>
          <w:highlight w:val="none"/>
          <w:u w:val="single"/>
        </w:rPr>
        <w:t>）</w:t>
      </w:r>
      <w:r>
        <w:rPr>
          <w:color w:val="000000"/>
          <w:sz w:val="24"/>
          <w:highlight w:val="none"/>
        </w:rPr>
        <w:t>要求我单位履行违约赔偿义务的依据作用。</w:t>
      </w:r>
    </w:p>
    <w:p w14:paraId="1DD7D23E">
      <w:pPr>
        <w:widowControl/>
        <w:spacing w:line="360" w:lineRule="auto"/>
        <w:jc w:val="left"/>
        <w:rPr>
          <w:color w:val="000000"/>
          <w:sz w:val="24"/>
          <w:highlight w:val="none"/>
        </w:rPr>
      </w:pPr>
      <w:r>
        <w:rPr>
          <w:color w:val="000000"/>
          <w:sz w:val="24"/>
          <w:highlight w:val="none"/>
        </w:rPr>
        <w:t> </w:t>
      </w:r>
    </w:p>
    <w:p w14:paraId="566EFDB9">
      <w:pPr>
        <w:widowControl/>
        <w:spacing w:line="360" w:lineRule="auto"/>
        <w:jc w:val="left"/>
        <w:rPr>
          <w:color w:val="000000"/>
          <w:sz w:val="24"/>
          <w:highlight w:val="none"/>
        </w:rPr>
      </w:pPr>
      <w:r>
        <w:rPr>
          <w:rFonts w:hint="eastAsia"/>
          <w:color w:val="000000"/>
          <w:sz w:val="24"/>
          <w:highlight w:val="none"/>
        </w:rPr>
        <w:t>供</w:t>
      </w:r>
      <w:r>
        <w:rPr>
          <w:color w:val="000000"/>
          <w:sz w:val="24"/>
          <w:highlight w:val="none"/>
        </w:rPr>
        <w:t>应商签章：</w:t>
      </w:r>
      <w:r>
        <w:rPr>
          <w:color w:val="000000"/>
          <w:sz w:val="24"/>
          <w:highlight w:val="none"/>
          <w:u w:val="single"/>
        </w:rPr>
        <w:t>                      </w:t>
      </w:r>
    </w:p>
    <w:p w14:paraId="5796103A">
      <w:pPr>
        <w:widowControl/>
        <w:spacing w:line="360" w:lineRule="auto"/>
        <w:jc w:val="left"/>
        <w:rPr>
          <w:color w:val="000000"/>
          <w:sz w:val="24"/>
          <w:highlight w:val="none"/>
        </w:rPr>
      </w:pPr>
      <w:r>
        <w:rPr>
          <w:color w:val="000000"/>
          <w:sz w:val="24"/>
          <w:highlight w:val="none"/>
        </w:rPr>
        <w:t>地址：</w:t>
      </w:r>
      <w:r>
        <w:rPr>
          <w:color w:val="000000"/>
          <w:sz w:val="24"/>
          <w:highlight w:val="none"/>
          <w:u w:val="single"/>
        </w:rPr>
        <w:t xml:space="preserve">                  </w:t>
      </w:r>
    </w:p>
    <w:p w14:paraId="465F3755">
      <w:pPr>
        <w:widowControl/>
        <w:spacing w:line="360" w:lineRule="auto"/>
        <w:jc w:val="left"/>
        <w:rPr>
          <w:color w:val="000000"/>
          <w:sz w:val="24"/>
          <w:highlight w:val="none"/>
        </w:rPr>
      </w:pPr>
      <w:r>
        <w:rPr>
          <w:color w:val="000000"/>
          <w:sz w:val="24"/>
          <w:highlight w:val="none"/>
        </w:rPr>
        <w:t>电话：</w:t>
      </w:r>
      <w:r>
        <w:rPr>
          <w:color w:val="000000"/>
          <w:sz w:val="24"/>
          <w:highlight w:val="none"/>
          <w:u w:val="single"/>
        </w:rPr>
        <w:t xml:space="preserve">                     </w:t>
      </w:r>
      <w:r>
        <w:rPr>
          <w:color w:val="000000"/>
          <w:sz w:val="24"/>
          <w:highlight w:val="none"/>
        </w:rPr>
        <w:t xml:space="preserve">     </w:t>
      </w:r>
    </w:p>
    <w:p w14:paraId="6E882967">
      <w:pPr>
        <w:widowControl/>
        <w:spacing w:line="360" w:lineRule="auto"/>
        <w:jc w:val="left"/>
        <w:rPr>
          <w:color w:val="000000"/>
          <w:sz w:val="24"/>
          <w:highlight w:val="none"/>
        </w:rPr>
      </w:pPr>
      <w:r>
        <w:rPr>
          <w:color w:val="000000"/>
          <w:sz w:val="24"/>
          <w:highlight w:val="none"/>
        </w:rPr>
        <w:t>传真：</w:t>
      </w:r>
      <w:r>
        <w:rPr>
          <w:color w:val="000000"/>
          <w:sz w:val="24"/>
          <w:highlight w:val="none"/>
          <w:u w:val="single"/>
        </w:rPr>
        <w:t xml:space="preserve">                      </w:t>
      </w:r>
    </w:p>
    <w:p w14:paraId="3E466944">
      <w:pPr>
        <w:widowControl/>
        <w:spacing w:line="360" w:lineRule="auto"/>
        <w:jc w:val="left"/>
        <w:rPr>
          <w:color w:val="000000"/>
          <w:sz w:val="24"/>
          <w:highlight w:val="none"/>
        </w:rPr>
      </w:pPr>
      <w:r>
        <w:rPr>
          <w:color w:val="000000"/>
          <w:sz w:val="24"/>
          <w:highlight w:val="none"/>
        </w:rPr>
        <w:t>电子邮件：</w:t>
      </w:r>
      <w:r>
        <w:rPr>
          <w:color w:val="000000"/>
          <w:sz w:val="24"/>
          <w:highlight w:val="none"/>
          <w:u w:val="single"/>
        </w:rPr>
        <w:t xml:space="preserve">             </w:t>
      </w:r>
      <w:r>
        <w:rPr>
          <w:color w:val="000000"/>
          <w:sz w:val="24"/>
          <w:highlight w:val="none"/>
        </w:rPr>
        <w:t>                   </w:t>
      </w:r>
    </w:p>
    <w:p w14:paraId="653DC255">
      <w:pPr>
        <w:widowControl/>
        <w:spacing w:line="360" w:lineRule="auto"/>
        <w:jc w:val="left"/>
        <w:rPr>
          <w:color w:val="000000"/>
          <w:sz w:val="24"/>
          <w:highlight w:val="none"/>
        </w:rPr>
      </w:pPr>
      <w:r>
        <w:rPr>
          <w:color w:val="000000"/>
          <w:sz w:val="24"/>
          <w:highlight w:val="none"/>
        </w:rPr>
        <w:t>邮编：</w:t>
      </w:r>
      <w:r>
        <w:rPr>
          <w:color w:val="000000"/>
          <w:sz w:val="24"/>
          <w:highlight w:val="none"/>
          <w:u w:val="single"/>
        </w:rPr>
        <w:t xml:space="preserve">                      </w:t>
      </w:r>
    </w:p>
    <w:p w14:paraId="0D58DF3E">
      <w:pPr>
        <w:widowControl/>
        <w:spacing w:line="360" w:lineRule="auto"/>
        <w:jc w:val="left"/>
        <w:rPr>
          <w:color w:val="000000"/>
          <w:sz w:val="24"/>
          <w:highlight w:val="none"/>
        </w:rPr>
      </w:pPr>
      <w:r>
        <w:rPr>
          <w:rFonts w:hint="eastAsia"/>
          <w:color w:val="000000"/>
          <w:sz w:val="24"/>
          <w:highlight w:val="none"/>
        </w:rPr>
        <w:t>供应商</w:t>
      </w:r>
      <w:r>
        <w:rPr>
          <w:color w:val="000000"/>
          <w:sz w:val="24"/>
          <w:highlight w:val="none"/>
        </w:rPr>
        <w:t>法定代表人或委托代理人(签字或签章)：</w:t>
      </w:r>
      <w:r>
        <w:rPr>
          <w:color w:val="000000"/>
          <w:sz w:val="24"/>
          <w:highlight w:val="none"/>
          <w:u w:val="single"/>
        </w:rPr>
        <w:t>                     </w:t>
      </w:r>
    </w:p>
    <w:p w14:paraId="4CEBBDCD">
      <w:pPr>
        <w:widowControl/>
        <w:spacing w:line="360" w:lineRule="auto"/>
        <w:jc w:val="left"/>
        <w:rPr>
          <w:color w:val="000000"/>
          <w:sz w:val="24"/>
          <w:highlight w:val="none"/>
        </w:rPr>
      </w:pPr>
      <w:r>
        <w:rPr>
          <w:color w:val="000000"/>
          <w:sz w:val="24"/>
          <w:highlight w:val="none"/>
        </w:rPr>
        <w:t>日期：</w:t>
      </w:r>
      <w:r>
        <w:rPr>
          <w:color w:val="000000"/>
          <w:sz w:val="24"/>
          <w:highlight w:val="none"/>
          <w:u w:val="single"/>
        </w:rPr>
        <w:t>                    </w:t>
      </w:r>
    </w:p>
    <w:p w14:paraId="03946384">
      <w:pPr>
        <w:widowControl/>
        <w:spacing w:line="360" w:lineRule="auto"/>
        <w:jc w:val="left"/>
        <w:rPr>
          <w:rFonts w:ascii="宋体" w:hAnsi="宋体" w:cs="楷体"/>
          <w:color w:val="000000"/>
          <w:sz w:val="24"/>
          <w:highlight w:val="none"/>
        </w:rPr>
      </w:pPr>
      <w:r>
        <w:rPr>
          <w:rFonts w:hint="eastAsia" w:ascii="宋体" w:hAnsi="宋体"/>
          <w:b/>
          <w:color w:val="000000"/>
          <w:szCs w:val="21"/>
          <w:highlight w:val="none"/>
        </w:rPr>
        <w:br w:type="page" w:clear="all"/>
      </w:r>
      <w:r>
        <w:rPr>
          <w:rFonts w:hint="eastAsia" w:ascii="宋体" w:hAnsi="宋体"/>
          <w:b/>
          <w:color w:val="000000"/>
          <w:sz w:val="24"/>
          <w:highlight w:val="none"/>
        </w:rPr>
        <w:t>附件1</w:t>
      </w:r>
      <w:r>
        <w:rPr>
          <w:rFonts w:hint="eastAsia" w:ascii="宋体" w:hAnsi="宋体"/>
          <w:b/>
          <w:color w:val="000000"/>
          <w:sz w:val="24"/>
          <w:highlight w:val="none"/>
          <w:lang w:val="en-US" w:eastAsia="zh-CN"/>
        </w:rPr>
        <w:t>5</w:t>
      </w:r>
      <w:r>
        <w:rPr>
          <w:rFonts w:hint="eastAsia" w:ascii="宋体" w:hAnsi="宋体"/>
          <w:color w:val="000000"/>
          <w:sz w:val="24"/>
          <w:highlight w:val="none"/>
        </w:rPr>
        <w:t>：响应单位资格承诺书</w:t>
      </w:r>
    </w:p>
    <w:p w14:paraId="3E523248">
      <w:pPr>
        <w:widowControl/>
        <w:tabs>
          <w:tab w:val="left" w:pos="7980"/>
        </w:tabs>
        <w:spacing w:line="360" w:lineRule="auto"/>
        <w:ind w:right="420" w:firstLine="4725"/>
        <w:jc w:val="center"/>
        <w:rPr>
          <w:rFonts w:ascii="宋体" w:hAnsi="宋体" w:cs="楷体"/>
          <w:color w:val="000000"/>
          <w:sz w:val="24"/>
          <w:highlight w:val="none"/>
        </w:rPr>
      </w:pPr>
    </w:p>
    <w:p w14:paraId="4E7BF4AD">
      <w:pPr>
        <w:widowControl/>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响应单位资格承诺书</w:t>
      </w:r>
    </w:p>
    <w:p w14:paraId="455AF21B">
      <w:pPr>
        <w:widowControl/>
        <w:spacing w:line="360" w:lineRule="auto"/>
        <w:ind w:firstLine="315"/>
        <w:jc w:val="left"/>
        <w:rPr>
          <w:rFonts w:ascii="宋体" w:hAnsi="宋体" w:cs="宋体"/>
          <w:color w:val="000000"/>
          <w:sz w:val="24"/>
          <w:highlight w:val="none"/>
          <w:lang w:val="zh-CN"/>
        </w:rPr>
      </w:pPr>
      <w:r>
        <w:rPr>
          <w:rFonts w:hint="eastAsia" w:ascii="宋体" w:hAnsi="宋体" w:cs="宋体"/>
          <w:color w:val="000000"/>
          <w:sz w:val="24"/>
          <w:highlight w:val="none"/>
        </w:rPr>
        <w:t>响应单位：（公章）                             采购编号：             号</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4500"/>
        <w:gridCol w:w="1729"/>
        <w:gridCol w:w="2087"/>
      </w:tblGrid>
      <w:tr w14:paraId="7DB93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686" w:type="dxa"/>
            <w:noWrap w:val="0"/>
            <w:vAlign w:val="center"/>
          </w:tcPr>
          <w:p w14:paraId="072A5657">
            <w:pPr>
              <w:widowControl/>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序号</w:t>
            </w:r>
          </w:p>
        </w:tc>
        <w:tc>
          <w:tcPr>
            <w:tcW w:w="4500" w:type="dxa"/>
            <w:noWrap w:val="0"/>
            <w:vAlign w:val="center"/>
          </w:tcPr>
          <w:p w14:paraId="45864AEE">
            <w:pPr>
              <w:widowControl/>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响应单位部分资格要求</w:t>
            </w:r>
          </w:p>
        </w:tc>
        <w:tc>
          <w:tcPr>
            <w:tcW w:w="1729" w:type="dxa"/>
            <w:noWrap w:val="0"/>
            <w:vAlign w:val="center"/>
          </w:tcPr>
          <w:p w14:paraId="365C1A1E">
            <w:pPr>
              <w:widowControl/>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是否完全满足</w:t>
            </w:r>
          </w:p>
        </w:tc>
        <w:tc>
          <w:tcPr>
            <w:tcW w:w="2087" w:type="dxa"/>
            <w:noWrap w:val="0"/>
            <w:vAlign w:val="center"/>
          </w:tcPr>
          <w:p w14:paraId="136FFDC4">
            <w:pPr>
              <w:widowControl/>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备注</w:t>
            </w:r>
          </w:p>
        </w:tc>
      </w:tr>
      <w:tr w14:paraId="72F80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86" w:type="dxa"/>
            <w:noWrap w:val="0"/>
            <w:vAlign w:val="center"/>
          </w:tcPr>
          <w:p w14:paraId="2AB67042">
            <w:pPr>
              <w:widowControl/>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4500" w:type="dxa"/>
            <w:noWrap w:val="0"/>
            <w:vAlign w:val="center"/>
          </w:tcPr>
          <w:p w14:paraId="7BFB41B8">
            <w:pPr>
              <w:widowControl/>
              <w:spacing w:line="360" w:lineRule="auto"/>
              <w:jc w:val="left"/>
              <w:rPr>
                <w:rFonts w:ascii="宋体" w:hAnsi="宋体" w:cs="宋体"/>
                <w:color w:val="000000"/>
                <w:sz w:val="24"/>
                <w:highlight w:val="none"/>
              </w:rPr>
            </w:pPr>
            <w:r>
              <w:rPr>
                <w:rFonts w:hint="eastAsia" w:ascii="宋体" w:hAnsi="宋体" w:cs="宋体"/>
                <w:color w:val="000000"/>
                <w:sz w:val="24"/>
                <w:highlight w:val="none"/>
              </w:rPr>
              <w:t>具有独立承担民事责任的能力</w:t>
            </w:r>
          </w:p>
        </w:tc>
        <w:tc>
          <w:tcPr>
            <w:tcW w:w="1729" w:type="dxa"/>
            <w:noWrap w:val="0"/>
            <w:vAlign w:val="center"/>
          </w:tcPr>
          <w:p w14:paraId="73D4E8E3">
            <w:pPr>
              <w:widowControl/>
              <w:spacing w:line="360" w:lineRule="auto"/>
              <w:jc w:val="center"/>
              <w:rPr>
                <w:rFonts w:ascii="宋体" w:hAnsi="宋体" w:cs="宋体"/>
                <w:color w:val="000000"/>
                <w:sz w:val="24"/>
                <w:highlight w:val="none"/>
              </w:rPr>
            </w:pPr>
          </w:p>
        </w:tc>
        <w:tc>
          <w:tcPr>
            <w:tcW w:w="2087" w:type="dxa"/>
            <w:noWrap w:val="0"/>
            <w:vAlign w:val="center"/>
          </w:tcPr>
          <w:p w14:paraId="275FE442">
            <w:pPr>
              <w:widowControl/>
              <w:spacing w:line="360" w:lineRule="auto"/>
              <w:jc w:val="left"/>
              <w:rPr>
                <w:rFonts w:ascii="宋体" w:hAnsi="宋体" w:cs="宋体"/>
                <w:color w:val="000000"/>
                <w:sz w:val="24"/>
                <w:highlight w:val="none"/>
              </w:rPr>
            </w:pPr>
          </w:p>
        </w:tc>
      </w:tr>
      <w:tr w14:paraId="3C42D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86" w:type="dxa"/>
            <w:noWrap w:val="0"/>
            <w:vAlign w:val="center"/>
          </w:tcPr>
          <w:p w14:paraId="0C5A4910">
            <w:pPr>
              <w:widowControl/>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4500" w:type="dxa"/>
            <w:noWrap w:val="0"/>
            <w:vAlign w:val="center"/>
          </w:tcPr>
          <w:p w14:paraId="5EB883E2">
            <w:pPr>
              <w:widowControl/>
              <w:spacing w:line="360" w:lineRule="auto"/>
              <w:jc w:val="left"/>
              <w:rPr>
                <w:rFonts w:ascii="宋体" w:hAnsi="宋体" w:cs="宋体"/>
                <w:color w:val="000000"/>
                <w:sz w:val="24"/>
                <w:highlight w:val="none"/>
              </w:rPr>
            </w:pPr>
            <w:r>
              <w:rPr>
                <w:rFonts w:hint="eastAsia" w:ascii="宋体" w:hAnsi="宋体" w:cs="宋体"/>
                <w:color w:val="000000"/>
                <w:sz w:val="24"/>
                <w:highlight w:val="none"/>
              </w:rPr>
              <w:t>具有良好的商业信誉和健全的财务会计制度</w:t>
            </w:r>
          </w:p>
        </w:tc>
        <w:tc>
          <w:tcPr>
            <w:tcW w:w="1729" w:type="dxa"/>
            <w:noWrap w:val="0"/>
            <w:vAlign w:val="center"/>
          </w:tcPr>
          <w:p w14:paraId="04AF3D32">
            <w:pPr>
              <w:widowControl/>
              <w:spacing w:line="360" w:lineRule="auto"/>
              <w:jc w:val="center"/>
              <w:rPr>
                <w:rFonts w:ascii="宋体" w:hAnsi="宋体" w:cs="宋体"/>
                <w:color w:val="000000"/>
                <w:sz w:val="24"/>
                <w:highlight w:val="none"/>
              </w:rPr>
            </w:pPr>
          </w:p>
        </w:tc>
        <w:tc>
          <w:tcPr>
            <w:tcW w:w="2087" w:type="dxa"/>
            <w:noWrap w:val="0"/>
            <w:vAlign w:val="center"/>
          </w:tcPr>
          <w:p w14:paraId="3B27B5FD">
            <w:pPr>
              <w:widowControl/>
              <w:spacing w:line="360" w:lineRule="auto"/>
              <w:jc w:val="left"/>
              <w:rPr>
                <w:rFonts w:ascii="宋体" w:hAnsi="宋体" w:cs="宋体"/>
                <w:color w:val="000000"/>
                <w:sz w:val="24"/>
                <w:highlight w:val="none"/>
              </w:rPr>
            </w:pPr>
          </w:p>
        </w:tc>
      </w:tr>
      <w:tr w14:paraId="7D4A9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86" w:type="dxa"/>
            <w:noWrap w:val="0"/>
            <w:vAlign w:val="center"/>
          </w:tcPr>
          <w:p w14:paraId="34EBF1FF">
            <w:pPr>
              <w:widowControl/>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4500" w:type="dxa"/>
            <w:noWrap w:val="0"/>
            <w:vAlign w:val="center"/>
          </w:tcPr>
          <w:p w14:paraId="5A137373">
            <w:pPr>
              <w:widowControl/>
              <w:spacing w:line="360" w:lineRule="auto"/>
              <w:jc w:val="left"/>
              <w:rPr>
                <w:rFonts w:ascii="宋体" w:hAnsi="宋体" w:cs="宋体"/>
                <w:color w:val="000000"/>
                <w:sz w:val="24"/>
                <w:highlight w:val="none"/>
              </w:rPr>
            </w:pPr>
            <w:r>
              <w:rPr>
                <w:rFonts w:hint="eastAsia" w:ascii="宋体" w:hAnsi="宋体" w:cs="宋体"/>
                <w:color w:val="000000"/>
                <w:sz w:val="24"/>
                <w:highlight w:val="none"/>
              </w:rPr>
              <w:t>具有履行合同所必需的设备和专业技术能力</w:t>
            </w:r>
          </w:p>
        </w:tc>
        <w:tc>
          <w:tcPr>
            <w:tcW w:w="1729" w:type="dxa"/>
            <w:noWrap w:val="0"/>
            <w:vAlign w:val="center"/>
          </w:tcPr>
          <w:p w14:paraId="485DA8C5">
            <w:pPr>
              <w:widowControl/>
              <w:spacing w:line="360" w:lineRule="auto"/>
              <w:jc w:val="center"/>
              <w:rPr>
                <w:rFonts w:ascii="宋体" w:hAnsi="宋体" w:cs="宋体"/>
                <w:color w:val="000000"/>
                <w:sz w:val="24"/>
                <w:highlight w:val="none"/>
              </w:rPr>
            </w:pPr>
          </w:p>
        </w:tc>
        <w:tc>
          <w:tcPr>
            <w:tcW w:w="2087" w:type="dxa"/>
            <w:noWrap w:val="0"/>
            <w:vAlign w:val="center"/>
          </w:tcPr>
          <w:p w14:paraId="173B2440">
            <w:pPr>
              <w:widowControl/>
              <w:spacing w:line="360" w:lineRule="auto"/>
              <w:jc w:val="left"/>
              <w:rPr>
                <w:rFonts w:ascii="宋体" w:hAnsi="宋体" w:cs="宋体"/>
                <w:color w:val="000000"/>
                <w:sz w:val="24"/>
                <w:highlight w:val="none"/>
              </w:rPr>
            </w:pPr>
          </w:p>
        </w:tc>
      </w:tr>
      <w:tr w14:paraId="6BEE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86" w:type="dxa"/>
            <w:noWrap w:val="0"/>
            <w:vAlign w:val="center"/>
          </w:tcPr>
          <w:p w14:paraId="3F6B3B5E">
            <w:pPr>
              <w:widowControl/>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4500" w:type="dxa"/>
            <w:noWrap w:val="0"/>
            <w:vAlign w:val="center"/>
          </w:tcPr>
          <w:p w14:paraId="57EEEFBB">
            <w:pPr>
              <w:widowControl/>
              <w:spacing w:line="360" w:lineRule="auto"/>
              <w:jc w:val="left"/>
              <w:rPr>
                <w:rFonts w:ascii="宋体" w:hAnsi="宋体" w:cs="宋体"/>
                <w:color w:val="000000"/>
                <w:sz w:val="24"/>
                <w:highlight w:val="none"/>
              </w:rPr>
            </w:pPr>
            <w:r>
              <w:rPr>
                <w:rFonts w:hint="eastAsia" w:ascii="宋体" w:hAnsi="宋体" w:cs="宋体"/>
                <w:color w:val="000000"/>
                <w:sz w:val="24"/>
                <w:highlight w:val="none"/>
              </w:rPr>
              <w:t>有依法缴纳税收和社会保障资金的良好记录</w:t>
            </w:r>
          </w:p>
        </w:tc>
        <w:tc>
          <w:tcPr>
            <w:tcW w:w="1729" w:type="dxa"/>
            <w:noWrap w:val="0"/>
            <w:vAlign w:val="center"/>
          </w:tcPr>
          <w:p w14:paraId="3727F9E1">
            <w:pPr>
              <w:widowControl/>
              <w:spacing w:line="360" w:lineRule="auto"/>
              <w:jc w:val="center"/>
              <w:rPr>
                <w:rFonts w:ascii="宋体" w:hAnsi="宋体" w:cs="宋体"/>
                <w:color w:val="000000"/>
                <w:sz w:val="24"/>
                <w:highlight w:val="none"/>
              </w:rPr>
            </w:pPr>
          </w:p>
        </w:tc>
        <w:tc>
          <w:tcPr>
            <w:tcW w:w="2087" w:type="dxa"/>
            <w:noWrap w:val="0"/>
            <w:vAlign w:val="center"/>
          </w:tcPr>
          <w:p w14:paraId="0176BEC9">
            <w:pPr>
              <w:widowControl/>
              <w:spacing w:line="360" w:lineRule="auto"/>
              <w:jc w:val="left"/>
              <w:rPr>
                <w:rFonts w:ascii="宋体" w:hAnsi="宋体" w:cs="宋体"/>
                <w:color w:val="000000"/>
                <w:sz w:val="24"/>
                <w:highlight w:val="none"/>
              </w:rPr>
            </w:pPr>
          </w:p>
        </w:tc>
      </w:tr>
      <w:tr w14:paraId="3C9D9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86" w:type="dxa"/>
            <w:noWrap w:val="0"/>
            <w:vAlign w:val="center"/>
          </w:tcPr>
          <w:p w14:paraId="473F9FAD">
            <w:pPr>
              <w:widowControl/>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4500" w:type="dxa"/>
            <w:noWrap w:val="0"/>
            <w:vAlign w:val="center"/>
          </w:tcPr>
          <w:p w14:paraId="6818175E">
            <w:pPr>
              <w:widowControl/>
              <w:spacing w:line="360" w:lineRule="auto"/>
              <w:jc w:val="left"/>
              <w:rPr>
                <w:rFonts w:ascii="宋体" w:hAnsi="宋体" w:cs="宋体"/>
                <w:color w:val="000000"/>
                <w:sz w:val="24"/>
                <w:highlight w:val="none"/>
              </w:rPr>
            </w:pPr>
            <w:r>
              <w:rPr>
                <w:rFonts w:hint="eastAsia" w:ascii="宋体" w:hAnsi="宋体" w:cs="宋体"/>
                <w:color w:val="000000"/>
                <w:sz w:val="24"/>
                <w:highlight w:val="none"/>
              </w:rPr>
              <w:t>参加政府采购活动前三年内，在经营活动中没有重大违法记录</w:t>
            </w:r>
          </w:p>
        </w:tc>
        <w:tc>
          <w:tcPr>
            <w:tcW w:w="1729" w:type="dxa"/>
            <w:noWrap w:val="0"/>
            <w:vAlign w:val="center"/>
          </w:tcPr>
          <w:p w14:paraId="6F057AC7">
            <w:pPr>
              <w:widowControl/>
              <w:spacing w:line="360" w:lineRule="auto"/>
              <w:jc w:val="center"/>
              <w:rPr>
                <w:rFonts w:ascii="宋体" w:hAnsi="宋体" w:cs="宋体"/>
                <w:color w:val="000000"/>
                <w:sz w:val="24"/>
                <w:highlight w:val="none"/>
              </w:rPr>
            </w:pPr>
          </w:p>
        </w:tc>
        <w:tc>
          <w:tcPr>
            <w:tcW w:w="2087" w:type="dxa"/>
            <w:noWrap w:val="0"/>
            <w:vAlign w:val="center"/>
          </w:tcPr>
          <w:p w14:paraId="350D71C7">
            <w:pPr>
              <w:widowControl/>
              <w:spacing w:line="360" w:lineRule="auto"/>
              <w:jc w:val="left"/>
              <w:rPr>
                <w:rFonts w:ascii="宋体" w:hAnsi="宋体" w:cs="宋体"/>
                <w:color w:val="000000"/>
                <w:sz w:val="24"/>
                <w:highlight w:val="none"/>
              </w:rPr>
            </w:pPr>
          </w:p>
        </w:tc>
      </w:tr>
      <w:tr w14:paraId="2D93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86" w:type="dxa"/>
            <w:noWrap w:val="0"/>
            <w:vAlign w:val="center"/>
          </w:tcPr>
          <w:p w14:paraId="32BF9E73">
            <w:pPr>
              <w:widowControl/>
              <w:spacing w:line="360" w:lineRule="auto"/>
              <w:ind w:firstLine="210"/>
              <w:jc w:val="left"/>
              <w:rPr>
                <w:rFonts w:ascii="宋体" w:hAnsi="宋体" w:cs="宋体"/>
                <w:color w:val="000000"/>
                <w:sz w:val="24"/>
                <w:highlight w:val="none"/>
              </w:rPr>
            </w:pPr>
            <w:r>
              <w:rPr>
                <w:rFonts w:hint="eastAsia" w:ascii="宋体" w:hAnsi="宋体" w:cs="宋体"/>
                <w:color w:val="000000"/>
                <w:sz w:val="24"/>
                <w:highlight w:val="none"/>
              </w:rPr>
              <w:t>6</w:t>
            </w:r>
          </w:p>
        </w:tc>
        <w:tc>
          <w:tcPr>
            <w:tcW w:w="4500" w:type="dxa"/>
            <w:noWrap w:val="0"/>
            <w:vAlign w:val="center"/>
          </w:tcPr>
          <w:p w14:paraId="5AFBE918">
            <w:pPr>
              <w:widowControl/>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法律、行政法规规定的其他条件</w:t>
            </w:r>
          </w:p>
        </w:tc>
        <w:tc>
          <w:tcPr>
            <w:tcW w:w="1729" w:type="dxa"/>
            <w:noWrap w:val="0"/>
            <w:vAlign w:val="center"/>
          </w:tcPr>
          <w:p w14:paraId="05F25270">
            <w:pPr>
              <w:widowControl/>
              <w:spacing w:line="360" w:lineRule="auto"/>
              <w:jc w:val="center"/>
              <w:rPr>
                <w:rFonts w:ascii="宋体" w:hAnsi="宋体" w:cs="宋体"/>
                <w:color w:val="000000"/>
                <w:sz w:val="24"/>
                <w:highlight w:val="none"/>
              </w:rPr>
            </w:pPr>
          </w:p>
        </w:tc>
        <w:tc>
          <w:tcPr>
            <w:tcW w:w="2087" w:type="dxa"/>
            <w:noWrap w:val="0"/>
            <w:vAlign w:val="center"/>
          </w:tcPr>
          <w:p w14:paraId="5191CB2D">
            <w:pPr>
              <w:widowControl/>
              <w:spacing w:line="360" w:lineRule="auto"/>
              <w:jc w:val="left"/>
              <w:rPr>
                <w:rFonts w:ascii="宋体" w:hAnsi="宋体" w:cs="宋体"/>
                <w:color w:val="000000"/>
                <w:sz w:val="24"/>
                <w:highlight w:val="none"/>
              </w:rPr>
            </w:pPr>
          </w:p>
        </w:tc>
      </w:tr>
      <w:tr w14:paraId="5307D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86" w:type="dxa"/>
            <w:noWrap w:val="0"/>
            <w:vAlign w:val="center"/>
          </w:tcPr>
          <w:p w14:paraId="122C4AE7">
            <w:pPr>
              <w:widowControl/>
              <w:spacing w:line="360" w:lineRule="auto"/>
              <w:ind w:firstLine="210"/>
              <w:jc w:val="left"/>
              <w:rPr>
                <w:rFonts w:ascii="宋体" w:hAnsi="宋体" w:cs="宋体"/>
                <w:color w:val="000000"/>
                <w:sz w:val="24"/>
                <w:highlight w:val="none"/>
              </w:rPr>
            </w:pPr>
            <w:r>
              <w:rPr>
                <w:rFonts w:hint="eastAsia" w:ascii="宋体" w:hAnsi="宋体" w:cs="宋体"/>
                <w:color w:val="000000"/>
                <w:sz w:val="24"/>
                <w:highlight w:val="none"/>
              </w:rPr>
              <w:t>7</w:t>
            </w:r>
          </w:p>
        </w:tc>
        <w:tc>
          <w:tcPr>
            <w:tcW w:w="4500" w:type="dxa"/>
            <w:noWrap w:val="0"/>
            <w:vAlign w:val="center"/>
          </w:tcPr>
          <w:p w14:paraId="3C4761A8">
            <w:pPr>
              <w:widowControl/>
              <w:spacing w:line="360" w:lineRule="auto"/>
              <w:jc w:val="left"/>
              <w:rPr>
                <w:rFonts w:ascii="宋体" w:hAnsi="宋体" w:cs="宋体"/>
                <w:color w:val="000000"/>
                <w:sz w:val="24"/>
                <w:highlight w:val="none"/>
              </w:rPr>
            </w:pPr>
            <w:r>
              <w:rPr>
                <w:rFonts w:hint="eastAsia" w:ascii="宋体" w:hAnsi="宋体" w:cs="宋体"/>
                <w:color w:val="000000"/>
                <w:sz w:val="24"/>
                <w:highlight w:val="none"/>
              </w:rPr>
              <w:t>合格响应单位特定资格要求的证明文件（如有）</w:t>
            </w:r>
          </w:p>
        </w:tc>
        <w:tc>
          <w:tcPr>
            <w:tcW w:w="1729" w:type="dxa"/>
            <w:noWrap w:val="0"/>
            <w:vAlign w:val="center"/>
          </w:tcPr>
          <w:p w14:paraId="783A05AA">
            <w:pPr>
              <w:widowControl/>
              <w:spacing w:line="360" w:lineRule="auto"/>
              <w:jc w:val="center"/>
              <w:rPr>
                <w:rFonts w:ascii="宋体" w:hAnsi="宋体" w:cs="宋体"/>
                <w:color w:val="000000"/>
                <w:sz w:val="24"/>
                <w:highlight w:val="none"/>
              </w:rPr>
            </w:pPr>
          </w:p>
        </w:tc>
        <w:tc>
          <w:tcPr>
            <w:tcW w:w="2087" w:type="dxa"/>
            <w:noWrap w:val="0"/>
            <w:vAlign w:val="center"/>
          </w:tcPr>
          <w:p w14:paraId="199ACBA4">
            <w:pPr>
              <w:widowControl/>
              <w:spacing w:line="360" w:lineRule="auto"/>
              <w:jc w:val="left"/>
              <w:rPr>
                <w:rFonts w:ascii="宋体" w:hAnsi="宋体" w:cs="宋体"/>
                <w:color w:val="000000"/>
                <w:sz w:val="24"/>
                <w:highlight w:val="none"/>
              </w:rPr>
            </w:pPr>
          </w:p>
        </w:tc>
      </w:tr>
    </w:tbl>
    <w:p w14:paraId="36510F59">
      <w:pPr>
        <w:widowControl/>
        <w:spacing w:before="100" w:beforeAutospacing="1" w:afterAutospacing="1" w:line="360" w:lineRule="auto"/>
        <w:ind w:firstLine="630"/>
        <w:jc w:val="left"/>
        <w:rPr>
          <w:rFonts w:ascii="宋体" w:hAnsi="宋体"/>
          <w:color w:val="000000"/>
          <w:szCs w:val="21"/>
          <w:highlight w:val="none"/>
        </w:rPr>
      </w:pPr>
    </w:p>
    <w:p w14:paraId="399608F3">
      <w:pPr>
        <w:widowControl/>
        <w:spacing w:before="100" w:beforeAutospacing="1" w:afterAutospacing="1" w:line="360" w:lineRule="auto"/>
        <w:ind w:firstLine="630"/>
        <w:jc w:val="left"/>
        <w:rPr>
          <w:rFonts w:ascii="宋体" w:hAnsi="宋体"/>
          <w:color w:val="000000"/>
          <w:sz w:val="24"/>
          <w:highlight w:val="none"/>
        </w:rPr>
      </w:pPr>
      <w:r>
        <w:rPr>
          <w:rFonts w:ascii="宋体" w:hAnsi="宋体"/>
          <w:color w:val="000000"/>
          <w:sz w:val="24"/>
          <w:highlight w:val="none"/>
        </w:rPr>
        <w:t>响应单位（公章）：</w:t>
      </w:r>
    </w:p>
    <w:p w14:paraId="0D207ED6">
      <w:pPr>
        <w:widowControl/>
        <w:spacing w:before="100" w:beforeAutospacing="1" w:afterAutospacing="1" w:line="360" w:lineRule="auto"/>
        <w:ind w:firstLine="630"/>
        <w:jc w:val="left"/>
        <w:rPr>
          <w:rFonts w:ascii="宋体" w:hAnsi="宋体"/>
          <w:color w:val="000000"/>
          <w:sz w:val="24"/>
          <w:highlight w:val="none"/>
        </w:rPr>
      </w:pPr>
      <w:r>
        <w:rPr>
          <w:rFonts w:ascii="宋体" w:hAnsi="宋体"/>
          <w:color w:val="000000"/>
          <w:sz w:val="24"/>
          <w:highlight w:val="none"/>
        </w:rPr>
        <w:t>法定代表人或委托代理人：（签字或盖章）</w:t>
      </w:r>
    </w:p>
    <w:p w14:paraId="0FCE30A3">
      <w:pPr>
        <w:widowControl/>
        <w:spacing w:line="360" w:lineRule="auto"/>
        <w:ind w:firstLine="630"/>
        <w:jc w:val="left"/>
        <w:rPr>
          <w:rFonts w:ascii="宋体" w:hAnsi="宋体" w:cs="宋体"/>
          <w:color w:val="000000"/>
          <w:sz w:val="24"/>
          <w:highlight w:val="none"/>
        </w:rPr>
      </w:pPr>
      <w:r>
        <w:rPr>
          <w:rFonts w:hint="eastAsia" w:ascii="宋体" w:hAnsi="宋体" w:cs="宋体"/>
          <w:color w:val="000000"/>
          <w:sz w:val="24"/>
          <w:highlight w:val="none"/>
        </w:rPr>
        <w:t>日期：      年     月     日</w:t>
      </w:r>
    </w:p>
    <w:p w14:paraId="466F40DE">
      <w:pPr>
        <w:widowControl/>
        <w:spacing w:line="360" w:lineRule="auto"/>
        <w:jc w:val="left"/>
        <w:rPr>
          <w:rFonts w:ascii="宋体" w:hAnsi="宋体"/>
          <w:color w:val="000000"/>
          <w:sz w:val="24"/>
          <w:highlight w:val="none"/>
        </w:rPr>
      </w:pPr>
      <w:r>
        <w:rPr>
          <w:rFonts w:ascii="Times New Roman" w:hAnsi="Times New Roman"/>
          <w:b/>
          <w:color w:val="000000"/>
          <w:sz w:val="24"/>
          <w:highlight w:val="none"/>
        </w:rPr>
        <w:br w:type="page" w:clear="all"/>
      </w:r>
      <w:r>
        <w:rPr>
          <w:rFonts w:hint="eastAsia" w:ascii="宋体" w:hAnsi="宋体"/>
          <w:b/>
          <w:color w:val="000000"/>
          <w:sz w:val="24"/>
          <w:highlight w:val="none"/>
        </w:rPr>
        <w:t>附件1</w:t>
      </w:r>
      <w:r>
        <w:rPr>
          <w:rFonts w:hint="eastAsia" w:ascii="宋体" w:hAnsi="宋体"/>
          <w:b/>
          <w:color w:val="000000"/>
          <w:sz w:val="24"/>
          <w:highlight w:val="none"/>
          <w:lang w:val="en-US" w:eastAsia="zh-CN"/>
        </w:rPr>
        <w:t>6</w:t>
      </w:r>
      <w:r>
        <w:rPr>
          <w:rFonts w:hint="eastAsia" w:ascii="宋体" w:hAnsi="宋体"/>
          <w:b/>
          <w:color w:val="000000"/>
          <w:sz w:val="24"/>
          <w:highlight w:val="none"/>
        </w:rPr>
        <w:t>：</w:t>
      </w:r>
    </w:p>
    <w:p w14:paraId="0A911DF0">
      <w:pPr>
        <w:spacing w:line="360" w:lineRule="auto"/>
        <w:jc w:val="center"/>
        <w:rPr>
          <w:rFonts w:ascii="宋体" w:hAnsi="宋体" w:cs="宋体"/>
          <w:b/>
          <w:bCs/>
          <w:color w:val="000000"/>
          <w:sz w:val="24"/>
          <w:highlight w:val="none"/>
        </w:rPr>
      </w:pPr>
      <w:r>
        <w:rPr>
          <w:rFonts w:hint="eastAsia" w:ascii="宋体" w:hAnsi="宋体" w:cs="宋体"/>
          <w:b/>
          <w:bCs/>
          <w:color w:val="000000"/>
          <w:sz w:val="24"/>
          <w:highlight w:val="none"/>
        </w:rPr>
        <w:t>开票信息</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92"/>
        <w:gridCol w:w="6636"/>
      </w:tblGrid>
      <w:tr w14:paraId="36108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92" w:type="dxa"/>
            <w:noWrap w:val="0"/>
            <w:vAlign w:val="center"/>
          </w:tcPr>
          <w:p w14:paraId="58B720DA">
            <w:pPr>
              <w:rPr>
                <w:rFonts w:ascii="宋体" w:hAnsi="宋体" w:cs="宋体"/>
                <w:color w:val="000000"/>
                <w:sz w:val="24"/>
                <w:highlight w:val="none"/>
              </w:rPr>
            </w:pPr>
            <w:r>
              <w:rPr>
                <w:rFonts w:hint="eastAsia" w:ascii="宋体" w:hAnsi="宋体" w:cs="宋体"/>
                <w:color w:val="000000"/>
                <w:sz w:val="24"/>
                <w:highlight w:val="none"/>
              </w:rPr>
              <w:t>供应商名称</w:t>
            </w:r>
          </w:p>
        </w:tc>
        <w:tc>
          <w:tcPr>
            <w:tcW w:w="6636" w:type="dxa"/>
            <w:noWrap w:val="0"/>
            <w:vAlign w:val="center"/>
          </w:tcPr>
          <w:p w14:paraId="771F06F6">
            <w:pPr>
              <w:rPr>
                <w:rFonts w:ascii="宋体" w:hAnsi="宋体" w:cs="宋体"/>
                <w:color w:val="000000"/>
                <w:sz w:val="24"/>
                <w:highlight w:val="none"/>
              </w:rPr>
            </w:pPr>
          </w:p>
        </w:tc>
      </w:tr>
      <w:tr w14:paraId="4588C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92" w:type="dxa"/>
            <w:noWrap w:val="0"/>
            <w:vAlign w:val="center"/>
          </w:tcPr>
          <w:p w14:paraId="01075900">
            <w:pPr>
              <w:rPr>
                <w:rFonts w:ascii="宋体" w:hAnsi="宋体" w:cs="宋体"/>
                <w:color w:val="000000"/>
                <w:sz w:val="24"/>
                <w:highlight w:val="none"/>
              </w:rPr>
            </w:pPr>
            <w:r>
              <w:rPr>
                <w:rFonts w:hint="eastAsia" w:ascii="宋体" w:hAnsi="宋体" w:cs="宋体"/>
                <w:color w:val="000000"/>
                <w:sz w:val="24"/>
                <w:highlight w:val="none"/>
              </w:rPr>
              <w:t>地址</w:t>
            </w:r>
          </w:p>
        </w:tc>
        <w:tc>
          <w:tcPr>
            <w:tcW w:w="6636" w:type="dxa"/>
            <w:noWrap w:val="0"/>
            <w:vAlign w:val="center"/>
          </w:tcPr>
          <w:p w14:paraId="4866C189">
            <w:pPr>
              <w:rPr>
                <w:rFonts w:ascii="宋体" w:hAnsi="宋体" w:cs="宋体"/>
                <w:color w:val="000000"/>
                <w:sz w:val="24"/>
                <w:highlight w:val="none"/>
              </w:rPr>
            </w:pPr>
          </w:p>
        </w:tc>
      </w:tr>
      <w:tr w14:paraId="6F63B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92" w:type="dxa"/>
            <w:noWrap w:val="0"/>
            <w:vAlign w:val="center"/>
          </w:tcPr>
          <w:p w14:paraId="5F7B81C0">
            <w:pPr>
              <w:rPr>
                <w:rFonts w:ascii="宋体" w:hAnsi="宋体" w:cs="宋体"/>
                <w:color w:val="000000"/>
                <w:sz w:val="24"/>
                <w:highlight w:val="none"/>
              </w:rPr>
            </w:pPr>
            <w:r>
              <w:rPr>
                <w:rFonts w:hint="eastAsia" w:ascii="宋体" w:hAnsi="宋体" w:cs="宋体"/>
                <w:color w:val="000000"/>
                <w:sz w:val="24"/>
                <w:highlight w:val="none"/>
              </w:rPr>
              <w:t>电话</w:t>
            </w:r>
          </w:p>
        </w:tc>
        <w:tc>
          <w:tcPr>
            <w:tcW w:w="6636" w:type="dxa"/>
            <w:noWrap w:val="0"/>
            <w:vAlign w:val="center"/>
          </w:tcPr>
          <w:p w14:paraId="31C9D15C">
            <w:pPr>
              <w:rPr>
                <w:rFonts w:ascii="宋体" w:hAnsi="宋体" w:cs="宋体"/>
                <w:color w:val="000000"/>
                <w:sz w:val="24"/>
                <w:highlight w:val="none"/>
              </w:rPr>
            </w:pPr>
          </w:p>
        </w:tc>
      </w:tr>
      <w:tr w14:paraId="510A2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92" w:type="dxa"/>
            <w:noWrap w:val="0"/>
            <w:vAlign w:val="center"/>
          </w:tcPr>
          <w:p w14:paraId="0F286B7A">
            <w:pPr>
              <w:rPr>
                <w:rFonts w:ascii="宋体" w:hAnsi="宋体" w:cs="宋体"/>
                <w:color w:val="000000"/>
                <w:sz w:val="24"/>
                <w:highlight w:val="none"/>
              </w:rPr>
            </w:pPr>
            <w:r>
              <w:rPr>
                <w:rFonts w:hint="eastAsia" w:ascii="宋体" w:hAnsi="宋体" w:cs="宋体"/>
                <w:color w:val="000000"/>
                <w:sz w:val="24"/>
                <w:highlight w:val="none"/>
              </w:rPr>
              <w:t>税号</w:t>
            </w:r>
          </w:p>
        </w:tc>
        <w:tc>
          <w:tcPr>
            <w:tcW w:w="6636" w:type="dxa"/>
            <w:noWrap w:val="0"/>
            <w:vAlign w:val="center"/>
          </w:tcPr>
          <w:p w14:paraId="0F61968F">
            <w:pPr>
              <w:rPr>
                <w:rFonts w:ascii="宋体" w:hAnsi="宋体" w:cs="宋体"/>
                <w:color w:val="000000"/>
                <w:sz w:val="24"/>
                <w:highlight w:val="none"/>
              </w:rPr>
            </w:pPr>
          </w:p>
        </w:tc>
      </w:tr>
      <w:tr w14:paraId="55013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92" w:type="dxa"/>
            <w:noWrap w:val="0"/>
            <w:vAlign w:val="center"/>
          </w:tcPr>
          <w:p w14:paraId="1A9934E1">
            <w:pPr>
              <w:rPr>
                <w:rFonts w:ascii="宋体" w:hAnsi="宋体" w:cs="宋体"/>
                <w:color w:val="000000"/>
                <w:sz w:val="24"/>
                <w:highlight w:val="none"/>
              </w:rPr>
            </w:pPr>
            <w:r>
              <w:rPr>
                <w:rFonts w:hint="eastAsia" w:ascii="宋体" w:hAnsi="宋体" w:cs="宋体"/>
                <w:color w:val="000000"/>
                <w:sz w:val="24"/>
                <w:highlight w:val="none"/>
              </w:rPr>
              <w:t>开户行</w:t>
            </w:r>
          </w:p>
        </w:tc>
        <w:tc>
          <w:tcPr>
            <w:tcW w:w="6636" w:type="dxa"/>
            <w:noWrap w:val="0"/>
            <w:vAlign w:val="center"/>
          </w:tcPr>
          <w:p w14:paraId="7436490D">
            <w:pPr>
              <w:rPr>
                <w:rFonts w:ascii="宋体" w:hAnsi="宋体" w:cs="宋体"/>
                <w:color w:val="000000"/>
                <w:sz w:val="24"/>
                <w:highlight w:val="none"/>
              </w:rPr>
            </w:pPr>
          </w:p>
        </w:tc>
      </w:tr>
      <w:tr w14:paraId="799D3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92" w:type="dxa"/>
            <w:noWrap w:val="0"/>
            <w:vAlign w:val="center"/>
          </w:tcPr>
          <w:p w14:paraId="770FD191">
            <w:pPr>
              <w:rPr>
                <w:rFonts w:ascii="宋体" w:hAnsi="宋体" w:cs="宋体"/>
                <w:color w:val="000000"/>
                <w:sz w:val="24"/>
                <w:highlight w:val="none"/>
              </w:rPr>
            </w:pPr>
            <w:r>
              <w:rPr>
                <w:rFonts w:hint="eastAsia" w:ascii="宋体" w:hAnsi="宋体" w:cs="宋体"/>
                <w:color w:val="000000"/>
                <w:sz w:val="24"/>
                <w:highlight w:val="none"/>
              </w:rPr>
              <w:t>银行账号</w:t>
            </w:r>
          </w:p>
        </w:tc>
        <w:tc>
          <w:tcPr>
            <w:tcW w:w="6636" w:type="dxa"/>
            <w:noWrap w:val="0"/>
            <w:vAlign w:val="center"/>
          </w:tcPr>
          <w:p w14:paraId="5D890BD7">
            <w:pPr>
              <w:rPr>
                <w:rFonts w:ascii="宋体" w:hAnsi="宋体" w:cs="宋体"/>
                <w:color w:val="000000"/>
                <w:sz w:val="24"/>
                <w:highlight w:val="none"/>
              </w:rPr>
            </w:pPr>
          </w:p>
        </w:tc>
      </w:tr>
    </w:tbl>
    <w:p w14:paraId="6BE09BE6">
      <w:pPr>
        <w:spacing w:line="360" w:lineRule="auto"/>
        <w:rPr>
          <w:rFonts w:ascii="宋体" w:hAnsi="宋体" w:cs="宋体"/>
          <w:color w:val="000000"/>
          <w:sz w:val="24"/>
          <w:highlight w:val="none"/>
        </w:rPr>
      </w:pPr>
    </w:p>
    <w:p w14:paraId="06B03E82">
      <w:pPr>
        <w:pStyle w:val="214"/>
        <w:ind w:firstLine="480"/>
        <w:rPr>
          <w:rFonts w:hAnsi="宋体" w:cs="宋体"/>
          <w:color w:val="000000"/>
          <w:sz w:val="24"/>
          <w:szCs w:val="24"/>
          <w:highlight w:val="none"/>
        </w:rPr>
      </w:pPr>
    </w:p>
    <w:p w14:paraId="1CF395DE">
      <w:pPr>
        <w:pStyle w:val="223"/>
        <w:framePr w:wrap="around" w:vAnchor="margin" w:hAnchor="text" w:y="1"/>
        <w:rPr>
          <w:rFonts w:ascii="宋体" w:hAnsi="宋体" w:cs="宋体"/>
          <w:color w:val="000000"/>
          <w:sz w:val="24"/>
          <w:szCs w:val="24"/>
          <w:highlight w:val="none"/>
        </w:rPr>
      </w:pPr>
    </w:p>
    <w:p w14:paraId="4DCA80CB">
      <w:pPr>
        <w:spacing w:line="360" w:lineRule="auto"/>
        <w:ind w:firstLine="5760"/>
        <w:rPr>
          <w:rFonts w:ascii="宋体" w:hAnsi="宋体" w:cs="宋体"/>
          <w:color w:val="000000"/>
          <w:sz w:val="24"/>
          <w:highlight w:val="none"/>
        </w:rPr>
      </w:pPr>
      <w:r>
        <w:rPr>
          <w:rFonts w:hint="eastAsia" w:ascii="宋体" w:hAnsi="宋体" w:cs="宋体"/>
          <w:color w:val="000000"/>
          <w:sz w:val="24"/>
          <w:highlight w:val="none"/>
        </w:rPr>
        <w:t>单位名称（盖章）：</w:t>
      </w:r>
    </w:p>
    <w:p w14:paraId="7223EBCD">
      <w:pPr>
        <w:spacing w:line="360" w:lineRule="auto"/>
        <w:ind w:firstLine="5760"/>
        <w:rPr>
          <w:rFonts w:ascii="宋体" w:hAnsi="宋体" w:cs="宋体"/>
          <w:color w:val="000000"/>
          <w:sz w:val="24"/>
          <w:highlight w:val="none"/>
        </w:rPr>
      </w:pPr>
      <w:r>
        <w:rPr>
          <w:rFonts w:hint="eastAsia" w:ascii="宋体" w:hAnsi="宋体" w:cs="宋体"/>
          <w:color w:val="000000"/>
          <w:sz w:val="24"/>
          <w:highlight w:val="none"/>
        </w:rPr>
        <w:t>日  期：</w:t>
      </w:r>
    </w:p>
    <w:p w14:paraId="428D07D0">
      <w:pPr>
        <w:rPr>
          <w:rFonts w:ascii="宋体" w:hAnsi="宋体" w:cs="宋体"/>
          <w:color w:val="000000"/>
          <w:sz w:val="24"/>
          <w:highlight w:val="none"/>
        </w:rPr>
      </w:pPr>
    </w:p>
    <w:p w14:paraId="562EA0B1">
      <w:pPr>
        <w:pStyle w:val="202"/>
        <w:widowControl/>
        <w:spacing w:before="75" w:beforeAutospacing="0" w:after="75" w:afterAutospacing="0" w:line="435" w:lineRule="atLeast"/>
        <w:ind w:firstLine="7200"/>
        <w:rPr>
          <w:rFonts w:ascii="宋体" w:hAnsi="宋体" w:cs="宋体"/>
          <w:color w:val="000000"/>
          <w:highlight w:val="none"/>
        </w:rPr>
      </w:pPr>
      <w:r>
        <w:rPr>
          <w:rFonts w:hint="eastAsia" w:ascii="宋体" w:hAnsi="宋体" w:cs="宋体"/>
          <w:color w:val="000000"/>
          <w:highlight w:val="none"/>
        </w:rPr>
        <w:t>（全文完）</w:t>
      </w:r>
    </w:p>
    <w:p w14:paraId="41CD12D2">
      <w:pPr>
        <w:rPr>
          <w:color w:val="000000"/>
          <w:highlight w:val="none"/>
        </w:rPr>
      </w:pPr>
    </w:p>
    <w:sectPr>
      <w:pgSz w:w="11906" w:h="16838"/>
      <w:pgMar w:top="1440" w:right="1800" w:bottom="1440" w:left="180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sans-serif">
    <w:altName w:val="Agency FB"/>
    <w:panose1 w:val="020B0503020202020204"/>
    <w:charset w:val="00"/>
    <w:family w:val="auto"/>
    <w:pitch w:val="default"/>
    <w:sig w:usb0="00000000" w:usb1="00000000" w:usb2="00000000" w:usb3="00000000" w:csb0="00000000" w:csb1="00000000"/>
  </w:font>
  <w:font w:name="Agency FB">
    <w:panose1 w:val="020B0503020202020204"/>
    <w:charset w:val="00"/>
    <w:family w:val="auto"/>
    <w:pitch w:val="default"/>
    <w:sig w:usb0="00000003" w:usb1="00000000" w:usb2="00000000" w:usb3="00000000" w:csb0="20000001" w:csb1="00000000"/>
  </w:font>
  <w:font w:name="宋体-18030">
    <w:altName w:val="Arial Unicode MS"/>
    <w:panose1 w:val="02010600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5F4B">
    <w:pPr>
      <w:pStyle w:val="19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64</w:t>
    </w:r>
    <w:r>
      <w:rPr>
        <w:b/>
        <w:sz w:val="24"/>
        <w:szCs w:val="24"/>
      </w:rPr>
      <w:fldChar w:fldCharType="end"/>
    </w:r>
  </w:p>
  <w:p w14:paraId="6DF7D198">
    <w:pPr>
      <w:pStyle w:val="19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0403C"/>
    <w:rsid w:val="1E2A1D6F"/>
    <w:rsid w:val="302E0547"/>
    <w:rsid w:val="712D7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1"/>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Plain Text"/>
    <w:basedOn w:val="1"/>
    <w:qFormat/>
    <w:uiPriority w:val="0"/>
    <w:rPr>
      <w:rFonts w:ascii="宋体" w:hAnsi="Courier New" w:eastAsia="楷体_GB2312" w:cs="Times New Roman"/>
      <w:sz w:val="26"/>
      <w:szCs w:val="26"/>
    </w:r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0"/>
    <w:semiHidden/>
    <w:unhideWhenUsed/>
    <w:qFormat/>
    <w:uiPriority w:val="99"/>
    <w:pPr>
      <w:spacing w:after="0" w:line="240" w:lineRule="auto"/>
    </w:pPr>
    <w:rPr>
      <w:sz w:val="20"/>
    </w:rPr>
  </w:style>
  <w:style w:type="paragraph" w:styleId="18">
    <w:name w:val="footer"/>
    <w:basedOn w:val="1"/>
    <w:link w:val="53"/>
    <w:unhideWhenUsed/>
    <w:qFormat/>
    <w:uiPriority w:val="99"/>
    <w:pPr>
      <w:tabs>
        <w:tab w:val="center" w:pos="7143"/>
        <w:tab w:val="right" w:pos="14287"/>
      </w:tabs>
      <w:spacing w:after="0" w:line="240" w:lineRule="auto"/>
    </w:pPr>
  </w:style>
  <w:style w:type="paragraph" w:styleId="19">
    <w:name w:val="header"/>
    <w:basedOn w:val="1"/>
    <w:link w:val="51"/>
    <w:unhideWhenUsed/>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6"/>
    <w:qFormat/>
    <w:uiPriority w:val="11"/>
    <w:pPr>
      <w:spacing w:before="200" w:after="200"/>
    </w:pPr>
    <w:rPr>
      <w:sz w:val="24"/>
      <w:szCs w:val="24"/>
    </w:rPr>
  </w:style>
  <w:style w:type="paragraph" w:styleId="23">
    <w:name w:val="footnote text"/>
    <w:basedOn w:val="1"/>
    <w:link w:val="179"/>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5"/>
    <w:qFormat/>
    <w:uiPriority w:val="10"/>
    <w:pPr>
      <w:spacing w:before="300" w:after="200"/>
      <w:contextualSpacing/>
    </w:pPr>
    <w:rPr>
      <w:sz w:val="48"/>
      <w:szCs w:val="48"/>
    </w:rPr>
  </w:style>
  <w:style w:type="table" w:styleId="3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semiHidden/>
    <w:unhideWhenUsed/>
    <w:qFormat/>
    <w:uiPriority w:val="99"/>
    <w:rPr>
      <w:vertAlign w:val="superscript"/>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unhideWhenUsed/>
    <w:qFormat/>
    <w:uiPriority w:val="99"/>
    <w:rPr>
      <w:vertAlign w:val="superscript"/>
    </w:rPr>
  </w:style>
  <w:style w:type="character" w:customStyle="1" w:styleId="35">
    <w:name w:val="Heading 1 Char"/>
    <w:link w:val="2"/>
    <w:qFormat/>
    <w:uiPriority w:val="9"/>
    <w:rPr>
      <w:rFonts w:ascii="Arial" w:hAnsi="Arial" w:eastAsia="Arial" w:cs="Arial"/>
      <w:sz w:val="40"/>
      <w:szCs w:val="40"/>
    </w:rPr>
  </w:style>
  <w:style w:type="character" w:customStyle="1" w:styleId="36">
    <w:name w:val="Heading 2 Char"/>
    <w:link w:val="3"/>
    <w:qFormat/>
    <w:uiPriority w:val="9"/>
    <w:rPr>
      <w:rFonts w:ascii="Arial" w:hAnsi="Arial" w:eastAsia="Arial" w:cs="Arial"/>
      <w:sz w:val="34"/>
    </w:rPr>
  </w:style>
  <w:style w:type="character" w:customStyle="1" w:styleId="37">
    <w:name w:val="Heading 3 Char"/>
    <w:link w:val="4"/>
    <w:qFormat/>
    <w:uiPriority w:val="9"/>
    <w:rPr>
      <w:rFonts w:ascii="Arial" w:hAnsi="Arial" w:eastAsia="Arial" w:cs="Arial"/>
      <w:sz w:val="30"/>
      <w:szCs w:val="30"/>
    </w:rPr>
  </w:style>
  <w:style w:type="character" w:customStyle="1" w:styleId="38">
    <w:name w:val="Heading 4 Char"/>
    <w:link w:val="5"/>
    <w:qFormat/>
    <w:uiPriority w:val="9"/>
    <w:rPr>
      <w:rFonts w:ascii="Arial" w:hAnsi="Arial" w:eastAsia="Arial" w:cs="Arial"/>
      <w:b/>
      <w:bCs/>
      <w:sz w:val="26"/>
      <w:szCs w:val="26"/>
    </w:rPr>
  </w:style>
  <w:style w:type="character" w:customStyle="1" w:styleId="39">
    <w:name w:val="Heading 5 Char"/>
    <w:link w:val="6"/>
    <w:qFormat/>
    <w:uiPriority w:val="9"/>
    <w:rPr>
      <w:rFonts w:ascii="Arial" w:hAnsi="Arial" w:eastAsia="Arial" w:cs="Arial"/>
      <w:b/>
      <w:bCs/>
      <w:sz w:val="24"/>
      <w:szCs w:val="24"/>
    </w:rPr>
  </w:style>
  <w:style w:type="character" w:customStyle="1" w:styleId="40">
    <w:name w:val="Heading 6 Char"/>
    <w:link w:val="7"/>
    <w:qFormat/>
    <w:uiPriority w:val="9"/>
    <w:rPr>
      <w:rFonts w:ascii="Arial" w:hAnsi="Arial" w:eastAsia="Arial" w:cs="Arial"/>
      <w:b/>
      <w:bCs/>
      <w:sz w:val="22"/>
      <w:szCs w:val="22"/>
    </w:rPr>
  </w:style>
  <w:style w:type="character" w:customStyle="1" w:styleId="41">
    <w:name w:val="Heading 7 Char"/>
    <w:link w:val="8"/>
    <w:qFormat/>
    <w:uiPriority w:val="9"/>
    <w:rPr>
      <w:rFonts w:ascii="Arial" w:hAnsi="Arial" w:eastAsia="Arial" w:cs="Arial"/>
      <w:b/>
      <w:bCs/>
      <w:i/>
      <w:iCs/>
      <w:sz w:val="22"/>
      <w:szCs w:val="22"/>
    </w:rPr>
  </w:style>
  <w:style w:type="character" w:customStyle="1" w:styleId="42">
    <w:name w:val="Heading 8 Char"/>
    <w:link w:val="9"/>
    <w:qFormat/>
    <w:uiPriority w:val="9"/>
    <w:rPr>
      <w:rFonts w:ascii="Arial" w:hAnsi="Arial" w:eastAsia="Arial" w:cs="Arial"/>
      <w:i/>
      <w:iCs/>
      <w:sz w:val="22"/>
      <w:szCs w:val="22"/>
    </w:rPr>
  </w:style>
  <w:style w:type="character" w:customStyle="1" w:styleId="43">
    <w:name w:val="Heading 9 Char"/>
    <w:link w:val="10"/>
    <w:qFormat/>
    <w:uiPriority w:val="9"/>
    <w:rPr>
      <w:rFonts w:ascii="Arial" w:hAnsi="Arial" w:eastAsia="Arial" w:cs="Arial"/>
      <w:i/>
      <w:iCs/>
      <w:sz w:val="21"/>
      <w:szCs w:val="21"/>
    </w:r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8"/>
    <w:qFormat/>
    <w:uiPriority w:val="10"/>
    <w:rPr>
      <w:sz w:val="48"/>
      <w:szCs w:val="48"/>
    </w:rPr>
  </w:style>
  <w:style w:type="character" w:customStyle="1" w:styleId="46">
    <w:name w:val="Subtitle Char"/>
    <w:link w:val="22"/>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9"/>
    <w:qFormat/>
    <w:uiPriority w:val="99"/>
  </w:style>
  <w:style w:type="character" w:customStyle="1" w:styleId="52">
    <w:name w:val="Footer Char"/>
    <w:link w:val="18"/>
    <w:qFormat/>
    <w:uiPriority w:val="99"/>
  </w:style>
  <w:style w:type="character" w:customStyle="1" w:styleId="53">
    <w:name w:val="Caption Char"/>
    <w:link w:val="18"/>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3"/>
    <w:qFormat/>
    <w:uiPriority w:val="99"/>
    <w:rPr>
      <w:sz w:val="18"/>
    </w:rPr>
  </w:style>
  <w:style w:type="character" w:customStyle="1" w:styleId="180">
    <w:name w:val="Endnote Text Char"/>
    <w:link w:val="17"/>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paragraph" w:customStyle="1" w:styleId="182">
    <w:name w:val="标题 11"/>
    <w:basedOn w:val="1"/>
    <w:next w:val="1"/>
    <w:qFormat/>
    <w:uiPriority w:val="0"/>
    <w:pPr>
      <w:keepNext/>
      <w:keepLines/>
      <w:spacing w:before="340" w:after="330" w:line="578" w:lineRule="auto"/>
      <w:outlineLvl w:val="0"/>
    </w:pPr>
    <w:rPr>
      <w:rFonts w:ascii="Times New Roman" w:hAnsi="Times New Roman" w:eastAsia="宋体" w:cs="Times New Roman"/>
      <w:b/>
      <w:bCs/>
      <w:sz w:val="44"/>
      <w:szCs w:val="44"/>
    </w:rPr>
  </w:style>
  <w:style w:type="paragraph" w:customStyle="1" w:styleId="183">
    <w:name w:val="标题 21"/>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184">
    <w:name w:val="标题 31"/>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customStyle="1" w:styleId="185">
    <w:name w:val="默认段落字体11"/>
    <w:link w:val="1"/>
    <w:qFormat/>
    <w:uiPriority w:val="0"/>
    <w:rPr>
      <w:rFonts w:ascii="Times New Roman" w:hAnsi="Times New Roman" w:eastAsia="宋体" w:cs="Times New Roman"/>
    </w:rPr>
  </w:style>
  <w:style w:type="table" w:customStyle="1" w:styleId="186">
    <w:name w:val="普通表格1"/>
    <w:qFormat/>
    <w:uiPriority w:val="0"/>
    <w:rPr>
      <w:rFonts w:ascii="Times New Roman" w:hAnsi="Times New Roman" w:eastAsia="宋体" w:cs="Times New Roman"/>
    </w:rPr>
  </w:style>
  <w:style w:type="paragraph" w:customStyle="1" w:styleId="187">
    <w:name w:val="正文缩进1"/>
    <w:basedOn w:val="1"/>
    <w:qFormat/>
    <w:uiPriority w:val="0"/>
    <w:pPr>
      <w:widowControl/>
      <w:ind w:firstLine="420"/>
      <w:jc w:val="left"/>
    </w:pPr>
    <w:rPr>
      <w:rFonts w:ascii="Times New Roman" w:hAnsi="Times New Roman" w:eastAsia="楷体_GB2312" w:cs="Times New Roman"/>
      <w:sz w:val="24"/>
    </w:rPr>
  </w:style>
  <w:style w:type="paragraph" w:customStyle="1" w:styleId="188">
    <w:name w:val="批注文字1"/>
    <w:basedOn w:val="1"/>
    <w:qFormat/>
    <w:uiPriority w:val="0"/>
    <w:pPr>
      <w:jc w:val="left"/>
    </w:pPr>
    <w:rPr>
      <w:rFonts w:ascii="Times New Roman" w:hAnsi="Times New Roman" w:eastAsia="宋体" w:cs="Times New Roman"/>
    </w:rPr>
  </w:style>
  <w:style w:type="paragraph" w:customStyle="1" w:styleId="189">
    <w:name w:val="正文文本1"/>
    <w:basedOn w:val="1"/>
    <w:qFormat/>
    <w:uiPriority w:val="0"/>
    <w:pPr>
      <w:spacing w:after="120"/>
    </w:pPr>
    <w:rPr>
      <w:rFonts w:ascii="Times New Roman" w:hAnsi="Times New Roman" w:eastAsia="宋体" w:cs="Times New Roman"/>
    </w:rPr>
  </w:style>
  <w:style w:type="paragraph" w:customStyle="1" w:styleId="190">
    <w:name w:val="正文文本缩进11"/>
    <w:basedOn w:val="1"/>
    <w:next w:val="1"/>
    <w:qFormat/>
    <w:uiPriority w:val="0"/>
    <w:pPr>
      <w:spacing w:line="300" w:lineRule="auto"/>
      <w:ind w:firstLine="560"/>
      <w:jc w:val="left"/>
    </w:pPr>
    <w:rPr>
      <w:rFonts w:ascii="Times New Roman" w:hAnsi="Times New Roman" w:eastAsia="宋体" w:cs="Times New Roman"/>
      <w:sz w:val="28"/>
      <w:szCs w:val="28"/>
    </w:rPr>
  </w:style>
  <w:style w:type="paragraph" w:customStyle="1" w:styleId="191">
    <w:name w:val="文本块1"/>
    <w:basedOn w:val="182"/>
    <w:next w:val="1"/>
    <w:qFormat/>
    <w:uiPriority w:val="0"/>
    <w:pPr>
      <w:spacing w:line="360" w:lineRule="auto"/>
      <w:ind w:left="630" w:right="-609" w:firstLine="420"/>
    </w:pPr>
    <w:rPr>
      <w:rFonts w:hint="eastAsia" w:ascii="仿宋_GB2312" w:hAnsi="Times New Roman" w:eastAsia="仿宋_GB2312" w:cs="Times New Roman"/>
      <w:szCs w:val="20"/>
    </w:rPr>
  </w:style>
  <w:style w:type="paragraph" w:customStyle="1" w:styleId="192">
    <w:name w:val="纯文本11"/>
    <w:basedOn w:val="1"/>
    <w:qFormat/>
    <w:uiPriority w:val="0"/>
    <w:pPr>
      <w:widowControl/>
      <w:jc w:val="left"/>
    </w:pPr>
    <w:rPr>
      <w:rFonts w:ascii="宋体" w:hAnsi="Courier New" w:eastAsia="楷体_GB2312" w:cs="Times New Roman"/>
      <w:sz w:val="26"/>
    </w:rPr>
  </w:style>
  <w:style w:type="paragraph" w:customStyle="1" w:styleId="193">
    <w:name w:val="批注框文本1"/>
    <w:basedOn w:val="1"/>
    <w:qFormat/>
    <w:uiPriority w:val="0"/>
    <w:rPr>
      <w:rFonts w:ascii="Times New Roman" w:hAnsi="Times New Roman" w:eastAsia="宋体" w:cs="Times New Roman"/>
      <w:sz w:val="18"/>
      <w:szCs w:val="18"/>
    </w:rPr>
  </w:style>
  <w:style w:type="paragraph" w:customStyle="1" w:styleId="194">
    <w:name w:val="页脚1"/>
    <w:basedOn w:val="1"/>
    <w:qFormat/>
    <w:uiPriority w:val="0"/>
    <w:pPr>
      <w:tabs>
        <w:tab w:val="center" w:pos="4153"/>
        <w:tab w:val="right" w:pos="8306"/>
      </w:tabs>
      <w:jc w:val="left"/>
    </w:pPr>
    <w:rPr>
      <w:rFonts w:ascii="Times New Roman" w:hAnsi="Times New Roman" w:eastAsia="宋体" w:cs="Times New Roman"/>
      <w:sz w:val="18"/>
      <w:szCs w:val="18"/>
    </w:rPr>
  </w:style>
  <w:style w:type="paragraph" w:customStyle="1" w:styleId="195">
    <w:name w:val="寄信人地址11"/>
    <w:basedOn w:val="1"/>
    <w:qFormat/>
    <w:uiPriority w:val="0"/>
    <w:rPr>
      <w:rFonts w:ascii="Arial" w:hAnsi="Arial" w:eastAsia="宋体" w:cs="Times New Roman"/>
    </w:rPr>
  </w:style>
  <w:style w:type="paragraph" w:customStyle="1" w:styleId="196">
    <w:name w:val="页眉1"/>
    <w:basedOn w:val="1"/>
    <w:link w:val="197"/>
    <w:qFormat/>
    <w:uiPriority w:val="0"/>
    <w:pPr>
      <w:pBdr>
        <w:bottom w:val="single" w:color="000000" w:sz="6" w:space="1"/>
      </w:pBdr>
      <w:tabs>
        <w:tab w:val="center" w:pos="4153"/>
        <w:tab w:val="right" w:pos="8306"/>
      </w:tabs>
      <w:jc w:val="center"/>
    </w:pPr>
    <w:rPr>
      <w:sz w:val="18"/>
      <w:szCs w:val="18"/>
    </w:rPr>
  </w:style>
  <w:style w:type="character" w:customStyle="1" w:styleId="197">
    <w:name w:val="页眉 字符"/>
    <w:link w:val="196"/>
    <w:qFormat/>
    <w:uiPriority w:val="0"/>
    <w:rPr>
      <w:rFonts w:ascii="Calibri" w:hAnsi="Calibri" w:eastAsia="宋体" w:cs="Times New Roman"/>
      <w:sz w:val="18"/>
      <w:szCs w:val="18"/>
    </w:rPr>
  </w:style>
  <w:style w:type="paragraph" w:customStyle="1" w:styleId="198">
    <w:name w:val="副标题1"/>
    <w:basedOn w:val="1"/>
    <w:next w:val="1"/>
    <w:link w:val="199"/>
    <w:qFormat/>
    <w:uiPriority w:val="11"/>
    <w:pPr>
      <w:spacing w:before="240" w:after="60" w:line="312" w:lineRule="auto"/>
      <w:jc w:val="center"/>
      <w:outlineLvl w:val="1"/>
    </w:pPr>
    <w:rPr>
      <w:rFonts w:ascii="Cambria" w:hAnsi="Cambria" w:eastAsia="宋体" w:cs="Times New Roman"/>
      <w:b/>
      <w:bCs/>
      <w:sz w:val="32"/>
      <w:szCs w:val="32"/>
    </w:rPr>
  </w:style>
  <w:style w:type="character" w:customStyle="1" w:styleId="199">
    <w:name w:val="副标题 字符"/>
    <w:link w:val="198"/>
    <w:qFormat/>
    <w:uiPriority w:val="11"/>
    <w:rPr>
      <w:rFonts w:ascii="Cambria" w:hAnsi="Cambria"/>
      <w:b/>
      <w:bCs/>
      <w:sz w:val="32"/>
      <w:szCs w:val="32"/>
    </w:rPr>
  </w:style>
  <w:style w:type="paragraph" w:customStyle="1" w:styleId="200">
    <w:name w:val="脚注文本1"/>
    <w:basedOn w:val="182"/>
    <w:next w:val="191"/>
    <w:qFormat/>
    <w:uiPriority w:val="0"/>
    <w:pPr>
      <w:spacing w:before="0" w:after="0" w:line="360" w:lineRule="auto"/>
      <w:ind w:left="0" w:firstLine="3584"/>
    </w:pPr>
    <w:rPr>
      <w:rFonts w:ascii="Times New Roman" w:hAnsi="Times New Roman" w:eastAsia="宋体" w:cs="Times New Roman"/>
    </w:rPr>
  </w:style>
  <w:style w:type="paragraph" w:customStyle="1" w:styleId="201">
    <w:name w:val="正文文本缩进 311"/>
    <w:basedOn w:val="1"/>
    <w:qFormat/>
    <w:uiPriority w:val="0"/>
    <w:pPr>
      <w:spacing w:line="440" w:lineRule="atLeast"/>
      <w:ind w:firstLine="480"/>
      <w:jc w:val="left"/>
    </w:pPr>
    <w:rPr>
      <w:rFonts w:ascii="Times New Roman" w:hAnsi="Times New Roman" w:eastAsia="宋体" w:cs="Times New Roman"/>
      <w:sz w:val="24"/>
    </w:rPr>
  </w:style>
  <w:style w:type="paragraph" w:customStyle="1" w:styleId="202">
    <w:name w:val="普通(网站)111"/>
    <w:basedOn w:val="1"/>
    <w:qFormat/>
    <w:uiPriority w:val="0"/>
    <w:pPr>
      <w:spacing w:beforeAutospacing="1" w:afterAutospacing="1"/>
      <w:jc w:val="left"/>
    </w:pPr>
    <w:rPr>
      <w:rFonts w:ascii="Times New Roman" w:hAnsi="Times New Roman" w:eastAsia="宋体" w:cs="Times New Roman"/>
      <w:sz w:val="24"/>
    </w:rPr>
  </w:style>
  <w:style w:type="paragraph" w:customStyle="1" w:styleId="203">
    <w:name w:val="批注主题1"/>
    <w:basedOn w:val="188"/>
    <w:next w:val="188"/>
    <w:qFormat/>
    <w:uiPriority w:val="0"/>
    <w:rPr>
      <w:rFonts w:ascii="Times New Roman" w:hAnsi="Times New Roman" w:eastAsia="宋体" w:cs="Times New Roman"/>
      <w:b/>
      <w:bCs/>
    </w:rPr>
  </w:style>
  <w:style w:type="paragraph" w:customStyle="1" w:styleId="204">
    <w:name w:val="正文首行缩进 21"/>
    <w:basedOn w:val="190"/>
    <w:qFormat/>
    <w:uiPriority w:val="0"/>
    <w:pPr>
      <w:spacing w:before="100" w:beforeAutospacing="1" w:after="120" w:line="240" w:lineRule="auto"/>
      <w:ind w:left="420" w:firstLine="420"/>
    </w:pPr>
    <w:rPr>
      <w:rFonts w:ascii="Times New Roman" w:hAnsi="Times New Roman" w:eastAsia="宋体" w:cs="Times New Roman"/>
    </w:rPr>
  </w:style>
  <w:style w:type="table" w:customStyle="1" w:styleId="205">
    <w:name w:val="网格型1"/>
    <w:basedOn w:val="186"/>
    <w:qFormat/>
    <w:uiPriority w:val="59"/>
    <w:rPr>
      <w:rFonts w:ascii="Times New Roman" w:hAnsi="Times New Roman" w:eastAsia="宋体" w:cs="Times New Roman"/>
    </w:rPr>
  </w:style>
  <w:style w:type="character" w:customStyle="1" w:styleId="206">
    <w:name w:val="要点1"/>
    <w:link w:val="1"/>
    <w:qFormat/>
    <w:uiPriority w:val="0"/>
    <w:rPr>
      <w:rFonts w:ascii="Calibri" w:hAnsi="Calibri" w:eastAsia="宋体" w:cs="Times New Roman"/>
      <w:b/>
    </w:rPr>
  </w:style>
  <w:style w:type="character" w:customStyle="1" w:styleId="207">
    <w:name w:val="已访问的超链接1"/>
    <w:link w:val="1"/>
    <w:qFormat/>
    <w:uiPriority w:val="0"/>
    <w:rPr>
      <w:rFonts w:ascii="Times New Roman" w:hAnsi="Times New Roman" w:eastAsia="宋体" w:cs="Times New Roman"/>
      <w:color w:val="333333"/>
      <w:u w:val="none"/>
    </w:rPr>
  </w:style>
  <w:style w:type="character" w:customStyle="1" w:styleId="208">
    <w:name w:val="强调1"/>
    <w:link w:val="1"/>
    <w:qFormat/>
    <w:uiPriority w:val="0"/>
    <w:rPr>
      <w:rFonts w:ascii="Times New Roman" w:hAnsi="Times New Roman" w:eastAsia="宋体" w:cs="Times New Roman"/>
    </w:rPr>
  </w:style>
  <w:style w:type="character" w:customStyle="1" w:styleId="209">
    <w:name w:val="超链接1"/>
    <w:link w:val="1"/>
    <w:qFormat/>
    <w:uiPriority w:val="0"/>
    <w:rPr>
      <w:rFonts w:ascii="Times New Roman" w:hAnsi="Times New Roman" w:eastAsia="宋体" w:cs="Times New Roman"/>
      <w:color w:val="333333"/>
      <w:u w:val="none"/>
    </w:rPr>
  </w:style>
  <w:style w:type="character" w:customStyle="1" w:styleId="210">
    <w:name w:val="批注引用1"/>
    <w:link w:val="1"/>
    <w:qFormat/>
    <w:uiPriority w:val="0"/>
    <w:rPr>
      <w:rFonts w:ascii="Times New Roman" w:hAnsi="Times New Roman" w:eastAsia="宋体" w:cs="Times New Roman"/>
      <w:sz w:val="21"/>
      <w:szCs w:val="21"/>
    </w:rPr>
  </w:style>
  <w:style w:type="paragraph" w:customStyle="1" w:styleId="211">
    <w:name w:val="列出段落1"/>
    <w:basedOn w:val="1"/>
    <w:qFormat/>
    <w:uiPriority w:val="0"/>
    <w:pPr>
      <w:ind w:firstLine="420"/>
    </w:pPr>
    <w:rPr>
      <w:rFonts w:ascii="Calibri" w:hAnsi="Calibri" w:eastAsia="宋体" w:cs="Times New Roman"/>
      <w:sz w:val="21"/>
      <w:szCs w:val="22"/>
    </w:rPr>
  </w:style>
  <w:style w:type="paragraph" w:customStyle="1" w:styleId="212">
    <w:name w:val="普通(网站)1"/>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13">
    <w:name w:val="正文文本缩进 31"/>
    <w:basedOn w:val="1"/>
    <w:qFormat/>
    <w:uiPriority w:val="0"/>
    <w:pPr>
      <w:spacing w:line="440" w:lineRule="atLeast"/>
      <w:ind w:firstLine="480"/>
      <w:jc w:val="left"/>
    </w:pPr>
    <w:rPr>
      <w:rFonts w:ascii="Times New Roman" w:hAnsi="Times New Roman" w:eastAsia="宋体" w:cs="Times New Roman"/>
      <w:sz w:val="24"/>
      <w:szCs w:val="24"/>
    </w:rPr>
  </w:style>
  <w:style w:type="paragraph" w:customStyle="1" w:styleId="214">
    <w:name w:val="段"/>
    <w:basedOn w:val="1"/>
    <w:next w:val="1"/>
    <w:qFormat/>
    <w:uiPriority w:val="0"/>
    <w:pPr>
      <w:widowControl/>
      <w:ind w:firstLine="200"/>
    </w:pPr>
    <w:rPr>
      <w:rFonts w:ascii="宋体" w:hAnsi="Times New Roman" w:eastAsia="宋体" w:cs="Times New Roman"/>
      <w:szCs w:val="21"/>
    </w:rPr>
  </w:style>
  <w:style w:type="paragraph" w:customStyle="1" w:styleId="215">
    <w:name w:val="纯文本4"/>
    <w:basedOn w:val="1"/>
    <w:qFormat/>
    <w:uiPriority w:val="0"/>
    <w:rPr>
      <w:rFonts w:ascii="宋体" w:hAnsi="Courier New" w:eastAsia="楷体_GB2312" w:cs="Times New Roman"/>
      <w:sz w:val="26"/>
      <w:szCs w:val="20"/>
    </w:rPr>
  </w:style>
  <w:style w:type="paragraph" w:customStyle="1" w:styleId="216">
    <w:name w:val="首行缩进"/>
    <w:basedOn w:val="1"/>
    <w:qFormat/>
    <w:uiPriority w:val="0"/>
    <w:pPr>
      <w:ind w:firstLine="480"/>
    </w:pPr>
    <w:rPr>
      <w:rFonts w:ascii="Times New Roman" w:hAnsi="Times New Roman" w:eastAsia="宋体" w:cs="Times New Roman"/>
      <w:szCs w:val="20"/>
      <w:lang w:val="zh-CN"/>
    </w:rPr>
  </w:style>
  <w:style w:type="paragraph" w:customStyle="1" w:styleId="217">
    <w:name w:val="普通(网站)11"/>
    <w:basedOn w:val="1"/>
    <w:qFormat/>
    <w:uiPriority w:val="0"/>
    <w:pPr>
      <w:spacing w:beforeAutospacing="1" w:afterAutospacing="1"/>
      <w:jc w:val="left"/>
    </w:pPr>
    <w:rPr>
      <w:rFonts w:ascii="Calibri" w:hAnsi="Calibri" w:eastAsia="宋体" w:cs="Times New Roman"/>
      <w:sz w:val="24"/>
      <w:szCs w:val="24"/>
    </w:rPr>
  </w:style>
  <w:style w:type="character" w:customStyle="1" w:styleId="218">
    <w:name w:val="默认段落字体1"/>
    <w:link w:val="1"/>
    <w:qFormat/>
    <w:uiPriority w:val="0"/>
    <w:rPr>
      <w:rFonts w:ascii="Times New Roman" w:hAnsi="Times New Roman" w:eastAsia="宋体" w:cs="Times New Roman"/>
    </w:rPr>
  </w:style>
  <w:style w:type="character" w:customStyle="1" w:styleId="219">
    <w:name w:val="要点11"/>
    <w:link w:val="1"/>
    <w:qFormat/>
    <w:uiPriority w:val="0"/>
    <w:rPr>
      <w:rFonts w:ascii="Times New Roman" w:hAnsi="Times New Roman" w:eastAsia="宋体" w:cs="Times New Roman"/>
      <w:b/>
    </w:rPr>
  </w:style>
  <w:style w:type="character" w:customStyle="1" w:styleId="220">
    <w:name w:val="15"/>
    <w:link w:val="1"/>
    <w:qFormat/>
    <w:uiPriority w:val="0"/>
    <w:rPr>
      <w:rFonts w:ascii="Times New Roman" w:hAnsi="Times New Roman" w:eastAsia="宋体" w:cs="Times New Roman"/>
      <w:b/>
      <w:bCs/>
    </w:rPr>
  </w:style>
  <w:style w:type="paragraph" w:customStyle="1" w:styleId="221">
    <w:name w:val="纯文本1"/>
    <w:basedOn w:val="1"/>
    <w:qFormat/>
    <w:uiPriority w:val="0"/>
    <w:rPr>
      <w:rFonts w:ascii="宋体" w:hAnsi="Courier New" w:eastAsia="楷体_GB2312" w:cs="Times New Roman"/>
      <w:sz w:val="28"/>
      <w:szCs w:val="28"/>
    </w:rPr>
  </w:style>
  <w:style w:type="paragraph" w:customStyle="1" w:styleId="222">
    <w:name w:val="格式4"/>
    <w:basedOn w:val="1"/>
    <w:qFormat/>
    <w:uiPriority w:val="0"/>
    <w:pPr>
      <w:spacing w:line="420" w:lineRule="exact"/>
      <w:ind w:left="450" w:hanging="150"/>
    </w:pPr>
    <w:rPr>
      <w:rFonts w:ascii="宋体" w:hAnsi="Times New Roman" w:eastAsia="楷体_GB2312" w:cs="Times New Roman"/>
      <w:color w:val="000000"/>
      <w:sz w:val="26"/>
      <w:szCs w:val="20"/>
    </w:rPr>
  </w:style>
  <w:style w:type="paragraph" w:customStyle="1" w:styleId="223">
    <w:name w:val="正文 A"/>
    <w:qFormat/>
    <w:uiPriority w:val="0"/>
    <w:pPr>
      <w:widowControl w:val="0"/>
      <w:jc w:val="both"/>
    </w:pPr>
    <w:rPr>
      <w:rFonts w:hint="eastAsia" w:ascii="Arial Unicode MS" w:hAnsi="Arial Unicode MS" w:eastAsia="Arial Unicode MS" w:cs="Arial Unicode MS"/>
      <w:color w:val="000000"/>
      <w:sz w:val="21"/>
      <w:szCs w:val="21"/>
      <w:lang w:val="en-US" w:eastAsia="zh-CN" w:bidi="ar-SA"/>
    </w:rPr>
  </w:style>
  <w:style w:type="character" w:customStyle="1" w:styleId="224">
    <w:name w:val="16"/>
    <w:link w:val="1"/>
    <w:qFormat/>
    <w:uiPriority w:val="0"/>
    <w:rPr>
      <w:rFonts w:ascii="Times New Roman" w:hAnsi="Times New Roman" w:eastAsia="宋体" w:cs="Times New Roman"/>
      <w:b/>
      <w:bCs/>
    </w:rPr>
  </w:style>
  <w:style w:type="paragraph" w:customStyle="1" w:styleId="225">
    <w:name w:val="纯文本2"/>
    <w:basedOn w:val="1"/>
    <w:qFormat/>
    <w:uiPriority w:val="0"/>
    <w:rPr>
      <w:rFonts w:ascii="宋体" w:hAnsi="Courier New" w:eastAsia="宋体" w:cs="Times New Roman"/>
    </w:rPr>
  </w:style>
  <w:style w:type="paragraph" w:customStyle="1" w:styleId="226">
    <w:name w:val="Default"/>
    <w:qFormat/>
    <w:uiPriority w:val="0"/>
    <w:pPr>
      <w:widowControl w:val="0"/>
    </w:pPr>
    <w:rPr>
      <w:rFonts w:hint="default" w:ascii="华文新魏" w:hAnsi="华文新魏" w:eastAsia="宋体" w:cs="Times New Roman"/>
      <w:color w:val="000000"/>
      <w:sz w:val="24"/>
      <w:lang w:val="en-US" w:eastAsia="zh-CN" w:bidi="ar-SA"/>
    </w:rPr>
  </w:style>
  <w:style w:type="paragraph" w:styleId="227">
    <w:name w:val="List Paragraph"/>
    <w:basedOn w:val="1"/>
    <w:qFormat/>
    <w:uiPriority w:val="0"/>
    <w:pPr>
      <w:ind w:firstLine="420"/>
    </w:pPr>
    <w:rPr>
      <w:rFonts w:ascii="Times New Roman" w:hAnsi="Times New Roman" w:eastAsia="宋体" w:cs="Times New Roman"/>
    </w:rPr>
  </w:style>
  <w:style w:type="paragraph" w:customStyle="1" w:styleId="228">
    <w:name w:val="正文文本缩进1"/>
    <w:basedOn w:val="1"/>
    <w:next w:val="229"/>
    <w:qFormat/>
    <w:uiPriority w:val="0"/>
    <w:pPr>
      <w:spacing w:line="300" w:lineRule="auto"/>
      <w:ind w:firstLine="560"/>
      <w:jc w:val="left"/>
    </w:pPr>
    <w:rPr>
      <w:sz w:val="28"/>
    </w:rPr>
  </w:style>
  <w:style w:type="paragraph" w:customStyle="1" w:styleId="229">
    <w:name w:val="寄信人地址1"/>
    <w:basedOn w:val="1"/>
    <w:qFormat/>
    <w:uiPriority w:val="0"/>
    <w:rPr>
      <w:rFonts w:ascii="Arial" w:hAnsi="Arial"/>
    </w:rPr>
  </w:style>
  <w:style w:type="paragraph" w:customStyle="1" w:styleId="230">
    <w:name w:val="正文首行缩进 211"/>
    <w:basedOn w:val="228"/>
    <w:qFormat/>
    <w:uiPriority w:val="0"/>
    <w:pPr>
      <w:spacing w:after="120" w:line="240" w:lineRule="auto"/>
      <w:ind w:left="420" w:firstLine="210"/>
      <w:jc w:val="both"/>
    </w:pPr>
    <w:rPr>
      <w:rFonts w:eastAsia="仿宋_GB2312"/>
      <w:sz w:val="30"/>
    </w:rPr>
  </w:style>
  <w:style w:type="character" w:customStyle="1" w:styleId="231">
    <w:name w:val="font21"/>
    <w:link w:val="1"/>
    <w:qFormat/>
    <w:uiPriority w:val="0"/>
    <w:rPr>
      <w:rFonts w:hint="eastAsia" w:ascii="仿宋" w:hAnsi="仿宋" w:eastAsia="仿宋" w:cs="仿宋"/>
      <w:color w:val="FF0000"/>
      <w:sz w:val="24"/>
      <w:szCs w:val="24"/>
      <w:u w:val="none"/>
    </w:rPr>
  </w:style>
  <w:style w:type="paragraph" w:customStyle="1" w:styleId="232">
    <w:name w:val="列出段落"/>
    <w:basedOn w:val="1"/>
    <w:qFormat/>
    <w:uiPriority w:val="34"/>
    <w:pPr>
      <w:ind w:firstLine="420"/>
    </w:pPr>
    <w:rPr>
      <w:szCs w:val="20"/>
    </w:rPr>
  </w:style>
  <w:style w:type="paragraph" w:customStyle="1" w:styleId="233">
    <w:name w:val="表中文字"/>
    <w:basedOn w:val="1"/>
    <w:qFormat/>
    <w:uiPriority w:val="0"/>
    <w:pPr>
      <w:widowControl/>
      <w:spacing w:line="360" w:lineRule="auto"/>
      <w:jc w:val="left"/>
    </w:pPr>
    <w:rPr>
      <w:rFonts w:ascii="Times New Roman" w:hAnsi="Times New Roman" w:eastAsia="仿宋_GB2312"/>
      <w:sz w:val="24"/>
    </w:rPr>
  </w:style>
  <w:style w:type="paragraph" w:customStyle="1" w:styleId="234">
    <w:name w:val="Table Text"/>
    <w:basedOn w:val="1"/>
    <w:semiHidden/>
    <w:qFormat/>
    <w:uiPriority w:val="0"/>
    <w:pPr>
      <w:widowControl/>
      <w:jc w:val="left"/>
    </w:pPr>
    <w:rPr>
      <w:rFonts w:ascii="宋体" w:hAnsi="宋体" w:eastAsia="宋体" w:cs="宋体"/>
      <w:color w:val="000000"/>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19496</Words>
  <Characters>20551</Characters>
  <TotalTime>0</TotalTime>
  <ScaleCrop>false</ScaleCrop>
  <LinksUpToDate>false</LinksUpToDate>
  <CharactersWithSpaces>20765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2021-01-21T01:54:00Z</dcterms:created>
  <dc:creator>懒癌</dc:creator>
  <cp:lastModifiedBy>懒癌晚期</cp:lastModifiedBy>
  <dcterms:modified xsi:type="dcterms:W3CDTF">2025-06-11T01:29:07Z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6A81A9DFBD204ABAB799DADC49A1D8CE_13</vt:lpwstr>
  </property>
  <property fmtid="{D5CDD505-2E9C-101B-9397-08002B2CF9AE}" pid="4" name="KSOTemplateDocerSaveRecord">
    <vt:lpwstr>eyJoZGlkIjoiZTk2ZWViYzMxZTA3NDNhMGU5ZGJkZjU2MWI4MmI4ZmQiLCJ1c2VySWQiOiIzNzQzNTQzNDcifQ==</vt:lpwstr>
  </property>
</Properties>
</file>