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ind w:firstLine="0"/>
        <w:rPr>
          <w:rFonts w:eastAsia="黑体"/>
          <w:b/>
          <w:bCs/>
          <w:sz w:val="84"/>
        </w:rPr>
      </w:pPr>
      <w:r>
        <w:rPr>
          <w:rFonts w:eastAsia="黑体"/>
          <w:b/>
          <w:bCs/>
          <w:sz w:val="84"/>
        </w:rPr>
      </w:r>
      <w:r/>
    </w:p>
    <w:p>
      <w:pPr>
        <w:pStyle w:val="942"/>
        <w:ind w:firstLine="0"/>
        <w:jc w:val="center"/>
        <w:rPr>
          <w:rFonts w:eastAsia="黑体"/>
          <w:b/>
          <w:bCs/>
          <w:sz w:val="84"/>
        </w:rPr>
      </w:pPr>
      <w:r>
        <w:rPr>
          <w:rFonts w:hint="eastAsia" w:eastAsia="黑体"/>
          <w:b/>
          <w:bCs/>
          <w:sz w:val="84"/>
        </w:rPr>
        <w:t xml:space="preserve">招　标　文　件</w:t>
      </w:r>
      <w:r/>
    </w:p>
    <w:p>
      <w:pPr>
        <w:pStyle w:val="942"/>
        <w:ind w:left="319" w:firstLine="411"/>
        <w:jc w:val="left"/>
        <w:rPr>
          <w:rFonts w:hint="eastAsia"/>
          <w:b/>
          <w:bCs/>
          <w:sz w:val="32"/>
        </w:rPr>
      </w:pPr>
      <w:r>
        <w:rPr>
          <w:rFonts w:hint="eastAsia"/>
          <w:b/>
          <w:bCs/>
          <w:sz w:val="32"/>
        </w:rPr>
        <w:t xml:space="preserve">项目名称：南通港沿海港区引航站沿海港区智慧引航云</w:t>
      </w:r>
      <w:r/>
    </w:p>
    <w:p>
      <w:pPr>
        <w:pStyle w:val="942"/>
        <w:ind w:left="319" w:firstLine="2011"/>
        <w:jc w:val="left"/>
        <w:rPr>
          <w:b/>
          <w:bCs/>
          <w:sz w:val="32"/>
        </w:rPr>
      </w:pPr>
      <w:r>
        <w:rPr>
          <w:rFonts w:hint="eastAsia"/>
          <w:b/>
          <w:bCs/>
          <w:sz w:val="32"/>
        </w:rPr>
        <w:t xml:space="preserve">服务一体化系统项目</w:t>
      </w:r>
      <w:r/>
    </w:p>
    <w:p>
      <w:pPr>
        <w:jc w:val="left"/>
        <w:rPr>
          <w:b/>
          <w:bCs/>
          <w:color w:val="ff0000"/>
          <w:sz w:val="32"/>
          <w:highlight w:val="yellow"/>
        </w:rPr>
      </w:pPr>
      <w:r>
        <w:rPr>
          <w:rFonts w:hint="eastAsia"/>
          <w:b/>
          <w:bCs/>
          <w:color w:val="000000"/>
          <w:sz w:val="32"/>
        </w:rPr>
        <w:t xml:space="preserve">      项目编号：JSZC-320600-JZCG-G2024-0209</w:t>
      </w:r>
      <w:r>
        <w:rPr>
          <w:rFonts w:hint="eastAsia"/>
          <w:b/>
          <w:bCs/>
          <w:color w:val="ffffff" w:themeColor="background1"/>
          <w:sz w:val="32"/>
          <w14:textFill>
            <w14:solidFill>
              <w14:schemeClr w14:val="bg1"/>
            </w14:solidFill>
          </w14:textFill>
        </w:rPr>
        <w:t xml:space="preserve">JSZC-320600-JZCG-G2024-0070</w:t>
      </w:r>
      <w:r/>
    </w:p>
    <w:p>
      <w:pPr>
        <w:ind w:firstLine="1606"/>
        <w:rPr>
          <w:b/>
          <w:bCs/>
          <w:color w:val="ff0000"/>
          <w:sz w:val="32"/>
        </w:rPr>
      </w:pPr>
      <w:r>
        <w:rPr>
          <w:b/>
          <w:bCs/>
          <w:color w:val="ff0000"/>
          <w:sz w:val="32"/>
        </w:rPr>
      </w:r>
      <w:r/>
    </w:p>
    <w:p>
      <w:pPr>
        <w:pStyle w:val="942"/>
        <w:ind w:firstLine="0"/>
        <w:spacing w:before="0" w:after="0"/>
        <w:rPr>
          <w:rFonts w:ascii="宋体" w:hAnsi="宋体"/>
        </w:rPr>
      </w:pPr>
      <w:r>
        <w:rPr>
          <w:rFonts w:ascii="宋体" w:hAnsi="宋体"/>
        </w:rPr>
      </w:r>
      <w:r/>
    </w:p>
    <w:p>
      <w:pPr>
        <w:pStyle w:val="942"/>
        <w:ind w:firstLine="0"/>
        <w:spacing w:before="0" w:after="0"/>
        <w:rPr>
          <w:rFonts w:ascii="宋体" w:hAnsi="宋体"/>
        </w:rPr>
      </w:pPr>
      <w:r>
        <w:rPr>
          <w:rFonts w:ascii="宋体" w:hAnsi="宋体"/>
        </w:rPr>
      </w:r>
      <w:r/>
    </w:p>
    <w:p>
      <w:pPr>
        <w:pStyle w:val="942"/>
        <w:ind w:firstLine="0"/>
        <w:spacing w:before="0" w:after="0"/>
        <w:rPr>
          <w:rFonts w:ascii="宋体" w:hAnsi="宋体"/>
        </w:rPr>
      </w:pPr>
      <w:r>
        <w:rPr>
          <w:rFonts w:ascii="宋体" w:hAnsi="宋体"/>
        </w:rPr>
      </w:r>
      <w:r/>
    </w:p>
    <w:p>
      <w:pPr>
        <w:pStyle w:val="942"/>
        <w:ind w:firstLine="0"/>
        <w:spacing w:before="0" w:after="0"/>
        <w:rPr>
          <w:rFonts w:ascii="宋体" w:hAnsi="宋体"/>
        </w:rPr>
      </w:pPr>
      <w:r>
        <w:rPr>
          <w:rFonts w:ascii="宋体" w:hAnsi="宋体"/>
        </w:rPr>
      </w:r>
      <w:r/>
    </w:p>
    <w:p>
      <w:pPr>
        <w:pStyle w:val="942"/>
        <w:ind w:firstLine="0"/>
        <w:spacing w:before="0" w:after="0"/>
        <w:rPr>
          <w:rFonts w:ascii="宋体" w:hAnsi="宋体"/>
        </w:rPr>
      </w:pPr>
      <w:r>
        <w:rPr>
          <w:rFonts w:ascii="宋体" w:hAnsi="宋体"/>
        </w:rPr>
      </w:r>
      <w:r/>
    </w:p>
    <w:p>
      <w:pPr>
        <w:pStyle w:val="942"/>
        <w:ind w:firstLine="0"/>
        <w:spacing w:before="0" w:after="0"/>
        <w:rPr>
          <w:rFonts w:ascii="宋体" w:hAnsi="宋体"/>
        </w:rPr>
      </w:pPr>
      <w:r>
        <w:rPr>
          <w:rFonts w:ascii="宋体" w:hAnsi="宋体"/>
        </w:rPr>
      </w:r>
      <w:r/>
    </w:p>
    <w:p>
      <w:pPr>
        <w:jc w:val="center"/>
        <w:spacing w:line="360" w:lineRule="auto"/>
        <w:rPr>
          <w:rFonts w:ascii="宋体" w:hAnsi="宋体"/>
          <w:color w:val="000000"/>
          <w:sz w:val="32"/>
          <w:szCs w:val="20"/>
        </w:rPr>
      </w:pPr>
      <w:r>
        <w:rPr>
          <w:rFonts w:hint="eastAsia" w:ascii="宋体" w:hAnsi="宋体"/>
          <w:color w:val="000000"/>
          <w:sz w:val="32"/>
          <w:szCs w:val="20"/>
        </w:rPr>
        <w:t xml:space="preserve">南通市公共资源交易中心</w:t>
      </w:r>
      <w:r/>
    </w:p>
    <w:p>
      <w:pPr>
        <w:jc w:val="center"/>
        <w:spacing w:line="360" w:lineRule="auto"/>
        <w:rPr>
          <w:rFonts w:ascii="Arial" w:hAnsi="Arial"/>
          <w:b/>
          <w:bCs/>
          <w:color w:val="000000"/>
          <w:sz w:val="32"/>
          <w:szCs w:val="24"/>
        </w:rPr>
      </w:pPr>
      <w:r>
        <w:rPr>
          <w:rFonts w:hint="eastAsia" w:ascii="宋体" w:hAnsi="宋体"/>
          <w:color w:val="000000"/>
          <w:sz w:val="32"/>
          <w:szCs w:val="20"/>
        </w:rPr>
        <w:t xml:space="preserve">（南通市政府采购中心）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2024年</w:t>
      </w:r>
      <w:r>
        <w:rPr>
          <w:rFonts w:hint="eastAsia" w:ascii="Arial" w:hAnsi="Arial"/>
          <w:b/>
          <w:bCs/>
          <w:color w:val="000000"/>
          <w:sz w:val="32"/>
          <w:szCs w:val="24"/>
          <w:lang w:val="en-US" w:eastAsia="zh-CN"/>
        </w:rPr>
        <w:t xml:space="preserve">11</w:t>
      </w:r>
      <w:r>
        <w:rPr>
          <w:rFonts w:hint="eastAsia" w:ascii="Arial" w:hAnsi="Arial"/>
          <w:b/>
          <w:bCs/>
          <w:color w:val="000000"/>
          <w:sz w:val="32"/>
          <w:szCs w:val="24"/>
        </w:rPr>
        <w:t xml:space="preserve">月</w:t>
      </w:r>
      <w:r/>
    </w:p>
    <w:p>
      <w:pPr>
        <w:pStyle w:val="942"/>
        <w:ind w:firstLine="0"/>
        <w:rPr>
          <w:u w:val="single"/>
        </w:rPr>
      </w:pPr>
      <w:r>
        <w:rPr>
          <w:rFonts w:hint="eastAsia"/>
        </w:rPr>
        <w:t xml:space="preserve">                        </w:t>
      </w:r>
      <w:r/>
    </w:p>
    <w:p>
      <w:pPr>
        <w:pStyle w:val="942"/>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7</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hint="eastAsia" w:ascii="黑体" w:hAnsi="Showcard Gothic" w:eastAsia="黑体"/>
          <w:sz w:val="36"/>
          <w:lang w:val="en-US" w:eastAsia="zh-CN"/>
        </w:rPr>
        <w:t xml:space="preserve">8</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w:t>
      </w:r>
      <w:r>
        <w:rPr>
          <w:rFonts w:hint="eastAsia" w:ascii="黑体" w:hAnsi="Showcard Gothic" w:eastAsia="黑体"/>
          <w:sz w:val="36"/>
          <w:lang w:val="en-US" w:eastAsia="zh-CN"/>
        </w:rPr>
        <w:t xml:space="preserve">2</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w:t>
      </w:r>
      <w:r>
        <w:rPr>
          <w:rFonts w:hint="eastAsia" w:ascii="黑体" w:hAnsi="Showcard Gothic" w:eastAsia="黑体"/>
          <w:sz w:val="36"/>
          <w:lang w:val="en-US" w:eastAsia="zh-CN"/>
        </w:rPr>
        <w:t xml:space="preserve">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50</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59"/>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受[</w:t>
      </w:r>
      <w:r>
        <w:rPr>
          <w:rFonts w:hint="eastAsia" w:ascii="宋体" w:hAnsi="宋体"/>
          <w:b/>
          <w:bCs/>
          <w:sz w:val="24"/>
          <w:szCs w:val="24"/>
        </w:rPr>
        <w:t xml:space="preserve">南通港沿海港区引航站</w:t>
      </w:r>
      <w:r>
        <w:rPr>
          <w:rFonts w:hint="eastAsia" w:ascii="宋体" w:hAnsi="宋体"/>
          <w:sz w:val="24"/>
          <w:szCs w:val="24"/>
        </w:rPr>
        <w:t xml:space="preserve">]的委托，南通市政府采购中心就[</w:t>
      </w:r>
      <w:r>
        <w:rPr>
          <w:rFonts w:hint="eastAsia" w:ascii="宋体" w:hAnsi="宋体"/>
          <w:b/>
          <w:bCs/>
          <w:sz w:val="24"/>
          <w:szCs w:val="24"/>
        </w:rPr>
        <w:t xml:space="preserve">南通港沿海港区引航站沿海港区智慧引航云服务一体化系统项目</w:t>
      </w:r>
      <w:r>
        <w:rPr>
          <w:rFonts w:hint="eastAsia" w:ascii="宋体" w:hAnsi="宋体"/>
          <w:sz w:val="24"/>
          <w:szCs w:val="24"/>
        </w:rPr>
        <w:t xml:space="preserve">]([</w:t>
      </w:r>
      <w:r>
        <w:rPr>
          <w:rFonts w:hint="eastAsia" w:ascii="宋体" w:hAnsi="宋体"/>
          <w:b/>
          <w:bCs/>
          <w:sz w:val="24"/>
          <w:szCs w:val="24"/>
          <w:u w:val="single"/>
        </w:rPr>
        <w:t xml:space="preserve">项目编号：JSZC-320600-JZCG-G2024-0209 </w:t>
      </w:r>
      <w:r>
        <w:rPr>
          <w:rFonts w:hint="eastAsia" w:ascii="宋体" w:hAnsi="宋体"/>
          <w:sz w:val="24"/>
          <w:szCs w:val="24"/>
        </w:rPr>
        <w:t xml:space="preserve">])进行公开招标采购，欢迎符合条件的供应商投标。</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b/>
          <w:bCs/>
          <w:sz w:val="24"/>
          <w:szCs w:val="24"/>
          <w:u w:val="single"/>
        </w:rPr>
        <w:t xml:space="preserve">南通港沿海港区引航站沿海港区智慧引航云服务一体化系统项目</w:t>
      </w:r>
      <w:r>
        <w:rPr>
          <w:rFonts w:hint="eastAsia" w:ascii="宋体" w:hAnsi="宋体"/>
          <w:sz w:val="24"/>
          <w:szCs w:val="24"/>
          <w:u w:val="single"/>
        </w:rPr>
        <w:t xml:space="preserve"> </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hAnsi="宋体"/>
          <w:color w:val="auto"/>
          <w:sz w:val="24"/>
          <w:szCs w:val="24"/>
        </w:rPr>
        <w:t xml:space="preserve">并于</w:t>
      </w:r>
      <w:r>
        <w:rPr>
          <w:rFonts w:hint="eastAsia" w:ascii="宋体" w:hAnsi="宋体"/>
          <w:color w:val="auto"/>
          <w:sz w:val="24"/>
          <w:szCs w:val="24"/>
          <w:u w:val="single"/>
        </w:rPr>
        <w:t xml:space="preserve"> </w:t>
      </w:r>
      <w:r>
        <w:rPr>
          <w:rFonts w:hint="eastAsia" w:ascii="宋体" w:hAnsi="宋体"/>
          <w:b/>
          <w:bCs/>
          <w:color w:val="auto"/>
          <w:sz w:val="24"/>
          <w:szCs w:val="24"/>
          <w:u w:val="single"/>
        </w:rPr>
        <w:t xml:space="preserve">2024年1</w:t>
      </w:r>
      <w:r>
        <w:rPr>
          <w:rFonts w:hint="eastAsia" w:ascii="宋体" w:hAnsi="宋体"/>
          <w:b/>
          <w:bCs/>
          <w:color w:val="auto"/>
          <w:sz w:val="24"/>
          <w:szCs w:val="24"/>
          <w:u w:val="single"/>
          <w:lang w:val="en-US" w:eastAsia="zh-CN"/>
        </w:rPr>
        <w:t xml:space="preserve">2</w:t>
      </w:r>
      <w:r>
        <w:rPr>
          <w:rFonts w:hint="eastAsia" w:ascii="宋体" w:hAnsi="宋体"/>
          <w:b/>
          <w:bCs/>
          <w:color w:val="auto"/>
          <w:sz w:val="24"/>
          <w:szCs w:val="24"/>
          <w:u w:val="single"/>
        </w:rPr>
        <w:t xml:space="preserve">月</w:t>
      </w:r>
      <w:r>
        <w:rPr>
          <w:rFonts w:hint="eastAsia" w:ascii="宋体" w:hAnsi="宋体"/>
          <w:b/>
          <w:bCs/>
          <w:color w:val="auto"/>
          <w:sz w:val="24"/>
          <w:szCs w:val="24"/>
          <w:u w:val="single"/>
          <w:lang w:val="en-US" w:eastAsia="zh-CN"/>
        </w:rPr>
        <w:t xml:space="preserve">19</w:t>
      </w:r>
      <w:r>
        <w:rPr>
          <w:rFonts w:hint="eastAsia" w:ascii="宋体" w:hAnsi="宋体"/>
          <w:b/>
          <w:bCs/>
          <w:color w:val="auto"/>
          <w:sz w:val="24"/>
          <w:szCs w:val="24"/>
          <w:u w:val="single"/>
        </w:rPr>
        <w:t xml:space="preserve">日10点00分</w:t>
      </w:r>
      <w:r>
        <w:rPr>
          <w:rFonts w:hint="eastAsia" w:ascii="宋体" w:hAnsi="宋体"/>
          <w:bCs/>
          <w:color w:val="auto"/>
          <w:sz w:val="24"/>
          <w:szCs w:val="24"/>
          <w:u w:val="single"/>
        </w:rPr>
        <w:t xml:space="preserve">（</w:t>
      </w:r>
      <w:r>
        <w:rPr>
          <w:rFonts w:hint="eastAsia" w:ascii="宋体" w:hAnsi="宋体"/>
          <w:bCs/>
          <w:color w:val="auto"/>
          <w:sz w:val="24"/>
          <w:szCs w:val="24"/>
        </w:rPr>
        <w:t xml:space="preserve">北京时间）前递交投标</w:t>
      </w:r>
      <w:r>
        <w:rPr>
          <w:rFonts w:ascii="宋体" w:hAnsi="宋体"/>
          <w:bCs/>
          <w:color w:val="auto"/>
          <w:sz w:val="24"/>
          <w:szCs w:val="24"/>
        </w:rPr>
        <w:t xml:space="preserve">文件</w:t>
      </w:r>
      <w:r>
        <w:rPr>
          <w:rFonts w:hint="eastAsia" w:ascii="宋体" w:hAnsi="宋体"/>
          <w:color w:val="auto"/>
          <w:sz w:val="24"/>
          <w:szCs w:val="24"/>
        </w:rPr>
        <w:t xml:space="preserve">。</w:t>
      </w:r>
      <w:r/>
    </w:p>
    <w:p>
      <w:pPr>
        <w:pStyle w:val="862"/>
        <w:ind w:firstLine="498"/>
        <w:spacing w:before="145" w:after="145" w:line="360" w:lineRule="auto"/>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360" w:lineRule="auto"/>
        <w:rPr>
          <w:rFonts w:ascii="宋体" w:hAnsi="宋体" w:cs="宋体"/>
          <w:sz w:val="24"/>
          <w:szCs w:val="24"/>
          <w:highlight w:val="yellow"/>
        </w:rPr>
      </w:pPr>
      <w:r>
        <w:rPr>
          <w:rFonts w:hint="eastAsia" w:ascii="宋体" w:hAnsi="宋体" w:cs="宋体"/>
          <w:b/>
          <w:bCs/>
          <w:sz w:val="24"/>
          <w:szCs w:val="24"/>
        </w:rPr>
        <w:t xml:space="preserve">1.项目编号：</w:t>
      </w:r>
      <w:r>
        <w:rPr>
          <w:rFonts w:hint="eastAsia" w:ascii="宋体" w:hAnsi="宋体" w:cs="宋体"/>
          <w:sz w:val="24"/>
          <w:szCs w:val="24"/>
        </w:rPr>
        <w:t xml:space="preserve">JSZC-320600-JZCG-G2024-0209 </w:t>
      </w:r>
      <w:r/>
    </w:p>
    <w:p>
      <w:pPr>
        <w:ind w:firstLine="480"/>
        <w:spacing w:line="360" w:lineRule="auto"/>
        <w:rPr>
          <w:rFonts w:ascii="宋体" w:hAnsi="宋体" w:cs="宋体"/>
          <w:sz w:val="24"/>
          <w:szCs w:val="24"/>
        </w:rPr>
      </w:pPr>
      <w:r>
        <w:rPr>
          <w:rFonts w:hint="eastAsia" w:ascii="宋体" w:hAnsi="宋体" w:cs="宋体"/>
          <w:b/>
          <w:bCs/>
          <w:sz w:val="24"/>
          <w:szCs w:val="24"/>
        </w:rPr>
        <w:t xml:space="preserve">2.项目名称：</w:t>
      </w:r>
      <w:bookmarkEnd w:id="11"/>
      <w:r>
        <w:rPr>
          <w:rFonts w:hint="eastAsia" w:ascii="宋体" w:hAnsi="宋体" w:cs="宋体"/>
          <w:sz w:val="24"/>
          <w:szCs w:val="24"/>
        </w:rPr>
        <w:t xml:space="preserve">南通港沿海港区引航站沿海港区智慧引航云服务一体化系统项目</w:t>
      </w:r>
      <w:r/>
    </w:p>
    <w:p>
      <w:pPr>
        <w:ind w:firstLine="480"/>
        <w:spacing w:line="360" w:lineRule="auto"/>
        <w:rPr>
          <w:rFonts w:ascii="宋体" w:hAnsi="宋体" w:cs="宋体"/>
          <w:sz w:val="24"/>
          <w:szCs w:val="24"/>
        </w:rPr>
      </w:pPr>
      <w:r>
        <w:rPr>
          <w:rFonts w:hint="eastAsia" w:ascii="宋体" w:hAnsi="宋体" w:cs="宋体"/>
          <w:b/>
          <w:bCs/>
          <w:sz w:val="24"/>
          <w:szCs w:val="24"/>
        </w:rPr>
        <w:t xml:space="preserve">3.项目类型：</w:t>
      </w:r>
      <w:r>
        <w:rPr>
          <w:rFonts w:hint="eastAsia" w:ascii="宋体" w:hAnsi="宋体" w:cs="宋体"/>
          <w:sz w:val="24"/>
          <w:szCs w:val="24"/>
        </w:rPr>
        <w:t xml:space="preserve">服务</w:t>
      </w:r>
      <w:r/>
    </w:p>
    <w:p>
      <w:pPr>
        <w:ind w:firstLine="480"/>
        <w:spacing w:line="360" w:lineRule="auto"/>
        <w:rPr>
          <w:rFonts w:ascii="宋体" w:hAnsi="宋体" w:cs="宋体"/>
          <w:sz w:val="24"/>
          <w:szCs w:val="24"/>
        </w:rPr>
      </w:pPr>
      <w:r>
        <w:rPr>
          <w:rFonts w:hint="eastAsia" w:ascii="宋体" w:hAnsi="宋体" w:cs="宋体"/>
          <w:b/>
          <w:bCs/>
          <w:sz w:val="24"/>
          <w:szCs w:val="24"/>
        </w:rPr>
        <w:t xml:space="preserve">4.预算金额</w:t>
      </w:r>
      <w:r>
        <w:rPr>
          <w:rFonts w:hint="eastAsia" w:ascii="宋体" w:hAnsi="宋体" w:cs="宋体"/>
          <w:sz w:val="24"/>
          <w:szCs w:val="24"/>
        </w:rPr>
        <w:t xml:space="preserve">：</w:t>
      </w:r>
      <w:r>
        <w:rPr>
          <w:rFonts w:hint="eastAsia" w:ascii="宋体" w:hAnsi="宋体" w:cs="宋体"/>
          <w:sz w:val="24"/>
          <w:szCs w:val="24"/>
          <w:lang w:val="en-US" w:eastAsia="zh-CN"/>
        </w:rPr>
        <w:t xml:space="preserve">252</w:t>
      </w:r>
      <w:r>
        <w:rPr>
          <w:rFonts w:hint="eastAsia" w:ascii="宋体" w:hAnsi="宋体" w:cs="宋体"/>
          <w:sz w:val="24"/>
          <w:szCs w:val="24"/>
        </w:rPr>
        <w:t xml:space="preserve">万元</w:t>
      </w:r>
      <w:r/>
    </w:p>
    <w:p>
      <w:pPr>
        <w:ind w:firstLine="480"/>
        <w:spacing w:line="360" w:lineRule="auto"/>
        <w:rPr>
          <w:rFonts w:ascii="宋体" w:hAnsi="宋体" w:cs="宋体"/>
          <w:sz w:val="24"/>
          <w:szCs w:val="24"/>
        </w:rPr>
      </w:pPr>
      <w:r>
        <w:rPr>
          <w:rFonts w:hint="eastAsia" w:ascii="宋体" w:hAnsi="宋体" w:cs="宋体"/>
          <w:b/>
          <w:bCs/>
          <w:sz w:val="24"/>
          <w:szCs w:val="24"/>
        </w:rPr>
        <w:t xml:space="preserve">5.最高限价：</w:t>
      </w:r>
      <w:r>
        <w:rPr>
          <w:rFonts w:hint="eastAsia" w:ascii="宋体" w:hAnsi="宋体" w:cs="宋体"/>
          <w:sz w:val="24"/>
          <w:szCs w:val="24"/>
          <w:lang w:val="en-US" w:eastAsia="zh-CN"/>
        </w:rPr>
        <w:t xml:space="preserve">252</w:t>
      </w:r>
      <w:r>
        <w:rPr>
          <w:rFonts w:hint="eastAsia" w:ascii="宋体" w:hAnsi="宋体" w:cs="宋体"/>
          <w:sz w:val="24"/>
          <w:szCs w:val="24"/>
        </w:rPr>
        <w:t xml:space="preserve">万元</w:t>
      </w:r>
      <w:r/>
    </w:p>
    <w:p>
      <w:pPr>
        <w:ind w:firstLine="480"/>
        <w:spacing w:line="360" w:lineRule="auto"/>
        <w:rPr>
          <w:rFonts w:ascii="宋体" w:hAnsi="宋体" w:cs="宋体"/>
          <w:sz w:val="24"/>
          <w:szCs w:val="24"/>
        </w:rPr>
      </w:pPr>
      <w:r>
        <w:rPr>
          <w:rFonts w:hint="eastAsia" w:ascii="宋体" w:hAnsi="宋体" w:cs="宋体"/>
          <w:b/>
          <w:bCs/>
          <w:sz w:val="24"/>
          <w:szCs w:val="24"/>
        </w:rPr>
        <w:t xml:space="preserve">6.采购需求：</w:t>
      </w:r>
      <w:r>
        <w:rPr>
          <w:rFonts w:hint="eastAsia" w:ascii="宋体" w:hAnsi="宋体" w:cs="宋体"/>
          <w:sz w:val="24"/>
          <w:szCs w:val="24"/>
        </w:rPr>
        <w:t xml:space="preserve">详细内容见本招标文件第四章 </w:t>
      </w:r>
      <w:r/>
    </w:p>
    <w:p>
      <w:pPr>
        <w:ind w:firstLine="480"/>
        <w:spacing w:line="360" w:lineRule="auto"/>
        <w:rPr>
          <w:rFonts w:ascii="宋体" w:hAnsi="宋体" w:cs="宋体"/>
          <w:sz w:val="24"/>
          <w:szCs w:val="24"/>
        </w:rPr>
      </w:pPr>
      <w:r>
        <w:rPr>
          <w:rFonts w:hint="eastAsia" w:ascii="宋体" w:hAnsi="宋体" w:cs="宋体"/>
          <w:b/>
          <w:bCs/>
          <w:sz w:val="24"/>
          <w:szCs w:val="24"/>
        </w:rPr>
        <w:t xml:space="preserve">7.合同履行期限：</w:t>
      </w:r>
      <w:r>
        <w:rPr>
          <w:rFonts w:hint="eastAsia" w:ascii="宋体" w:hAnsi="宋体" w:cs="宋体"/>
          <w:sz w:val="24"/>
          <w:szCs w:val="24"/>
          <w:lang w:val="en-US" w:eastAsia="zh-CN"/>
        </w:rPr>
        <w:t xml:space="preserve">8个月完成，质保期不少于一年</w:t>
      </w:r>
      <w:r>
        <w:rPr>
          <w:rFonts w:hint="eastAsia" w:ascii="宋体" w:hAnsi="宋体" w:cs="宋体"/>
          <w:sz w:val="24"/>
          <w:szCs w:val="24"/>
        </w:rPr>
        <w:t xml:space="preserve">。</w:t>
      </w:r>
      <w:r/>
    </w:p>
    <w:p>
      <w:pPr>
        <w:pStyle w:val="862"/>
        <w:ind w:firstLine="498"/>
        <w:spacing w:before="145" w:after="145" w:line="360" w:lineRule="auto"/>
      </w:pPr>
      <w:r/>
      <w:bookmarkStart w:id="12" w:name="_Toc28359003"/>
      <w:r/>
      <w:bookmarkStart w:id="13" w:name="_Toc28359080"/>
      <w:r/>
      <w:bookmarkStart w:id="14" w:name="_Toc35393622"/>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ind w:firstLine="480"/>
        <w:spacing w:line="360" w:lineRule="auto"/>
        <w:rPr>
          <w:rFonts w:ascii="宋体" w:hAnsi="宋体" w:cs="宋体"/>
          <w:sz w:val="24"/>
          <w:szCs w:val="24"/>
        </w:rPr>
      </w:pPr>
      <w:r/>
      <w:bookmarkStart w:id="17" w:name="_Toc35393792"/>
      <w:r/>
      <w:bookmarkStart w:id="18" w:name="_Toc38985265"/>
      <w:r/>
      <w:bookmarkStart w:id="19" w:name="_Toc28359004"/>
      <w:r/>
      <w:bookmarkStart w:id="20" w:name="_Toc28359081"/>
      <w:r/>
      <w:bookmarkStart w:id="21" w:name="_Toc35393623"/>
      <w:r>
        <w:rPr>
          <w:rFonts w:hint="eastAsia" w:ascii="宋体" w:hAnsi="宋体" w:cs="宋体"/>
          <w:sz w:val="24"/>
          <w:szCs w:val="24"/>
        </w:rPr>
        <w:t xml:space="preserve">（一）通用资格要求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s="宋体"/>
          <w:sz w:val="24"/>
          <w:szCs w:val="24"/>
        </w:rPr>
      </w:pPr>
      <w:r>
        <w:rPr>
          <w:rFonts w:hint="eastAsia" w:ascii="宋体" w:hAnsi="宋体" w:cs="宋体"/>
          <w:sz w:val="24"/>
          <w:szCs w:val="24"/>
        </w:rPr>
        <w:t xml:space="preserve">4.本项目不接受联合体投标。</w:t>
      </w:r>
      <w:r/>
    </w:p>
    <w:p>
      <w:pPr>
        <w:ind w:firstLine="480"/>
        <w:spacing w:line="360" w:lineRule="auto"/>
        <w:rPr>
          <w:rFonts w:ascii="宋体" w:hAnsi="宋体" w:cs="宋体"/>
          <w:sz w:val="24"/>
          <w:szCs w:val="24"/>
        </w:rPr>
      </w:pPr>
      <w:r>
        <w:rPr>
          <w:rFonts w:hint="eastAsia" w:ascii="宋体" w:hAnsi="宋体" w:cs="宋体"/>
          <w:sz w:val="24"/>
          <w:szCs w:val="24"/>
        </w:rPr>
        <w:t xml:space="preserve">5. 本项目不接受分包。</w:t>
      </w:r>
      <w:r/>
    </w:p>
    <w:p>
      <w:pPr>
        <w:ind w:firstLine="480"/>
        <w:spacing w:line="360" w:lineRule="auto"/>
        <w:rPr>
          <w:rFonts w:ascii="宋体" w:hAnsi="宋体" w:cs="宋体"/>
          <w:sz w:val="24"/>
          <w:szCs w:val="24"/>
        </w:rPr>
      </w:pPr>
      <w:r>
        <w:rPr>
          <w:rFonts w:hint="eastAsia" w:ascii="宋体" w:hAnsi="宋体" w:cs="宋体"/>
          <w:sz w:val="24"/>
          <w:szCs w:val="24"/>
        </w:rPr>
        <w:t xml:space="preserve">（二）本项目的特定资格要求：无</w:t>
      </w:r>
      <w:r/>
    </w:p>
    <w:p>
      <w:pPr>
        <w:pStyle w:val="862"/>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480"/>
        <w:spacing w:line="360" w:lineRule="auto"/>
        <w:rPr>
          <w:rFonts w:ascii="宋体" w:hAnsi="宋体" w:cs="宋体"/>
          <w:b/>
          <w:bCs/>
          <w:color w:val="ff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2.方式：凡有意参与投标的供应商须登录江苏省政府采购网首页点击“苏采云”→通过CA锁进行响应确认，并自行在招标文件有效获取期内及时下载获取。</w:t>
      </w:r>
      <w:r/>
    </w:p>
    <w:p>
      <w:pPr>
        <w:pStyle w:val="862"/>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360" w:lineRule="auto"/>
        <w:rPr>
          <w:rFonts w:ascii="宋体" w:hAnsi="宋体" w:cs="宋体"/>
          <w:sz w:val="24"/>
          <w:szCs w:val="24"/>
        </w:rPr>
      </w:pPr>
      <w:r>
        <w:rPr>
          <w:rFonts w:hint="eastAsia" w:ascii="宋体" w:hAnsi="宋体" w:cs="宋体"/>
          <w:color w:val="auto"/>
          <w:sz w:val="24"/>
          <w:szCs w:val="24"/>
        </w:rPr>
        <w:t xml:space="preserve">1.</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2024年1</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月1</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日10点00分</w:t>
      </w:r>
      <w:r>
        <w:rPr>
          <w:rFonts w:hint="eastAsia" w:ascii="宋体" w:hAnsi="宋体" w:eastAsia="宋体" w:cs="宋体"/>
          <w:color w:val="auto"/>
          <w:sz w:val="24"/>
          <w:szCs w:val="24"/>
        </w:rPr>
        <w:t xml:space="preserve"> （北京</w:t>
      </w:r>
      <w:r>
        <w:rPr>
          <w:rFonts w:hint="eastAsia" w:ascii="宋体" w:hAnsi="宋体" w:cs="宋体"/>
          <w:color w:val="auto"/>
          <w:sz w:val="24"/>
          <w:szCs w:val="24"/>
        </w:rPr>
        <w:t xml:space="preserve">时</w:t>
      </w:r>
      <w:r>
        <w:rPr>
          <w:rFonts w:hint="eastAsia" w:ascii="宋体" w:hAnsi="宋体" w:cs="宋体"/>
          <w:sz w:val="24"/>
          <w:szCs w:val="24"/>
        </w:rPr>
        <w:t xml:space="preserve">间）</w:t>
      </w:r>
      <w:r/>
    </w:p>
    <w:p>
      <w:pPr>
        <w:ind w:firstLine="480"/>
        <w:spacing w:line="360" w:lineRule="auto"/>
        <w:rPr>
          <w:rFonts w:ascii="宋体" w:hAnsi="宋体" w:cs="宋体"/>
          <w:sz w:val="24"/>
          <w:szCs w:val="24"/>
        </w:rPr>
      </w:pPr>
      <w:r>
        <w:rPr>
          <w:rFonts w:hint="eastAsia" w:ascii="宋体" w:hAnsi="宋体" w:cs="宋体"/>
          <w:sz w:val="24"/>
          <w:szCs w:val="24"/>
        </w:rPr>
        <w:t xml:space="preserve">2.地点：“苏采云”政府采购交易系统网上开标大厅。</w:t>
      </w:r>
      <w:r/>
    </w:p>
    <w:p>
      <w:pPr>
        <w:pStyle w:val="862"/>
        <w:ind w:firstLine="498"/>
        <w:spacing w:before="145" w:after="145" w:line="360" w:lineRule="auto"/>
      </w:pPr>
      <w:r/>
      <w:bookmarkStart w:id="27" w:name="_Toc35393625"/>
      <w:r/>
      <w:bookmarkStart w:id="28" w:name="_Toc38985267"/>
      <w:r/>
      <w:bookmarkStart w:id="29" w:name="_Toc28359084"/>
      <w:r/>
      <w:bookmarkStart w:id="30" w:name="_Toc35393794"/>
      <w:r/>
      <w:bookmarkStart w:id="31" w:name="_Toc28359007"/>
      <w:r>
        <w:rPr>
          <w:rFonts w:hint="eastAsia"/>
        </w:rPr>
        <w:t xml:space="preserve">五、公告期限</w:t>
      </w:r>
      <w:bookmarkEnd w:id="27"/>
      <w:r/>
      <w:bookmarkEnd w:id="28"/>
      <w:r/>
      <w:bookmarkEnd w:id="29"/>
      <w:r/>
      <w:bookmarkEnd w:id="30"/>
      <w:r/>
      <w:bookmarkEnd w:id="31"/>
      <w:r/>
      <w:r/>
    </w:p>
    <w:p>
      <w:pPr>
        <w:ind w:firstLine="480"/>
        <w:spacing w:line="360"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862"/>
        <w:ind w:firstLine="498"/>
        <w:spacing w:before="145" w:after="145" w:line="360" w:lineRule="auto"/>
      </w:pPr>
      <w:r>
        <w:rPr>
          <w:rFonts w:hint="eastAsia"/>
        </w:rPr>
        <w:t xml:space="preserve">六、其他补充事宜</w:t>
      </w:r>
      <w:bookmarkEnd w:id="32"/>
      <w:r/>
      <w:bookmarkEnd w:id="33"/>
      <w:r/>
      <w:bookmarkEnd w:id="34"/>
      <w:r/>
      <w:r/>
    </w:p>
    <w:p>
      <w:pPr>
        <w:ind w:firstLine="480"/>
        <w:spacing w:line="360" w:lineRule="auto"/>
        <w:rPr>
          <w:rFonts w:ascii="宋体" w:hAnsi="宋体" w:cs="宋体"/>
          <w:sz w:val="24"/>
          <w:szCs w:val="24"/>
        </w:rPr>
      </w:pPr>
      <w:r/>
      <w:bookmarkStart w:id="35" w:name="_Toc38985269"/>
      <w:r/>
      <w:bookmarkStart w:id="36" w:name="_Toc28359085"/>
      <w:r/>
      <w:bookmarkStart w:id="37" w:name="_Toc28359008"/>
      <w:r/>
      <w:bookmarkStart w:id="38" w:name="_Toc35393627"/>
      <w:r/>
      <w:bookmarkStart w:id="39" w:name="_Toc35393796"/>
      <w:r>
        <w:rPr>
          <w:rFonts w:hint="eastAsia" w:ascii="宋体" w:hAnsi="宋体" w:cs="宋体"/>
          <w:color w:val="000000"/>
          <w:sz w:val="24"/>
          <w:szCs w:val="24"/>
        </w:rPr>
        <w:t xml:space="preserve">1.</w:t>
      </w:r>
      <w:r>
        <w:rPr>
          <w:rFonts w:hint="eastAsia" w:ascii="宋体" w:hAnsi="宋体" w:cs="宋体"/>
          <w:sz w:val="24"/>
          <w:szCs w:val="24"/>
        </w:rPr>
        <w:t xml:space="preserve"> 投标保证金：免收</w:t>
      </w:r>
      <w:r/>
    </w:p>
    <w:p>
      <w:pPr>
        <w:ind w:firstLine="480"/>
        <w:spacing w:line="360" w:lineRule="auto"/>
        <w:rPr>
          <w:rFonts w:ascii="宋体" w:hAnsi="宋体" w:cs="宋体"/>
          <w:sz w:val="24"/>
          <w:szCs w:val="24"/>
        </w:rPr>
      </w:pPr>
      <w:r>
        <w:rPr>
          <w:rFonts w:hint="eastAsia" w:ascii="宋体" w:hAnsi="宋体" w:cs="宋体"/>
          <w:sz w:val="24"/>
          <w:szCs w:val="24"/>
        </w:rPr>
        <w:t xml:space="preserve">2. 项目演示、样品、答辩等：</w:t>
      </w:r>
      <w:r>
        <w:rPr>
          <w:rFonts w:hint="eastAsia" w:ascii="宋体" w:hAnsi="宋体" w:cs="宋体"/>
          <w:b/>
          <w:bCs/>
          <w:sz w:val="24"/>
          <w:szCs w:val="24"/>
          <w:lang w:val="en-US" w:eastAsia="zh-CN"/>
        </w:rPr>
        <w:t xml:space="preserve">本项目有演示，须在系统里提交演示视频，视频大小不能超过300M</w:t>
      </w:r>
      <w:r>
        <w:rPr>
          <w:rFonts w:hint="eastAsia" w:ascii="宋体" w:hAnsi="宋体" w:cs="宋体"/>
          <w:b/>
          <w:bCs/>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360" w:lineRule="auto"/>
        <w:rPr>
          <w:rFonts w:ascii="宋体" w:hAnsi="宋体" w:cs="宋体"/>
          <w:sz w:val="24"/>
          <w:szCs w:val="24"/>
          <w:highlight w:val="red"/>
        </w:rPr>
      </w:pPr>
      <w:r>
        <w:rPr>
          <w:rFonts w:hint="eastAsia" w:ascii="宋体" w:hAnsi="宋体" w:cs="宋体"/>
          <w:sz w:val="24"/>
          <w:szCs w:val="24"/>
        </w:rPr>
        <w:t xml:space="preserve">系统操作过程中如遇问题，</w:t>
      </w:r>
      <w:r>
        <w:rPr>
          <w:rFonts w:hint="eastAsia" w:ascii="宋体" w:hAnsi="宋体" w:cs="宋体"/>
          <w:b/>
          <w:bCs/>
          <w:sz w:val="24"/>
          <w:szCs w:val="24"/>
        </w:rPr>
        <w:t xml:space="preserve">请致电“苏采云”客服0519-86722801。</w:t>
      </w:r>
      <w:r/>
    </w:p>
    <w:p>
      <w:pPr>
        <w:numPr>
          <w:ilvl w:val="0"/>
          <w:numId w:val="5"/>
        </w:numPr>
        <w:ind w:firstLine="480"/>
        <w:spacing w:line="360" w:lineRule="auto"/>
        <w:rPr>
          <w:rFonts w:ascii="宋体" w:hAnsi="宋体" w:cs="宋体"/>
          <w:bCs/>
          <w:sz w:val="24"/>
          <w:szCs w:val="24"/>
        </w:rPr>
      </w:pPr>
      <w:r>
        <w:rPr>
          <w:rFonts w:hint="eastAsia" w:ascii="宋体" w:hAnsi="宋体" w:cs="宋体"/>
          <w:bCs/>
          <w:sz w:val="24"/>
          <w:szCs w:val="24"/>
        </w:rPr>
        <w:t xml:space="preserve">有关本次招标的事项若存在变动或修改，</w:t>
      </w:r>
      <w:r>
        <w:rPr>
          <w:rFonts w:hint="eastAsia" w:ascii="宋体" w:hAnsi="宋体" w:cs="宋体"/>
          <w:sz w:val="24"/>
          <w:szCs w:val="24"/>
        </w:rPr>
        <w:t xml:space="preserve">均以江苏政府采购网发布的更正或补充通知为准，</w:t>
      </w:r>
      <w:r>
        <w:rPr>
          <w:rFonts w:hint="eastAsia" w:ascii="宋体" w:hAnsi="宋体" w:cs="宋体"/>
          <w:bCs/>
          <w:sz w:val="24"/>
          <w:szCs w:val="24"/>
        </w:rPr>
        <w:t xml:space="preserve">敬请及时关注。</w:t>
      </w:r>
      <w:r/>
    </w:p>
    <w:p>
      <w:pPr>
        <w:numPr>
          <w:ilvl w:val="0"/>
          <w:numId w:val="5"/>
        </w:numPr>
        <w:ind w:firstLine="480"/>
        <w:spacing w:line="360" w:lineRule="auto"/>
        <w:rPr>
          <w:rFonts w:ascii="宋体" w:hAnsi="宋体" w:cs="宋体"/>
          <w:bCs/>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ascii="宋体" w:hAnsi="宋体" w:cs="宋体"/>
          <w:sz w:val="24"/>
          <w:szCs w:val="24"/>
        </w:rPr>
      </w:pPr>
      <w:r>
        <w:rPr>
          <w:rFonts w:hint="eastAsia" w:ascii="宋体" w:hAnsi="宋体" w:cs="宋体"/>
          <w:sz w:val="24"/>
          <w:szCs w:val="24"/>
        </w:rPr>
        <w:t xml:space="preserve">6. “苏采云”系统使用相关提醒</w:t>
      </w:r>
      <w:r/>
    </w:p>
    <w:p>
      <w:pPr>
        <w:ind w:firstLine="480"/>
        <w:spacing w:line="360" w:lineRule="auto"/>
        <w:tabs>
          <w:tab w:val="left" w:pos="900" w:leader="none"/>
        </w:tabs>
        <w:rPr>
          <w:rFonts w:ascii="宋体" w:hAnsi="宋体" w:cs="宋体"/>
          <w:bCs/>
          <w:sz w:val="24"/>
          <w:szCs w:val="24"/>
        </w:rPr>
      </w:pPr>
      <w:r>
        <w:rPr>
          <w:rFonts w:hint="eastAsia" w:ascii="宋体" w:hAnsi="宋体" w:cs="宋体"/>
          <w:sz w:val="24"/>
          <w:szCs w:val="24"/>
        </w:rPr>
        <w:t xml:space="preserve">6.1.</w:t>
      </w:r>
      <w:r>
        <w:rPr>
          <w:rFonts w:hint="eastAsia" w:ascii="宋体" w:hAnsi="宋体" w:cs="宋体"/>
          <w:bCs/>
          <w:sz w:val="24"/>
          <w:szCs w:val="24"/>
        </w:rPr>
        <w:t xml:space="preserve">根据省财政厅《关于更换全省政府采购交易系统CA数字证书和电子签章的通知》（苏财购〔2023〕101号），</w:t>
      </w:r>
      <w:r>
        <w:rPr>
          <w:rFonts w:hint="eastAsia" w:ascii="宋体" w:hAnsi="宋体" w:cs="宋体"/>
          <w:sz w:val="24"/>
          <w:szCs w:val="24"/>
        </w:rPr>
        <w:t xml:space="preserve">“苏采云”政府采购交易系统（以下简称苏采云系统）</w:t>
      </w:r>
      <w:r>
        <w:rPr>
          <w:rFonts w:hint="eastAsia" w:ascii="宋体" w:hAnsi="宋体" w:cs="宋体"/>
          <w:bCs/>
          <w:sz w:val="24"/>
          <w:szCs w:val="24"/>
        </w:rPr>
        <w:t xml:space="preserve">的CA数字证书、电子签章已更换为江苏省电子政务证书认证中心CA和方正国际软件（北京）有限公司电子签章。如果投标人通过</w:t>
      </w:r>
      <w:r>
        <w:rPr>
          <w:rFonts w:hint="eastAsia" w:ascii="宋体" w:hAnsi="宋体" w:cs="宋体"/>
          <w:sz w:val="24"/>
          <w:szCs w:val="24"/>
        </w:rPr>
        <w:t xml:space="preserve">苏采云系统</w:t>
      </w:r>
      <w:r>
        <w:rPr>
          <w:rFonts w:hint="eastAsia" w:ascii="宋体" w:hAnsi="宋体" w:cs="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具体办理指南和操作手册见链接：http://www.ccgp-jiangsu.gov.cn/jiangsu/zlxz/ee/ee3a4bc5a3454aa2b0d9312230633ce9.html。</w:t>
      </w:r>
      <w:r/>
    </w:p>
    <w:p>
      <w:pPr>
        <w:ind w:firstLine="480"/>
        <w:spacing w:line="360" w:lineRule="auto"/>
        <w:rPr>
          <w:rFonts w:ascii="宋体" w:hAnsi="宋体" w:cs="宋体"/>
          <w:sz w:val="24"/>
          <w:szCs w:val="24"/>
        </w:rPr>
      </w:pPr>
      <w:r>
        <w:rPr>
          <w:rFonts w:hint="eastAsia" w:ascii="宋体" w:hAnsi="宋体" w:cs="宋体"/>
          <w:bCs/>
          <w:sz w:val="24"/>
          <w:szCs w:val="24"/>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482"/>
        <w:spacing w:line="360" w:lineRule="auto"/>
        <w:rPr>
          <w:rFonts w:ascii="宋体" w:hAnsi="宋体" w:cs="宋体"/>
          <w:b/>
          <w:sz w:val="24"/>
          <w:szCs w:val="24"/>
        </w:rPr>
      </w:pPr>
      <w:r>
        <w:rPr>
          <w:rFonts w:hint="eastAsia" w:ascii="宋体" w:hAnsi="宋体" w:cs="宋体"/>
          <w:b/>
          <w:bCs/>
          <w:sz w:val="24"/>
          <w:szCs w:val="24"/>
        </w:rPr>
        <w:t xml:space="preserve">6.3</w:t>
      </w:r>
      <w:r>
        <w:rPr>
          <w:rFonts w:hint="eastAsia" w:ascii="宋体" w:hAnsi="宋体" w:cs="宋体"/>
          <w:sz w:val="24"/>
          <w:szCs w:val="24"/>
        </w:rPr>
        <w:t xml:space="preserve">开标当天投标供应商应及时登录“苏采云”不见面开标大厅，并在规定时间内自行实施远程解密。</w:t>
      </w:r>
      <w:r>
        <w:rPr>
          <w:rFonts w:hint="eastAsia" w:ascii="宋体" w:hAnsi="宋体" w:cs="宋体"/>
          <w:b/>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szCs w:val="24"/>
        </w:rPr>
        <w:t xml:space="preserve">因采购人原因或网上招投标平台发生故障，导致无法按时完成响应文件解密或开、评标工作无法进行的，可根据实际情况相应延迟解密时间或调整开、评标时间。</w:t>
      </w:r>
      <w:r/>
    </w:p>
    <w:p>
      <w:pPr>
        <w:pStyle w:val="862"/>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1.采购人信息</w:t>
      </w:r>
      <w:r/>
    </w:p>
    <w:p>
      <w:pPr>
        <w:ind w:left="1079" w:firstLine="480"/>
        <w:jc w:val="left"/>
        <w:spacing w:line="360" w:lineRule="auto"/>
        <w:rPr>
          <w:rFonts w:hint="default" w:ascii="宋体" w:hAnsi="宋体" w:eastAsia="宋体" w:cs="宋体"/>
          <w:color w:val="auto"/>
          <w:sz w:val="24"/>
          <w:szCs w:val="24"/>
          <w:lang w:val="en-US" w:eastAsia="zh-CN"/>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color w:val="000000"/>
          <w:sz w:val="24"/>
          <w:szCs w:val="24"/>
          <w:u w:val="single"/>
        </w:rPr>
        <w:t xml:space="preserve">南通港沿海港区引航站</w:t>
      </w:r>
      <w:r>
        <w:rPr>
          <w:rFonts w:hint="eastAsia" w:ascii="宋体" w:hAnsi="宋体" w:cs="宋体"/>
          <w:color w:val="000000"/>
          <w:sz w:val="24"/>
          <w:szCs w:val="24"/>
          <w:u w:val="single"/>
          <w:lang w:val="en-US" w:eastAsia="zh-CN"/>
        </w:rPr>
        <w:t xml:space="preserve">      </w:t>
      </w:r>
      <w:r/>
    </w:p>
    <w:p>
      <w:pPr>
        <w:ind w:left="1079" w:firstLine="480"/>
        <w:jc w:val="left"/>
        <w:spacing w:line="360" w:lineRule="auto"/>
        <w:rPr>
          <w:rFonts w:ascii="宋体" w:hAnsi="宋体" w:cs="宋体"/>
          <w:sz w:val="24"/>
          <w:szCs w:val="24"/>
        </w:rPr>
      </w:pPr>
      <w:r>
        <w:rPr>
          <w:rFonts w:hint="eastAsia" w:ascii="宋体" w:hAnsi="宋体" w:cs="宋体"/>
          <w:color w:val="auto"/>
          <w:sz w:val="24"/>
          <w:szCs w:val="24"/>
        </w:rPr>
        <w:t xml:space="preserve">地</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址：</w:t>
      </w:r>
      <w:r>
        <w:rPr>
          <w:rFonts w:hint="eastAsia" w:ascii="宋体" w:hAnsi="宋体" w:cs="宋体"/>
          <w:color w:val="auto"/>
          <w:sz w:val="24"/>
          <w:szCs w:val="24"/>
          <w:u w:val="single"/>
        </w:rPr>
        <w:t xml:space="preserve">           南通市崇川区  </w:t>
      </w:r>
      <w:r>
        <w:rPr>
          <w:rFonts w:hint="eastAsia" w:ascii="宋体" w:hAnsi="宋体" w:cs="宋体"/>
          <w:color w:val="000000"/>
          <w:sz w:val="24"/>
          <w:szCs w:val="24"/>
          <w:u w:val="single"/>
        </w:rPr>
        <w:t xml:space="preserve">         </w:t>
      </w:r>
      <w:r/>
    </w:p>
    <w:p>
      <w:pPr>
        <w:ind w:left="1079" w:firstLine="480"/>
        <w:jc w:val="left"/>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丁海荣</w:t>
      </w:r>
      <w:r>
        <w:rPr>
          <w:rFonts w:hint="eastAsia" w:ascii="宋体" w:hAnsi="宋体" w:cs="宋体"/>
          <w:color w:val="000000"/>
          <w:sz w:val="24"/>
          <w:szCs w:val="24"/>
          <w:u w:val="single"/>
        </w:rPr>
        <w:t xml:space="preserve">               </w:t>
      </w:r>
      <w:r>
        <w:rPr>
          <w:rFonts w:hint="eastAsia" w:ascii="宋体" w:hAnsi="宋体" w:cs="宋体"/>
          <w:sz w:val="24"/>
          <w:szCs w:val="24"/>
          <w:u w:val="single"/>
        </w:rPr>
        <w:t xml:space="preserve"> </w:t>
      </w:r>
      <w:r/>
    </w:p>
    <w:p>
      <w:pPr>
        <w:ind w:left="1079" w:firstLine="480"/>
        <w:jc w:val="left"/>
        <w:spacing w:line="360" w:lineRule="auto"/>
        <w:rPr>
          <w:rFonts w:ascii="宋体" w:hAnsi="宋体" w:cs="宋体"/>
          <w:color w:val="000000"/>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color w:val="auto"/>
          <w:sz w:val="24"/>
          <w:szCs w:val="24"/>
          <w:u w:val="single"/>
          <w:lang w:val="en-US" w:eastAsia="zh-CN"/>
        </w:rPr>
        <w:t xml:space="preserve">18914365999</w:t>
      </w:r>
      <w:r>
        <w:rPr>
          <w:rFonts w:hint="eastAsia" w:ascii="宋体" w:hAnsi="宋体" w:cs="宋体"/>
          <w:color w:val="auto"/>
          <w:sz w:val="24"/>
          <w:szCs w:val="24"/>
          <w:u w:val="single"/>
        </w:rPr>
        <w:t xml:space="preserve">　</w:t>
      </w:r>
      <w:r>
        <w:rPr>
          <w:rFonts w:hint="eastAsia" w:ascii="宋体" w:hAnsi="宋体" w:cs="宋体"/>
          <w:color w:val="000000"/>
          <w:sz w:val="24"/>
          <w:szCs w:val="24"/>
          <w:u w:val="single"/>
        </w:rPr>
        <w:t xml:space="preserve">           </w:t>
      </w:r>
      <w:bookmarkStart w:id="40" w:name="_Toc28359086"/>
      <w:r/>
      <w:bookmarkEnd w:id="40"/>
      <w:r/>
      <w:bookmarkStart w:id="41" w:name="_Toc28359009"/>
      <w:r/>
      <w:bookmarkEnd w:id="41"/>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2.南通市政府采购中心信息</w:t>
      </w:r>
      <w:r/>
    </w:p>
    <w:p>
      <w:pPr>
        <w:ind w:left="1079" w:firstLine="480"/>
        <w:jc w:val="left"/>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南通市工农南路150号   </w:t>
      </w:r>
      <w:r/>
    </w:p>
    <w:p>
      <w:pPr>
        <w:ind w:left="1079" w:firstLine="480"/>
        <w:jc w:val="left"/>
        <w:spacing w:line="360" w:lineRule="auto"/>
        <w:rPr>
          <w:rFonts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        张红伟            </w:t>
      </w:r>
      <w:r/>
    </w:p>
    <w:p>
      <w:pPr>
        <w:ind w:left="1079" w:firstLine="480"/>
        <w:jc w:val="left"/>
        <w:spacing w:line="360" w:lineRule="auto"/>
        <w:rPr>
          <w:rFonts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0513-59001955         </w:t>
      </w:r>
      <w:r/>
    </w:p>
    <w:p>
      <w:pPr>
        <w:ind w:firstLine="480"/>
        <w:spacing w:line="360" w:lineRule="auto"/>
        <w:rPr>
          <w:rFonts w:ascii="宋体" w:hAnsi="宋体"/>
          <w:sz w:val="24"/>
          <w:szCs w:val="24"/>
          <w:u w:val="single"/>
        </w:rPr>
      </w:pPr>
      <w:r>
        <w:rPr>
          <w:rFonts w:hint="eastAsia" w:ascii="宋体" w:hAnsi="宋体" w:cs="宋体"/>
          <w:b/>
          <w:bCs/>
          <w:sz w:val="24"/>
          <w:szCs w:val="24"/>
        </w:rPr>
        <w:t xml:space="preserve">3.软件技术支持：</w:t>
      </w:r>
      <w:r>
        <w:rPr>
          <w:rFonts w:hint="eastAsia" w:ascii="宋体" w:hAnsi="宋体" w:cs="宋体"/>
          <w:sz w:val="24"/>
          <w:szCs w:val="24"/>
          <w:u w:val="single"/>
        </w:rPr>
        <w:t xml:space="preserve">  那工 0513-59001950       </w:t>
      </w:r>
      <w:r/>
    </w:p>
    <w:p>
      <w:pPr>
        <w:pStyle w:val="860"/>
        <w:ind w:firstLine="2429"/>
        <w:jc w:val="both"/>
        <w:rPr>
          <w:rFonts w:hint="eastAsia" w:ascii="黑体" w:eastAsia="黑体"/>
        </w:rPr>
        <w:outlineLvl w:val="0"/>
      </w:pPr>
      <w:r/>
      <w:bookmarkStart w:id="42" w:name="_Toc120614211"/>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0"/>
        <w:ind w:firstLine="2429"/>
        <w:jc w:val="both"/>
        <w:rPr>
          <w:rFonts w:hint="eastAsia" w:ascii="黑体" w:eastAsia="黑体"/>
        </w:rPr>
        <w:outlineLvl w:val="0"/>
      </w:pPr>
      <w:r>
        <w:rPr>
          <w:rFonts w:hint="eastAsia" w:ascii="黑体" w:eastAsia="黑体"/>
        </w:rPr>
      </w:r>
      <w:r/>
    </w:p>
    <w:p>
      <w:pPr>
        <w:pStyle w:val="861"/>
        <w:rPr>
          <w:rFonts w:hint="eastAsia"/>
        </w:rPr>
      </w:pPr>
      <w:r>
        <w:rPr>
          <w:rFonts w:hint="eastAsia"/>
        </w:rPr>
      </w:r>
      <w:r/>
    </w:p>
    <w:p>
      <w:pPr>
        <w:pStyle w:val="860"/>
        <w:ind w:firstLine="2429"/>
        <w:jc w:val="both"/>
        <w:rPr>
          <w:rFonts w:ascii="黑体" w:eastAsia="黑体"/>
          <w:b w:val="0"/>
          <w:bCs w:val="0"/>
        </w:rPr>
        <w:outlineLvl w:val="0"/>
      </w:pPr>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eastAsia="黑体"/>
        </w:rPr>
        <w:t xml:space="preserve">投标人须知</w:t>
      </w:r>
      <w:bookmarkEnd w:id="43"/>
      <w:r/>
      <w:bookmarkEnd w:id="44"/>
      <w:r/>
      <w:bookmarkEnd w:id="45"/>
      <w:r/>
      <w:bookmarkEnd w:id="46"/>
      <w:r/>
      <w:r/>
    </w:p>
    <w:p>
      <w:pPr>
        <w:pStyle w:val="862"/>
        <w:ind w:firstLine="498"/>
        <w:spacing w:before="145" w:after="145" w:line="360" w:lineRule="auto"/>
      </w:pPr>
      <w:r/>
      <w:bookmarkStart w:id="47" w:name="_Toc120614214"/>
      <w:r/>
      <w:bookmarkStart w:id="48" w:name="_Toc20823275"/>
      <w:r/>
      <w:bookmarkStart w:id="49" w:name="_Toc16938519"/>
      <w:r/>
      <w:bookmarkStart w:id="50" w:name="_Toc513029203"/>
      <w:r>
        <w:rPr>
          <w:rFonts w:hint="eastAsia"/>
        </w:rPr>
        <w:t xml:space="preserve">一、总则</w:t>
      </w:r>
      <w:bookmarkEnd w:id="47"/>
      <w:r/>
      <w:bookmarkEnd w:id="48"/>
      <w:r/>
      <w:bookmarkEnd w:id="49"/>
      <w:r/>
      <w:bookmarkEnd w:id="50"/>
      <w:r/>
      <w:r/>
    </w:p>
    <w:p>
      <w:pPr>
        <w:pStyle w:val="863"/>
        <w:ind w:firstLine="420"/>
        <w:spacing w:before="0" w:after="0" w:line="360" w:lineRule="auto"/>
        <w:rPr>
          <w:rFonts w:ascii="黑体" w:hAnsi="黑体" w:cs="黑体"/>
          <w:b w:val="0"/>
          <w:bCs w:val="0"/>
        </w:rPr>
        <w:outlineLvl w:val="9"/>
      </w:pPr>
      <w:r/>
      <w:bookmarkStart w:id="51" w:name="_Hlt16619475"/>
      <w:r/>
      <w:bookmarkEnd w:id="51"/>
      <w:r/>
      <w:bookmarkStart w:id="52" w:name="_Toc458694821"/>
      <w:r/>
      <w:bookmarkStart w:id="53" w:name="_Toc16938520"/>
      <w:r/>
      <w:bookmarkStart w:id="54" w:name="_Toc513029204"/>
      <w:r/>
      <w:bookmarkStart w:id="55" w:name="_Toc20823276"/>
      <w:r>
        <w:rPr>
          <w:rFonts w:hint="eastAsia" w:ascii="黑体" w:hAnsi="黑体" w:cs="黑体"/>
          <w:b w:val="0"/>
          <w:bCs w:val="0"/>
        </w:rPr>
        <w:t xml:space="preserve">1</w:t>
      </w:r>
      <w:bookmarkEnd w:id="52"/>
      <w:r>
        <w:rPr>
          <w:rFonts w:hint="eastAsia" w:ascii="黑体" w:hAnsi="黑体" w:cs="黑体"/>
          <w:b w:val="0"/>
          <w:bCs w:val="0"/>
        </w:rPr>
        <w:t xml:space="preserve">、招标方式</w:t>
      </w:r>
      <w:bookmarkEnd w:id="53"/>
      <w:r/>
      <w:bookmarkEnd w:id="54"/>
      <w:r/>
      <w:bookmarkEnd w:id="55"/>
      <w:r/>
      <w:r/>
    </w:p>
    <w:p>
      <w:pPr>
        <w:ind w:firstLine="480"/>
        <w:spacing w:line="360" w:lineRule="auto"/>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863"/>
        <w:ind w:firstLine="420"/>
        <w:spacing w:before="0" w:after="0" w:line="360" w:lineRule="auto"/>
        <w:rPr>
          <w:rFonts w:ascii="黑体" w:hAnsi="黑体" w:cs="黑体"/>
          <w:b w:val="0"/>
          <w:bCs w:val="0"/>
        </w:rPr>
        <w:outlineLvl w:val="9"/>
      </w:pPr>
      <w:r/>
      <w:bookmarkStart w:id="56" w:name="_Toc16938521"/>
      <w:r/>
      <w:bookmarkStart w:id="57" w:name="_Toc20823277"/>
      <w:r/>
      <w:bookmarkStart w:id="58" w:name="_Toc513029205"/>
      <w:r>
        <w:rPr>
          <w:rFonts w:hint="eastAsia" w:ascii="黑体" w:hAnsi="黑体" w:cs="黑体"/>
          <w:b w:val="0"/>
          <w:bCs w:val="0"/>
        </w:rPr>
        <w:t xml:space="preserve">2、合格的投标人</w:t>
      </w:r>
      <w:bookmarkEnd w:id="56"/>
      <w:r/>
      <w:bookmarkEnd w:id="57"/>
      <w:r/>
      <w:bookmarkEnd w:id="58"/>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满足本文件实质性要求和条件的规定。</w:t>
      </w:r>
      <w:r/>
    </w:p>
    <w:p>
      <w:pPr>
        <w:pStyle w:val="863"/>
        <w:ind w:firstLine="420"/>
        <w:spacing w:before="0" w:after="0" w:line="360" w:lineRule="auto"/>
        <w:rPr>
          <w:rFonts w:ascii="黑体" w:hAnsi="黑体" w:cs="黑体"/>
          <w:b w:val="0"/>
          <w:bCs w:val="0"/>
        </w:rPr>
        <w:outlineLvl w:val="9"/>
      </w:pPr>
      <w:r/>
      <w:bookmarkStart w:id="59" w:name="_Toc20823278"/>
      <w:r/>
      <w:bookmarkStart w:id="60" w:name="_Toc513029206"/>
      <w:r/>
      <w:bookmarkStart w:id="61" w:name="_Toc16938522"/>
      <w:r>
        <w:rPr>
          <w:rFonts w:hint="eastAsia" w:ascii="黑体" w:hAnsi="黑体" w:cs="黑体"/>
          <w:b w:val="0"/>
          <w:bCs w:val="0"/>
        </w:rPr>
        <w:t xml:space="preserve">3、适用法律</w:t>
      </w:r>
      <w:bookmarkEnd w:id="59"/>
      <w:r/>
      <w:bookmarkEnd w:id="60"/>
      <w:r/>
      <w:bookmarkEnd w:id="61"/>
      <w:r/>
      <w:r/>
    </w:p>
    <w:p>
      <w:pPr>
        <w:ind w:firstLine="480"/>
        <w:spacing w:line="360" w:lineRule="auto"/>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863"/>
        <w:ind w:firstLine="420"/>
        <w:spacing w:before="0" w:after="0" w:line="360" w:lineRule="auto"/>
        <w:rPr>
          <w:rFonts w:ascii="黑体" w:hAnsi="黑体" w:cs="黑体"/>
          <w:b w:val="0"/>
          <w:bCs w:val="0"/>
        </w:rPr>
        <w:outlineLvl w:val="9"/>
      </w:pPr>
      <w:r/>
      <w:bookmarkStart w:id="62" w:name="_Toc16938523"/>
      <w:r/>
      <w:bookmarkStart w:id="63" w:name="_Toc20823279"/>
      <w:r/>
      <w:bookmarkStart w:id="64" w:name="_Toc513029207"/>
      <w:r/>
      <w:bookmarkStart w:id="65" w:name="_Toc462564067"/>
      <w:r>
        <w:rPr>
          <w:rFonts w:hint="eastAsia" w:ascii="黑体" w:hAnsi="黑体" w:cs="黑体"/>
          <w:b w:val="0"/>
          <w:bCs w:val="0"/>
        </w:rPr>
        <w:t xml:space="preserve">4、投标费用</w:t>
      </w:r>
      <w:bookmarkEnd w:id="62"/>
      <w:r/>
      <w:bookmarkEnd w:id="63"/>
      <w:r/>
      <w:bookmarkEnd w:id="64"/>
      <w:r/>
      <w:bookmarkEnd w:id="65"/>
      <w:r/>
      <w:r/>
    </w:p>
    <w:p>
      <w:pPr>
        <w:ind w:firstLine="480"/>
        <w:spacing w:line="360" w:lineRule="auto"/>
        <w:rPr>
          <w:rFonts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投标人应自行承担所有与参加投标有关的费用，无论投标过程中的做法和结果如何，南通市政府采购中心（以下简称采购中心）在任何情况下均无义务和责任承担这些费用。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4.2本次招标采购中心和采购人不收取标书工本费与中标服务费。</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5、招标文件的约束力</w:t>
      </w:r>
      <w:r/>
    </w:p>
    <w:p>
      <w:pPr>
        <w:ind w:firstLine="480"/>
        <w:spacing w:line="360" w:lineRule="auto"/>
        <w:rPr>
          <w:rFonts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pStyle w:val="862"/>
        <w:ind w:firstLine="321"/>
        <w:spacing w:before="145" w:after="145" w:line="360" w:lineRule="auto"/>
      </w:pPr>
      <w:r/>
      <w:bookmarkStart w:id="66" w:name="_Toc120614215"/>
      <w:r/>
      <w:bookmarkStart w:id="67" w:name="_Toc16938525"/>
      <w:r/>
      <w:bookmarkStart w:id="68" w:name="_Toc513029209"/>
      <w:r/>
      <w:bookmarkStart w:id="69" w:name="_Toc20823281"/>
      <w:r>
        <w:rPr>
          <w:rFonts w:hint="eastAsia"/>
        </w:rPr>
        <w:t xml:space="preserve">二、招标文件</w:t>
      </w:r>
      <w:bookmarkEnd w:id="66"/>
      <w:r/>
      <w:bookmarkEnd w:id="67"/>
      <w:r/>
      <w:bookmarkEnd w:id="68"/>
      <w:r/>
      <w:bookmarkEnd w:id="69"/>
      <w:r/>
      <w:r/>
    </w:p>
    <w:p>
      <w:pPr>
        <w:pStyle w:val="863"/>
        <w:ind w:firstLine="420"/>
        <w:spacing w:before="0" w:after="0" w:line="360" w:lineRule="auto"/>
        <w:rPr>
          <w:rFonts w:ascii="黑体" w:hAnsi="黑体" w:cs="黑体"/>
          <w:b w:val="0"/>
          <w:bCs w:val="0"/>
        </w:rPr>
        <w:outlineLvl w:val="9"/>
      </w:pPr>
      <w:r/>
      <w:bookmarkStart w:id="70" w:name="_Toc513029210"/>
      <w:r/>
      <w:bookmarkStart w:id="71" w:name="_Toc20823282"/>
      <w:r/>
      <w:bookmarkStart w:id="72" w:name="_Toc16938526"/>
      <w:r>
        <w:rPr>
          <w:rFonts w:hint="eastAsia" w:ascii="黑体" w:hAnsi="黑体" w:cs="黑体"/>
          <w:b w:val="0"/>
          <w:bCs w:val="0"/>
        </w:rPr>
        <w:t xml:space="preserve">6、招标文件构成</w:t>
      </w:r>
      <w:bookmarkEnd w:id="70"/>
      <w:r/>
      <w:bookmarkEnd w:id="71"/>
      <w:r/>
      <w:bookmarkEnd w:id="72"/>
      <w:r/>
      <w:r/>
    </w:p>
    <w:p>
      <w:pPr>
        <w:ind w:firstLine="480"/>
        <w:spacing w:line="360" w:lineRule="auto"/>
        <w:rPr>
          <w:rFonts w:ascii="宋体" w:hAnsi="宋体" w:cs="宋体"/>
          <w:sz w:val="24"/>
          <w:szCs w:val="24"/>
        </w:rPr>
      </w:pPr>
      <w:r>
        <w:rPr>
          <w:rFonts w:hint="eastAsia" w:ascii="宋体" w:hAnsi="宋体" w:cs="宋体"/>
          <w:sz w:val="24"/>
          <w:szCs w:val="24"/>
        </w:rPr>
        <w:t xml:space="preserve">6.1 招标文件由以下部分组成：</w:t>
      </w:r>
      <w:r/>
    </w:p>
    <w:p>
      <w:pPr>
        <w:ind w:firstLine="480"/>
        <w:spacing w:line="360" w:lineRule="auto"/>
        <w:rPr>
          <w:rFonts w:ascii="宋体" w:hAnsi="宋体" w:cs="宋体"/>
          <w:sz w:val="24"/>
          <w:szCs w:val="24"/>
        </w:rPr>
      </w:pPr>
      <w:r>
        <w:rPr>
          <w:rFonts w:hint="eastAsia" w:ascii="宋体" w:hAnsi="宋体" w:cs="宋体"/>
          <w:sz w:val="24"/>
          <w:szCs w:val="24"/>
        </w:rPr>
        <w:t xml:space="preserve">（1）投标邀请</w:t>
      </w:r>
      <w:r/>
    </w:p>
    <w:p>
      <w:pPr>
        <w:ind w:firstLine="480"/>
        <w:spacing w:line="360" w:lineRule="auto"/>
        <w:rPr>
          <w:rFonts w:ascii="宋体" w:hAnsi="宋体" w:cs="宋体"/>
          <w:sz w:val="24"/>
          <w:szCs w:val="24"/>
        </w:rPr>
      </w:pPr>
      <w:r>
        <w:rPr>
          <w:rFonts w:hint="eastAsia" w:ascii="宋体" w:hAnsi="宋体" w:cs="宋体"/>
          <w:sz w:val="24"/>
          <w:szCs w:val="24"/>
        </w:rPr>
        <w:t xml:space="preserve">（2）投标人须知</w:t>
      </w:r>
      <w:r/>
    </w:p>
    <w:p>
      <w:pPr>
        <w:ind w:firstLine="480"/>
        <w:spacing w:line="360" w:lineRule="auto"/>
        <w:rPr>
          <w:rFonts w:ascii="宋体" w:hAnsi="宋体" w:cs="宋体"/>
          <w:sz w:val="24"/>
          <w:szCs w:val="24"/>
        </w:rPr>
      </w:pPr>
      <w:r>
        <w:rPr>
          <w:rFonts w:hint="eastAsia" w:ascii="宋体" w:hAnsi="宋体" w:cs="宋体"/>
          <w:sz w:val="24"/>
          <w:szCs w:val="24"/>
        </w:rPr>
        <w:t xml:space="preserve">（3）合同文本</w:t>
      </w:r>
      <w:r/>
    </w:p>
    <w:p>
      <w:pPr>
        <w:ind w:firstLine="480"/>
        <w:spacing w:line="360" w:lineRule="auto"/>
        <w:rPr>
          <w:rFonts w:ascii="宋体" w:hAnsi="宋体" w:cs="宋体"/>
          <w:sz w:val="24"/>
          <w:szCs w:val="24"/>
        </w:rPr>
      </w:pPr>
      <w:r>
        <w:rPr>
          <w:rFonts w:hint="eastAsia" w:ascii="宋体" w:hAnsi="宋体" w:cs="宋体"/>
          <w:sz w:val="24"/>
          <w:szCs w:val="24"/>
        </w:rPr>
        <w:t xml:space="preserve">（4）采购需求</w:t>
      </w:r>
      <w:r/>
    </w:p>
    <w:p>
      <w:pPr>
        <w:ind w:firstLine="480"/>
        <w:spacing w:line="360" w:lineRule="auto"/>
        <w:rPr>
          <w:rFonts w:ascii="宋体" w:hAnsi="宋体" w:cs="宋体"/>
          <w:sz w:val="24"/>
          <w:szCs w:val="24"/>
        </w:rPr>
      </w:pPr>
      <w:r>
        <w:rPr>
          <w:rFonts w:hint="eastAsia" w:ascii="宋体" w:hAnsi="宋体" w:cs="宋体"/>
          <w:sz w:val="24"/>
          <w:szCs w:val="24"/>
        </w:rPr>
        <w:t xml:space="preserve">（5）评标方法与评标标准</w:t>
      </w:r>
      <w:r/>
    </w:p>
    <w:p>
      <w:pPr>
        <w:ind w:firstLine="480"/>
        <w:spacing w:line="360" w:lineRule="auto"/>
        <w:rPr>
          <w:rFonts w:ascii="宋体" w:hAnsi="宋体" w:cs="宋体"/>
          <w:sz w:val="24"/>
          <w:szCs w:val="24"/>
        </w:rPr>
      </w:pPr>
      <w:r>
        <w:rPr>
          <w:rFonts w:hint="eastAsia" w:ascii="宋体" w:hAnsi="宋体" w:cs="宋体"/>
          <w:sz w:val="24"/>
          <w:szCs w:val="24"/>
        </w:rPr>
        <w:t xml:space="preserve">（6）投标文件格式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ind w:firstLine="480"/>
        <w:spacing w:line="360" w:lineRule="auto"/>
        <w:rPr>
          <w:rFonts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20"/>
        <w:spacing w:before="0" w:after="0" w:line="360" w:lineRule="auto"/>
        <w:rPr>
          <w:rFonts w:ascii="黑体" w:hAnsi="黑体" w:cs="黑体"/>
          <w:b w:val="0"/>
          <w:bCs w:val="0"/>
        </w:rPr>
        <w:outlineLvl w:val="9"/>
      </w:pPr>
      <w:r/>
      <w:bookmarkStart w:id="73" w:name="_Toc16938527"/>
      <w:r/>
      <w:bookmarkStart w:id="74" w:name="_Toc20823283"/>
      <w:r/>
      <w:bookmarkStart w:id="75" w:name="_Toc513029211"/>
      <w:r/>
      <w:bookmarkStart w:id="76" w:name="_Toc462564070"/>
      <w:r>
        <w:rPr>
          <w:rFonts w:hint="eastAsia" w:ascii="黑体" w:hAnsi="黑体" w:cs="黑体"/>
          <w:b w:val="0"/>
          <w:bCs w:val="0"/>
        </w:rPr>
        <w:t xml:space="preserve">7、招标文件的澄清</w:t>
      </w:r>
      <w:bookmarkEnd w:id="73"/>
      <w:r/>
      <w:bookmarkEnd w:id="74"/>
      <w:r/>
      <w:bookmarkEnd w:id="75"/>
      <w:r/>
      <w:bookmarkEnd w:id="76"/>
      <w:r/>
      <w:r/>
    </w:p>
    <w:p>
      <w:pPr>
        <w:ind w:firstLine="480"/>
        <w:spacing w:line="360" w:lineRule="auto"/>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任何要求对招标文件进行澄清的投标人，应在投标截止期十日前按招标公告中的通讯地址，以书面形式通知采购中心。采购人有权对发出的招标文件进行必要的澄清或修改。</w:t>
      </w:r>
      <w:r/>
    </w:p>
    <w:p>
      <w:pPr>
        <w:pStyle w:val="863"/>
        <w:ind w:firstLine="420"/>
        <w:spacing w:before="0" w:after="0" w:line="360" w:lineRule="auto"/>
        <w:rPr>
          <w:rFonts w:ascii="黑体" w:hAnsi="黑体" w:cs="黑体"/>
          <w:b w:val="0"/>
          <w:bCs w:val="0"/>
        </w:rPr>
        <w:outlineLvl w:val="9"/>
      </w:pPr>
      <w:r/>
      <w:bookmarkStart w:id="77" w:name="_Toc20823284"/>
      <w:r/>
      <w:bookmarkStart w:id="78" w:name="_Toc462564071"/>
      <w:r/>
      <w:bookmarkStart w:id="79" w:name="_Toc513029212"/>
      <w:r/>
      <w:bookmarkStart w:id="80" w:name="_Toc16938528"/>
      <w:r>
        <w:rPr>
          <w:rFonts w:hint="eastAsia" w:ascii="黑体" w:hAnsi="黑体" w:cs="黑体"/>
          <w:b w:val="0"/>
          <w:bCs w:val="0"/>
        </w:rPr>
        <w:t xml:space="preserve">8、招标文件的修改</w:t>
      </w:r>
      <w:bookmarkEnd w:id="77"/>
      <w:r/>
      <w:bookmarkEnd w:id="78"/>
      <w:r/>
      <w:bookmarkEnd w:id="79"/>
      <w:r/>
      <w:bookmarkEnd w:id="80"/>
      <w:r/>
      <w:r/>
    </w:p>
    <w:p>
      <w:pPr>
        <w:ind w:firstLine="480"/>
        <w:spacing w:line="360" w:lineRule="auto"/>
        <w:rPr>
          <w:rFonts w:ascii="宋体" w:hAnsi="宋体" w:cs="宋体"/>
          <w:sz w:val="24"/>
          <w:szCs w:val="24"/>
        </w:rPr>
      </w:pPr>
      <w:r>
        <w:rPr>
          <w:rFonts w:hint="eastAsia" w:ascii="宋体" w:hAnsi="宋体" w:cs="宋体"/>
          <w:sz w:val="24"/>
          <w:szCs w:val="24"/>
        </w:rPr>
        <w:t xml:space="preserve">8.1 在投标截止时间前，采购中心可以对招标文件进行修改。</w:t>
      </w:r>
      <w:r/>
    </w:p>
    <w:p>
      <w:pPr>
        <w:ind w:firstLine="480"/>
        <w:spacing w:line="360" w:lineRule="auto"/>
        <w:rPr>
          <w:rFonts w:ascii="宋体" w:hAnsi="宋体" w:cs="宋体"/>
          <w:sz w:val="24"/>
          <w:szCs w:val="24"/>
        </w:rPr>
      </w:pPr>
      <w:r>
        <w:rPr>
          <w:rFonts w:hint="eastAsia" w:ascii="宋体" w:hAnsi="宋体" w:cs="宋体"/>
          <w:sz w:val="24"/>
          <w:szCs w:val="24"/>
        </w:rPr>
        <w:t xml:space="preserve">8.2 采购中心有权按照法定的要求推迟投标截止日期和开标日期。</w:t>
      </w:r>
      <w:r/>
    </w:p>
    <w:p>
      <w:pPr>
        <w:ind w:firstLine="480"/>
        <w:spacing w:line="360" w:lineRule="auto"/>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pStyle w:val="862"/>
        <w:ind w:firstLine="482"/>
        <w:spacing w:before="145" w:after="145" w:line="360" w:lineRule="auto"/>
      </w:pPr>
      <w:r/>
      <w:bookmarkStart w:id="81" w:name="_Toc513029213"/>
      <w:r/>
      <w:bookmarkStart w:id="82" w:name="_Toc120614216"/>
      <w:r/>
      <w:bookmarkStart w:id="83" w:name="_Toc16938529"/>
      <w:r/>
      <w:bookmarkStart w:id="84" w:name="_Toc20823285"/>
      <w:r/>
      <w:bookmarkStart w:id="85" w:name="_Toc462564072"/>
      <w:r>
        <w:rPr>
          <w:rFonts w:hint="eastAsia"/>
        </w:rPr>
        <w:t xml:space="preserve">三、投标文件的编制</w:t>
      </w:r>
      <w:bookmarkEnd w:id="81"/>
      <w:r/>
      <w:bookmarkEnd w:id="82"/>
      <w:r/>
      <w:bookmarkEnd w:id="83"/>
      <w:r/>
      <w:bookmarkEnd w:id="84"/>
      <w:r/>
      <w:bookmarkEnd w:id="85"/>
      <w:r/>
      <w:r/>
    </w:p>
    <w:p>
      <w:pPr>
        <w:pStyle w:val="863"/>
        <w:ind w:firstLine="420"/>
        <w:spacing w:before="0" w:after="0" w:line="360" w:lineRule="auto"/>
        <w:rPr>
          <w:rFonts w:ascii="黑体" w:hAnsi="黑体" w:cs="黑体"/>
          <w:b w:val="0"/>
          <w:bCs w:val="0"/>
        </w:rPr>
        <w:outlineLvl w:val="9"/>
      </w:pPr>
      <w:r/>
      <w:bookmarkStart w:id="86" w:name="_Toc462564073"/>
      <w:r/>
      <w:bookmarkStart w:id="87" w:name="_Toc20823286"/>
      <w:r/>
      <w:bookmarkStart w:id="88" w:name="_Toc513029214"/>
      <w:r/>
      <w:bookmarkStart w:id="89" w:name="_Toc16938530"/>
      <w:r>
        <w:rPr>
          <w:rFonts w:hint="eastAsia" w:ascii="黑体" w:hAnsi="黑体" w:cs="黑体"/>
          <w:b w:val="0"/>
          <w:bCs w:val="0"/>
        </w:rPr>
        <w:t xml:space="preserve">9、投标文件的语言及度量衡单位</w:t>
      </w:r>
      <w:bookmarkEnd w:id="86"/>
      <w:r/>
      <w:bookmarkEnd w:id="87"/>
      <w:r/>
      <w:bookmarkEnd w:id="88"/>
      <w:r/>
      <w:bookmarkEnd w:id="89"/>
      <w:r/>
      <w:r/>
    </w:p>
    <w:p>
      <w:pPr>
        <w:ind w:firstLine="480"/>
        <w:spacing w:line="360" w:lineRule="auto"/>
        <w:rPr>
          <w:rFonts w:ascii="宋体" w:hAnsi="宋体" w:cs="宋体"/>
          <w:sz w:val="24"/>
          <w:szCs w:val="24"/>
        </w:rPr>
      </w:pPr>
      <w:r>
        <w:rPr>
          <w:rFonts w:hint="eastAsia" w:ascii="宋体" w:hAnsi="宋体" w:cs="宋体"/>
          <w:sz w:val="24"/>
          <w:szCs w:val="24"/>
        </w:rPr>
        <w:t xml:space="preserve">9.1 投标人提交的投标文件以及投标人与采购中心就有关投标的所有来往通知、函件和文件均应使用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pStyle w:val="863"/>
        <w:ind w:firstLine="420"/>
        <w:spacing w:before="0" w:after="0" w:line="360" w:lineRule="auto"/>
        <w:rPr>
          <w:rFonts w:ascii="黑体" w:hAnsi="黑体" w:cs="黑体"/>
          <w:b w:val="0"/>
          <w:bCs w:val="0"/>
        </w:rPr>
        <w:outlineLvl w:val="9"/>
      </w:pPr>
      <w:r/>
      <w:bookmarkStart w:id="90" w:name="_Toc513029215"/>
      <w:r/>
      <w:bookmarkStart w:id="91" w:name="_Toc20823287"/>
      <w:r/>
      <w:bookmarkStart w:id="92" w:name="_Toc462564074"/>
      <w:r/>
      <w:bookmarkStart w:id="93" w:name="_Toc16938531"/>
      <w:r>
        <w:rPr>
          <w:rFonts w:hint="eastAsia" w:ascii="黑体" w:hAnsi="黑体" w:cs="黑体"/>
          <w:b w:val="0"/>
          <w:bCs w:val="0"/>
        </w:rPr>
        <w:t xml:space="preserve">10、投标文件构成</w:t>
      </w:r>
      <w:bookmarkEnd w:id="90"/>
      <w:r/>
      <w:bookmarkEnd w:id="91"/>
      <w:r/>
      <w:bookmarkEnd w:id="92"/>
      <w:r/>
      <w:bookmarkEnd w:id="93"/>
      <w:r/>
      <w:r/>
    </w:p>
    <w:p>
      <w:pPr>
        <w:ind w:firstLine="480"/>
        <w:spacing w:line="360" w:lineRule="auto"/>
        <w:rPr>
          <w:rFonts w:ascii="宋体" w:hAnsi="宋体" w:cs="宋体"/>
          <w:sz w:val="24"/>
          <w:szCs w:val="24"/>
        </w:rPr>
      </w:pPr>
      <w:r>
        <w:rPr>
          <w:rFonts w:hint="eastAsia" w:ascii="宋体" w:hAnsi="宋体" w:cs="宋体"/>
          <w:sz w:val="24"/>
          <w:szCs w:val="24"/>
        </w:rPr>
        <w:t xml:space="preserve">10.1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pStyle w:val="863"/>
        <w:ind w:firstLine="420"/>
        <w:spacing w:before="0" w:after="0" w:line="360" w:lineRule="auto"/>
        <w:rPr>
          <w:rFonts w:ascii="黑体" w:hAnsi="黑体" w:cs="黑体"/>
          <w:b w:val="0"/>
          <w:bCs w:val="0"/>
        </w:rPr>
        <w:outlineLvl w:val="9"/>
      </w:pPr>
      <w:r/>
      <w:bookmarkStart w:id="94" w:name="_Hlt26670360"/>
      <w:r/>
      <w:bookmarkEnd w:id="94"/>
      <w:r/>
      <w:bookmarkStart w:id="95" w:name="_Hlt26954838"/>
      <w:r/>
      <w:bookmarkEnd w:id="95"/>
      <w:r/>
      <w:bookmarkStart w:id="96" w:name="_Hlt26668975"/>
      <w:r/>
      <w:bookmarkEnd w:id="96"/>
      <w:r/>
      <w:bookmarkStart w:id="97" w:name="_Toc513029219"/>
      <w:r/>
      <w:bookmarkStart w:id="98" w:name="_Toc14577357"/>
      <w:r/>
      <w:bookmarkStart w:id="99" w:name="_Toc513029216"/>
      <w:r/>
      <w:bookmarkStart w:id="100" w:name="_Toc49090507"/>
      <w:r/>
      <w:bookmarkStart w:id="101" w:name="_Toc49090509"/>
      <w:r/>
      <w:bookmarkStart w:id="102" w:name="_Toc14577354"/>
      <w:r>
        <w:rPr>
          <w:rFonts w:hint="eastAsia" w:ascii="黑体" w:hAnsi="黑体" w:cs="黑体"/>
          <w:b w:val="0"/>
          <w:bCs w:val="0"/>
        </w:rPr>
        <w:t xml:space="preserve">11、证明投标人及投标标的符合招标文件规定的文件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ascii="宋体" w:hAnsi="宋体" w:cs="宋体"/>
          <w:sz w:val="24"/>
          <w:szCs w:val="24"/>
        </w:rPr>
      </w:pPr>
      <w:r/>
      <w:bookmarkStart w:id="103" w:name="_Toc14577355"/>
      <w:r/>
      <w:bookmarkStart w:id="104" w:name="_Toc49090508"/>
      <w:r>
        <w:rPr>
          <w:rFonts w:hint="eastAsia" w:ascii="宋体" w:hAnsi="宋体" w:cs="宋体"/>
          <w:sz w:val="24"/>
          <w:szCs w:val="24"/>
        </w:rPr>
        <w:t xml:space="preserve">11.1 投标人应按照招标文件要求提交证明文件，证明其及投标标的符合招标文件规定。</w:t>
      </w:r>
      <w:r/>
    </w:p>
    <w:p>
      <w:pPr>
        <w:ind w:firstLine="480"/>
        <w:spacing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12、投标分项报价</w:t>
      </w:r>
      <w:bookmarkEnd w:id="103"/>
      <w:r/>
      <w:bookmarkStart w:id="105" w:name="_Hlt26670373"/>
      <w:r/>
      <w:bookmarkEnd w:id="105"/>
      <w:r>
        <w:rPr>
          <w:rFonts w:hint="eastAsia" w:ascii="黑体" w:hAnsi="黑体" w:cs="黑体"/>
          <w:b w:val="0"/>
          <w:bCs w:val="0"/>
        </w:rPr>
        <w:t xml:space="preserve">表</w:t>
      </w:r>
      <w:bookmarkEnd w:id="104"/>
      <w:r/>
      <w:r/>
    </w:p>
    <w:p>
      <w:pPr>
        <w:ind w:firstLine="480"/>
        <w:spacing w:line="360" w:lineRule="auto"/>
        <w:rPr>
          <w:rFonts w:ascii="宋体" w:hAnsi="宋体" w:cs="宋体"/>
          <w:sz w:val="24"/>
          <w:szCs w:val="24"/>
        </w:rPr>
      </w:pPr>
      <w:r>
        <w:rPr>
          <w:rFonts w:hint="eastAsia" w:ascii="宋体" w:hAnsi="宋体" w:cs="宋体"/>
          <w:sz w:val="24"/>
          <w:szCs w:val="24"/>
        </w:rPr>
        <w:t xml:space="preserve">12.1 投标人按照招标文件规定格式填报投标分项报价表。</w:t>
      </w:r>
      <w:r/>
    </w:p>
    <w:p>
      <w:pPr>
        <w:ind w:firstLine="480"/>
        <w:spacing w:line="360" w:lineRule="auto"/>
        <w:rPr>
          <w:rFonts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pStyle w:val="863"/>
        <w:ind w:firstLine="420"/>
        <w:spacing w:before="0" w:after="0" w:line="360" w:lineRule="auto"/>
        <w:rPr>
          <w:rFonts w:ascii="黑体" w:hAnsi="黑体" w:cs="黑体"/>
          <w:b w:val="0"/>
          <w:bCs w:val="0"/>
        </w:rPr>
        <w:outlineLvl w:val="9"/>
      </w:pPr>
      <w:r/>
      <w:bookmarkStart w:id="106" w:name="_Hlt26954844"/>
      <w:r/>
      <w:bookmarkEnd w:id="106"/>
      <w:r/>
      <w:bookmarkStart w:id="107" w:name="_Hlt26670425"/>
      <w:r/>
      <w:bookmarkEnd w:id="107"/>
      <w:r/>
      <w:bookmarkStart w:id="108" w:name="_Hlt26668983"/>
      <w:r/>
      <w:bookmarkEnd w:id="108"/>
      <w:r/>
      <w:bookmarkStart w:id="109" w:name="_Hlt26670403"/>
      <w:r/>
      <w:bookmarkEnd w:id="109"/>
      <w:r/>
      <w:bookmarkStart w:id="110" w:name="_Hlt26670486"/>
      <w:r/>
      <w:bookmarkEnd w:id="110"/>
      <w:r/>
      <w:bookmarkStart w:id="111" w:name="_Hlt26670482"/>
      <w:r/>
      <w:bookmarkEnd w:id="111"/>
      <w:r/>
      <w:bookmarkStart w:id="112" w:name="_Hlt26954731"/>
      <w:r/>
      <w:bookmarkEnd w:id="112"/>
      <w:r/>
      <w:bookmarkStart w:id="113" w:name="_Hlt26954848"/>
      <w:r/>
      <w:bookmarkEnd w:id="113"/>
      <w:r/>
      <w:bookmarkStart w:id="114" w:name="_Hlt26954846"/>
      <w:r/>
      <w:bookmarkEnd w:id="114"/>
      <w:r/>
      <w:bookmarkStart w:id="115" w:name="_Hlt26954842"/>
      <w:r/>
      <w:bookmarkEnd w:id="115"/>
      <w:r>
        <w:rPr>
          <w:rFonts w:hint="eastAsia" w:ascii="黑体" w:hAnsi="黑体" w:cs="黑体"/>
          <w:b w:val="0"/>
          <w:bCs w:val="0"/>
        </w:rPr>
        <w:t xml:space="preserve">13、技术要求响应及偏离表、商务要求响应及偏离表</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13.2 投标人需按照招标文件要求，在投标文件中提供与技术要求和商务要求相关的证明材料。</w:t>
      </w:r>
      <w:r/>
    </w:p>
    <w:p>
      <w:pPr>
        <w:pStyle w:val="863"/>
        <w:ind w:firstLine="420"/>
        <w:spacing w:before="0" w:after="0" w:line="360" w:lineRule="auto"/>
        <w:rPr>
          <w:rFonts w:ascii="黑体" w:hAnsi="黑体" w:cs="黑体"/>
          <w:b w:val="0"/>
          <w:bCs w:val="0"/>
        </w:rPr>
        <w:outlineLvl w:val="9"/>
      </w:pPr>
      <w:r/>
      <w:bookmarkStart w:id="116" w:name="_Toc49090510"/>
      <w:r/>
      <w:bookmarkStart w:id="117" w:name="_Toc14577359"/>
      <w:r>
        <w:rPr>
          <w:rFonts w:hint="eastAsia" w:ascii="黑体" w:hAnsi="黑体" w:cs="黑体"/>
          <w:b w:val="0"/>
          <w:bCs w:val="0"/>
        </w:rPr>
        <w:t xml:space="preserve">14、投标函和开标一览表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6"/>
      <w:r/>
      <w:bookmarkEnd w:id="117"/>
      <w:r/>
      <w:r/>
    </w:p>
    <w:p>
      <w:pPr>
        <w:pStyle w:val="863"/>
        <w:ind w:firstLine="420"/>
        <w:spacing w:before="0" w:after="0" w:line="360" w:lineRule="auto"/>
        <w:rPr>
          <w:rFonts w:ascii="黑体" w:hAnsi="黑体" w:cs="黑体"/>
          <w:b w:val="0"/>
          <w:bCs w:val="0"/>
        </w:rPr>
        <w:outlineLvl w:val="9"/>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黑体" w:hAnsi="黑体" w:cs="黑体"/>
          <w:b w:val="0"/>
          <w:bCs w:val="0"/>
        </w:rPr>
        <w:t xml:space="preserve">15、投标有效期</w:t>
      </w:r>
      <w:bookmarkEnd w:id="121"/>
      <w:r/>
      <w:bookmarkEnd w:id="122"/>
      <w:r/>
      <w:r/>
    </w:p>
    <w:p>
      <w:pPr>
        <w:ind w:firstLine="480"/>
        <w:spacing w:line="360" w:lineRule="auto"/>
        <w:rPr>
          <w:rFonts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投标有效期为采购中心规定的开标之日后</w:t>
      </w:r>
      <w:r>
        <w:rPr>
          <w:rFonts w:hint="eastAsia" w:ascii="宋体" w:hAnsi="宋体" w:cs="宋体"/>
          <w:b/>
          <w:color w:val="000000"/>
          <w:sz w:val="24"/>
          <w:szCs w:val="24"/>
          <w:u w:val="single"/>
        </w:rPr>
        <w:t xml:space="preserve">九十（90）天</w:t>
      </w:r>
      <w:r>
        <w:rPr>
          <w:rFonts w:hint="eastAsia" w:ascii="宋体" w:hAnsi="宋体" w:cs="宋体"/>
          <w:bCs/>
          <w:sz w:val="24"/>
          <w:szCs w:val="24"/>
        </w:rPr>
        <w:t xml:space="preserve">。投标有效期比规定短的将被视为未实质性响应招标文件而予以拒绝。</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16、投标有效期的延长</w:t>
      </w:r>
      <w:r/>
    </w:p>
    <w:p>
      <w:pPr>
        <w:ind w:firstLine="480"/>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82"/>
        <w:spacing w:before="145" w:after="145" w:line="360" w:lineRule="auto"/>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rPr>
        <w:t xml:space="preserve">四、投标文件的递交</w:t>
      </w:r>
      <w:bookmarkEnd w:id="125"/>
      <w:r/>
      <w:bookmarkEnd w:id="126"/>
      <w:r/>
      <w:bookmarkEnd w:id="127"/>
      <w:r/>
      <w:bookmarkEnd w:id="128"/>
      <w:r/>
      <w:r/>
    </w:p>
    <w:p>
      <w:pPr>
        <w:pStyle w:val="863"/>
        <w:ind w:firstLine="420"/>
        <w:spacing w:before="0" w:after="0" w:line="360" w:lineRule="auto"/>
        <w:rPr>
          <w:rFonts w:ascii="黑体" w:hAnsi="黑体" w:cs="黑体"/>
          <w:b w:val="0"/>
          <w:bCs w:val="0"/>
        </w:rPr>
        <w:outlineLvl w:val="9"/>
      </w:pPr>
      <w:r/>
      <w:bookmarkStart w:id="129" w:name="_Toc513029225"/>
      <w:r/>
      <w:bookmarkStart w:id="130" w:name="_Toc20823297"/>
      <w:r/>
      <w:bookmarkStart w:id="131" w:name="_Toc16938541"/>
      <w:r/>
      <w:bookmarkStart w:id="132" w:name="_Toc462564084"/>
      <w:r>
        <w:rPr>
          <w:rFonts w:hint="eastAsia" w:ascii="黑体" w:hAnsi="黑体" w:cs="黑体"/>
          <w:b w:val="0"/>
          <w:bCs w:val="0"/>
        </w:rPr>
        <w:t xml:space="preserve">17、投标文件</w:t>
      </w:r>
      <w:bookmarkEnd w:id="129"/>
      <w:r/>
      <w:bookmarkEnd w:id="130"/>
      <w:r/>
      <w:bookmarkEnd w:id="131"/>
      <w:r/>
      <w:bookmarkEnd w:id="132"/>
      <w:r>
        <w:rPr>
          <w:rFonts w:hint="eastAsia" w:ascii="黑体" w:hAnsi="黑体" w:cs="黑体"/>
          <w:b w:val="0"/>
          <w:bCs w:val="0"/>
        </w:rPr>
        <w:t xml:space="preserve">的递交</w:t>
      </w:r>
      <w:r/>
    </w:p>
    <w:p>
      <w:pPr>
        <w:ind w:firstLine="480"/>
        <w:spacing w:line="360" w:lineRule="auto"/>
        <w:rPr>
          <w:rFonts w:ascii="宋体" w:hAnsi="宋体"/>
          <w:bCs/>
          <w:sz w:val="24"/>
        </w:rPr>
      </w:pPr>
      <w:r>
        <w:rPr>
          <w:rFonts w:hint="eastAsia" w:ascii="宋体" w:hAnsi="宋体"/>
          <w:bCs/>
          <w:sz w:val="24"/>
        </w:rPr>
        <w:t xml:space="preserve">17.1 电子投标文件的递交</w:t>
      </w:r>
      <w:r/>
    </w:p>
    <w:p>
      <w:pPr>
        <w:ind w:firstLine="480"/>
        <w:spacing w:line="360" w:lineRule="auto"/>
        <w:rPr>
          <w:rFonts w:ascii="宋体" w:hAnsi="宋体"/>
          <w:bCs/>
          <w:sz w:val="24"/>
        </w:rPr>
      </w:pPr>
      <w:r>
        <w:rPr>
          <w:rFonts w:hint="eastAsia" w:ascii="宋体" w:hAnsi="宋体"/>
          <w:bCs/>
          <w:sz w:val="24"/>
        </w:rPr>
        <w:t xml:space="preserve">投标人应当按照《操作手册》规定，在投标截止时间前制作并上传电子投标文件。</w:t>
      </w:r>
      <w:bookmarkStart w:id="133" w:name="_Toc20823298"/>
      <w:r/>
      <w:bookmarkStart w:id="134" w:name="_Toc16938542"/>
      <w:r/>
      <w:bookmarkStart w:id="135" w:name="_Toc513029226"/>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18、投标截止</w:t>
      </w:r>
      <w:bookmarkEnd w:id="133"/>
      <w:r/>
      <w:bookmarkEnd w:id="134"/>
      <w:r/>
      <w:bookmarkEnd w:id="135"/>
      <w:r>
        <w:rPr>
          <w:rFonts w:hint="eastAsia" w:ascii="黑体" w:hAnsi="黑体" w:cs="黑体"/>
          <w:b w:val="0"/>
          <w:bCs w:val="0"/>
        </w:rPr>
        <w:t xml:space="preserve">时间</w:t>
      </w:r>
      <w:r/>
    </w:p>
    <w:p>
      <w:pPr>
        <w:ind w:firstLine="480"/>
        <w:spacing w:line="360" w:lineRule="auto"/>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3"/>
        <w:ind w:firstLine="420"/>
        <w:spacing w:before="0" w:after="0" w:line="360" w:lineRule="auto"/>
        <w:rPr>
          <w:rFonts w:ascii="黑体" w:hAnsi="黑体" w:cs="黑体"/>
          <w:b w:val="0"/>
          <w:bCs w:val="0"/>
        </w:rPr>
        <w:outlineLvl w:val="9"/>
      </w:pPr>
      <w:r/>
      <w:bookmarkStart w:id="136" w:name="_Toc16938543"/>
      <w:r/>
      <w:bookmarkStart w:id="137" w:name="_Toc513029227"/>
      <w:r/>
      <w:bookmarkStart w:id="138" w:name="_Toc20823299"/>
      <w:r>
        <w:rPr>
          <w:rFonts w:hint="eastAsia" w:ascii="黑体" w:hAnsi="黑体" w:cs="黑体"/>
          <w:b w:val="0"/>
          <w:bCs w:val="0"/>
        </w:rPr>
        <w:t xml:space="preserve">19、投标文件</w:t>
      </w:r>
      <w:bookmarkEnd w:id="136"/>
      <w:r/>
      <w:bookmarkEnd w:id="137"/>
      <w:r/>
      <w:bookmarkEnd w:id="138"/>
      <w:r>
        <w:rPr>
          <w:rFonts w:hint="eastAsia" w:ascii="黑体" w:hAnsi="黑体" w:cs="黑体"/>
          <w:b w:val="0"/>
          <w:bCs w:val="0"/>
        </w:rPr>
        <w:t xml:space="preserve">的拒收</w:t>
      </w:r>
      <w:r/>
    </w:p>
    <w:p>
      <w:pPr>
        <w:ind w:firstLine="480"/>
        <w:spacing w:line="360" w:lineRule="auto"/>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63"/>
        <w:ind w:firstLine="420"/>
        <w:spacing w:before="0" w:after="0" w:line="360" w:lineRule="auto"/>
        <w:rPr>
          <w:rFonts w:ascii="黑体" w:hAnsi="黑体" w:cs="黑体"/>
          <w:b w:val="0"/>
          <w:bCs w:val="0"/>
        </w:rPr>
        <w:outlineLvl w:val="9"/>
      </w:pPr>
      <w:r/>
      <w:bookmarkStart w:id="139" w:name="_Toc16938544"/>
      <w:r/>
      <w:bookmarkStart w:id="140" w:name="_Toc20823300"/>
      <w:r/>
      <w:bookmarkStart w:id="141" w:name="_Toc513029228"/>
      <w:r>
        <w:rPr>
          <w:rFonts w:hint="eastAsia" w:ascii="黑体" w:hAnsi="黑体" w:cs="黑体"/>
          <w:b w:val="0"/>
          <w:bCs w:val="0"/>
        </w:rPr>
        <w:t xml:space="preserve">20、投标文件的撤回和修改</w:t>
      </w:r>
      <w:bookmarkEnd w:id="139"/>
      <w:r/>
      <w:bookmarkEnd w:id="140"/>
      <w:r/>
      <w:bookmarkEnd w:id="141"/>
      <w:r/>
      <w:r/>
    </w:p>
    <w:p>
      <w:pPr>
        <w:ind w:firstLine="480"/>
        <w:spacing w:line="360" w:lineRule="auto"/>
        <w:rPr>
          <w:rFonts w:ascii="宋体" w:hAnsi="宋体"/>
          <w:sz w:val="24"/>
        </w:rPr>
      </w:pPr>
      <w:r>
        <w:rPr>
          <w:rFonts w:hint="eastAsia" w:ascii="宋体" w:hAnsi="宋体"/>
          <w:sz w:val="24"/>
        </w:rPr>
        <w:t xml:space="preserve">20.1 投标文件的撤回</w:t>
      </w:r>
      <w:r/>
    </w:p>
    <w:p>
      <w:pPr>
        <w:ind w:firstLine="480"/>
        <w:spacing w:line="360" w:lineRule="auto"/>
        <w:rPr>
          <w:rFonts w:ascii="宋体" w:hAnsi="宋体"/>
          <w:sz w:val="24"/>
        </w:rPr>
      </w:pPr>
      <w:r>
        <w:rPr>
          <w:rFonts w:hint="eastAsia" w:ascii="宋体" w:hAnsi="宋体"/>
          <w:sz w:val="24"/>
        </w:rPr>
        <w:t xml:space="preserve">21.1.1 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 投标文件的修改</w:t>
      </w:r>
      <w:r/>
    </w:p>
    <w:p>
      <w:pPr>
        <w:ind w:firstLine="480"/>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62"/>
        <w:ind w:firstLine="482"/>
        <w:spacing w:before="145" w:after="145" w:line="360" w:lineRule="auto"/>
      </w:pPr>
      <w:r/>
      <w:bookmarkStart w:id="142" w:name="_Toc16938545"/>
      <w:r/>
      <w:bookmarkStart w:id="143" w:name="_Toc120614218"/>
      <w:r/>
      <w:bookmarkStart w:id="144" w:name="_Toc20823301"/>
      <w:r/>
      <w:bookmarkStart w:id="145" w:name="_Toc513029229"/>
      <w:r>
        <w:rPr>
          <w:rFonts w:hint="eastAsia"/>
        </w:rPr>
        <w:t xml:space="preserve">五、开标与评标</w:t>
      </w:r>
      <w:bookmarkEnd w:id="142"/>
      <w:r/>
      <w:bookmarkEnd w:id="143"/>
      <w:r/>
      <w:bookmarkEnd w:id="144"/>
      <w:r/>
      <w:bookmarkEnd w:id="145"/>
      <w:r/>
      <w:r/>
    </w:p>
    <w:p>
      <w:pPr>
        <w:pStyle w:val="863"/>
        <w:ind w:firstLine="420"/>
        <w:spacing w:before="0" w:after="0" w:line="360" w:lineRule="auto"/>
        <w:rPr>
          <w:rFonts w:ascii="黑体" w:hAnsi="黑体" w:cs="黑体"/>
          <w:b w:val="0"/>
          <w:bCs w:val="0"/>
        </w:rPr>
        <w:outlineLvl w:val="9"/>
      </w:pPr>
      <w:r/>
      <w:bookmarkStart w:id="146" w:name="_Toc513029230"/>
      <w:r/>
      <w:bookmarkStart w:id="147" w:name="_Toc16938546"/>
      <w:r/>
      <w:bookmarkStart w:id="148" w:name="_Toc20823302"/>
      <w:r>
        <w:rPr>
          <w:rFonts w:hint="eastAsia" w:ascii="黑体" w:hAnsi="黑体" w:cs="黑体"/>
          <w:b w:val="0"/>
          <w:bCs w:val="0"/>
        </w:rPr>
        <w:t xml:space="preserve">21、开标</w:t>
      </w:r>
      <w:bookmarkEnd w:id="146"/>
      <w:r/>
      <w:bookmarkEnd w:id="147"/>
      <w:r/>
      <w:bookmarkEnd w:id="148"/>
      <w:r/>
      <w:r/>
    </w:p>
    <w:p>
      <w:pPr>
        <w:ind w:firstLine="480"/>
        <w:spacing w:line="360" w:lineRule="auto"/>
        <w:rPr>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w:t>
      </w:r>
      <w:r>
        <w:rPr>
          <w:rFonts w:hint="eastAsia" w:ascii="宋体" w:hAnsi="宋体"/>
          <w:color w:val="000000"/>
          <w:sz w:val="24"/>
          <w:szCs w:val="24"/>
        </w:rPr>
        <w:t xml:space="preserve">在苏采云系统规定的时间内对投标文件进行解密。</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360" w:lineRule="auto"/>
        <w:rPr>
          <w:rFonts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p>
    <w:p>
      <w:pPr>
        <w:ind w:firstLine="480"/>
        <w:spacing w:line="360" w:lineRule="auto"/>
        <w:rPr>
          <w:rFonts w:ascii="宋体" w:hAnsi="宋体"/>
          <w:sz w:val="24"/>
          <w:szCs w:val="24"/>
        </w:rPr>
      </w:pPr>
      <w:r>
        <w:rPr>
          <w:rFonts w:hint="eastAsia" w:ascii="宋体" w:hAnsi="宋体"/>
          <w:color w:val="000000"/>
          <w:sz w:val="24"/>
          <w:szCs w:val="24"/>
        </w:rPr>
        <w:t xml:space="preserve">21.4投标人如果对开标过程和开标记录有疑义，应当根据《操作手册》规定提出，如 苏采云系统中《</w:t>
      </w:r>
      <w:r>
        <w:rPr>
          <w:rFonts w:hint="eastAsia" w:ascii="宋体" w:hAnsi="宋体"/>
          <w:sz w:val="24"/>
          <w:szCs w:val="24"/>
        </w:rPr>
        <w:t xml:space="preserve">开标记录表》宣布后5分钟内未提出的，视同认可开标结果。</w:t>
      </w:r>
      <w:r/>
    </w:p>
    <w:p>
      <w:pPr>
        <w:pStyle w:val="863"/>
        <w:ind w:firstLine="420"/>
        <w:spacing w:before="0" w:after="0" w:line="360" w:lineRule="auto"/>
        <w:rPr>
          <w:rFonts w:ascii="黑体" w:hAnsi="黑体" w:cs="黑体"/>
          <w:b w:val="0"/>
          <w:bCs w:val="0"/>
        </w:rPr>
        <w:outlineLvl w:val="9"/>
      </w:pPr>
      <w:r/>
      <w:bookmarkStart w:id="149" w:name="_Toc513029231"/>
      <w:r/>
      <w:bookmarkStart w:id="150" w:name="_Toc20823303"/>
      <w:r/>
      <w:bookmarkStart w:id="151" w:name="_Toc16938547"/>
      <w:r>
        <w:rPr>
          <w:rFonts w:hint="eastAsia" w:ascii="黑体" w:hAnsi="黑体" w:cs="黑体"/>
          <w:b w:val="0"/>
          <w:bCs w:val="0"/>
        </w:rPr>
        <w:t xml:space="preserve">22、评标委员会</w:t>
      </w:r>
      <w:r/>
    </w:p>
    <w:p>
      <w:pPr>
        <w:ind w:firstLine="480"/>
        <w:spacing w:line="360" w:lineRule="auto"/>
        <w:rPr>
          <w:rFonts w:ascii="宋体" w:hAnsi="宋体"/>
          <w:b/>
          <w:sz w:val="24"/>
          <w:szCs w:val="24"/>
        </w:rPr>
      </w:pPr>
      <w:r>
        <w:rPr>
          <w:rFonts w:hint="eastAsia" w:ascii="宋体" w:hAnsi="宋体"/>
          <w:sz w:val="24"/>
          <w:szCs w:val="24"/>
        </w:rPr>
        <w:t xml:space="preserve">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ind w:firstLine="480"/>
        <w:spacing w:line="360" w:lineRule="auto"/>
        <w:rPr>
          <w:rFonts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22.3评委会独立工作，负责评审所有投标文件并确定中标侯选人。</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23、评标过程的保密与公正</w:t>
      </w:r>
      <w:bookmarkEnd w:id="149"/>
      <w:r/>
      <w:bookmarkEnd w:id="150"/>
      <w:r/>
      <w:bookmarkEnd w:id="151"/>
      <w:r/>
      <w:r/>
    </w:p>
    <w:p>
      <w:pPr>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p>
    <w:p>
      <w:pPr>
        <w:pStyle w:val="863"/>
        <w:ind w:firstLine="420"/>
        <w:spacing w:before="0" w:after="0" w:line="360" w:lineRule="auto"/>
        <w:rPr>
          <w:rFonts w:ascii="黑体" w:hAnsi="黑体" w:cs="黑体"/>
          <w:b w:val="0"/>
          <w:bCs w:val="0"/>
        </w:rPr>
        <w:outlineLvl w:val="9"/>
      </w:pPr>
      <w:r/>
      <w:bookmarkStart w:id="152" w:name="_Toc513029232"/>
      <w:r/>
      <w:bookmarkStart w:id="153" w:name="_Toc16938548"/>
      <w:r/>
      <w:bookmarkStart w:id="154" w:name="_Toc20823304"/>
      <w:r>
        <w:rPr>
          <w:rFonts w:hint="eastAsia" w:ascii="黑体" w:hAnsi="黑体" w:cs="黑体"/>
          <w:b w:val="0"/>
          <w:bCs w:val="0"/>
        </w:rPr>
        <w:t xml:space="preserve">24、投标文件的澄清</w:t>
      </w:r>
      <w:bookmarkEnd w:id="152"/>
      <w:r/>
      <w:bookmarkEnd w:id="153"/>
      <w:r/>
      <w:bookmarkEnd w:id="154"/>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过苏采云系统向供应商发出“澄清要求函”，接到“澄清要求函”的投标人应当按照要求在苏采云系统中提交“澄清响应函”并加盖CA电子公章。澄清、说明和补正的内容作为投标文件的</w:t>
      </w:r>
      <w:r>
        <w:rPr>
          <w:rFonts w:hint="eastAsia" w:ascii="宋体" w:hAnsi="宋体"/>
          <w:sz w:val="24"/>
          <w:szCs w:val="24"/>
        </w:rPr>
        <w:t xml:space="preserve">补充部分，具体操作方式见《操作手册》。</w:t>
      </w:r>
      <w:r/>
    </w:p>
    <w:p>
      <w:pPr>
        <w:ind w:firstLine="480"/>
        <w:spacing w:line="360" w:lineRule="auto"/>
        <w:rPr>
          <w:rFonts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pStyle w:val="863"/>
        <w:ind w:firstLine="420"/>
        <w:spacing w:before="0" w:after="0" w:line="360" w:lineRule="auto"/>
        <w:rPr>
          <w:rFonts w:ascii="黑体" w:hAnsi="黑体" w:cs="黑体"/>
          <w:b w:val="0"/>
          <w:bCs w:val="0"/>
        </w:rPr>
        <w:outlineLvl w:val="9"/>
      </w:pPr>
      <w:r/>
      <w:bookmarkStart w:id="155" w:name="_Toc513029233"/>
      <w:r/>
      <w:bookmarkStart w:id="156" w:name="_Toc20823305"/>
      <w:r/>
      <w:bookmarkStart w:id="157" w:name="_Toc16938549"/>
      <w:r>
        <w:rPr>
          <w:rFonts w:hint="eastAsia" w:ascii="黑体" w:hAnsi="黑体" w:cs="黑体"/>
          <w:b w:val="0"/>
          <w:bCs w:val="0"/>
        </w:rPr>
        <w:t xml:space="preserve">25、对投标文件的初审</w:t>
      </w:r>
      <w:bookmarkEnd w:id="155"/>
      <w:r/>
      <w:bookmarkEnd w:id="156"/>
      <w:r/>
      <w:bookmarkEnd w:id="157"/>
      <w:r/>
      <w:r/>
    </w:p>
    <w:p>
      <w:pPr>
        <w:ind w:firstLine="480"/>
        <w:spacing w:line="360" w:lineRule="auto"/>
        <w:rPr>
          <w:rFonts w:ascii="宋体" w:hAnsi="宋体"/>
          <w:b/>
          <w:bCs/>
          <w:sz w:val="24"/>
        </w:rPr>
      </w:pPr>
      <w:r>
        <w:rPr>
          <w:rFonts w:hint="eastAsia" w:ascii="宋体" w:hAnsi="宋体"/>
          <w:b/>
          <w:bCs/>
          <w:sz w:val="24"/>
        </w:rPr>
        <w:t xml:space="preserve">25.1投标文件初审分为资格审查和符合性审查。</w:t>
      </w:r>
      <w:r/>
    </w:p>
    <w:p>
      <w:pPr>
        <w:ind w:firstLine="480"/>
        <w:spacing w:line="360" w:lineRule="auto"/>
        <w:rPr>
          <w:rFonts w:ascii="宋体" w:hAnsi="宋体"/>
          <w:bCs/>
          <w:sz w:val="24"/>
        </w:rPr>
      </w:pPr>
      <w:r>
        <w:rPr>
          <w:rFonts w:hint="eastAsia" w:ascii="宋体" w:hAnsi="宋体"/>
          <w:b/>
          <w:sz w:val="24"/>
        </w:rPr>
        <w:t xml:space="preserve">25.1.1 资格审查：</w:t>
      </w:r>
      <w:r>
        <w:rPr>
          <w:rFonts w:hint="eastAsia" w:ascii="宋体" w:hAnsi="宋体"/>
          <w:bCs/>
          <w:sz w:val="24"/>
        </w:rPr>
        <w:t xml:space="preserve">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rPr>
      </w:pPr>
      <w:r>
        <w:rPr>
          <w:rFonts w:hint="eastAsia" w:ascii="宋体" w:hAnsi="宋体"/>
          <w:b/>
          <w:sz w:val="24"/>
        </w:rPr>
        <w:t xml:space="preserve">25.1.2 符合性审查：</w:t>
      </w:r>
      <w:r>
        <w:rPr>
          <w:rFonts w:hint="eastAsia" w:ascii="宋体" w:hAnsi="宋体"/>
          <w:bCs/>
          <w:sz w:val="24"/>
        </w:rPr>
        <w:t xml:space="preserve">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w:t>
      </w:r>
      <w:r>
        <w:rPr>
          <w:rFonts w:hint="eastAsia" w:ascii="宋体" w:hAnsi="宋体"/>
          <w:bCs/>
          <w:color w:val="000000"/>
          <w:sz w:val="24"/>
        </w:rPr>
        <w:t xml:space="preserve">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w:t>
      </w:r>
      <w:r>
        <w:rPr>
          <w:rFonts w:ascii="宋体" w:hAnsi="宋体"/>
          <w:bCs/>
          <w:sz w:val="24"/>
        </w:rPr>
        <w:t xml:space="preserve">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w:t>
      </w:r>
      <w:r>
        <w:rPr>
          <w:rFonts w:hint="eastAsia" w:ascii="宋体" w:hAnsi="宋体"/>
          <w:bCs/>
          <w:color w:val="000000"/>
          <w:sz w:val="24"/>
        </w:rPr>
        <w:t xml:space="preserve">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80"/>
        <w:spacing w:line="360" w:lineRule="auto"/>
        <w:rPr>
          <w:rFonts w:ascii="宋体" w:hAnsi="宋体"/>
          <w:sz w:val="24"/>
        </w:rPr>
      </w:pPr>
      <w:r/>
      <w:bookmarkStart w:id="158" w:name="_Toc513029234"/>
      <w:r/>
      <w:bookmarkStart w:id="159" w:name="_Toc16938550"/>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80"/>
        <w:spacing w:line="360" w:lineRule="auto"/>
        <w:rPr>
          <w:rFonts w:ascii="宋体" w:hAnsi="宋体"/>
          <w:sz w:val="24"/>
        </w:rPr>
      </w:pPr>
      <w:r>
        <w:rPr>
          <w:rFonts w:hint="eastAsia" w:ascii="宋体" w:hAnsi="宋体"/>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26、</w:t>
      </w:r>
      <w:bookmarkEnd w:id="158"/>
      <w:r/>
      <w:bookmarkEnd w:id="159"/>
      <w:r/>
      <w:bookmarkEnd w:id="160"/>
      <w:r>
        <w:rPr>
          <w:rFonts w:hint="eastAsia" w:ascii="黑体" w:hAnsi="黑体" w:cs="黑体"/>
          <w:b w:val="0"/>
          <w:bCs w:val="0"/>
        </w:rPr>
        <w:t xml:space="preserve">无效投标条款和废标条款</w:t>
      </w:r>
      <w:r/>
    </w:p>
    <w:p>
      <w:pPr>
        <w:ind w:firstLine="480"/>
        <w:spacing w:line="360" w:lineRule="auto"/>
        <w:rPr>
          <w:rFonts w:ascii="宋体" w:hAnsi="宋体"/>
          <w:color w:val="000000"/>
          <w:sz w:val="24"/>
          <w:szCs w:val="24"/>
        </w:rPr>
      </w:pPr>
      <w:r/>
      <w:bookmarkStart w:id="161" w:name="_Toc16938551"/>
      <w:r/>
      <w:bookmarkStart w:id="162" w:name="_Toc513029235"/>
      <w:r/>
      <w:bookmarkStart w:id="163" w:name="_Toc20823307"/>
      <w:r>
        <w:rPr>
          <w:rFonts w:hint="eastAsia" w:ascii="宋体" w:hAnsi="宋体"/>
          <w:color w:val="000000"/>
          <w:sz w:val="24"/>
          <w:szCs w:val="24"/>
        </w:rPr>
        <w:t xml:space="preserve">26.1无效投标条款</w:t>
      </w:r>
      <w:r/>
    </w:p>
    <w:p>
      <w:pPr>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p>
    <w:p>
      <w:pPr>
        <w:ind w:firstLine="480"/>
        <w:spacing w:line="360" w:lineRule="auto"/>
        <w:rPr>
          <w:rFonts w:ascii="宋体" w:hAnsi="宋体"/>
          <w:bCs/>
          <w:sz w:val="24"/>
        </w:rPr>
      </w:pPr>
      <w:r>
        <w:rPr>
          <w:rFonts w:hint="eastAsia" w:ascii="宋体" w:hAnsi="宋体"/>
          <w:bCs/>
          <w:sz w:val="24"/>
        </w:rPr>
        <w:t xml:space="preserve">26.1.2 投标人未按照招标文件要求上传电子投标文件的。</w:t>
      </w:r>
      <w:r/>
    </w:p>
    <w:p>
      <w:pPr>
        <w:ind w:firstLine="480"/>
        <w:spacing w:line="360" w:lineRule="auto"/>
        <w:rPr>
          <w:rFonts w:ascii="宋体" w:hAnsi="宋体"/>
          <w:bCs/>
          <w:sz w:val="24"/>
        </w:rPr>
      </w:pPr>
      <w:r>
        <w:rPr>
          <w:rFonts w:hint="eastAsia" w:ascii="宋体" w:hAnsi="宋体"/>
          <w:bCs/>
          <w:sz w:val="24"/>
        </w:rPr>
        <w:t xml:space="preserve">26.1.3投标人同一分包提交两个（含两个）以上不同的投标报价的。</w:t>
      </w:r>
      <w:r/>
    </w:p>
    <w:p>
      <w:pPr>
        <w:ind w:firstLine="480"/>
        <w:spacing w:line="360" w:lineRule="auto"/>
        <w:rPr>
          <w:rFonts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ascii="宋体" w:hAnsi="宋体"/>
          <w:bCs/>
          <w:i/>
          <w:sz w:val="24"/>
          <w:u w:val="single"/>
        </w:rPr>
      </w:pPr>
      <w:r>
        <w:rPr>
          <w:rFonts w:hint="eastAsia" w:ascii="宋体" w:hAnsi="宋体"/>
          <w:bCs/>
          <w:sz w:val="24"/>
        </w:rPr>
        <w:t xml:space="preserve">26.1.6未通过符合性审查的。</w:t>
      </w:r>
      <w:r/>
    </w:p>
    <w:p>
      <w:pPr>
        <w:ind w:firstLine="480"/>
        <w:spacing w:line="360" w:lineRule="auto"/>
        <w:rPr>
          <w:rFonts w:hint="eastAsia" w:ascii="仿宋" w:hAnsi="仿宋"/>
          <w:b/>
          <w:bCs/>
          <w:sz w:val="24"/>
          <w:szCs w:val="28"/>
        </w:rPr>
      </w:pPr>
      <w:r>
        <w:rPr>
          <w:rFonts w:hint="eastAsia" w:ascii="宋体" w:hAnsi="宋体"/>
          <w:bCs/>
          <w:sz w:val="24"/>
        </w:rPr>
        <w:t xml:space="preserve">26.1.7不符合招标文件中规定的实质性要求和条件的（</w:t>
      </w:r>
      <w:r>
        <w:rPr>
          <w:rFonts w:hint="eastAsia" w:ascii="仿宋" w:hAnsi="仿宋"/>
          <w:b/>
          <w:bCs/>
          <w:sz w:val="24"/>
          <w:szCs w:val="28"/>
        </w:rPr>
        <w:t xml:space="preserve">详见本招标文件第四章采购需求）。</w:t>
      </w:r>
      <w:r/>
    </w:p>
    <w:p>
      <w:pPr>
        <w:ind w:firstLine="480"/>
        <w:spacing w:line="360" w:lineRule="auto"/>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rPr>
      </w:pPr>
      <w:r>
        <w:rPr>
          <w:rFonts w:hint="eastAsia" w:ascii="宋体" w:hAnsi="宋体"/>
          <w:bCs/>
          <w:sz w:val="24"/>
        </w:rPr>
        <w:t xml:space="preserve">26.1.9 投标文件含有采购人不能接受的附加条件的。</w:t>
      </w:r>
      <w:r/>
    </w:p>
    <w:p>
      <w:pPr>
        <w:ind w:firstLine="480"/>
        <w:spacing w:line="360" w:lineRule="auto"/>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w:t>
      </w:r>
      <w:r>
        <w:rPr>
          <w:rFonts w:hint="eastAsia" w:ascii="宋体" w:hAnsi="宋体"/>
          <w:bCs/>
          <w:color w:val="000000"/>
          <w:sz w:val="24"/>
        </w:rPr>
        <w:t xml:space="preserve">过</w:t>
      </w:r>
      <w:r>
        <w:rPr>
          <w:rFonts w:hint="eastAsia" w:ascii="宋体" w:hAnsi="宋体"/>
          <w:color w:val="000000"/>
          <w:sz w:val="24"/>
          <w:szCs w:val="24"/>
        </w:rPr>
        <w:t xml:space="preserve">苏采云系统</w:t>
      </w:r>
      <w:r>
        <w:rPr>
          <w:rFonts w:hint="eastAsia" w:ascii="宋体" w:hAnsi="宋体"/>
          <w:bCs/>
          <w:color w:val="000000"/>
          <w:sz w:val="24"/>
        </w:rPr>
        <w:t xml:space="preserve">要求</w:t>
      </w:r>
      <w:r>
        <w:rPr>
          <w:rFonts w:hint="eastAsia" w:ascii="宋体" w:hAnsi="宋体"/>
          <w:bCs/>
          <w:sz w:val="24"/>
        </w:rPr>
        <w:t xml:space="preserve">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rPr>
      </w:pPr>
      <w:r>
        <w:rPr>
          <w:rFonts w:hint="eastAsia" w:ascii="宋体" w:hAnsi="宋体"/>
          <w:bCs/>
          <w:sz w:val="24"/>
        </w:rPr>
        <w:t xml:space="preserve">26.1.11 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26.1.13其他法律、法规及本招标文件规定的属无效投标的情形。</w:t>
      </w:r>
      <w:r/>
    </w:p>
    <w:p>
      <w:pPr>
        <w:ind w:firstLine="480"/>
        <w:spacing w:line="360" w:lineRule="auto"/>
        <w:rPr>
          <w:rFonts w:ascii="宋体" w:hAnsi="宋体"/>
          <w:bCs/>
          <w:sz w:val="24"/>
        </w:rPr>
      </w:pPr>
      <w:r>
        <w:rPr>
          <w:rFonts w:hint="eastAsia" w:ascii="宋体" w:hAnsi="宋体"/>
          <w:bCs/>
          <w:sz w:val="24"/>
        </w:rPr>
        <w:t xml:space="preserve">26.2废标条款</w:t>
      </w:r>
      <w:r/>
    </w:p>
    <w:p>
      <w:pPr>
        <w:ind w:firstLine="480"/>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firstLine="480"/>
        <w:spacing w:line="360" w:lineRule="auto"/>
        <w:rPr>
          <w:rFonts w:ascii="宋体" w:hAnsi="宋体"/>
          <w:bCs/>
          <w:sz w:val="24"/>
        </w:rPr>
      </w:pPr>
      <w:r>
        <w:rPr>
          <w:rFonts w:hint="eastAsia" w:ascii="宋体" w:hAnsi="宋体"/>
          <w:bCs/>
          <w:sz w:val="24"/>
        </w:rPr>
        <w:t xml:space="preserve">26.2.2出现影响采购公正的违法、违规行为的。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26.2.3因重大变故，采购任务取消的。</w:t>
      </w:r>
      <w:r/>
    </w:p>
    <w:p>
      <w:pPr>
        <w:ind w:firstLine="480"/>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ascii="宋体" w:hAnsi="宋体"/>
          <w:bCs/>
          <w:sz w:val="24"/>
        </w:rPr>
      </w:pPr>
      <w:r>
        <w:rPr>
          <w:rFonts w:hint="eastAsia" w:ascii="宋体" w:hAnsi="宋体"/>
          <w:bCs/>
          <w:sz w:val="24"/>
        </w:rPr>
        <w:t xml:space="preserve">26.2.5 因苏采云系统系统故障原因造成开标不成功的。</w:t>
      </w:r>
      <w:r/>
    </w:p>
    <w:p>
      <w:pPr>
        <w:ind w:firstLine="480"/>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2"/>
        <w:ind w:firstLine="482"/>
        <w:spacing w:before="145" w:after="145" w:line="360" w:lineRule="auto"/>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63"/>
        <w:ind w:firstLine="420"/>
        <w:spacing w:before="0" w:after="0" w:line="360" w:lineRule="auto"/>
        <w:rPr>
          <w:rFonts w:ascii="黑体" w:hAnsi="黑体" w:cs="黑体"/>
          <w:b w:val="0"/>
          <w:bCs w:val="0"/>
        </w:rPr>
        <w:outlineLvl w:val="9"/>
      </w:pPr>
      <w:r/>
      <w:bookmarkStart w:id="165" w:name="_Toc513029238"/>
      <w:r/>
      <w:bookmarkStart w:id="166" w:name="_Toc20823310"/>
      <w:r/>
      <w:bookmarkStart w:id="167" w:name="_Toc16938554"/>
      <w:r>
        <w:rPr>
          <w:rFonts w:hint="eastAsia" w:ascii="黑体" w:hAnsi="黑体" w:cs="黑体"/>
          <w:b w:val="0"/>
          <w:bCs w:val="0"/>
        </w:rPr>
        <w:t xml:space="preserve">27、</w:t>
      </w:r>
      <w:bookmarkEnd w:id="165"/>
      <w:r>
        <w:rPr>
          <w:rFonts w:hint="eastAsia" w:ascii="黑体" w:hAnsi="黑体" w:cs="黑体"/>
          <w:b w:val="0"/>
          <w:bCs w:val="0"/>
        </w:rPr>
        <w:t xml:space="preserve">确定</w:t>
      </w:r>
      <w:bookmarkEnd w:id="166"/>
      <w:r/>
      <w:bookmarkEnd w:id="167"/>
      <w:r>
        <w:rPr>
          <w:rFonts w:hint="eastAsia" w:ascii="黑体" w:hAnsi="黑体" w:cs="黑体"/>
          <w:b w:val="0"/>
          <w:bCs w:val="0"/>
        </w:rPr>
        <w:t xml:space="preserve">中标单位</w:t>
      </w:r>
      <w:r/>
    </w:p>
    <w:p>
      <w:pPr>
        <w:ind w:firstLine="480"/>
        <w:spacing w:line="360" w:lineRule="auto"/>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360" w:lineRule="auto"/>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28、质疑处理</w:t>
      </w:r>
      <w:bookmarkEnd w:id="168"/>
      <w:r/>
      <w:r/>
    </w:p>
    <w:p>
      <w:pPr>
        <w:ind w:firstLine="480"/>
        <w:spacing w:line="360" w:lineRule="auto"/>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b/>
          <w:sz w:val="24"/>
          <w:szCs w:val="24"/>
        </w:rPr>
      </w:pPr>
      <w:r>
        <w:rPr>
          <w:rFonts w:hint="eastAsia" w:ascii="宋体" w:hAnsi="宋体" w:cs="宋体"/>
          <w:sz w:val="24"/>
          <w:szCs w:val="24"/>
        </w:rPr>
        <w:t xml:space="preserve">28.4供应商（含潜在供应商）对采购方</w:t>
      </w:r>
      <w:r>
        <w:rPr>
          <w:rFonts w:hint="eastAsia" w:ascii="宋体" w:hAnsi="宋体" w:cs="宋体"/>
          <w:color w:val="000000"/>
          <w:sz w:val="24"/>
          <w:szCs w:val="24"/>
        </w:rPr>
        <w:t xml:space="preserve">式、</w:t>
      </w:r>
      <w:r>
        <w:rPr>
          <w:rFonts w:hint="eastAsia" w:ascii="宋体" w:hAnsi="宋体" w:cs="宋体"/>
          <w:color w:val="000000"/>
          <w:sz w:val="24"/>
          <w:szCs w:val="28"/>
        </w:rPr>
        <w:t xml:space="preserve">招标文件中采购需求</w:t>
      </w:r>
      <w:r>
        <w:rPr>
          <w:rFonts w:hint="eastAsia" w:ascii="宋体" w:hAnsi="宋体" w:cs="宋体"/>
          <w:color w:val="000000"/>
          <w:sz w:val="24"/>
          <w:szCs w:val="24"/>
        </w:rPr>
        <w:t xml:space="preserve">、</w:t>
      </w:r>
      <w:r>
        <w:rPr>
          <w:rFonts w:hint="eastAsia" w:ascii="宋体" w:hAnsi="宋体" w:cs="宋体"/>
          <w:sz w:val="24"/>
          <w:szCs w:val="24"/>
        </w:rPr>
        <w:t xml:space="preserve">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采购中心及采购人只接收以纸质原件形式送达的质疑,建议供应商尽量通过邮寄方式提交质疑</w:t>
      </w:r>
      <w:r>
        <w:rPr>
          <w:rFonts w:hint="eastAsia" w:ascii="宋体" w:hAnsi="宋体" w:cs="宋体"/>
          <w:color w:val="000000"/>
          <w:sz w:val="24"/>
          <w:szCs w:val="24"/>
        </w:rPr>
        <w:t xml:space="preserve">（采购人和采购中心不接受未填写快递运单的快件）。</w:t>
      </w:r>
      <w:r/>
    </w:p>
    <w:p>
      <w:pPr>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采购中心质疑接收部门为政策法规科（快递运单上的收件人填写“政策法规科”即可），联系地址：</w:t>
      </w:r>
      <w:r>
        <w:rPr>
          <w:rFonts w:hint="eastAsia" w:ascii="宋体" w:hAnsi="宋体" w:cs="宋体"/>
          <w:b/>
          <w:bCs/>
          <w:color w:val="000000"/>
          <w:sz w:val="24"/>
          <w:szCs w:val="24"/>
        </w:rPr>
        <w:t xml:space="preserve">南通市崇川区工农路150号南通市政务中心裙楼415室，联系电话：0513-59001850。</w:t>
      </w:r>
      <w:r/>
    </w:p>
    <w:p>
      <w:pPr>
        <w:ind w:firstLine="480"/>
        <w:spacing w:line="360" w:lineRule="auto"/>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360" w:lineRule="auto"/>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80"/>
        <w:spacing w:line="360" w:lineRule="auto"/>
        <w:rPr>
          <w:rFonts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29、中标通知书</w:t>
      </w:r>
      <w:r/>
    </w:p>
    <w:p>
      <w:pPr>
        <w:ind w:firstLine="480"/>
        <w:spacing w:line="360" w:lineRule="auto"/>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000000"/>
          <w:sz w:val="24"/>
          <w:szCs w:val="24"/>
        </w:rPr>
        <w:t xml:space="preserve">苏采云系统及时下载中标通知书。因系统存储空间有限，自中标结果公告届满之日起30日后，苏采云系统不</w:t>
      </w:r>
      <w:r>
        <w:rPr>
          <w:rFonts w:hint="eastAsia" w:ascii="宋体" w:hAnsi="宋体"/>
          <w:sz w:val="24"/>
          <w:szCs w:val="24"/>
        </w:rPr>
        <w:t xml:space="preserve">再保证提供下载中标通知书服务,因未及时下载而造成的不利后果由中标人自行承担。</w:t>
      </w:r>
      <w:r/>
    </w:p>
    <w:p>
      <w:pPr>
        <w:ind w:firstLine="48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2"/>
        <w:spacing w:before="145" w:after="145" w:line="360" w:lineRule="auto"/>
      </w:pPr>
      <w:r/>
      <w:bookmarkStart w:id="169" w:name="_Toc513029236"/>
      <w:r/>
      <w:bookmarkStart w:id="170" w:name="_Toc120614220"/>
      <w:r/>
      <w:bookmarkStart w:id="171" w:name="_Toc20823308"/>
      <w:r/>
      <w:bookmarkStart w:id="172" w:name="_Toc16938552"/>
      <w:r>
        <w:rPr>
          <w:rFonts w:hint="eastAsia"/>
        </w:rPr>
        <w:t xml:space="preserve">七、授予合同</w:t>
      </w:r>
      <w:bookmarkEnd w:id="169"/>
      <w:r/>
      <w:bookmarkEnd w:id="170"/>
      <w:r/>
      <w:bookmarkEnd w:id="171"/>
      <w:r/>
      <w:bookmarkEnd w:id="172"/>
      <w:r/>
      <w:r/>
    </w:p>
    <w:p>
      <w:pPr>
        <w:pStyle w:val="863"/>
        <w:ind w:firstLine="420"/>
        <w:spacing w:before="0" w:after="0" w:line="360" w:lineRule="auto"/>
        <w:rPr>
          <w:rFonts w:ascii="黑体" w:hAnsi="黑体" w:cs="黑体"/>
          <w:b w:val="0"/>
          <w:bCs w:val="0"/>
        </w:rPr>
        <w:outlineLvl w:val="9"/>
      </w:pPr>
      <w:r/>
      <w:bookmarkStart w:id="173" w:name="_Toc16938553"/>
      <w:r/>
      <w:bookmarkStart w:id="174" w:name="_Toc513029237"/>
      <w:r/>
      <w:bookmarkStart w:id="175" w:name="_Toc20823309"/>
      <w:r>
        <w:rPr>
          <w:rFonts w:hint="eastAsia" w:ascii="黑体" w:hAnsi="黑体" w:cs="黑体"/>
          <w:b w:val="0"/>
          <w:bCs w:val="0"/>
        </w:rPr>
        <w:t xml:space="preserve">30. 签订合同</w:t>
      </w:r>
      <w:r/>
    </w:p>
    <w:p>
      <w:pPr>
        <w:ind w:firstLine="480"/>
        <w:spacing w:line="360" w:lineRule="auto"/>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480"/>
        <w:spacing w:line="360" w:lineRule="auto"/>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480"/>
        <w:spacing w:line="360" w:lineRule="auto"/>
        <w:rPr>
          <w:rFonts w:ascii="宋体" w:hAnsi="宋体"/>
          <w:sz w:val="24"/>
          <w:szCs w:val="24"/>
        </w:rPr>
      </w:pPr>
      <w:r>
        <w:rPr>
          <w:rFonts w:hint="eastAsia" w:ascii="宋体" w:hAnsi="宋体"/>
          <w:sz w:val="24"/>
          <w:szCs w:val="24"/>
        </w:rPr>
        <w:t xml:space="preserve">30.3 签订合同</w:t>
      </w:r>
      <w:r>
        <w:rPr>
          <w:rFonts w:hint="eastAsia" w:ascii="宋体" w:hAnsi="宋体"/>
          <w:color w:val="auto"/>
          <w:sz w:val="24"/>
          <w:szCs w:val="24"/>
        </w:rPr>
        <w:t xml:space="preserve">后，</w:t>
      </w:r>
      <w:r>
        <w:rPr>
          <w:rFonts w:hint="eastAsia" w:ascii="宋体" w:hAnsi="宋体"/>
          <w:b/>
          <w:bCs/>
          <w:i/>
          <w:color w:val="auto"/>
          <w:sz w:val="24"/>
          <w:szCs w:val="24"/>
          <w:u w:val="single"/>
        </w:rPr>
        <w:t xml:space="preserve">中标人不得将合同标的进行转包</w:t>
      </w:r>
      <w:r>
        <w:rPr>
          <w:rFonts w:hint="eastAsia" w:ascii="宋体" w:hAnsi="宋体"/>
          <w:b/>
          <w:bCs/>
          <w:color w:val="auto"/>
          <w:sz w:val="24"/>
          <w:szCs w:val="24"/>
        </w:rPr>
        <w:t xml:space="preserve">。</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63"/>
        <w:ind w:firstLine="420"/>
        <w:spacing w:before="0" w:after="0" w:line="360" w:lineRule="auto"/>
        <w:rPr>
          <w:rFonts w:ascii="黑体" w:hAnsi="黑体" w:cs="黑体"/>
          <w:b w:val="0"/>
          <w:bCs w:val="0"/>
        </w:rPr>
        <w:outlineLvl w:val="9"/>
      </w:pPr>
      <w:r>
        <w:rPr>
          <w:rFonts w:hint="eastAsia" w:ascii="黑体" w:hAnsi="黑体" w:cs="黑体"/>
          <w:b w:val="0"/>
          <w:bCs w:val="0"/>
        </w:rPr>
        <w:t xml:space="preserve">31、服务（包含与服务相关的货物）的追加</w:t>
      </w:r>
      <w:r/>
    </w:p>
    <w:p>
      <w:pPr>
        <w:ind w:firstLine="480"/>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863"/>
        <w:ind w:firstLine="420"/>
        <w:spacing w:before="0" w:after="0" w:line="360" w:lineRule="auto"/>
        <w:rPr>
          <w:rFonts w:ascii="黑体" w:hAnsi="黑体" w:cs="黑体"/>
          <w:b w:val="0"/>
          <w:bCs w:val="0"/>
        </w:rPr>
        <w:outlineLvl w:val="9"/>
      </w:pPr>
      <w:r/>
      <w:bookmarkStart w:id="176" w:name="_Toc479757207"/>
      <w:r/>
      <w:bookmarkStart w:id="177" w:name="_Toc120614221"/>
      <w:r/>
      <w:bookmarkStart w:id="178" w:name="_Toc20823314"/>
      <w:r/>
      <w:bookmarkStart w:id="179" w:name="_Toc513029242"/>
      <w:r/>
      <w:bookmarkStart w:id="180" w:name="_Toc16938558"/>
      <w:r>
        <w:rPr>
          <w:rFonts w:hint="eastAsia" w:ascii="黑体" w:hAnsi="黑体" w:cs="黑体"/>
          <w:b w:val="0"/>
          <w:bCs w:val="0"/>
        </w:rPr>
        <w:t xml:space="preserve">32、政府采购履约资金扶持政策</w:t>
      </w:r>
      <w:r/>
    </w:p>
    <w:p>
      <w:pPr>
        <w:ind w:firstLine="480"/>
        <w:spacing w:line="360" w:lineRule="auto"/>
        <w:rPr>
          <w:rFonts w:ascii="宋体" w:hAnsi="宋体"/>
          <w:sz w:val="24"/>
          <w:szCs w:val="24"/>
        </w:rPr>
      </w:pPr>
      <w:r>
        <w:rPr>
          <w:rFonts w:hint="eastAsia" w:ascii="宋体" w:hAnsi="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60" w:lineRule="auto"/>
        <w:rPr>
          <w:rFonts w:hint="eastAsia" w:ascii="宋体" w:hAnsi="宋体"/>
          <w:sz w:val="24"/>
          <w:szCs w:val="24"/>
          <w:lang w:eastAsia="zh-CN"/>
        </w:rPr>
      </w:pPr>
      <w:r>
        <w:rPr>
          <w:rFonts w:hint="eastAsia" w:ascii="宋体" w:hAnsi="宋体"/>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176"/>
      <w:r/>
      <w:bookmarkEnd w:id="177"/>
      <w:r/>
      <w:bookmarkEnd w:id="178"/>
      <w:r/>
      <w:bookmarkEnd w:id="179"/>
      <w:r/>
      <w:bookmarkEnd w:id="180"/>
      <w:r/>
      <w:bookmarkStart w:id="181" w:name="_Toc16938559"/>
      <w:r/>
      <w:bookmarkStart w:id="182" w:name="_Toc513029243"/>
      <w:r/>
      <w:bookmarkStart w:id="183" w:name="_Toc20823315"/>
      <w:r>
        <w:rPr>
          <w:rFonts w:hint="eastAsia" w:ascii="宋体" w:hAnsi="宋体"/>
          <w:sz w:val="24"/>
          <w:szCs w:val="24"/>
          <w:lang w:eastAsia="zh-CN"/>
        </w:rPr>
        <w:t xml:space="preserve">。</w:t>
      </w:r>
      <w:r/>
    </w:p>
    <w:p>
      <w:pPr>
        <w:pStyle w:val="704"/>
        <w:rPr>
          <w:rFonts w:hint="eastAsia" w:ascii="宋体" w:hAnsi="宋体"/>
          <w:sz w:val="24"/>
          <w:szCs w:val="24"/>
          <w:lang w:eastAsia="zh-CN"/>
        </w:rPr>
      </w:pPr>
      <w:r>
        <w:rPr>
          <w:rFonts w:hint="eastAsia" w:ascii="宋体" w:hAnsi="宋体"/>
          <w:sz w:val="24"/>
          <w:szCs w:val="24"/>
          <w:lang w:eastAsia="zh-CN"/>
        </w:rPr>
      </w:r>
      <w:r/>
    </w:p>
    <w:p>
      <w:pPr>
        <w:rPr>
          <w:rFonts w:hint="eastAsia" w:ascii="宋体" w:hAnsi="宋体"/>
          <w:sz w:val="24"/>
          <w:szCs w:val="24"/>
          <w:lang w:eastAsia="zh-CN"/>
        </w:rPr>
      </w:pPr>
      <w:r>
        <w:rPr>
          <w:rFonts w:hint="eastAsia" w:ascii="宋体" w:hAnsi="宋体"/>
          <w:sz w:val="24"/>
          <w:szCs w:val="24"/>
          <w:lang w:eastAsia="zh-CN"/>
        </w:rPr>
      </w:r>
      <w:r/>
    </w:p>
    <w:p>
      <w:pPr>
        <w:pStyle w:val="704"/>
        <w:rPr>
          <w:rFonts w:hint="eastAsia"/>
          <w:lang w:eastAsia="zh-CN"/>
        </w:rPr>
      </w:pPr>
      <w:r>
        <w:rPr>
          <w:rFonts w:hint="eastAsia"/>
          <w:lang w:eastAsia="zh-CN"/>
        </w:rPr>
      </w:r>
      <w:r/>
    </w:p>
    <w:p>
      <w:pPr>
        <w:rPr>
          <w:rFonts w:ascii="黑体" w:eastAsia="黑体"/>
          <w:bCs/>
          <w:sz w:val="44"/>
        </w:rPr>
      </w:pPr>
      <w:r>
        <w:rPr>
          <w:rFonts w:ascii="黑体" w:eastAsia="黑体"/>
          <w:bCs/>
          <w:sz w:val="44"/>
        </w:rPr>
      </w:r>
      <w:r/>
    </w:p>
    <w:p>
      <w:pPr>
        <w:pStyle w:val="859"/>
        <w:ind w:firstLine="2200"/>
        <w:jc w:val="both"/>
        <w:rPr>
          <w:rFonts w:ascii="宋体" w:hAnsi="宋体"/>
          <w:bCs/>
          <w:sz w:val="24"/>
        </w:rPr>
      </w:pPr>
      <w:r>
        <w:rPr>
          <w:rFonts w:hint="eastAsia" w:ascii="黑体" w:eastAsia="黑体"/>
          <w:bCs/>
          <w:sz w:val="44"/>
        </w:rPr>
        <w:t xml:space="preserve">第三章  合同文本</w:t>
      </w:r>
      <w:r/>
    </w:p>
    <w:p>
      <w:pPr>
        <w:ind w:firstLine="480"/>
        <w:spacing w:line="360" w:lineRule="auto"/>
        <w:rPr>
          <w:rFonts w:ascii="宋体" w:hAnsi="宋体"/>
          <w:sz w:val="24"/>
          <w:szCs w:val="24"/>
        </w:rPr>
      </w:pPr>
      <w:r>
        <w:rPr>
          <w:rFonts w:hint="eastAsia" w:ascii="宋体" w:hAnsi="宋体"/>
          <w:sz w:val="24"/>
          <w:szCs w:val="24"/>
        </w:rPr>
        <w:t xml:space="preserve">以下为中标后签定本项目合同的通用条款，中标人不得提出实质性的修改。</w:t>
      </w:r>
      <w:bookmarkEnd w:id="181"/>
      <w:bookmarkEnd w:id="182"/>
      <w:bookmarkEnd w:id="183"/>
      <w:r/>
    </w:p>
    <w:p>
      <w:pPr>
        <w:jc w:val="center"/>
        <w:spacing w:before="145" w:after="145"/>
        <w:rPr>
          <w:rFonts w:ascii="宋体" w:hAnsi="宋体"/>
          <w:b/>
          <w:sz w:val="30"/>
        </w:rPr>
      </w:pPr>
      <w:r>
        <w:rPr>
          <w:rFonts w:ascii="宋体" w:hAnsi="宋体"/>
          <w:b/>
          <w:sz w:val="30"/>
        </w:rPr>
      </w:r>
      <w:r/>
    </w:p>
    <w:p>
      <w:pPr>
        <w:jc w:val="center"/>
        <w:spacing w:before="145" w:after="145"/>
        <w:rPr>
          <w:rFonts w:ascii="宋体" w:hAnsi="宋体"/>
          <w:b/>
          <w:bCs/>
          <w:sz w:val="30"/>
          <w:szCs w:val="20"/>
        </w:rPr>
      </w:pPr>
      <w:r/>
      <w:bookmarkStart w:id="184" w:name="_Hlt16619350"/>
      <w:r/>
      <w:bookmarkStart w:id="185" w:name="_Toc16938590"/>
      <w:r/>
      <w:bookmarkStart w:id="186" w:name="_Toc20823346"/>
      <w:r/>
      <w:bookmarkStart w:id="187" w:name="_Toc120614244"/>
      <w:r/>
      <w:bookmarkStart w:id="188" w:name="_Toc479757211"/>
      <w:r/>
      <w:bookmarkStart w:id="189" w:name="_Toc462564139"/>
      <w:r>
        <w:rPr>
          <w:rFonts w:hint="eastAsia" w:ascii="宋体" w:hAnsi="宋体"/>
          <w:b/>
          <w:sz w:val="30"/>
        </w:rPr>
        <w:t xml:space="preserve">江苏省政府采购合同（服务）（合同编号）</w:t>
      </w:r>
      <w:r/>
    </w:p>
    <w:p>
      <w:pPr>
        <w:pStyle w:val="896"/>
        <w:spacing w:before="120" w:after="120"/>
        <w:rPr>
          <w:rFonts w:hAnsi="宋体"/>
          <w:sz w:val="24"/>
          <w:szCs w:val="24"/>
        </w:rPr>
      </w:pPr>
      <w:r>
        <w:rPr>
          <w:rFonts w:hAnsi="宋体"/>
          <w:sz w:val="24"/>
          <w:szCs w:val="24"/>
        </w:rPr>
        <w:t xml:space="preserve">项目名称：                                       项目编号：</w:t>
      </w:r>
      <w:r/>
    </w:p>
    <w:p>
      <w:pPr>
        <w:pStyle w:val="896"/>
        <w:spacing w:before="120" w:after="120"/>
        <w:rPr>
          <w:rFonts w:hAnsi="宋体"/>
          <w:sz w:val="24"/>
          <w:szCs w:val="24"/>
        </w:rPr>
      </w:pPr>
      <w:r>
        <w:rPr>
          <w:rFonts w:hAnsi="宋体"/>
          <w:sz w:val="24"/>
          <w:szCs w:val="24"/>
        </w:rPr>
        <w:t xml:space="preserve">甲方：（买方）_________</w:t>
      </w:r>
      <w:r/>
    </w:p>
    <w:p>
      <w:pPr>
        <w:pStyle w:val="896"/>
        <w:spacing w:before="120" w:after="120"/>
        <w:rPr>
          <w:rFonts w:hAnsi="宋体"/>
          <w:sz w:val="24"/>
          <w:szCs w:val="24"/>
        </w:rPr>
      </w:pPr>
      <w:r>
        <w:rPr>
          <w:rFonts w:hAnsi="宋体"/>
          <w:sz w:val="24"/>
          <w:szCs w:val="24"/>
        </w:rPr>
        <w:t xml:space="preserve">乙方：（卖方）_________</w:t>
      </w:r>
      <w:r/>
    </w:p>
    <w:p>
      <w:pPr>
        <w:pStyle w:val="896"/>
        <w:spacing w:before="120" w:after="120"/>
        <w:rPr>
          <w:rFonts w:hAnsi="宋体"/>
          <w:sz w:val="24"/>
          <w:szCs w:val="24"/>
        </w:rPr>
      </w:pPr>
      <w:r>
        <w:rPr>
          <w:rFonts w:hAnsi="宋体"/>
          <w:sz w:val="24"/>
          <w:szCs w:val="24"/>
        </w:rPr>
      </w:r>
      <w:r/>
    </w:p>
    <w:p>
      <w:pPr>
        <w:pStyle w:val="896"/>
        <w:ind w:firstLine="480"/>
        <w:spacing w:before="120" w:after="120" w:line="360" w:lineRule="auto"/>
        <w:rPr>
          <w:rFonts w:hAnsi="宋体"/>
          <w:b/>
          <w:sz w:val="24"/>
          <w:szCs w:val="24"/>
        </w:rPr>
      </w:pPr>
      <w:r>
        <w:rPr>
          <w:rFonts w:hAnsi="宋体"/>
          <w:sz w:val="24"/>
          <w:szCs w:val="24"/>
        </w:rPr>
        <w:t xml:space="preserve">甲、乙双方根据</w:t>
      </w:r>
      <w:r>
        <w:rPr>
          <w:rFonts w:hint="eastAsia" w:hAnsi="宋体"/>
          <w:sz w:val="24"/>
          <w:szCs w:val="24"/>
        </w:rPr>
        <w:t xml:space="preserve">南通市政府采购中心</w:t>
      </w:r>
      <w:r>
        <w:rPr>
          <w:rFonts w:hint="eastAsia" w:hAnsi="宋体"/>
          <w:sz w:val="24"/>
          <w:szCs w:val="24"/>
          <w:u w:val="single"/>
        </w:rPr>
        <w:t xml:space="preserve">                     </w:t>
      </w:r>
      <w:r>
        <w:rPr>
          <w:rFonts w:hint="eastAsia" w:hAnsi="宋体" w:cs="Times New Roman"/>
          <w:sz w:val="24"/>
          <w:szCs w:val="24"/>
        </w:rPr>
        <w:t xml:space="preserve">（项目编号：</w:t>
      </w:r>
      <w:r>
        <w:rPr>
          <w:rFonts w:hint="eastAsia" w:hAnsi="宋体" w:cs="Times New Roman"/>
          <w:sz w:val="24"/>
          <w:szCs w:val="24"/>
          <w:u w:val="single"/>
        </w:rPr>
        <w:t xml:space="preserve">                      </w:t>
      </w:r>
      <w:r>
        <w:rPr>
          <w:rFonts w:hint="eastAsia" w:hAnsi="宋体" w:cs="Times New Roman"/>
          <w:sz w:val="24"/>
          <w:szCs w:val="24"/>
        </w:rPr>
        <w:t xml:space="preserve">）</w:t>
      </w:r>
      <w:r>
        <w:rPr>
          <w:rFonts w:hAnsi="宋体"/>
          <w:sz w:val="24"/>
          <w:szCs w:val="24"/>
        </w:rPr>
        <w:t xml:space="preserve">公开招标的结果，签署本合同。</w:t>
      </w:r>
      <w:r/>
    </w:p>
    <w:p>
      <w:pPr>
        <w:pStyle w:val="89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spacing w:before="120" w:after="120" w:line="360" w:lineRule="auto"/>
        <w:rPr>
          <w:rFonts w:ascii="宋体" w:hAnsi="宋体" w:cs="宋体"/>
          <w:color w:val="000000"/>
          <w:sz w:val="24"/>
          <w:szCs w:val="24"/>
        </w:rPr>
      </w:pPr>
      <w:r>
        <w:rPr>
          <w:rFonts w:hint="eastAsia" w:ascii="宋体" w:hAnsi="宋体" w:cs="宋体"/>
          <w:sz w:val="24"/>
          <w:szCs w:val="24"/>
        </w:rPr>
        <w:t xml:space="preserve">1.1 标的名称：</w:t>
      </w:r>
      <w:r/>
    </w:p>
    <w:p>
      <w:pPr>
        <w:spacing w:before="120" w:after="120" w:line="360" w:lineRule="auto"/>
        <w:rPr>
          <w:rFonts w:ascii="宋体" w:hAnsi="宋体" w:cs="宋体"/>
          <w:color w:val="000000"/>
          <w:sz w:val="24"/>
          <w:szCs w:val="24"/>
        </w:rPr>
      </w:pPr>
      <w:r>
        <w:rPr>
          <w:rFonts w:hint="eastAsia" w:ascii="宋体" w:hAnsi="宋体" w:cs="宋体"/>
          <w:sz w:val="24"/>
          <w:szCs w:val="24"/>
        </w:rPr>
        <w:t xml:space="preserve">1.2标的质量：</w:t>
      </w:r>
      <w:r/>
    </w:p>
    <w:p>
      <w:pPr>
        <w:spacing w:before="120" w:after="120" w:line="360" w:lineRule="auto"/>
        <w:rPr>
          <w:rFonts w:ascii="宋体" w:hAnsi="宋体" w:cs="宋体"/>
          <w:sz w:val="24"/>
          <w:szCs w:val="24"/>
        </w:rPr>
      </w:pPr>
      <w:r>
        <w:rPr>
          <w:rFonts w:hint="eastAsia" w:ascii="宋体" w:hAnsi="宋体" w:cs="宋体"/>
          <w:sz w:val="24"/>
          <w:szCs w:val="24"/>
        </w:rPr>
        <w:t xml:space="preserve">1.3 标的数量（规模）：</w:t>
      </w:r>
      <w:r/>
    </w:p>
    <w:p>
      <w:pPr>
        <w:spacing w:before="120" w:after="120" w:line="360" w:lineRule="auto"/>
        <w:rPr>
          <w:rFonts w:ascii="宋体" w:hAnsi="宋体" w:cs="宋体"/>
          <w:color w:val="000000"/>
          <w:sz w:val="24"/>
          <w:szCs w:val="24"/>
          <w:highlight w:val="yellow"/>
        </w:rPr>
      </w:pPr>
      <w:r>
        <w:rPr>
          <w:rFonts w:hint="eastAsia" w:ascii="宋体" w:hAnsi="宋体" w:cs="宋体"/>
          <w:sz w:val="24"/>
          <w:szCs w:val="24"/>
        </w:rPr>
        <w:t xml:space="preserve">1.4 履行时间（期限）：</w:t>
      </w:r>
      <w:r/>
    </w:p>
    <w:p>
      <w:pPr>
        <w:pStyle w:val="690"/>
        <w:spacing w:before="120" w:after="120" w:line="360" w:lineRule="auto"/>
        <w:rPr>
          <w:rFonts w:hAnsi="宋体" w:cs="宋体"/>
          <w:color w:val="000000"/>
          <w:sz w:val="24"/>
          <w:szCs w:val="24"/>
        </w:rPr>
      </w:pPr>
      <w:r>
        <w:rPr>
          <w:rFonts w:hint="eastAsia" w:hAnsi="宋体" w:cs="宋体"/>
          <w:sz w:val="24"/>
          <w:szCs w:val="24"/>
        </w:rPr>
        <w:t xml:space="preserve">1.5 履行地点：甲方指定地点。</w:t>
      </w:r>
      <w:r/>
    </w:p>
    <w:p>
      <w:pPr>
        <w:pStyle w:val="896"/>
        <w:spacing w:before="120" w:after="120" w:line="360" w:lineRule="auto"/>
        <w:rPr>
          <w:rFonts w:hAnsi="宋体" w:cs="宋体"/>
          <w:sz w:val="24"/>
          <w:szCs w:val="24"/>
        </w:rPr>
      </w:pPr>
      <w:r>
        <w:rPr>
          <w:rFonts w:hint="eastAsia" w:hAnsi="宋体" w:cs="宋体"/>
          <w:sz w:val="24"/>
          <w:szCs w:val="24"/>
        </w:rPr>
        <w:t xml:space="preserve">1.6履行方式：</w:t>
      </w:r>
      <w:r/>
    </w:p>
    <w:p>
      <w:pPr>
        <w:pStyle w:val="896"/>
        <w:spacing w:before="120" w:after="120"/>
        <w:rPr>
          <w:rFonts w:hAnsi="宋体"/>
          <w:b/>
          <w:sz w:val="24"/>
          <w:szCs w:val="24"/>
        </w:rPr>
      </w:pPr>
      <w:r>
        <w:rPr>
          <w:rFonts w:hAnsi="宋体"/>
          <w:b/>
          <w:sz w:val="24"/>
          <w:szCs w:val="24"/>
        </w:rPr>
        <w:t xml:space="preserve">二、合同金额</w:t>
      </w:r>
      <w:r/>
    </w:p>
    <w:p>
      <w:pPr>
        <w:pStyle w:val="896"/>
        <w:ind w:left="408" w:hanging="408"/>
        <w:spacing w:before="120" w:after="120" w:line="360" w:lineRule="auto"/>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96"/>
        <w:spacing w:before="120" w:after="120"/>
        <w:rPr>
          <w:rFonts w:hAnsi="宋体"/>
          <w:b/>
          <w:sz w:val="24"/>
          <w:szCs w:val="24"/>
        </w:rPr>
      </w:pPr>
      <w:r>
        <w:rPr>
          <w:rFonts w:hAnsi="宋体"/>
          <w:b/>
          <w:sz w:val="24"/>
          <w:szCs w:val="24"/>
        </w:rPr>
        <w:t xml:space="preserve">三、技术资料</w:t>
      </w:r>
      <w:r/>
    </w:p>
    <w:p>
      <w:pPr>
        <w:pStyle w:val="896"/>
        <w:ind w:left="408" w:hanging="408"/>
        <w:spacing w:before="120" w:after="120" w:line="360" w:lineRule="auto"/>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6"/>
        <w:ind w:left="408" w:hanging="408"/>
        <w:spacing w:before="120" w:after="120" w:line="36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6"/>
        <w:ind w:left="412" w:hanging="412"/>
        <w:spacing w:before="120" w:after="120"/>
        <w:rPr>
          <w:rFonts w:hAnsi="宋体"/>
          <w:b/>
          <w:sz w:val="24"/>
          <w:szCs w:val="24"/>
        </w:rPr>
      </w:pPr>
      <w:r>
        <w:rPr>
          <w:rFonts w:hAnsi="宋体"/>
          <w:b/>
          <w:sz w:val="24"/>
          <w:szCs w:val="24"/>
        </w:rPr>
        <w:t xml:space="preserve">四、知识产权</w:t>
      </w:r>
      <w:r/>
    </w:p>
    <w:p>
      <w:pPr>
        <w:pStyle w:val="896"/>
        <w:ind w:left="408" w:hanging="408"/>
        <w:spacing w:before="120" w:after="120" w:line="360" w:lineRule="auto"/>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6"/>
        <w:spacing w:before="120" w:after="120"/>
        <w:rPr>
          <w:rFonts w:hAnsi="宋体"/>
          <w:sz w:val="24"/>
          <w:szCs w:val="24"/>
          <w:u w:val="single"/>
        </w:rPr>
      </w:pPr>
      <w:r>
        <w:rPr>
          <w:rFonts w:hAnsi="宋体"/>
          <w:b/>
          <w:sz w:val="24"/>
          <w:szCs w:val="24"/>
        </w:rPr>
        <w:t xml:space="preserve">五、产权担保</w:t>
      </w:r>
      <w:r/>
    </w:p>
    <w:p>
      <w:pPr>
        <w:pStyle w:val="896"/>
        <w:ind w:left="408" w:hanging="408"/>
        <w:spacing w:before="120" w:after="120" w:line="36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spacing w:before="145" w:after="145"/>
        <w:rPr>
          <w:rFonts w:ascii="宋体" w:hAnsi="宋体" w:eastAsia="仿宋_GB2312"/>
          <w:b/>
          <w:sz w:val="24"/>
          <w:szCs w:val="24"/>
        </w:rPr>
      </w:pPr>
      <w:r>
        <w:rPr>
          <w:rFonts w:hint="eastAsia" w:ascii="宋体" w:hAnsi="宋体"/>
          <w:b/>
          <w:sz w:val="24"/>
          <w:szCs w:val="24"/>
        </w:rPr>
        <w:t xml:space="preserve">六、合同转包或分包</w:t>
      </w:r>
      <w:r/>
    </w:p>
    <w:p>
      <w:pPr>
        <w:spacing w:before="145" w:after="145"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.1乙方不得将合同标的转包给他人履行。</w:t>
      </w:r>
      <w:r/>
    </w:p>
    <w:p>
      <w:pPr>
        <w:spacing w:before="145" w:after="145"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.2乙方不得将合同标的分包给他人履行。</w:t>
      </w:r>
      <w:r/>
    </w:p>
    <w:p>
      <w:pPr>
        <w:spacing w:before="145" w:after="145" w:line="360" w:lineRule="auto"/>
        <w:rPr>
          <w:rFonts w:ascii="宋体" w:hAnsi="宋体" w:eastAsia="仿宋_GB2312"/>
          <w:sz w:val="24"/>
          <w:szCs w:val="24"/>
        </w:rPr>
      </w:pPr>
      <w:r>
        <w:rPr>
          <w:rFonts w:ascii="宋体" w:hAnsi="宋体"/>
          <w:sz w:val="24"/>
          <w:szCs w:val="24"/>
        </w:rPr>
        <w:t xml:space="preserve">6.3</w:t>
      </w:r>
      <w:r>
        <w:rPr>
          <w:rFonts w:hint="eastAsia" w:ascii="宋体" w:hAnsi="宋体"/>
          <w:sz w:val="24"/>
          <w:szCs w:val="24"/>
        </w:rPr>
        <w:t xml:space="preserve">乙方如有转包或未经甲方同意的分包行为，甲方有权解除合同。</w:t>
      </w:r>
      <w:r/>
    </w:p>
    <w:p>
      <w:pPr>
        <w:pStyle w:val="896"/>
        <w:spacing w:before="120" w:after="120"/>
        <w:rPr>
          <w:rFonts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6"/>
        <w:spacing w:before="120" w:after="120" w:line="360" w:lineRule="auto"/>
        <w:rPr>
          <w:rFonts w:hAnsi="宋体"/>
          <w:bCs/>
          <w:sz w:val="24"/>
          <w:szCs w:val="24"/>
        </w:rPr>
      </w:pPr>
      <w:r>
        <w:rPr>
          <w:rFonts w:hAnsi="宋体"/>
          <w:bCs/>
          <w:sz w:val="24"/>
          <w:szCs w:val="24"/>
        </w:rPr>
        <w:t xml:space="preserve">7.1</w:t>
      </w:r>
      <w:r>
        <w:rPr>
          <w:rFonts w:hint="eastAsia" w:hAnsi="宋体"/>
          <w:bCs/>
          <w:sz w:val="24"/>
          <w:szCs w:val="24"/>
        </w:rPr>
        <w:t xml:space="preserve">合同款项的支付方式及进度安排</w:t>
      </w:r>
      <w:r/>
    </w:p>
    <w:p>
      <w:pPr>
        <w:ind w:firstLine="480"/>
        <w:jc w:val="both"/>
        <w:pageBreakBefore w:val="0"/>
        <w:spacing w:line="360" w:lineRule="auto"/>
        <w:widowControl/>
        <w:rPr>
          <w:rFonts w:hAnsi="宋体"/>
          <w:color w:val="ff0000"/>
          <w:sz w:val="24"/>
          <w:szCs w:val="24"/>
          <w:u w:val="single"/>
        </w:rPr>
      </w:pPr>
      <w:r>
        <w:rPr>
          <w:rFonts w:hint="eastAsia" w:ascii="宋体" w:hAnsi="宋体" w:eastAsia="宋体" w:cs="宋体"/>
          <w:bCs/>
          <w:sz w:val="24"/>
          <w:szCs w:val="24"/>
        </w:rPr>
        <w:t xml:space="preserve">项目签订合同后20个工作日内，支付合同额的30%预付款；项目进入试运行后20个工作日内，支付至合同额的90%；项目验收合格后20个工作日内，支付合同额的10%尾款。</w:t>
      </w:r>
      <w:r/>
    </w:p>
    <w:p>
      <w:pPr>
        <w:spacing w:before="145" w:after="145"/>
        <w:rPr>
          <w:rFonts w:ascii="宋体" w:hAnsi="宋体" w:eastAsia="仿宋_GB2312"/>
          <w:b/>
          <w:sz w:val="24"/>
          <w:szCs w:val="24"/>
        </w:rPr>
      </w:pPr>
      <w:r>
        <w:rPr>
          <w:rFonts w:hint="eastAsia" w:ascii="宋体" w:hAnsi="宋体"/>
          <w:b/>
          <w:sz w:val="24"/>
          <w:szCs w:val="24"/>
          <w:lang w:eastAsia="zh-CN"/>
        </w:rPr>
        <w:t xml:space="preserve">八</w:t>
      </w:r>
      <w:r>
        <w:rPr>
          <w:rFonts w:hint="eastAsia" w:ascii="宋体" w:hAnsi="宋体"/>
          <w:b/>
          <w:sz w:val="24"/>
          <w:szCs w:val="24"/>
        </w:rPr>
        <w:t xml:space="preserve">、税费</w:t>
      </w:r>
      <w:r/>
    </w:p>
    <w:p>
      <w:pPr>
        <w:spacing w:before="145" w:after="145"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6"/>
        <w:spacing w:before="120" w:after="120"/>
        <w:rPr>
          <w:rFonts w:hAnsi="宋体"/>
          <w:b/>
          <w:sz w:val="24"/>
          <w:szCs w:val="24"/>
        </w:rPr>
      </w:pPr>
      <w:r>
        <w:rPr>
          <w:rFonts w:hint="eastAsia" w:hAnsi="宋体"/>
          <w:b/>
          <w:sz w:val="24"/>
          <w:szCs w:val="24"/>
          <w:lang w:eastAsia="zh-CN"/>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896"/>
        <w:ind w:left="482" w:hanging="482"/>
        <w:spacing w:before="120" w:after="120" w:line="360" w:lineRule="auto"/>
        <w:rPr>
          <w:rFonts w:hAnsi="宋体"/>
          <w:sz w:val="24"/>
          <w:szCs w:val="24"/>
        </w:rPr>
      </w:pPr>
      <w:r>
        <w:rPr>
          <w:rFonts w:hint="eastAsia" w:hAnsi="宋体"/>
          <w:sz w:val="24"/>
          <w:szCs w:val="24"/>
        </w:rPr>
        <w:t xml:space="preserve">10.1 甲方依法组织履约验收工作。</w:t>
      </w:r>
      <w:r/>
    </w:p>
    <w:p>
      <w:pPr>
        <w:pStyle w:val="896"/>
        <w:ind w:left="482" w:hanging="482"/>
        <w:spacing w:before="120" w:after="120" w:line="360" w:lineRule="auto"/>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6"/>
        <w:ind w:left="482" w:hanging="482"/>
        <w:spacing w:before="120" w:after="120" w:line="360" w:lineRule="auto"/>
        <w:rPr>
          <w:rFonts w:hAnsi="宋体"/>
          <w:sz w:val="24"/>
          <w:szCs w:val="24"/>
        </w:rPr>
      </w:pPr>
      <w:r>
        <w:rPr>
          <w:rFonts w:hint="eastAsia" w:hAnsi="宋体"/>
          <w:sz w:val="24"/>
          <w:szCs w:val="24"/>
        </w:rPr>
        <w:t xml:space="preserve">10.3 对于实际使用人和甲方分离的项目，甲方邀请实际使用人参与验收。</w:t>
      </w:r>
      <w:r/>
    </w:p>
    <w:p>
      <w:pPr>
        <w:pStyle w:val="896"/>
        <w:ind w:left="482" w:hanging="482"/>
        <w:spacing w:before="120" w:after="120" w:line="360" w:lineRule="auto"/>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6"/>
        <w:ind w:left="482" w:hanging="482"/>
        <w:spacing w:before="120" w:after="120" w:line="360" w:lineRule="auto"/>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896"/>
        <w:ind w:left="482" w:hanging="482"/>
        <w:spacing w:before="120" w:after="120" w:line="360" w:lineRule="auto"/>
        <w:rPr>
          <w:rFonts w:hAnsi="宋体"/>
          <w:sz w:val="24"/>
          <w:szCs w:val="24"/>
        </w:rPr>
      </w:pPr>
      <w:r>
        <w:rPr>
          <w:rFonts w:hint="eastAsia" w:hAnsi="宋体"/>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96"/>
        <w:spacing w:before="120" w:after="120"/>
        <w:rPr>
          <w:rFonts w:hAnsi="宋体"/>
          <w:b/>
          <w:sz w:val="24"/>
          <w:szCs w:val="24"/>
        </w:rPr>
      </w:pPr>
      <w:r>
        <w:rPr>
          <w:rFonts w:hAnsi="宋体"/>
          <w:b/>
          <w:sz w:val="24"/>
          <w:szCs w:val="24"/>
        </w:rPr>
        <w:t xml:space="preserve">十、违约责任</w:t>
      </w:r>
      <w:r/>
    </w:p>
    <w:p>
      <w:pPr>
        <w:pStyle w:val="896"/>
        <w:ind w:left="408" w:hanging="408"/>
        <w:spacing w:before="120" w:after="120" w:line="360" w:lineRule="auto"/>
        <w:rPr>
          <w:rFonts w:hAnsi="宋体"/>
          <w:sz w:val="24"/>
          <w:szCs w:val="24"/>
          <w:highlight w:val="yellow"/>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int="eastAsia" w:hAnsi="宋体"/>
          <w:sz w:val="24"/>
          <w:szCs w:val="24"/>
        </w:rPr>
        <w:t xml:space="preserve"> </w:t>
      </w:r>
      <w:r/>
    </w:p>
    <w:p>
      <w:pPr>
        <w:pStyle w:val="690"/>
        <w:ind w:left="476" w:hanging="476"/>
        <w:spacing w:before="120" w:after="120" w:line="360" w:lineRule="auto"/>
        <w:rPr>
          <w:rFonts w:hAnsi="宋体" w:cs="宋体"/>
          <w:sz w:val="24"/>
          <w:szCs w:val="24"/>
        </w:rPr>
      </w:pPr>
      <w:r>
        <w:rPr>
          <w:rFonts w:hint="eastAsia" w:hAnsi="宋体" w:cs="宋体"/>
          <w:sz w:val="24"/>
          <w:szCs w:val="24"/>
        </w:rPr>
        <w:t xml:space="preserve">11.2 甲方无故逾期验收和办理合同款项支付手续的,甲方应按逾期付款总额</w:t>
      </w:r>
      <w:r>
        <w:rPr>
          <w:rFonts w:hint="eastAsia" w:hAnsi="宋体" w:cs="宋体"/>
          <w:sz w:val="24"/>
          <w:szCs w:val="24"/>
          <w:u w:val="single"/>
        </w:rPr>
        <w:t xml:space="preserve">      </w:t>
      </w:r>
      <w:r>
        <w:rPr>
          <w:rFonts w:hint="eastAsia" w:hAnsi="宋体" w:cs="宋体"/>
          <w:sz w:val="24"/>
          <w:szCs w:val="24"/>
        </w:rPr>
        <w:t xml:space="preserve">每日向乙方支付违约金。</w:t>
      </w:r>
      <w:r/>
    </w:p>
    <w:p>
      <w:pPr>
        <w:pStyle w:val="896"/>
        <w:ind w:left="408" w:hanging="40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w:t>
      </w:r>
      <w:r>
        <w:rPr>
          <w:rFonts w:hint="eastAsia" w:hAnsi="宋体"/>
          <w:sz w:val="24"/>
          <w:szCs w:val="24"/>
          <w:u w:val="single"/>
        </w:rPr>
        <w:t xml:space="preserve">      </w:t>
      </w:r>
      <w:r>
        <w:rPr>
          <w:rFonts w:hAnsi="宋体"/>
          <w:sz w:val="24"/>
          <w:szCs w:val="24"/>
        </w:rPr>
        <w:t xml:space="preserve">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6"/>
        <w:ind w:left="408" w:hanging="40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6"/>
        <w:spacing w:before="120" w:after="120"/>
        <w:rPr>
          <w:rFonts w:hAnsi="宋体"/>
          <w:b/>
          <w:sz w:val="24"/>
          <w:szCs w:val="24"/>
        </w:rPr>
      </w:pPr>
      <w:r>
        <w:rPr>
          <w:rFonts w:hAnsi="宋体"/>
          <w:b/>
          <w:sz w:val="24"/>
          <w:szCs w:val="24"/>
        </w:rPr>
        <w:t xml:space="preserve">十</w:t>
      </w:r>
      <w:r>
        <w:rPr>
          <w:rFonts w:hint="eastAsia" w:hAnsi="宋体"/>
          <w:b/>
          <w:sz w:val="24"/>
          <w:szCs w:val="24"/>
          <w:lang w:eastAsia="zh-CN"/>
        </w:rPr>
        <w:t xml:space="preserve">一</w:t>
      </w:r>
      <w:r>
        <w:rPr>
          <w:rFonts w:hAnsi="宋体"/>
          <w:b/>
          <w:sz w:val="24"/>
          <w:szCs w:val="24"/>
        </w:rPr>
        <w:t xml:space="preserve">、不可抗力事件处理</w:t>
      </w:r>
      <w:r/>
    </w:p>
    <w:p>
      <w:pPr>
        <w:pStyle w:val="896"/>
        <w:ind w:left="480" w:hanging="480"/>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896"/>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6"/>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6"/>
        <w:spacing w:before="120" w:after="120"/>
        <w:rPr>
          <w:rFonts w:hAnsi="宋体"/>
          <w:b/>
          <w:sz w:val="24"/>
          <w:szCs w:val="24"/>
        </w:rPr>
      </w:pPr>
      <w:r>
        <w:rPr>
          <w:rFonts w:hAnsi="宋体"/>
          <w:b/>
          <w:sz w:val="24"/>
          <w:szCs w:val="24"/>
        </w:rPr>
        <w:t xml:space="preserve">十</w:t>
      </w:r>
      <w:r>
        <w:rPr>
          <w:rFonts w:hint="eastAsia" w:hAnsi="宋体"/>
          <w:b/>
          <w:sz w:val="24"/>
          <w:szCs w:val="24"/>
          <w:lang w:eastAsia="zh-CN"/>
        </w:rPr>
        <w:t xml:space="preserve">二</w:t>
      </w:r>
      <w:r>
        <w:rPr>
          <w:rFonts w:hAnsi="宋体"/>
          <w:b/>
          <w:sz w:val="24"/>
          <w:szCs w:val="24"/>
        </w:rPr>
        <w:t xml:space="preserve">、</w:t>
      </w:r>
      <w:r>
        <w:rPr>
          <w:rFonts w:hint="eastAsia" w:hAnsi="宋体"/>
          <w:b/>
          <w:sz w:val="24"/>
          <w:szCs w:val="24"/>
        </w:rPr>
        <w:t xml:space="preserve">解决争议的方法</w:t>
      </w:r>
      <w:r/>
    </w:p>
    <w:p>
      <w:pPr>
        <w:pStyle w:val="896"/>
        <w:spacing w:before="120" w:after="120" w:line="360" w:lineRule="auto"/>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6"/>
        <w:spacing w:before="120" w:after="120"/>
        <w:rPr>
          <w:rFonts w:hAnsi="宋体"/>
          <w:b/>
          <w:sz w:val="24"/>
          <w:szCs w:val="24"/>
        </w:rPr>
      </w:pPr>
      <w:r>
        <w:rPr>
          <w:rFonts w:hAnsi="宋体"/>
          <w:b/>
          <w:sz w:val="24"/>
          <w:szCs w:val="24"/>
        </w:rPr>
        <w:t xml:space="preserve">十</w:t>
      </w:r>
      <w:r>
        <w:rPr>
          <w:rFonts w:hint="eastAsia" w:hAnsi="宋体"/>
          <w:b/>
          <w:sz w:val="24"/>
          <w:szCs w:val="24"/>
          <w:lang w:eastAsia="zh-CN"/>
        </w:rPr>
        <w:t xml:space="preserve">三</w:t>
      </w:r>
      <w:r>
        <w:rPr>
          <w:rFonts w:hAnsi="宋体"/>
          <w:b/>
          <w:sz w:val="24"/>
          <w:szCs w:val="24"/>
        </w:rPr>
        <w:t xml:space="preserve">、合同生效及其它</w:t>
      </w:r>
      <w:r/>
    </w:p>
    <w:p>
      <w:pPr>
        <w:pStyle w:val="896"/>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6"/>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w:t>
      </w:r>
      <w:r>
        <w:rPr>
          <w:rFonts w:ascii="宋体" w:hAnsi="宋体" w:eastAsia="宋体"/>
          <w:sz w:val="24"/>
          <w:szCs w:val="24"/>
        </w:rPr>
        <w:t xml:space="preserve">，遵照</w:t>
      </w:r>
      <w:r>
        <w:rPr>
          <w:rFonts w:hint="eastAsia" w:ascii="宋体" w:hAnsi="宋体" w:eastAsia="宋体"/>
          <w:sz w:val="24"/>
          <w:szCs w:val="24"/>
        </w:rPr>
        <w:t xml:space="preserve">中华人民共和国现行法律法规</w:t>
      </w:r>
      <w:r>
        <w:rPr>
          <w:rFonts w:ascii="宋体" w:hAnsi="宋体" w:eastAsia="宋体"/>
          <w:sz w:val="24"/>
          <w:szCs w:val="24"/>
        </w:rPr>
        <w:t xml:space="preserve">有关</w:t>
      </w:r>
      <w:r>
        <w:rPr>
          <w:rFonts w:hAnsi="宋体"/>
          <w:sz w:val="24"/>
          <w:szCs w:val="24"/>
        </w:rPr>
        <w:t xml:space="preserve">条文执行。</w:t>
      </w:r>
      <w:r/>
    </w:p>
    <w:p>
      <w:pPr>
        <w:pStyle w:val="896"/>
        <w:ind w:left="480" w:hanging="480"/>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6"/>
        <w:ind w:left="480" w:hanging="480"/>
        <w:spacing w:before="120" w:after="120" w:line="360" w:lineRule="auto"/>
        <w:rPr>
          <w:rFonts w:hAnsi="宋体"/>
          <w:sz w:val="24"/>
          <w:szCs w:val="24"/>
        </w:rPr>
      </w:pPr>
      <w:r>
        <w:rPr>
          <w:rFonts w:hAnsi="宋体"/>
          <w:sz w:val="24"/>
          <w:szCs w:val="24"/>
        </w:rPr>
        <w:t xml:space="preserve">  甲方：                        乙方： </w:t>
      </w:r>
      <w:r/>
    </w:p>
    <w:p>
      <w:pPr>
        <w:pStyle w:val="896"/>
        <w:spacing w:before="120" w:after="120" w:line="360" w:lineRule="auto"/>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6"/>
        <w:spacing w:before="120" w:after="120" w:line="360" w:lineRule="auto"/>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6"/>
        <w:ind w:firstLine="240"/>
        <w:spacing w:before="120" w:after="120" w:line="360" w:lineRule="auto"/>
      </w:pPr>
      <w:r>
        <w:rPr>
          <w:rFonts w:hint="eastAsia" w:hAnsi="宋体"/>
          <w:sz w:val="24"/>
          <w:szCs w:val="24"/>
        </w:rPr>
        <w:t xml:space="preserve">联系电话：                    联系电话：          </w:t>
      </w:r>
      <w:r/>
    </w:p>
    <w:p>
      <w:pPr>
        <w:spacing w:line="360" w:lineRule="auto"/>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0" w:name="_Hlt16619369"/>
      <w:r/>
      <w:bookmarkEnd w:id="190"/>
      <w:r>
        <w:rPr>
          <w:rFonts w:ascii="黑体" w:eastAsia="黑体"/>
          <w:bCs/>
          <w:sz w:val="44"/>
        </w:rPr>
        <w:br w:type="page" w:clear="all"/>
      </w:r>
      <w:r/>
    </w:p>
    <w:p>
      <w:pPr>
        <w:pStyle w:val="896"/>
        <w:jc w:val="center"/>
        <w:spacing w:before="120" w:after="120" w:line="0" w:lineRule="atLeast"/>
        <w:rPr>
          <w:rFonts w:ascii="黑体" w:hAnsi="Times New Roman" w:eastAsia="黑体" w:cs="Times New Roman"/>
          <w:b/>
          <w:bCs/>
          <w:sz w:val="44"/>
          <w:szCs w:val="28"/>
        </w:rPr>
        <w:outlineLvl w:val="0"/>
      </w:pPr>
      <w:r>
        <w:rPr>
          <w:rFonts w:hint="eastAsia" w:ascii="黑体" w:hAnsi="Arial" w:eastAsia="黑体" w:cs="Arial"/>
          <w:b/>
          <w:bCs/>
          <w:sz w:val="44"/>
          <w:szCs w:val="44"/>
        </w:rPr>
        <w:t xml:space="preserve">第</w:t>
      </w:r>
      <w:bookmarkEnd w:id="184"/>
      <w:r>
        <w:rPr>
          <w:rFonts w:hint="eastAsia" w:ascii="黑体" w:hAnsi="Arial" w:eastAsia="黑体" w:cs="Arial"/>
          <w:b/>
          <w:bCs/>
          <w:sz w:val="44"/>
          <w:szCs w:val="44"/>
        </w:rPr>
        <w:t xml:space="preserve">四章 采购需求</w:t>
      </w:r>
      <w:bookmarkEnd w:id="185"/>
      <w:r/>
      <w:bookmarkEnd w:id="186"/>
      <w:r/>
      <w:bookmarkEnd w:id="187"/>
      <w:r/>
      <w:r/>
    </w:p>
    <w:p>
      <w:pPr>
        <w:spacing w:line="360" w:lineRule="auto"/>
        <w:rPr>
          <w:rFonts w:ascii="宋体" w:hAnsi="宋体"/>
          <w:b/>
          <w:bCs/>
          <w:color w:val="000000"/>
          <w:sz w:val="24"/>
          <w:szCs w:val="24"/>
        </w:rPr>
      </w:pPr>
      <w:r/>
      <w:bookmarkStart w:id="191" w:name="_Toc49090575"/>
      <w:r/>
      <w:bookmarkStart w:id="192" w:name="_Toc26554093"/>
      <w:r>
        <w:rPr>
          <w:rFonts w:hint="eastAsia" w:ascii="宋体" w:hAnsi="宋体"/>
          <w:b/>
          <w:bCs/>
          <w:color w:val="000000"/>
          <w:sz w:val="24"/>
          <w:szCs w:val="24"/>
        </w:rPr>
        <w:t xml:space="preserve">项目属性:服务类项目。</w:t>
      </w:r>
      <w:r/>
    </w:p>
    <w:p>
      <w:pPr>
        <w:pStyle w:val="671"/>
        <w:rPr>
          <w:rFonts w:hint="eastAsia"/>
          <w:lang w:val="en-US" w:eastAsia="zh-CN"/>
        </w:rPr>
      </w:pPr>
      <w:r>
        <w:rPr>
          <w:rFonts w:hint="eastAsia"/>
          <w:lang w:val="en-US" w:eastAsia="zh-CN"/>
        </w:rPr>
        <w:t xml:space="preserve">一、技术要求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技术要求是指对采购标的功能和质量要求，包括性能、材料、结构、外观、安全，或者服务内容和标准等。</w:t>
      </w:r>
      <w:r/>
    </w:p>
    <w:p>
      <w:pPr>
        <w:pStyle w:val="672"/>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项目功能需求说明</w:t>
      </w:r>
      <w:r/>
    </w:p>
    <w:p>
      <w:pPr>
        <w:pStyle w:val="673"/>
        <w:rPr>
          <w:rFonts w:hint="eastAsia"/>
        </w:rPr>
      </w:pPr>
      <w:r>
        <w:rPr>
          <w:rFonts w:hint="eastAsia"/>
          <w:lang w:val="en-US" w:eastAsia="zh-CN"/>
        </w:rPr>
        <w:t xml:space="preserve">1.实现</w:t>
      </w:r>
      <w:r>
        <w:rPr>
          <w:rFonts w:hint="eastAsia"/>
        </w:rPr>
        <w:t xml:space="preserve">船舶引航动态与靠离泊安全监控</w:t>
      </w:r>
      <w:r/>
    </w:p>
    <w:p>
      <w:pPr>
        <w:ind w:left="0" w:right="0" w:firstLine="480"/>
        <w:jc w:val="both"/>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sz w:val="24"/>
          <w:szCs w:val="24"/>
        </w:rPr>
        <w:t xml:space="preserve">船舶引航动态与靠离泊安全监控</w:t>
      </w:r>
      <w:r>
        <w:rPr>
          <w:rFonts w:hint="eastAsia" w:ascii="宋体" w:hAnsi="宋体" w:eastAsia="宋体" w:cs="宋体"/>
          <w:sz w:val="24"/>
          <w:szCs w:val="24"/>
          <w:lang w:val="en-US" w:eastAsia="zh-CN"/>
        </w:rPr>
        <w:t xml:space="preserve">是</w:t>
      </w:r>
      <w:r>
        <w:rPr>
          <w:rFonts w:hint="eastAsia" w:ascii="宋体" w:hAnsi="宋体" w:eastAsia="宋体" w:cs="宋体"/>
          <w:sz w:val="24"/>
          <w:szCs w:val="24"/>
        </w:rPr>
        <w:t xml:space="preserve">引航安全生产的重要组成部分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引航动态监控子系统建设以电子海图为基础信息载体，在上面叠加引航调度业务数据、船舶静态信息动态数据、计划航线数据、人船拖轮的作业信息数据、实时潮汐数据、水文气象数据、台风信息数据、引航员指令通信数据、现场环境数据、风险预警报警（偏航/碰撞/转向/恶劣环境/事故等）等多种数据以实现在一张图上即可实现完整的业务监控功能。</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信息综合显示：系统软件提供国际标准S57电子海图数据标准和国际S52标准显示、海图数据标绘</w:t>
      </w:r>
      <w:r>
        <w:rPr>
          <w:rFonts w:hint="eastAsia" w:ascii="宋体" w:hAnsi="宋体" w:eastAsia="宋体" w:cs="宋体"/>
          <w:sz w:val="24"/>
          <w:szCs w:val="24"/>
          <w:lang w:val="en-GB"/>
        </w:rPr>
        <w:t xml:space="preserve">、AIS数据</w:t>
      </w:r>
      <w:r>
        <w:rPr>
          <w:rFonts w:hint="eastAsia" w:ascii="宋体" w:hAnsi="宋体" w:eastAsia="宋体" w:cs="宋体"/>
          <w:sz w:val="24"/>
          <w:szCs w:val="24"/>
        </w:rPr>
        <w:t xml:space="preserve">实时标绘与显示</w:t>
      </w:r>
      <w:r>
        <w:rPr>
          <w:rFonts w:hint="eastAsia" w:ascii="宋体" w:hAnsi="宋体" w:eastAsia="宋体" w:cs="宋体"/>
          <w:sz w:val="24"/>
          <w:szCs w:val="24"/>
          <w:lang w:val="en-GB"/>
        </w:rPr>
        <w:t xml:space="preserve">服务、引航计划和</w:t>
      </w:r>
      <w:r>
        <w:rPr>
          <w:rFonts w:hint="eastAsia" w:ascii="宋体" w:hAnsi="宋体" w:eastAsia="宋体" w:cs="宋体"/>
          <w:sz w:val="24"/>
          <w:szCs w:val="24"/>
        </w:rPr>
        <w:t xml:space="preserve">调度</w:t>
      </w:r>
      <w:r>
        <w:rPr>
          <w:rFonts w:hint="eastAsia" w:ascii="宋体" w:hAnsi="宋体" w:eastAsia="宋体" w:cs="宋体"/>
          <w:sz w:val="24"/>
          <w:szCs w:val="24"/>
          <w:lang w:val="en-GB"/>
        </w:rPr>
        <w:t xml:space="preserve">排班服务、船舶</w:t>
      </w:r>
      <w:r>
        <w:rPr>
          <w:rFonts w:hint="eastAsia" w:ascii="宋体" w:hAnsi="宋体" w:eastAsia="宋体" w:cs="宋体"/>
          <w:sz w:val="24"/>
          <w:szCs w:val="24"/>
        </w:rPr>
        <w:t xml:space="preserve">动态监控</w:t>
      </w:r>
      <w:r>
        <w:rPr>
          <w:rFonts w:hint="eastAsia" w:ascii="宋体" w:hAnsi="宋体" w:eastAsia="宋体" w:cs="宋体"/>
          <w:sz w:val="24"/>
          <w:szCs w:val="24"/>
          <w:lang w:val="en-GB"/>
        </w:rPr>
        <w:t xml:space="preserve">预警服务、</w:t>
      </w:r>
      <w:r>
        <w:rPr>
          <w:rFonts w:hint="eastAsia" w:ascii="宋体" w:hAnsi="宋体" w:eastAsia="宋体" w:cs="宋体"/>
          <w:sz w:val="24"/>
          <w:szCs w:val="24"/>
        </w:rPr>
        <w:t xml:space="preserve">港口码头泊位视频显示</w:t>
      </w:r>
      <w:r>
        <w:rPr>
          <w:rFonts w:hint="eastAsia" w:ascii="宋体" w:hAnsi="宋体" w:eastAsia="宋体" w:cs="宋体"/>
          <w:sz w:val="24"/>
          <w:szCs w:val="24"/>
          <w:lang w:val="en-GB"/>
        </w:rPr>
        <w:t xml:space="preserve">。</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电子海图：需要将矢量电子海图数据是安装存储到本机系统上，无需网络通信传输，而且系统可根据中国海事局官方发布的电子海图数据提供海图数据更新服务，实时为用户提供最新版的电子海图数据。</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数据接收与显示：可接收所有AIS船舶动态数据语句，AIS报文解析符合IALA最新标准，能够完全解析ClassA、ClassB、虚拟航标、AIS二进制等AIS报文内容，包括船舶的MMSI、中文船名、英文船名、国籍、呼号、经纬度位置、航向、航速、船舶类型、船长、吃水、目的港等重要信息。AIS技术使用的是自控时分多址联接VHF通讯技术来满足通信的高密度率，保证了岸船之间相互关联的操作。当系统接收到AIS船舶数据后，可展示所有船舶的位置信息、动态信息、静态</w:t>
      </w:r>
      <w:r>
        <w:rPr>
          <w:rFonts w:hint="eastAsia" w:ascii="宋体" w:hAnsi="宋体" w:eastAsia="宋体" w:cs="宋体"/>
          <w:sz w:val="24"/>
          <w:szCs w:val="24"/>
          <w:lang w:val="en-GB"/>
        </w:rPr>
        <w:t xml:space="preserve">信息</w:t>
      </w:r>
      <w:r>
        <w:rPr>
          <w:rFonts w:hint="eastAsia" w:ascii="宋体" w:hAnsi="宋体" w:eastAsia="宋体" w:cs="宋体"/>
          <w:sz w:val="24"/>
          <w:szCs w:val="24"/>
        </w:rPr>
        <w:t xml:space="preserve">与调度作业信息</w:t>
      </w:r>
      <w:r>
        <w:rPr>
          <w:rFonts w:hint="eastAsia" w:ascii="宋体" w:hAnsi="宋体" w:eastAsia="宋体" w:cs="宋体"/>
          <w:sz w:val="24"/>
          <w:szCs w:val="24"/>
          <w:lang w:val="en-GB"/>
        </w:rPr>
        <w:t xml:space="preserve">，鼠标左键单击船舶弹出该船船舶信息框，</w:t>
      </w:r>
      <w:r>
        <w:rPr>
          <w:rFonts w:hint="eastAsia" w:ascii="宋体" w:hAnsi="宋体" w:eastAsia="宋体" w:cs="宋体"/>
          <w:sz w:val="24"/>
          <w:szCs w:val="24"/>
        </w:rPr>
        <w:t xml:space="preserve">有引航业务工作的船舶会被特殊标定显示。</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val="en-GB"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val="en-GB" w:eastAsia="zh-CN"/>
        </w:rPr>
        <w:t xml:space="preserve">）</w:t>
      </w:r>
      <w:r>
        <w:rPr>
          <w:rFonts w:hint="eastAsia" w:ascii="宋体" w:hAnsi="宋体" w:eastAsia="宋体" w:cs="宋体"/>
          <w:sz w:val="24"/>
          <w:szCs w:val="24"/>
          <w:lang w:val="en-GB"/>
        </w:rPr>
        <w:t xml:space="preserve">船舶监控及跟踪：</w:t>
      </w:r>
      <w:r>
        <w:rPr>
          <w:rFonts w:hint="eastAsia" w:ascii="宋体" w:hAnsi="宋体" w:eastAsia="宋体" w:cs="宋体"/>
          <w:sz w:val="24"/>
          <w:szCs w:val="24"/>
        </w:rPr>
        <w:t xml:space="preserve">当有重点船舶引航作业时，如危险品船、超大船、无动力船舶在引航过程中，岸基监控指挥中心可以锁定引航船舶进行实时跟踪远程辅助引航员完成引航作业，在电子海图</w:t>
      </w:r>
      <w:r>
        <w:rPr>
          <w:rFonts w:hint="eastAsia" w:ascii="宋体" w:hAnsi="宋体" w:eastAsia="宋体" w:cs="宋体"/>
          <w:sz w:val="24"/>
          <w:szCs w:val="24"/>
          <w:lang w:val="en-GB"/>
        </w:rPr>
        <w:t xml:space="preserve">中心显示</w:t>
      </w:r>
      <w:r>
        <w:rPr>
          <w:rFonts w:hint="eastAsia" w:ascii="宋体" w:hAnsi="宋体" w:eastAsia="宋体" w:cs="宋体"/>
          <w:sz w:val="24"/>
          <w:szCs w:val="24"/>
        </w:rPr>
        <w:t xml:space="preserve">跟踪船舶的运动态势与周边水域的航道环境</w:t>
      </w:r>
      <w:r>
        <w:rPr>
          <w:rFonts w:hint="eastAsia" w:ascii="宋体" w:hAnsi="宋体" w:eastAsia="宋体" w:cs="宋体"/>
          <w:sz w:val="24"/>
          <w:szCs w:val="24"/>
          <w:lang w:val="en-GB"/>
        </w:rPr>
        <w:t xml:space="preserve">，</w:t>
      </w:r>
      <w:r>
        <w:rPr>
          <w:rFonts w:hint="eastAsia" w:ascii="宋体" w:hAnsi="宋体" w:eastAsia="宋体" w:cs="宋体"/>
          <w:sz w:val="24"/>
          <w:szCs w:val="24"/>
        </w:rPr>
        <w:t xml:space="preserve">如果发现有其他船舶闯入警戒区域或在航道内影响重点船舶的航行，系统会提示并向监管人员报警提示，便于工作人员提前做出避让</w:t>
      </w:r>
      <w:r>
        <w:rPr>
          <w:rFonts w:hint="eastAsia" w:ascii="宋体" w:hAnsi="宋体" w:eastAsia="宋体" w:cs="宋体"/>
          <w:sz w:val="24"/>
          <w:szCs w:val="24"/>
          <w:lang w:val="en-GB"/>
        </w:rPr>
        <w:t xml:space="preserve">。</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船舶智能预报警：船舶超速或低速预警、航路偏离预警、限行区限进预警与报警、船舶避碰预警、碰撞报警、搁浅报警、电子围栏。</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监控再现：</w:t>
      </w:r>
      <w:r>
        <w:rPr>
          <w:rFonts w:hint="eastAsia" w:ascii="宋体" w:hAnsi="宋体" w:eastAsia="宋体" w:cs="宋体"/>
          <w:sz w:val="24"/>
          <w:szCs w:val="24"/>
          <w:lang w:val="en-GB"/>
        </w:rPr>
        <w:t xml:space="preserve">提供船舶历史轨迹回放，通过轨迹点的叠加展示可以详细复现当时的情况，还可以点击任意轨迹点以查看当前轨迹点时间船舶的船首向、航速、航迹向、航行状态等信息。可对选中的多艘船舶的历史轨迹数据实现同步回放。</w:t>
      </w:r>
      <w:r/>
    </w:p>
    <w:p>
      <w:pPr>
        <w:pStyle w:val="673"/>
        <w:rPr>
          <w:rFonts w:hint="eastAsia"/>
        </w:rPr>
      </w:pPr>
      <w:r>
        <w:rPr>
          <w:rFonts w:hint="eastAsia"/>
          <w:lang w:val="en-US" w:eastAsia="zh-CN"/>
        </w:rPr>
        <w:t xml:space="preserve">2.实现</w:t>
      </w:r>
      <w:r>
        <w:rPr>
          <w:rFonts w:hint="eastAsia"/>
        </w:rPr>
        <w:t xml:space="preserve">船代申请船舶引航</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船代引航申请系统是南通港沿海港区引航站对外服务的一大平台，主要服务于南通港的船舶代理公司，是南通港沿海港区引航站对客户服务展示的一个重要部分。主要包括船舶代理公司账号注册、船舶信息录入、引航作业申请及信息统计分析、船舶代理公司基础信息完善等主要功能。船代申请船舶引航系统能够实现同步引航作业过程，引航作业的关键节点均有短信通知船代并在系统首页展示，实现引航作业透明化、公开化。</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引航预报申请（Web/终端PPU）：船代人员可通过电脑与手持终端向引航站预报船舶进出港作业时间并向引航站申请引航作业服务，自动生成《船舶进出港申请预报书》。</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船舶信息智能识别（Web/终端PPU）：代理填报船舶信息采用语音和数字智能识别模式，无需用户手动重复填写信息，减少用户的工作量。</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船舶评价管理（Web/终端PPU）：船舶静态信息的数据录入、管理维护，还有该船舶的动态信息数据的历史作业记录，如果船舶被引航站评分过低和不良评价，系统会给用户提出意见和警示，便于船舶维护，如果被引航站列入船舶黑名单，必须要经过整改后上传整改证据后重新评估。</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申报列表（Web/终端PPU）：用户所填写的申请单，在申报列表可以查看可以修改，还可看到引航作业状态。当引航员完成引航作业后，申报列表只允许查看无法修改。</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接收引航签证单（Web/终端PPU）：引航员完成引航作业并提交电子签证单后，船代用户可直接收到到引航作业完成的信息并可直接查看电子签证单，可直接打印电子签证单存储备档，无需再去引航站拿取纸质签证单。</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取消引航申请（Web/终端PPU）：船代提交引航申请信息后，当业务变更，船舶取消来港无需引航作业，可在系统直接取消引航申请，取消申请需要提交取消原因，取消后系统会主动通知引航站的调度人员。</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引航预报一览（Web/终端PPU）：用户确认船舶来港后，预估在24小时内，提前申报的信息可进行引航作业申报，提交引航站进行作业信息审批。</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作业一览（Web/终端PPU）：船代申报的引航作业在此功能查看引航信息、作业信息、船舶信息、作业进度状态。</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港口船期表（Web）：进出港作业的预期申报信息汇总，并可打印与查询。</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rPr>
        <w:t xml:space="preserve">今日计划（Web/终端PPU）：自动生成引航站每日的引航作业计划和统计艘次，按照作业时间顺序，显示作业船舶、船代、英文船名、预作业时间、起始地目的地、作业类型、引航员、辅助拖轮、船长吃水，并可进入调度工作群，作业完成后有明显标识，并可生成引航员的工作简报分享发送给站领导。可查看任意某一天的工作计划。</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11</w:t>
      </w:r>
      <w:r>
        <w:rPr>
          <w:rFonts w:hint="eastAsia" w:ascii="宋体" w:hAnsi="宋体" w:cs="宋体"/>
          <w:sz w:val="24"/>
          <w:szCs w:val="24"/>
          <w:lang w:eastAsia="zh-CN"/>
        </w:rPr>
        <w:t xml:space="preserve">）</w:t>
      </w:r>
      <w:r>
        <w:rPr>
          <w:rFonts w:hint="eastAsia" w:ascii="宋体" w:hAnsi="宋体" w:eastAsia="宋体" w:cs="宋体"/>
          <w:sz w:val="24"/>
          <w:szCs w:val="24"/>
        </w:rPr>
        <w:t xml:space="preserve">船舶引航IM工作群（Web/终端PPU）：沿海港区智慧引航云服务一体化系统内部开发IM（即时通信）功能，所有用户可以IM即时通信功能，实现不同身份用户之间的相互业务沟通与咨询交流工作，在引航业务办理方面，当船代申请作业后，系统会可智能自动生成一个引航工作IM业务作业功能群聊，将涉及到的用户自动拉进群内，如申报申请作业的船代外勤人员、目的地码头调度作</w:t>
      </w:r>
      <w:r>
        <w:rPr>
          <w:rFonts w:hint="eastAsia" w:ascii="宋体" w:hAnsi="宋体" w:eastAsia="宋体" w:cs="宋体"/>
          <w:sz w:val="24"/>
          <w:szCs w:val="24"/>
        </w:rPr>
        <w:t xml:space="preserve">业人员、港口调度人员、引航站调度人员、排班的主副引航员、接送司机、指派的拖轮人员、海事海关边检人员、被引航船的船长等所有相关人员，所有的信息与计划变更都可实现同步共享，并可在群里的功能菜单里操作变更作业时间、查看申请单和作业单详细信息、引航员排班、拖轮排班、指派接送车与交通艇、取消作业与结束作业、还可以直接在IM通信群里即时语音和文字沟通、发送文件、可直接拨打相关人员的手机，系统会主动发送APP消息通知群内相关人员，所有操作都会被记录保存，当引航员结束引航并提交签证单后，该群会被自动锁定，不可再做任何变更。</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12</w:t>
      </w:r>
      <w:r>
        <w:rPr>
          <w:rFonts w:hint="eastAsia" w:ascii="宋体" w:hAnsi="宋体" w:cs="宋体"/>
          <w:sz w:val="24"/>
          <w:szCs w:val="24"/>
          <w:lang w:eastAsia="zh-CN"/>
        </w:rPr>
        <w:t xml:space="preserve">）</w:t>
      </w:r>
      <w:r>
        <w:rPr>
          <w:rFonts w:hint="eastAsia" w:ascii="宋体" w:hAnsi="宋体" w:eastAsia="宋体" w:cs="宋体"/>
          <w:sz w:val="24"/>
          <w:szCs w:val="24"/>
        </w:rPr>
        <w:t xml:space="preserve">装卸货进度、拖轮信息上报（Web/终端PPU）：船代或码头企业的人员可申报装卸货进度，并在100%完成装卸货作业后，提报引航作业申请，并且拖轮调度要将拖轮作业调度信息申报。</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13</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进度查询（Web/终端PPU）：船代人员可通过系统查看引航作业的工作流程，可以看到任意一条船的引航工作的进度状态，且每个计划发生时间变动、地点变动、人员变动等调整均会通过外部推送、短信、弹窗等多种方式通知相关参与的角色。</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w:t>
      </w:r>
      <w:r>
        <w:rPr>
          <w:rFonts w:hint="eastAsia" w:ascii="宋体" w:hAnsi="宋体" w:cs="宋体"/>
          <w:sz w:val="24"/>
          <w:szCs w:val="24"/>
          <w:lang w:eastAsia="zh-CN"/>
        </w:rPr>
        <w:t xml:space="preserve">）</w:t>
      </w:r>
      <w:r>
        <w:rPr>
          <w:rFonts w:hint="eastAsia" w:ascii="宋体" w:hAnsi="宋体" w:eastAsia="宋体" w:cs="宋体"/>
          <w:sz w:val="24"/>
          <w:szCs w:val="24"/>
        </w:rPr>
        <w:t xml:space="preserve">电子签证单获取下载（Web/终端PPU）：船代在引航员作业完成提交电子签证单并通过审核后，可在系统内第一时间看到带有船长电子签名数字船章的电子签证单，代理可自行下载或打印留存，支持批量选择操作。</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15</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账单确认及缴费（Web/终端PPU）：当引航站计费后，系统会自动生成一份引航作业电子账单，并发送给船代人员，船代需要确认电子账单，查看计算过程，确认无误后可勾选多个账单进行缴费，上传缴费凭证证明完成操作，引航站即可开具电子发票。</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16</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引航费用试算（web/终端PPU）：船代人员可以通过输出船舶参数与作业要求，系统可按照本港的费收规则，自动提前预估计算引航收费与拖轮收费。</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17</w:t>
      </w:r>
      <w:r>
        <w:rPr>
          <w:rFonts w:hint="eastAsia" w:ascii="宋体" w:hAnsi="宋体" w:cs="宋体"/>
          <w:sz w:val="24"/>
          <w:szCs w:val="24"/>
          <w:lang w:eastAsia="zh-CN"/>
        </w:rPr>
        <w:t xml:space="preserve">）</w:t>
      </w:r>
      <w:r>
        <w:rPr>
          <w:rFonts w:hint="eastAsia" w:ascii="宋体" w:hAnsi="宋体" w:eastAsia="宋体" w:cs="宋体"/>
          <w:sz w:val="24"/>
          <w:szCs w:val="24"/>
        </w:rPr>
        <w:t xml:space="preserve">开票申请及发票查看下载（web/终端PPU）：船代工作人员通过系统向引航站提交开具电子发票的申请，填写开票资料及选择发票类型，引航站确认无误后，电子发票会自动发送通知，船代人员可在电脑或者手机上登录系统直接下载打印。</w:t>
      </w:r>
      <w:r/>
    </w:p>
    <w:p>
      <w:pPr>
        <w:pStyle w:val="673"/>
        <w:rPr>
          <w:rFonts w:hint="eastAsia" w:ascii="宋体" w:hAnsi="宋体" w:eastAsia="宋体" w:cs="宋体"/>
        </w:rPr>
      </w:pPr>
      <w:r>
        <w:rPr>
          <w:rFonts w:hint="eastAsia" w:ascii="宋体" w:hAnsi="宋体" w:cs="宋体"/>
          <w:lang w:val="en-US" w:eastAsia="zh-CN"/>
        </w:rPr>
        <w:t xml:space="preserve">3.</w:t>
      </w:r>
      <w:r>
        <w:rPr>
          <w:rFonts w:hint="eastAsia" w:ascii="宋体" w:hAnsi="宋体" w:eastAsia="宋体" w:cs="宋体"/>
          <w:lang w:val="en-US" w:eastAsia="zh-CN"/>
        </w:rPr>
        <w:t xml:space="preserve">实现</w:t>
      </w:r>
      <w:r>
        <w:rPr>
          <w:rFonts w:hint="eastAsia" w:ascii="宋体" w:hAnsi="宋体" w:eastAsia="宋体" w:cs="宋体"/>
        </w:rPr>
        <w:t xml:space="preserve">引航业务作业审批与计划</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由南通港沿海港区引航站审核人员根据作业排班时段检查符合条件的引航申请在系统进行审批处理，如果审批未通过，将对引航申请进行驳回操作并填写原因，船舶代理机构对其引航申请修改再次提交。当引航申请审批并通过时，会根据船舶记录自动生成进出港计划表，港口调度人员可进行查询、手动修改预作业时间、上报引航站等操作。</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引航申请审批列表（web/终端PPU）：站内信息管理人员对船代人员提交的引航预报申请信息和船舶资料进行信息数据校验与核准。</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申请驳回（web）：站内信息审核人员发现数据不准确，会将该申请驳回，告知船舶代理公司驳回申请的原因，并发送消息通知告知船代工作人员整改信息后再次提交。</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审核原始凭证（web）：引航站要求船舶代理公司提交引航申请时必须提交《船舶吨位证书》等原始凭证资料，信息审核无误后，审核通过方可进入调度排班；信息有差异回直接驳回或按照原件自行修改。</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作业计划审批（web/终端PPU）：对引航作业的计划进行多种流程审批，特殊船舶，特种作业可设置站领导角色审核等，对于普通船舶可设置自动审批，审批后进入调度排班计划等待派班。</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重点船舶审批（web/终端PPU）：一些大型的危险船或无动力船舶需要进行重点审核审批，会同海事部门进行联合讨论，制定引航方案，确定后方可审核通过并存档记录该引航方案。</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作业计划泊位潮水预警提示（web/终端PPU）：系统根据目的地、作业计划时间、船舶载重吃水与当前潮位潮差趋势等多因素智能计算船舶泊位潮水的危险性，一旦超出安全阈值，系统会对用户提出安全警示以便提前调整泊位或者调整合适的作业时间。</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计划智能审核（web/终端PPU）：系统智能判断船舶进出港计划安排的科学合理性，如果不满足引航作业条件或多船之间有碰撞追越的危险，系统会提示调度人员计划变更，并对重点船舶（比如超大型LNG船、危险品船）的作业计划智能跟进。</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计划多种方式发布（web/终端PPU）：引航计划制定后，系统会通过多种方式下发引航计划，包括船舶助航终端PPU消息推送通知、发送短信、IM即时信息、弹窗提示等多种方式。便于不同角色的用户都可以查看引航计划。</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引航申请驳回记录（web）：引航申请被驳回的记录一览表，可作为数据分析依据。</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引航申请取消记录（web）：取消引航申请和引航作业被删除的信息历史记录，可作为数据分析依据。</w:t>
      </w:r>
      <w:r/>
    </w:p>
    <w:p>
      <w:pPr>
        <w:pStyle w:val="673"/>
        <w:rPr>
          <w:rFonts w:hint="eastAsia" w:ascii="宋体" w:hAnsi="宋体" w:eastAsia="宋体" w:cs="宋体"/>
        </w:rPr>
      </w:pPr>
      <w:r>
        <w:rPr>
          <w:rFonts w:hint="eastAsia" w:ascii="宋体" w:hAnsi="宋体" w:eastAsia="宋体" w:cs="宋体"/>
          <w:lang w:val="en-US" w:eastAsia="zh-CN"/>
        </w:rPr>
        <w:t xml:space="preserve">4.实现</w:t>
      </w:r>
      <w:r>
        <w:rPr>
          <w:rFonts w:hint="eastAsia" w:ascii="宋体" w:hAnsi="宋体" w:eastAsia="宋体" w:cs="宋体"/>
        </w:rPr>
        <w:t xml:space="preserve">引航自动调度排班</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智能调度排班（web/终端PPU）：引航调度人员根据船舶进出港的作业计划、引航派班规则如船长、等级、危险品船舶等条件进行智能调度派班，为每一条申请引航作业的船舶指派相对应的引航员，如果有特殊情况引航员不适合该船，系统会自动判断并给调度人员预警，重新安排引航员，也支持调度手动调整引航员。</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（2）船</w:t>
      </w:r>
      <w:r>
        <w:rPr>
          <w:rFonts w:hint="eastAsia" w:ascii="宋体" w:hAnsi="宋体" w:eastAsia="宋体" w:cs="宋体"/>
          <w:sz w:val="24"/>
          <w:szCs w:val="24"/>
        </w:rPr>
        <w:t xml:space="preserve">舶调度一览（Web/终端PPU）：当调度人员先一步确定引航员后，会在调度一览中为引航员安排辅助拖轮、接送交通艇、接送车辆司机等调度保障作业的工作，所有调度工作完成后，系统会自动生成【调度一览表】，引航员和站领导通过【调度一览表】直接查看调度所有的业务工作，当有业务实际发生变更时，可在业务群或调度一览中进行细节变更调整，调整后的信息会被自动记录并发送消息通知到相关负责人员。</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调度日志（Web/终端PPU）：智能自动记录每天作业情况及艘次统计和标定调度人员在当天值班工作中所发生一些常规操作工作交接日志和突发情况，比如：人员、水文气象、作业统计、作业变更等现象。并且对引航作业的完成情况会自动跟进跟踪，对已经完成引航作业的船舶，可查看电子签证单。支持打印下载，支持查看任意一天的日志记录。</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富裕水深警戒（Web/终端PPU）：系统会根据船型、船舶吃水、作业时间、船舶停靠泊位、航道等因素智能判断引航作业富裕水深，一旦超过安全富裕警戒，会报警提示并要求调度人员变更计划，提醒引航员作业风险。</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海事计划推送（Web/终端PPU）：船舶进出港引航计划会定时自动通过邮箱向海事部门推送当日最新的引航计划，支持勾选导出海事系统需要的数据模版。</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作业变更通知（web/终端PPU）：引航作业一旦发生变更，系统可根据用户需求，通过发送短信、IM推送消息等方式向引航员推送引航作业变更的通知，引航员也通过系统内提示面板点击【变更确认】来回复调度。</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引航作业过程动态记录（Web）：引航作业的过程动态，任何变更或突发性时间，都被系统会自动记录并永久保存，包括操作人及操作时间，以便用户后期追溯，一旦出现事故或问题，这个记录将称为有效证据。</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船舶历史航次记录（web）：被引船舶历史来港的记录表，以及当时的动态作业记录，为调度或者引航员提供引航作业方案参考，以及引航安全准备工作。</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重点船舶预警（web/ 终端PPU）：引航员或调度人员可对船舶进行重点船标记，当该船舶标记为重点船之后，系统会额外特殊标定该船，引航员重点关注。该船下次再来港时，会向引航站发布预警，并可看到标记重点船舶的原因。</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引航员值班管理（web）：自动记录引航员值班情况，每天在岗、请假等情况，是实现引航员智能化排班的数据支撑；支持设置港区、科室、值班天数及组员数量，实现全年每月每日自动值班。</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11</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引航员状态标记（web）：自动记录引航员的工作状态与负担压力，调度人员排班的参考依据，并指定超大型船舶的困难作业特殊排班。</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12</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引航员作业顺序（web）：系统会根据引航员作业顺序及相关引航规则自动排序，如果特殊情况可手动拖动移动引航员的位置，从而调整其作业的优先级。</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13</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引航计划标记（web）：在指定引航计划时，可对特殊引航任务进行标记无动力、特种船舶、救灾抢险等情况，标记影响引航员积分及引航计费的结果。</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w:t>
      </w:r>
      <w:r>
        <w:rPr>
          <w:rFonts w:hint="eastAsia" w:ascii="宋体" w:hAnsi="宋体" w:cs="宋体"/>
          <w:sz w:val="24"/>
          <w:szCs w:val="24"/>
          <w:lang w:eastAsia="zh-CN"/>
        </w:rPr>
        <w:t xml:space="preserve">）</w:t>
      </w:r>
      <w:r>
        <w:rPr>
          <w:rFonts w:hint="eastAsia" w:ascii="宋体" w:hAnsi="宋体" w:eastAsia="宋体" w:cs="宋体"/>
          <w:sz w:val="24"/>
          <w:szCs w:val="24"/>
        </w:rPr>
        <w:t xml:space="preserve">已删除计划（web）：调度在审核或者制定引航计划时会遇到天气或者其他原因取消计划，在删除计划后，可查询删除操作人，支持一键恢复计划。</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15</w:t>
      </w:r>
      <w:r>
        <w:rPr>
          <w:rFonts w:hint="eastAsia" w:ascii="宋体" w:hAnsi="宋体" w:cs="宋体"/>
          <w:sz w:val="24"/>
          <w:szCs w:val="24"/>
          <w:lang w:eastAsia="zh-CN"/>
        </w:rPr>
        <w:t xml:space="preserve">）</w:t>
      </w:r>
      <w:r>
        <w:rPr>
          <w:rFonts w:hint="eastAsia" w:ascii="宋体" w:hAnsi="宋体" w:eastAsia="宋体" w:cs="宋体"/>
          <w:sz w:val="24"/>
          <w:szCs w:val="24"/>
        </w:rPr>
        <w:t xml:space="preserve">重点船统计（web）：根据重点船的规则，如潮水、吃水、船长、特定泊位等规则，自动判断重点船，支持年月统计。</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16</w:t>
      </w:r>
      <w:r>
        <w:rPr>
          <w:rFonts w:hint="eastAsia" w:ascii="宋体" w:hAnsi="宋体" w:cs="宋体"/>
          <w:sz w:val="24"/>
          <w:szCs w:val="24"/>
          <w:lang w:eastAsia="zh-CN"/>
        </w:rPr>
        <w:t xml:space="preserve">）</w:t>
      </w:r>
      <w:r>
        <w:rPr>
          <w:rFonts w:hint="eastAsia" w:ascii="宋体" w:hAnsi="宋体" w:eastAsia="宋体" w:cs="宋体"/>
          <w:sz w:val="24"/>
          <w:szCs w:val="24"/>
        </w:rPr>
        <w:t xml:space="preserve">港口计划（web）：可接入港口非引航计划，形成完整的港口全部船舶进出港计划，帮助站内制定更为安全合理的引航时间。</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17</w:t>
      </w:r>
      <w:r>
        <w:rPr>
          <w:rFonts w:hint="eastAsia" w:ascii="宋体" w:hAnsi="宋体" w:cs="宋体"/>
          <w:sz w:val="24"/>
          <w:szCs w:val="24"/>
          <w:lang w:eastAsia="zh-CN"/>
        </w:rPr>
        <w:t xml:space="preserve">）</w:t>
      </w:r>
      <w:r>
        <w:rPr>
          <w:rFonts w:hint="eastAsia" w:ascii="宋体" w:hAnsi="宋体" w:eastAsia="宋体" w:cs="宋体"/>
          <w:sz w:val="24"/>
          <w:szCs w:val="24"/>
        </w:rPr>
        <w:t xml:space="preserve">计划规则配置（web）：可对引航取消原因进行自定义标签、可对重点船规则设定，可对引航员级别引领船舶类型设置，可对引航申请时间设定申报时间范围、可对夜班时间设定、可对各泊位承载能力设定等规则参数设置。</w:t>
      </w:r>
      <w:r/>
    </w:p>
    <w:p>
      <w:pPr>
        <w:pStyle w:val="673"/>
        <w:rPr>
          <w:rFonts w:hint="eastAsia" w:ascii="宋体" w:hAnsi="宋体" w:eastAsia="宋体" w:cs="宋体"/>
        </w:rPr>
      </w:pPr>
      <w:r>
        <w:rPr>
          <w:rFonts w:hint="eastAsia" w:ascii="宋体" w:hAnsi="宋体" w:eastAsia="宋体" w:cs="宋体"/>
          <w:lang w:val="en-US" w:eastAsia="zh-CN"/>
        </w:rPr>
        <w:t xml:space="preserve">5.实现</w:t>
      </w:r>
      <w:r>
        <w:rPr>
          <w:rFonts w:hint="eastAsia" w:ascii="宋体" w:hAnsi="宋体" w:eastAsia="宋体" w:cs="宋体"/>
        </w:rPr>
        <w:t xml:space="preserve">引航电子签证单</w:t>
      </w:r>
      <w:r/>
    </w:p>
    <w:p>
      <w:pPr>
        <w:ind w:left="0" w:right="0" w:firstLine="480"/>
        <w:jc w:val="both"/>
        <w:keepLines w:val="0"/>
        <w:keepNext w:val="0"/>
        <w:pageBreakBefore w:val="0"/>
        <w:spacing w:line="360" w:lineRule="auto"/>
        <w:widowControl w:val="off"/>
        <w:rPr>
          <w:rFonts w:hint="eastAsia" w:ascii="宋体" w:hAnsi="宋体" w:cs="宋体"/>
          <w:sz w:val="24"/>
          <w:szCs w:val="24"/>
          <w:lang w:eastAsia="zh-CN"/>
        </w:rPr>
        <w:outlineLvl w:val="9"/>
      </w:pPr>
      <w:r>
        <w:rPr>
          <w:rFonts w:hint="eastAsia" w:ascii="宋体" w:hAnsi="宋体" w:eastAsia="宋体" w:cs="宋体"/>
          <w:sz w:val="24"/>
          <w:szCs w:val="24"/>
        </w:rPr>
        <w:t xml:space="preserve">引航员在完成工作之后，可在引航电子签证单系统终端PPU或web端进行签证单的填写，只需对信息数据进行审核，若正确无误后，可直接在终端PPU上传签证单的照片提交即可。引航员可对签证单进行查看、修改与管理。大大地减少了引航员的后续工作，提高数据的准确性、安全性。</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引航员任务卡（web/终端PPU）：引航员被排班以后，会在个人终端PPU上自动生成引航任务卡，任务卡是引航员最重要的信息显示和沟通的核心单元，在这里能看到所引航员需要的船舶静态、水文潮汐等所有信息与作业动态计划信息，并且能够点击【开始引航】、【结束引航】来自动计算引航作业时间。</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电子签证单（web/终端PPU）：引航员工作核心功能，当引航员完成引航作业后，会提交引航电子签证单，签证单有白天模式和夜间模式，有网无网都能智能提交，纵版横版模式，船长电子签名和电子印章扫描、拍照上传三种模式，签证单数据引航员可修改。</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签证单历史（web/终端PPU）：引航员所完成的签证单都永久保存，作为历史记录，随时可以调阅浏览与查询统计。</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签证一览（web/终端PPU）：站内所有引航员的电子签证单汇总数据，可在终端PPU上直接查看签证单信息和各位引航员引航艘次统计数量。</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签证单审核管理（web）：引航站的签证单计费人员可以在此功能审核签证单的数据准确性，签证单数据是引航站计费结算的数据标准，所以必须要核对准确后再进行计费，一旦签证单有关键数据错误，系统会回退给引航员进行修改后再次提交，签证单修改记录都会留存，记录修改前后情况。</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签证单统计(web)：签证单提交后，会对引航员的提交情况进行效率统计，自动校验引航时长是否异常，识别夜班节假日等。</w:t>
      </w:r>
      <w:r/>
    </w:p>
    <w:p>
      <w:pPr>
        <w:numPr>
          <w:ilvl w:val="0"/>
          <w:numId w:val="0"/>
        </w:numPr>
        <w:ind w:left="480" w:right="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签证单设置(web)：可对签证单字段进行设置自动填充的数据内容，对引航时长设置异常范围，可设置签证单不同角色修改不同的数据范围等。</w:t>
      </w:r>
      <w:r/>
    </w:p>
    <w:p>
      <w:pPr>
        <w:pStyle w:val="673"/>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6.实现</w:t>
      </w:r>
      <w:r>
        <w:rPr>
          <w:rFonts w:hint="eastAsia" w:ascii="宋体" w:hAnsi="宋体" w:eastAsia="宋体" w:cs="宋体"/>
          <w:b/>
          <w:bCs/>
          <w:sz w:val="24"/>
          <w:szCs w:val="24"/>
        </w:rPr>
        <w:t xml:space="preserve">引航自动计缴费结算</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引航自动计缴费结算系统主要有计费、收款、开发票等几大功能。</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系统根据引航员上传的签证单进行审核以及自动计算本次费用，船代人员可在web端或PPU终端看到本次费用，确认无误后付款，另外系统具有发票管理、审核等操作。引航费用会根据国家政策以及南通市港口管理局、南通港沿海港区引航站的要求制定收费规则，保障引航站财务人员工作进行顺利减少不必要的疏漏。</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引航计费(web/终端PPU)：电子签证单经过审核验证确认后，开始引航计费，引航计费按照引航站的引航收费费规进行计费，计费为自动计算，可以一键计费，多船统一计费。</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计费调整（web/终端ppu）：计费时可根据引航作业情况，进行费规选择，付款单位选择，计费时间调整，账单备注重点内容等。</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账单审批（web）：计费完成后，系统会自动生成【引航缴费通知账单】，账单需要财务负责人进行审批，审批通过后，引航缴费通知账单会自动发送给船代，船代收到缴费通知单后，即可缴费。如审核有误，可选择原因进行回退，重新计算费用。</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收款管理（web）：引航站的缴费管理功能，所有未缴费的作业记录可查询统计，并且可以查看船代用户的缴费账期，可催缴船代及时付清引航费。</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缴费记录(web)：缴费后的账单数据形成缴费记录，可多种条件查询统计金额，支持多选打印缴费通知单、签证单等。</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费规费率设置管理（web）：引航费收标准是根据国家的港口费收标准、港口运营政策、用户等级等很多方面综合协商制定的，所以费规费率设置是引航站的管理人员自行灵活配置和管理的。</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代理设置及账期管理（web）：引航站服务很多船代公司，每家代理公司会根据不同的规模与信誉度，都会被设置不同的缴费账期。</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电子发票开票作废（web）：为船代开票后发现错误，站内财务人员会进行发票作废进行登记记录。</w:t>
      </w:r>
      <w:r/>
    </w:p>
    <w:p>
      <w:pPr>
        <w:numPr>
          <w:ilvl w:val="0"/>
          <w:numId w:val="6"/>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财务计费操作记录（web）：系统都会自动记录财务人员所有的操作过程与关键环节流程，信息永久保存，以备后期查验追溯。</w:t>
      </w:r>
      <w:r/>
    </w:p>
    <w:p>
      <w:pPr>
        <w:pStyle w:val="673"/>
        <w:rPr>
          <w:rFonts w:hint="eastAsia" w:ascii="宋体" w:hAnsi="宋体" w:eastAsia="宋体" w:cs="宋体"/>
        </w:rPr>
      </w:pPr>
      <w:r>
        <w:rPr>
          <w:rFonts w:hint="eastAsia" w:ascii="宋体" w:hAnsi="宋体" w:eastAsia="宋体" w:cs="宋体"/>
          <w:lang w:val="en-US" w:eastAsia="zh-CN"/>
        </w:rPr>
        <w:t xml:space="preserve">7.实现</w:t>
      </w:r>
      <w:r>
        <w:rPr>
          <w:rFonts w:hint="eastAsia" w:ascii="宋体" w:hAnsi="宋体" w:eastAsia="宋体" w:cs="宋体"/>
        </w:rPr>
        <w:t xml:space="preserve">引航作业数据统计分析</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作业数据统计分析系统主要包括对引航、调度、收入、艘次、办理过程的统计，对引航计划、引航员状态、船舶动态的查询，也可查询个人引航计划与引航记录。通过关键字查询数据，并生产统计报表，支持导出、修改、打印报表等操作。基于云计算大数据的引航作业数据统计分析系统会自动对关键数据的收集统计并做智能分析，有助于南通港港航局领导直观地看到一定时期内的引航作业生产数据，从而科学地做规划决策。</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引航作业数据统计分析（web/终端PPU）：站内工作的数据统计，例如引航作业艘次数据统计及数据环比同比等分析图形化显示，此功能权限是站领导级别的专有功能。而且可将数据分享给相关人员。</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引航积分规则设置（web）：引航员引航积分的规则智能化规则配置，配置后，系统可按照规则智能计算引航积分，规则支持基础奖、白天夜间、不同港区、不同船长、不同难度等全部可自定义调整。</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引航积分汇总及明细（web/终端PPU）：个人引航积分汇总与积分明细统计。（领导权限）站内所有人员的积分汇总与积分明细统计，支持导出，支持积分多种条件查询及合计。</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港区引航作业数据中心（web）：展示引航站各个港区泊位的停靠船舶信息，计算港区作业数据统计量、引航船运载货物吞吐量、年数据统计量、各码头吞吐量、码头作业的效益比、码头申报信息等关键信息数据。</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引航船舶作业时刻表大屏（web）：显示本港所有船舶的作业时间与作业状态等信息。</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引航业务汇总中心（web）：汇总显示引航气象水文、台风、潮汐等气象信息，汇总显示船舶代理公司的缴费情况、引航站的船舶艘次统计，引航员的累计作业数据统计。</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引航运送货物统计中心（web）：引航站引航船舶的运送货物统计、货物来源统计、吞吐量统计、货物类型占比统计。</w:t>
      </w:r>
      <w:r/>
    </w:p>
    <w:p>
      <w:pPr>
        <w:numPr>
          <w:ilvl w:val="0"/>
          <w:numId w:val="7"/>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引航站安全作业统计中心（web）：引航安全隐患统计与码头视频监控中心。</w:t>
      </w:r>
      <w:r/>
    </w:p>
    <w:p>
      <w:pPr>
        <w:pStyle w:val="673"/>
        <w:rPr>
          <w:rFonts w:hint="eastAsia" w:ascii="宋体" w:hAnsi="宋体" w:eastAsia="宋体" w:cs="宋体"/>
        </w:rPr>
      </w:pPr>
      <w:r>
        <w:rPr>
          <w:rFonts w:hint="eastAsia" w:ascii="宋体" w:hAnsi="宋体" w:eastAsia="宋体" w:cs="宋体"/>
          <w:lang w:val="en-US" w:eastAsia="zh-CN"/>
        </w:rPr>
        <w:t xml:space="preserve">8.实现</w:t>
      </w:r>
      <w:r>
        <w:rPr>
          <w:rFonts w:hint="eastAsia" w:ascii="宋体" w:hAnsi="宋体" w:eastAsia="宋体" w:cs="宋体"/>
        </w:rPr>
        <w:t xml:space="preserve">平台后台管理服务</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后台管理服务是南通智慧港航一体化云服务平台的后台管理配置系统程序，是系统管理员工作的主要平台，主要用于管理员对用户角色的划分、用户的资料管理、权限的匹配、流程流转、审批办理、账户冻结管理等，均由后台管理服务进行调配。</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运维管理服务（web）：包括以下十一方面的功能；</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接口对接：终身负责引航站与外部单位的第三方系统的接口定义对接，确保系统未来能与其他所有系统实现兼容与互联互通。</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功能拓展：终身负责引航站未来的需求与业务功能的拓展，保障引航站未来运营服务规则与服务模式的的变化、迭代与递增都可在系统上实现对应的升级与拓展。</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性能监控与警报：实时监控系统性能、服务器状态、流量等，及时发出警报以处理潜在问题。</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数据备份与恢复：定期备份数据和系统配置，以便在出现故障时能迅速恢复。</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系统安全管理：实施防火墙、入侵检测、漏洞扫描等措施，确保系统的安全性。</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系统性能优化：分析系统性能瓶颈，调整配置或升级硬件以提高系统效率。</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故障分析处理：快速诊断、定位故障和解决系统故障，确保实现最短时间处理解决系统故障。</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更新与升级：平台服务、管理系统和应用程序的版本更新，确保使用最新的功能和安全补丁。</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日志管理：记录、收集和分析系统日志，以便进行故障排除和性能分析。</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容量规划：预测系统需求，规划资源扩展以满足未来增长。</w:t>
      </w:r>
      <w:r/>
    </w:p>
    <w:p>
      <w:pPr>
        <w:numPr>
          <w:ilvl w:val="0"/>
          <w:numId w:val="8"/>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文档与报告：维护系统文档，生成用户年度系统运维报告，记录系统状态和维护活动。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用户角色管理（web）：用户角色的配置管理，角色分内部和外部两大类。内部角色分为站领导、引航员、调度员等，外部角色分船代、码头、拖轮等。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用户权限配置（web）：配置用户的权限，可为角色配置，也可为某个人配置。</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用户数据分析（web）：用户操作数据的记录总结分析。</w:t>
      </w:r>
      <w:r/>
    </w:p>
    <w:p>
      <w:pPr>
        <w:pStyle w:val="673"/>
        <w:rPr>
          <w:rFonts w:hint="eastAsia" w:ascii="宋体" w:hAnsi="宋体" w:eastAsia="宋体" w:cs="宋体"/>
        </w:rPr>
      </w:pPr>
      <w:r>
        <w:rPr>
          <w:rFonts w:hint="eastAsia" w:ascii="宋体" w:hAnsi="宋体" w:eastAsia="宋体" w:cs="宋体"/>
          <w:lang w:val="en-US" w:eastAsia="zh-CN"/>
        </w:rPr>
        <w:t xml:space="preserve">9.实现</w:t>
      </w:r>
      <w:r>
        <w:rPr>
          <w:rFonts w:hint="eastAsia" w:ascii="宋体" w:hAnsi="宋体" w:eastAsia="宋体" w:cs="宋体"/>
        </w:rPr>
        <w:t xml:space="preserve">引航办公管理</w:t>
      </w:r>
      <w:r/>
    </w:p>
    <w:p>
      <w:pPr>
        <w:numPr>
          <w:ilvl w:val="0"/>
          <w:numId w:val="9"/>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港公司注册审核管理（web）：船代、码头企业、拖轮公司注册信息后，引航站进行审核批准与管理，只有引航站审核批准后，外部的本港公司才能真正使用系统。对本港公司进行统一管理，如有信誉不佳或者欠缴费等用户，进行黑名单处理，如有被冻结账户可手动解冻。支持每个公司下多个角色用户创建账户，配置权限。</w:t>
      </w:r>
      <w:r/>
    </w:p>
    <w:p>
      <w:pPr>
        <w:numPr>
          <w:ilvl w:val="0"/>
          <w:numId w:val="9"/>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制服管理（web）：引航站内务管理，站内制服的置换管理。支持对制服基础信息管理，如名称，更换周期，套数，图片等维护；支持统计每年需要更换的品目及数量；统计每类制服的人数及尺码；支持到期全选，一键更新日期。支持导出等功能。</w:t>
      </w:r>
      <w:r/>
    </w:p>
    <w:p>
      <w:pPr>
        <w:numPr>
          <w:ilvl w:val="0"/>
          <w:numId w:val="9"/>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引航请假审批管理（web/终端PPU）：引航员请假申请与站领导批准管理。支持请假天数的统计、年假核销，支持请假类型设定，审批人设定等内容。</w:t>
      </w:r>
      <w:r/>
    </w:p>
    <w:p>
      <w:pPr>
        <w:numPr>
          <w:ilvl w:val="0"/>
          <w:numId w:val="9"/>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引航证书及预警管理（web/终端PPU）：引航员证书管理与证书到期预警。到期会通过多种方式提醒引航员进行换证准备，支持多个证书的设定。</w:t>
      </w:r>
      <w:r/>
    </w:p>
    <w:p>
      <w:pPr>
        <w:numPr>
          <w:ilvl w:val="0"/>
          <w:numId w:val="9"/>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站内通知及信息发布接收管理（web/终端PPU）：站内发布通知公告，指定通知对象后，编辑信息内容，所有人员都在终端PPU接收信息通知与面板通知，支持已读及内容回复。</w:t>
      </w:r>
      <w:r/>
    </w:p>
    <w:p>
      <w:pPr>
        <w:numPr>
          <w:ilvl w:val="0"/>
          <w:numId w:val="9"/>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电子文件归档管理（web）：站内电子文件的归档保存与管理。文件上传到云端，然后站内用户可以下载。</w:t>
      </w:r>
      <w:r/>
    </w:p>
    <w:p>
      <w:pPr>
        <w:pStyle w:val="673"/>
        <w:rPr>
          <w:rFonts w:hint="eastAsia" w:ascii="宋体" w:hAnsi="宋体" w:eastAsia="宋体" w:cs="宋体"/>
        </w:rPr>
      </w:pPr>
      <w:r>
        <w:rPr>
          <w:rFonts w:hint="eastAsia" w:ascii="宋体" w:hAnsi="宋体" w:eastAsia="宋体" w:cs="宋体"/>
          <w:lang w:val="en-US" w:eastAsia="zh-CN"/>
        </w:rPr>
        <w:t xml:space="preserve">10.实现</w:t>
      </w:r>
      <w:r>
        <w:rPr>
          <w:rFonts w:hint="eastAsia" w:ascii="宋体" w:hAnsi="宋体" w:eastAsia="宋体" w:cs="宋体"/>
        </w:rPr>
        <w:t xml:space="preserve">便携式引航终端助导航子系统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引航员随身携带的便携式引航终端助导航系统，是引航</w:t>
      </w:r>
      <w:r>
        <w:rPr>
          <w:rFonts w:hint="eastAsia" w:ascii="宋体" w:hAnsi="宋体" w:eastAsia="宋体" w:cs="宋体"/>
          <w:sz w:val="24"/>
          <w:szCs w:val="24"/>
        </w:rPr>
        <w:t xml:space="preserve">员保障船舶引航工作安全性的重要辅助系统，尤其在多船紧迫会遇局面、天气状况能见度不良和靠离泊作业时候，为引航员提供预警和关键信息数据支撑保障，辅助引航员做出科学合理的紧急避让措施，船舶实时可视化标注，是引航员依赖和信任的专业工具类软件。通过系统可获取引航相关数据（如靠泊数据、航线回放、引航轨迹、计划航线、AIS船舶数据等），辅助引航员工作。系统不仅可外接北斗和AIS设备，还可接收云数据中心向引航终端发布的水文气象、潮汐、风速风向、台风运动路径、调度排班计划、转向预测、使用拖轮、泊位信息、航线、靠泊等信息数据。</w:t>
      </w:r>
      <w:r/>
    </w:p>
    <w:p>
      <w:pPr>
        <w:ind w:left="0" w:right="0" w:firstLine="480"/>
        <w:jc w:val="both"/>
        <w:keepLines w:val="0"/>
        <w:keepNext w:val="0"/>
        <w:pageBreakBefore w:val="0"/>
        <w:spacing w:line="360" w:lineRule="auto"/>
        <w:widowControl w:val="off"/>
        <w:rPr>
          <w:rFonts w:hint="default" w:ascii="Calibri" w:hAnsi="Calibri" w:eastAsia="宋体" w:cs="Calibri"/>
          <w:sz w:val="24"/>
          <w:szCs w:val="24"/>
          <w:lang w:val="en-US" w:eastAsia="zh-CN"/>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电子海图显示与控制：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①支持SENC在线更新方式。通过后台服务推送的方式通知用户海图更新。</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②支持IHO S63、S57 等标准电子海图格式，保持海图数据的兼容性。</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③海图显示符合IHO S52显示标准，所有显示符号满足S52的显示要求，并且在此基础针对引航作业的特殊需求做一些精细的调整，并充分考虑平板，触摸屏的使用习惯，对海图显示进行优化。</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使用矢量海图，保证海图“平滑缩放”和显示清晰。使用“海图无缝拼接”算法自动选择显示海图。</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⑤除S52显示标准的基础显示、标准显示和全部显示模式外，增加自定义显示模式，可以自定义显示危险物、障碍物、浅点等海图要素。</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⑥提供白天黑底、白天、黄昏、夜间模式海图配色。</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⑦提供快速的海图控制功能，如海图可以提供拖动平移、捏或双击缩放、旋转功能，支持手机，平板等触摸屏的操作习惯。</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⑧支持正北向上、航线向上和船首向上，真运动、相对运动模式等。通过与船舶跟踪和自由漫游两种船舶跟踪方式搭配，形成不同的船舶显示形式，如自由漫游、居中显示、偏心显示，跟踪模式下可以选择首向上或航向向上。</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9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⑨</w:t>
      </w:r>
      <w:r>
        <w:rPr>
          <w:rFonts w:hint="eastAsia" w:ascii="宋体" w:hAnsi="宋体" w:eastAsia="宋体" w:cs="宋体"/>
          <w:sz w:val="24"/>
          <w:szCs w:val="24"/>
        </w:rPr>
        <w:fldChar w:fldCharType="end"/>
      </w:r>
      <w:r>
        <w:rPr>
          <w:rFonts w:hint="eastAsia" w:ascii="宋体" w:hAnsi="宋体" w:eastAsia="宋体" w:cs="宋体"/>
          <w:sz w:val="24"/>
          <w:szCs w:val="24"/>
        </w:rPr>
        <w:t xml:space="preserve">可自定义选择电子海图上等深线的显示范围并可以 4 种颜色显示。</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10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⑩</w:t>
      </w:r>
      <w:r>
        <w:rPr>
          <w:rFonts w:hint="eastAsia" w:ascii="宋体" w:hAnsi="宋体" w:eastAsia="宋体" w:cs="宋体"/>
          <w:sz w:val="24"/>
          <w:szCs w:val="24"/>
        </w:rPr>
        <w:fldChar w:fldCharType="end"/>
      </w:r>
      <w:r>
        <w:rPr>
          <w:rFonts w:hint="eastAsia" w:ascii="宋体" w:hAnsi="宋体" w:eastAsia="宋体" w:cs="宋体"/>
          <w:sz w:val="24"/>
          <w:szCs w:val="24"/>
        </w:rPr>
        <w:t xml:space="preserve">支持一键回到本船操作。</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航线设计与航行监控功能</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①系统可以通过图形或菜单方式创建和编辑航线和航点，支持在海图上通过手指触摸的快捷操作方式添加，移动转向点。同时也可以通过手工添加的方式添加、编辑航点。</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②设定最大允许偏航距离时，在海图上可以显示XTD线和XTD区域，XTD线在海图上显示为左红右绿。航线调用后，航线调用后可以在UI上动态显示偏航距离。</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③各个航段可以具有相同属性，也可以为每个航段设置可选属性，如最大允许偏航距离、速度限制，是否警戒区域或限制区域，并提供报警功能。</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航线激活后，在界面上需要显示航线监控面板，显示本船至下一个航点的方位距离，航向余程，到达时间等。并可以选择航线上任意点作为监视点，显示到该点的时间、剩余距离及航向等信息。</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⑤支持快捷操作调用航线，长按航线可以弹出快捷操作菜单。</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⑥支持会遇点功能。航线调用后，当选择航线一定范围内的目标船后，可以在航线上以图标的方式显示会遇点，并且在目标船动态信息中可以显示会遇距离及会遇时间。</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⑦支持航线管理功能，可以导入、导出、修改、保存、删除、反转，另存等操作。</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⑧支持航线调用启动偏航报警功能，预设偏航预警值，当超出预设值时显示报警（声音提示）。</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AIS船舶数据接入解析：</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①以显示本船距离和方位。AIS 目标列表可以按编号、船名、类型、呼叫号、经度、纬度的顺序横向显示，可以按自定义属性排序，搜索。可以查询所有具有会遇点目标的TCPA、CPA、BCR。</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②在海图上单击AIS目标，可以选中目标，并且在界面上可以信息面板中显示该目标简要信息，包括HDG、COG、SOG、方位/距离、吃水、目的港，CPA/TCPA等。</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在海图上双击目标船或本船（三角形或真实船型），可以显示AIS详细面板显示船舶的动态和静态信息简易信息主要包含MMSI、船名、船长、船宽、吃水、经度、纬度、航速、航向、国籍、船舶类型、航行状态、目的港等等，并显示出与本船的DCPA和TCPA、DBCR/TBCR、会遇距离/时间，另外还需要显示引航生产数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具备AIS本地数据库功能，可以快速关联显示船舶静态信息。</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⑤支持AIS数据自动存储功能，并区分历史存储与当前接收的AIS数据。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⑥船舶查询定位：通过MMSI、船名、呼号字段进行模糊查询，列出符合条件的记录，并可以对指定记录进行居中定位高亮显示。</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⑦支持AIS目标标签显示与隐藏，标签类型提示跟随标签及悬浮标签，并且可以个性化设置标签显示内容，标签内容选项至少包括船名、MMSI、呼号、SOG、COG、吃水、CPA/TCPA、引航业务信息等。并且跟随标签及悬浮标签可以单独设置。可以自定义选择标签颜色。</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⑧提供矢量线显示开关、矢量时间标记显示开关、船艏线显示开关，矢量长度设置以及矢量线起始位置设置。矢量线起始位置提供天线位置、船中、纵向船中、横向船中、船艏、船艉等几种选项。并支持对单个AIS目标矢量线的显隐功能。</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9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⑨</w:t>
      </w:r>
      <w:r>
        <w:rPr>
          <w:rFonts w:hint="eastAsia" w:ascii="宋体" w:hAnsi="宋体" w:eastAsia="宋体" w:cs="宋体"/>
          <w:sz w:val="24"/>
          <w:szCs w:val="24"/>
        </w:rPr>
        <w:fldChar w:fldCharType="end"/>
      </w:r>
      <w:r>
        <w:rPr>
          <w:rFonts w:hint="eastAsia" w:ascii="宋体" w:hAnsi="宋体" w:eastAsia="宋体" w:cs="宋体"/>
          <w:sz w:val="24"/>
          <w:szCs w:val="24"/>
        </w:rPr>
        <w:t xml:space="preserve">AIS图标显示支持三角符号和真实船型两种类型，支持自定义AIS目标显示效果（外框颜色、填充颜色、透明度,无空心/实心显示）。可以根据AIS船舶类型进行分组，可以指定不同分组的条颜色以及填充色。自定义各类 AIS 目标以及不同信号来源的 AIS 目标的填充颜色。</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10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⑩</w:t>
      </w:r>
      <w:r>
        <w:rPr>
          <w:rFonts w:hint="eastAsia" w:ascii="宋体" w:hAnsi="宋体" w:eastAsia="宋体" w:cs="宋体"/>
          <w:sz w:val="24"/>
          <w:szCs w:val="24"/>
        </w:rPr>
        <w:fldChar w:fldCharType="end"/>
      </w:r>
      <w:r>
        <w:rPr>
          <w:rFonts w:hint="eastAsia" w:ascii="宋体" w:hAnsi="宋体" w:eastAsia="宋体" w:cs="宋体"/>
          <w:sz w:val="24"/>
          <w:szCs w:val="24"/>
        </w:rPr>
        <w:t xml:space="preserve">支持AIS目标标签显示与隐藏；支持AIS显示标签类型设置；支持自动计算CPA，当存在碰撞危险是，目标船舶显示红色、并闪动，同时自动显示本船与目标船舶CPA线。</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val="0"/>
          <w:bCs w:val="0"/>
          <w:sz w:val="24"/>
          <w:szCs w:val="24"/>
          <w:lang w:val="en-US" w:eastAsia="zh-CN"/>
        </w:rPr>
        <w:t xml:space="preserve">⑪</w:t>
      </w:r>
      <w:r>
        <w:rPr>
          <w:rFonts w:hint="eastAsia" w:ascii="宋体" w:hAnsi="宋体" w:eastAsia="宋体" w:cs="宋体"/>
          <w:sz w:val="24"/>
          <w:szCs w:val="24"/>
        </w:rPr>
        <w:t xml:space="preserve">显隐虚拟AIS助航目标、虚拟AIS目标显示符号S52规范。</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val="0"/>
          <w:bCs w:val="0"/>
          <w:sz w:val="24"/>
          <w:szCs w:val="24"/>
          <w:lang w:val="en-US" w:eastAsia="zh-CN"/>
        </w:rPr>
        <w:t xml:space="preserve">⑫</w:t>
      </w:r>
      <w:r>
        <w:rPr>
          <w:rFonts w:hint="eastAsia" w:ascii="宋体" w:hAnsi="宋体" w:eastAsia="宋体" w:cs="宋体"/>
          <w:sz w:val="24"/>
          <w:szCs w:val="24"/>
        </w:rPr>
        <w:t xml:space="preserve">显隐AIS目标轨迹，显示时目标轨迹时间设置。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val="0"/>
          <w:bCs w:val="0"/>
          <w:sz w:val="24"/>
          <w:szCs w:val="24"/>
          <w:lang w:val="en-US" w:eastAsia="zh-CN"/>
        </w:rPr>
        <w:t xml:space="preserve">⑬</w:t>
      </w:r>
      <w:r>
        <w:rPr>
          <w:rFonts w:hint="eastAsia" w:ascii="宋体" w:hAnsi="宋体" w:eastAsia="宋体" w:cs="宋体"/>
          <w:sz w:val="24"/>
          <w:szCs w:val="24"/>
        </w:rPr>
        <w:t xml:space="preserve">可以显示超宽船，可以自定义设置超宽船阈值。</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val="0"/>
          <w:bCs w:val="0"/>
          <w:sz w:val="24"/>
          <w:szCs w:val="24"/>
          <w:lang w:val="en-US" w:eastAsia="zh-CN"/>
        </w:rPr>
        <w:t xml:space="preserve">⑭</w:t>
      </w:r>
      <w:r>
        <w:rPr>
          <w:rFonts w:hint="eastAsia" w:ascii="宋体" w:hAnsi="宋体" w:eastAsia="宋体" w:cs="宋体"/>
          <w:sz w:val="24"/>
          <w:szCs w:val="24"/>
        </w:rPr>
        <w:t xml:space="preserve">选中目标时，可以显示CPA圆及CPA线。</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微软雅黑" w:hAnsi="微软雅黑" w:eastAsia="微软雅黑" w:cs="微软雅黑"/>
          <w:b w:val="0"/>
          <w:bCs w:val="0"/>
          <w:sz w:val="24"/>
          <w:szCs w:val="24"/>
          <w:lang w:val="en-US" w:eastAsia="zh-CN"/>
        </w:rPr>
        <w:t xml:space="preserve">⑮</w:t>
      </w:r>
      <w:r>
        <w:rPr>
          <w:rFonts w:hint="eastAsia" w:ascii="宋体" w:hAnsi="宋体" w:eastAsia="宋体" w:cs="宋体"/>
          <w:sz w:val="24"/>
          <w:szCs w:val="24"/>
        </w:rPr>
        <w:t xml:space="preserve">自定义隐藏某类目标，如渔船、引航船、游艇、虚拟航标等。</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微软雅黑" w:hAnsi="微软雅黑" w:eastAsia="微软雅黑" w:cs="微软雅黑"/>
          <w:b w:val="0"/>
          <w:bCs w:val="0"/>
          <w:sz w:val="24"/>
          <w:szCs w:val="24"/>
          <w:lang w:val="en-US" w:eastAsia="zh-CN"/>
        </w:rPr>
        <w:t xml:space="preserve">⑯</w:t>
      </w:r>
      <w:r>
        <w:rPr>
          <w:rFonts w:hint="eastAsia" w:ascii="宋体" w:hAnsi="宋体" w:eastAsia="宋体" w:cs="宋体"/>
          <w:sz w:val="24"/>
          <w:szCs w:val="24"/>
        </w:rPr>
        <w:t xml:space="preserve">自定义隐藏拖轮的矢量线，在拖轮协助靠泊时保持界面清爽。</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GB"/>
        </w:rPr>
        <w:t xml:space="preserve">靠泊功能</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①显示船舶靠泊信息包括：船头距码头的位置和速度、船首向、航向、横移速度、纵向速度、ROT、转向角、船尾距码头的位置和速度；数据显示在电子海图上也有显示连线和数据；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②支持靠泊线绘制功能：电子海图上绘制与输入经纬度坐标两种绘制方式；</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③支持自动调用靠泊线。默认状态下自动调用靠泊线。并可对靠泊数据进行预设值，当达到预设值时提示报警；</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支持船舶运动姿态数据显示。计算船舶航行时的纵向速度和船舶首尾横移速度和运动方向（本功能依赖本船的ROT数据）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支持船位预测功能。预测下一时间船舶态势，并绘制实际船型。弯曲矢量线绘制，使用实际船型显示航迹。系统根据船舶的动态信息数据进行预测船舶未来的走向的功能。支持预测船型间间隔时间、预测长度设置可以选择N个船型的预测长度。（本功能依赖本船的ROT数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eastAsia="宋体" w:cs="宋体"/>
          <w:sz w:val="24"/>
          <w:szCs w:val="24"/>
        </w:rPr>
        <w:t xml:space="preserve">⑥可以实时显示船舶的距等深线，目标船，岸线，码头的距离线。</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GB"/>
        </w:rPr>
        <w:t xml:space="preserve">船舶避碰预警：</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eastAsia="宋体" w:cs="宋体"/>
          <w:sz w:val="24"/>
          <w:szCs w:val="24"/>
          <w:lang w:val="en-GB"/>
        </w:rPr>
        <w:t xml:space="preserve">自动计算会遇点CPA，手动设置</w:t>
      </w:r>
      <w:r>
        <w:rPr>
          <w:rFonts w:hint="eastAsia" w:ascii="宋体" w:hAnsi="宋体" w:eastAsia="宋体" w:cs="宋体"/>
          <w:sz w:val="24"/>
          <w:szCs w:val="24"/>
        </w:rPr>
        <w:t xml:space="preserve">最小</w:t>
      </w:r>
      <w:r>
        <w:rPr>
          <w:rFonts w:hint="eastAsia" w:ascii="宋体" w:hAnsi="宋体" w:eastAsia="宋体" w:cs="宋体"/>
          <w:sz w:val="24"/>
          <w:szCs w:val="24"/>
          <w:lang w:val="en-GB"/>
        </w:rPr>
        <w:t xml:space="preserve">会遇距离DCPA和会遇时间TCPA的警报阀值，当超过设定报警阀值，存在碰撞危险时，目标船舶显示红色，同时</w:t>
      </w:r>
      <w:r>
        <w:rPr>
          <w:rFonts w:hint="eastAsia" w:ascii="宋体" w:hAnsi="宋体" w:eastAsia="宋体" w:cs="宋体"/>
          <w:sz w:val="24"/>
          <w:szCs w:val="24"/>
        </w:rPr>
        <w:t xml:space="preserve">在电子海图上</w:t>
      </w:r>
      <w:r>
        <w:rPr>
          <w:rFonts w:hint="eastAsia" w:ascii="宋体" w:hAnsi="宋体" w:eastAsia="宋体" w:cs="宋体"/>
          <w:sz w:val="24"/>
          <w:szCs w:val="24"/>
          <w:lang w:val="en-GB"/>
        </w:rPr>
        <w:t xml:space="preserve">显示本船与目标船舶CPA线。</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GB"/>
        </w:rPr>
        <w:t xml:space="preserve">引航再现：</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①引航记录是自动的，记录文件保存在终端设备上。记录的数据内容包括所有传感器数据和AIS目标数据、本机录音数据以及引航计划数据。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②支持同步语音录制。</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③支持回放数据的删除、导出、上传及回放功能。回放时，界面上所有时间点及数据必须同步回放点的真实数据值，如潮汐、生产计划、航线监控等。</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所有数据在移动终端以数据库的方式保存，包括AIS、录音、引航计划数据等。上传回放数据时，可以将AIS、录音、引航计划数据打包生成一个记录文件上传至服务器。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w:t>
      </w:r>
      <w:r>
        <w:rPr>
          <w:rFonts w:hint="eastAsia" w:ascii="宋体" w:hAnsi="宋体" w:eastAsia="宋体" w:cs="宋体"/>
          <w:sz w:val="24"/>
          <w:szCs w:val="24"/>
          <w:lang w:val="en-GB"/>
        </w:rPr>
        <w:t xml:space="preserve">水文气象显示：风、浪、潮汐等数据直接显示，并向引航</w:t>
      </w:r>
      <w:r>
        <w:rPr>
          <w:rFonts w:hint="eastAsia" w:ascii="宋体" w:hAnsi="宋体" w:eastAsia="宋体" w:cs="宋体"/>
          <w:sz w:val="24"/>
          <w:szCs w:val="24"/>
        </w:rPr>
        <w:t xml:space="preserve">员播报；</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eastAsia="宋体" w:cs="宋体"/>
          <w:sz w:val="24"/>
          <w:szCs w:val="24"/>
        </w:rPr>
        <w:t xml:space="preserve">⑥</w:t>
      </w:r>
      <w:r>
        <w:rPr>
          <w:rFonts w:hint="eastAsia" w:ascii="宋体" w:hAnsi="宋体" w:eastAsia="宋体" w:cs="宋体"/>
          <w:sz w:val="24"/>
          <w:szCs w:val="24"/>
          <w:lang w:val="en-GB"/>
        </w:rPr>
        <w:t xml:space="preserve">海图数据更新：当海事局官方有海图数据更新发布后，系统可同步完成最新版电子海图数据的数据更新服务，引航员可下载安装最新版的海图数据；</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eastAsia="宋体" w:cs="宋体"/>
          <w:b w:val="0"/>
          <w:bCs w:val="0"/>
          <w:sz w:val="24"/>
          <w:szCs w:val="24"/>
        </w:rPr>
        <w:t xml:space="preserve">⑦</w:t>
      </w:r>
      <w:r>
        <w:rPr>
          <w:rFonts w:hint="eastAsia" w:ascii="宋体" w:hAnsi="宋体" w:eastAsia="宋体" w:cs="宋体"/>
          <w:sz w:val="24"/>
          <w:szCs w:val="24"/>
          <w:lang w:val="en-GB"/>
        </w:rPr>
        <w:t xml:space="preserve">业务数据：引航终端导航子系统与引航业务管理子系统是数据共通的，所以引航员可直接查看引航船的所在位置、排班引航员、船舶基本资料、船舶作业申请、预作业时间、作业类型、作业目的地、船舶评价、相关附件与本站今日内所有船舶引航排班计划等数据，最后直接填写电子签证单。</w:t>
      </w:r>
      <w:r/>
    </w:p>
    <w:p>
      <w:pPr>
        <w:pStyle w:val="673"/>
        <w:rPr>
          <w:rFonts w:hint="eastAsia" w:ascii="宋体" w:hAnsi="宋体" w:eastAsia="宋体" w:cs="宋体"/>
        </w:rPr>
      </w:pPr>
      <w:r>
        <w:rPr>
          <w:rFonts w:hint="eastAsia" w:ascii="宋体" w:hAnsi="宋体" w:eastAsia="宋体" w:cs="宋体"/>
          <w:lang w:val="en-US" w:eastAsia="zh-CN"/>
        </w:rPr>
        <w:t xml:space="preserve">11.实现</w:t>
      </w:r>
      <w:r>
        <w:rPr>
          <w:rFonts w:hint="eastAsia" w:ascii="宋体" w:hAnsi="宋体" w:eastAsia="宋体" w:cs="宋体"/>
        </w:rPr>
        <w:t xml:space="preserve">应用系统对接</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GB"/>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系统单点登录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统一用户管理及身份认证平台采用票据传递的方式进行用户信息共享，保证登录会话在不同的站点进行创建。用户访问智慧引航平台的站点时通过当前登录的站点创建票据，传递票据到智慧引航平台站点，智慧引航平台站点接收到票据之后调用统一用户管理及身份认证平台票据认证系统接口进行票据认证，认证成功之后创建登录会话从而使得用户能够进行跨站登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数据与接口对接</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沿海港区智慧引航云服务一体化系统与通州湾港航一体化平台可实现数据与接口对接，目前可提供的数据包括不限于：港口码头泊位的名称与指标参数、船舶基本静态信息、AIS船舶动态信息数据、水文气象信息数据、潮汐数据、港航船舶进出港计划数据、船舶航行作业状态信息数据等。</w:t>
      </w:r>
      <w:r/>
    </w:p>
    <w:p>
      <w:pPr>
        <w:pStyle w:val="673"/>
        <w:rPr>
          <w:rFonts w:hint="eastAsia" w:ascii="宋体" w:hAnsi="宋体" w:eastAsia="宋体" w:cs="宋体"/>
        </w:rPr>
      </w:pPr>
      <w:r>
        <w:rPr>
          <w:rFonts w:hint="eastAsia" w:ascii="宋体" w:hAnsi="宋体" w:cs="宋体"/>
          <w:lang w:val="en-US" w:eastAsia="zh-CN"/>
        </w:rPr>
        <w:t xml:space="preserve">12.</w:t>
      </w:r>
      <w:r>
        <w:rPr>
          <w:rFonts w:hint="eastAsia" w:ascii="宋体" w:hAnsi="宋体" w:eastAsia="宋体" w:cs="宋体"/>
        </w:rPr>
        <w:t xml:space="preserve">引航员船舶助航终端</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引航员船舶助航终端是一整套专业的引航员单兵辅助工具设备，由AIS PilotPlug数据适配器、北斗/GPS+自主AIS一体式导航仪、微型船舶靠泊显示终端、便携</w:t>
      </w:r>
      <w:r>
        <w:rPr>
          <w:rFonts w:hint="eastAsia" w:ascii="宋体" w:hAnsi="宋体" w:eastAsia="宋体" w:cs="宋体"/>
          <w:sz w:val="24"/>
          <w:szCs w:val="24"/>
        </w:rPr>
        <w:t xml:space="preserve">性引航靠泊显示终端。AIS PilotPlug数据适配器是要与船舶的AIS设备相连，提供引航员需要提前预知的本船AIS船舶动态信息与静态信息，还可提供本船周边附近水域的其他船舶的AIS船舶动态信息与静态信息，通过这些数据我们可以精确判断本引航船的船首向、转向角ROT、航向、航速、偏航距离、测算与其他船舶会遇的最小距离与最小时间等主要功能；北斗/GPS+自主AIS一体式导航仪是提供可靠的高精度的船舶定位数据，提供北斗与GPS双模定位模式，保障设备在引航过程中定位精度和安全系数；微型船舶靠泊显示终端是安装便携式</w:t>
      </w:r>
      <w:r>
        <w:rPr>
          <w:rFonts w:hint="eastAsia" w:ascii="宋体" w:hAnsi="宋体" w:eastAsia="宋体" w:cs="宋体"/>
          <w:sz w:val="24"/>
          <w:szCs w:val="24"/>
        </w:rPr>
        <w:t xml:space="preserve">引航终端导航子系统的重要存储和显示设备。主要是在引航员靠离泊作业过程提供和显示靠泊角度与安全距离速度，因为在此过程中引航员需要在船舷侧作业指挥，所以需要更为轻便易拿的设备，边看数据边控制指挥船舶与拖轮拖拽与角度；便携性引航靠泊显示终端也是安装便携式引航终端导航子系统的主要存储和显示设备。引航船舶在航道内航行时，矢量海图数据显示、船舶实时标绘显示与数据测量工具，引航员可参照本船经纬度位置、转向率、航速、航向、首向、DCPA和TCPA、航海测量等关键参数进行航行指挥控制，并帮助引航员做出有效判断和预警报警提示。</w:t>
      </w:r>
      <w:r>
        <w:rPr>
          <w:rFonts w:hint="eastAsia" w:ascii="宋体" w:hAnsi="宋体" w:eastAsia="宋体" w:cs="宋体"/>
          <w:sz w:val="24"/>
          <w:szCs w:val="24"/>
          <w:lang w:val="en-US" w:eastAsia="zh-Hans"/>
        </w:rPr>
        <w:t xml:space="preserve">目</w:t>
      </w:r>
      <w:r>
        <w:rPr>
          <w:rFonts w:hint="eastAsia" w:ascii="宋体" w:hAnsi="宋体" w:eastAsia="宋体" w:cs="宋体"/>
          <w:sz w:val="24"/>
          <w:szCs w:val="24"/>
        </w:rPr>
        <w:t xml:space="preserve">前站内共计13名引航员，所以需要配备13套助航终端，才能保障引航工作的正常开展。</w:t>
      </w:r>
      <w:r/>
    </w:p>
    <w:p>
      <w:pPr>
        <w:ind w:left="0" w:right="0" w:firstLine="480"/>
        <w:jc w:val="both"/>
        <w:keepLines w:val="0"/>
        <w:keepNext w:val="0"/>
        <w:pageBreakBefore w:val="0"/>
        <w:spacing w:line="360" w:lineRule="auto"/>
        <w:widowControl w:val="off"/>
        <w:rPr>
          <w:rFonts w:hint="eastAsia" w:ascii="宋体" w:hAnsi="宋体" w:eastAsia="宋体" w:cs="宋体"/>
          <w:b w:val="0"/>
          <w:bCs w:val="0"/>
          <w:sz w:val="24"/>
          <w:szCs w:val="24"/>
        </w:rPr>
        <w:outlineLvl w:val="9"/>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硬件设备连接及数据解析</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①AIS PilotPlug数据适配器是船端主流的PPU硬件设备，主要用于连接船端引水PilotPlug接口，获取AIS数据。</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②北斗/GPS+自主AIS一体式导航仪是能够接收并解析包括 AIS Class A、AIS Class B、航标 AIS、AIS-SART、AIS-MOB 以及 AIS 基站等设备发送的 AIS 报文数据，内置高精度北斗 GPS 导航系统，无线 WiFi 蓝牙及 USB 多种传输方式。</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微型船舶靠泊显示终端是安装便携式引航终端导航子系统的存储和显示设备，是一套专业的靠离泊指挥控制工具。主要是在引航员靠离泊作业过程提供和显示靠泊角度与安全距离速度，引航员可参照看实时动态数据，再控制和指挥本船舶与拖轮拖拽力度与角度。</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便携性引航靠泊显示终端也是安装便携式引航终端导航子系统的主要存储和显示设备。显示电子矢量海图数据显示、船舶实时标绘显示与数据测量工具，引航员可参照本船经纬度位置、转向率、航速、航向、首向、DCPA和TCPA、航海测量等关键参数进行航行指挥控制，并帮助引航员做出有效判断和预警报警提示。</w:t>
      </w:r>
      <w:r/>
    </w:p>
    <w:tbl>
      <w:tblPr>
        <w:tblStyle w:val="681"/>
        <w:tblpPr w:horzAnchor="page" w:tblpX="1811" w:vertAnchor="text" w:tblpY="803" w:leftFromText="180" w:topFromText="0" w:rightFromText="180" w:bottomFromText="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5"/>
        <w:gridCol w:w="2051"/>
        <w:gridCol w:w="5409"/>
        <w:gridCol w:w="910"/>
      </w:tblGrid>
      <w:tr>
        <w:trPr>
          <w:jc w:val="center"/>
          <w:trHeight w:val="51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pageBreakBefore w:val="0"/>
              <w:spacing w:line="360" w:lineRule="auto"/>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ind w:firstLine="420"/>
              <w:jc w:val="center"/>
              <w:pageBreakBefore w:val="0"/>
              <w:spacing w:line="360" w:lineRule="auto"/>
              <w:rPr>
                <w:rFonts w:hint="eastAsia" w:ascii="宋体" w:hAnsi="宋体" w:eastAsia="宋体" w:cs="宋体"/>
              </w:rPr>
            </w:pPr>
            <w:r>
              <w:rPr>
                <w:rFonts w:hint="eastAsia" w:ascii="宋体" w:hAnsi="宋体" w:eastAsia="宋体" w:cs="宋体"/>
              </w:rPr>
              <w:t xml:space="preserve">设备名称</w:t>
            </w:r>
            <w:r/>
          </w:p>
        </w:tc>
        <w:tc>
          <w:tcPr>
            <w:tcBorders>
              <w:top w:val="single" w:color="000000" w:sz="4" w:space="0"/>
              <w:left w:val="single" w:color="000000" w:sz="4" w:space="0"/>
              <w:bottom w:val="single" w:color="000000" w:sz="4" w:space="0"/>
              <w:right w:val="single" w:color="000000" w:sz="4" w:space="0"/>
            </w:tcBorders>
            <w:tcW w:w="2949" w:type="pct"/>
            <w:vAlign w:val="center"/>
            <w:textDirection w:val="lrTb"/>
            <w:noWrap w:val="false"/>
          </w:tcPr>
          <w:p>
            <w:pPr>
              <w:ind w:firstLine="420"/>
              <w:jc w:val="center"/>
              <w:pageBreakBefore w:val="0"/>
              <w:spacing w:line="360" w:lineRule="auto"/>
              <w:rPr>
                <w:rFonts w:hint="eastAsia" w:ascii="宋体" w:hAnsi="宋体" w:eastAsia="宋体" w:cs="宋体"/>
              </w:rPr>
            </w:pPr>
            <w:r>
              <w:rPr>
                <w:rFonts w:hint="eastAsia" w:ascii="宋体" w:hAnsi="宋体" w:eastAsia="宋体" w:cs="宋体"/>
              </w:rPr>
              <w:t xml:space="preserve">参数</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pageBreakBefore w:val="0"/>
              <w:spacing w:line="360" w:lineRule="auto"/>
              <w:rPr>
                <w:rFonts w:hint="eastAsia" w:ascii="宋体" w:hAnsi="宋体" w:eastAsia="宋体" w:cs="宋体"/>
              </w:rPr>
            </w:pPr>
            <w:r>
              <w:rPr>
                <w:rFonts w:hint="eastAsia" w:ascii="宋体" w:hAnsi="宋体" w:eastAsia="宋体" w:cs="宋体"/>
              </w:rPr>
              <w:t xml:space="preserve">数量</w:t>
            </w:r>
            <w:r/>
          </w:p>
        </w:tc>
      </w:tr>
      <w:tr>
        <w:trPr>
          <w:jc w:val="center"/>
          <w:trHeight w:val="360"/>
        </w:trPr>
        <w:tc>
          <w:tcPr>
            <w:tcBorders>
              <w:top w:val="single" w:color="000000" w:sz="4" w:space="0"/>
              <w:left w:val="single" w:color="000000" w:sz="4" w:space="0"/>
              <w:right w:val="single" w:color="000000" w:sz="4" w:space="0"/>
            </w:tcBorders>
            <w:tcW w:w="434"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both"/>
              <w:pageBreakBefore w:val="0"/>
              <w:spacing w:line="360" w:lineRule="auto"/>
              <w:rPr>
                <w:rFonts w:hint="eastAsia" w:ascii="宋体" w:hAnsi="宋体" w:eastAsia="宋体" w:cs="宋体"/>
              </w:rPr>
            </w:pPr>
            <w:r>
              <w:rPr>
                <w:rFonts w:hint="eastAsia" w:ascii="宋体" w:hAnsi="宋体" w:eastAsia="宋体" w:cs="宋体"/>
              </w:rPr>
              <w:t xml:space="preserve">AIS pilot PLUG</w:t>
            </w:r>
            <w:r/>
          </w:p>
          <w:p>
            <w:pPr>
              <w:jc w:val="both"/>
              <w:pageBreakBefore w:val="0"/>
              <w:spacing w:line="360" w:lineRule="auto"/>
              <w:rPr>
                <w:rFonts w:hint="eastAsia" w:ascii="宋体" w:hAnsi="宋体" w:eastAsia="宋体" w:cs="宋体"/>
              </w:rPr>
            </w:pPr>
            <w:r>
              <w:rPr>
                <w:rFonts w:hint="eastAsia" w:ascii="宋体" w:hAnsi="宋体" w:eastAsia="宋体" w:cs="宋体"/>
              </w:rPr>
              <w:t xml:space="preserve">（AIS数据适配器）</w:t>
            </w:r>
            <w:r/>
          </w:p>
        </w:tc>
        <w:tc>
          <w:tcPr>
            <w:tcBorders>
              <w:top w:val="single" w:color="000000" w:sz="4" w:space="0"/>
              <w:left w:val="single" w:color="000000" w:sz="4" w:space="0"/>
              <w:bottom w:val="single" w:color="000000" w:sz="4" w:space="0"/>
              <w:right w:val="single" w:color="000000" w:sz="4" w:space="0"/>
            </w:tcBorders>
            <w:tcW w:w="2949"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网络协议：TCP/IP协议；</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标准AIS引航接口连接；</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接收处理标准AIS语句数据；</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使用温度：-10℃～+60℃；</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设备具有抗震、防尘能力；</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采用无线通信方式与显示终端进行信息交互；</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通信能力实船条件下，传输距离大于30米；</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设备需体积小、重量轻、便于携带；支持独立设备使用，操作便捷；</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续航能力：≧40小时。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13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both"/>
              <w:pageBreakBefore w:val="0"/>
              <w:spacing w:line="360" w:lineRule="auto"/>
              <w:rPr>
                <w:rFonts w:hint="eastAsia" w:ascii="宋体" w:hAnsi="宋体" w:eastAsia="宋体" w:cs="宋体"/>
              </w:rPr>
            </w:pPr>
            <w:r>
              <w:rPr>
                <w:rFonts w:hint="eastAsia" w:ascii="宋体" w:hAnsi="宋体" w:eastAsia="宋体" w:cs="宋体"/>
              </w:rPr>
              <w:t xml:space="preserve">北斗/GPS+自主AIS一体式导航仪</w:t>
            </w:r>
            <w:r/>
          </w:p>
        </w:tc>
        <w:tc>
          <w:tcPr>
            <w:tcBorders>
              <w:top w:val="single" w:color="000000" w:sz="4" w:space="0"/>
              <w:left w:val="single" w:color="000000" w:sz="4" w:space="0"/>
              <w:bottom w:val="single" w:color="000000" w:sz="4" w:space="0"/>
              <w:right w:val="single" w:color="000000" w:sz="4" w:space="0"/>
            </w:tcBorders>
            <w:tcW w:w="2949"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北斗/GPS+自主AIS一体式导航仪</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频道：双通道为 CH-1 87B、 CH-2 88B</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频率范围：161.975 MHz~162.025 MHz</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通道波特率：9600bps</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信道带宽：25KHz</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接收灵敏度：-117dBm @PER≤20%</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Channel：50 个频道</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输出标准：NMEA 0183 消息类型 GGA，GSA，RMC</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灵敏度：跟踪：-162dBm重新取得 ：-160dBm</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首次定位时间：冷启动 30秒，热启动 29秒</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定位精度：水平精度＜2.5m,差分＜2.0m,速率显示0.1kn</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标准：IEEE 802.11 b/g/n</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电池持续时间：续航时间长</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AIS 鞭状天线：SMA 50Ω，VHF136MHz-174 MHz</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13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微型船舶</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靠泊显示终端</w:t>
            </w:r>
            <w:r/>
          </w:p>
        </w:tc>
        <w:tc>
          <w:tcPr>
            <w:tcBorders>
              <w:top w:val="single" w:color="000000" w:sz="4" w:space="0"/>
              <w:left w:val="single" w:color="000000" w:sz="4" w:space="0"/>
              <w:bottom w:val="single" w:color="000000" w:sz="4" w:space="0"/>
              <w:right w:val="single" w:color="000000" w:sz="4" w:space="0"/>
            </w:tcBorders>
            <w:tcW w:w="2949"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内置传感器：环境光、红外、指纹、霍尔、陀螺仪</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、指南针、NFC、重力传感器、姿态感应器</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运行存储容量：16GB+1TB</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显示屏：6.8英寸</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显示分辨率：2760x1256px</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触摸屏类型：多点触控，最多支持10点触控</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网络通信协议：</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802.11 a/b/g/n/ac/ax,2x2 MIMO,HE160,1024QAM</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定位导航：支持 GPS（L1 + L5 双频）/AGPS/GLONASS/北斗（B1I + B1C + B2a + B2b 四频）/GALILEO（E1 + E5a + E5b 三频）/QZSS（L1 + L5 双频）/NavIC</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终端电池容量：5200mAh</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数据线接口：USB Type-C</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产品工作温度:0℃～35℃</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产品存储温度:–20℃～45℃</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终端尺寸:162.6mm× 75.1mm× 8.4mm</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防溅、抗水、防尘：支持防尘抗水（符合IP68）</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13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便携性引航</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靠泊显示终端</w:t>
            </w:r>
            <w:r/>
          </w:p>
        </w:tc>
        <w:tc>
          <w:tcPr>
            <w:tcBorders>
              <w:top w:val="single" w:color="000000" w:sz="4" w:space="0"/>
              <w:left w:val="single" w:color="000000" w:sz="4" w:space="0"/>
              <w:bottom w:val="single" w:color="000000" w:sz="4" w:space="0"/>
              <w:right w:val="single" w:color="000000" w:sz="4" w:space="0"/>
            </w:tcBorders>
            <w:tcW w:w="2949"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显示屏：12.2英寸</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运行存储容量：8GB+256GB</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显示分辨率：2800 × 1840像素</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终端电池容量：8800mAh</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终端尺寸：261.0mm × 177.3mm × 6.20mm</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网络通信协议：</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802.11 a/b/g/n/ac/ax，2×2 MIMO HE160GPS</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定位导航：需与外接定位导航设备连接后定位导航</w:t>
            </w:r>
            <w:r/>
          </w:p>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感应器：重力，陀螺仪，指南针，霍尔感应器</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firstLine="420"/>
              <w:jc w:val="both"/>
              <w:pageBreakBefore w:val="0"/>
              <w:spacing w:line="360" w:lineRule="auto"/>
              <w:rPr>
                <w:rFonts w:hint="eastAsia" w:ascii="宋体" w:hAnsi="宋体" w:eastAsia="宋体" w:cs="宋体"/>
              </w:rPr>
            </w:pPr>
            <w:r>
              <w:rPr>
                <w:rFonts w:hint="eastAsia" w:ascii="宋体" w:hAnsi="宋体" w:eastAsia="宋体" w:cs="宋体"/>
              </w:rPr>
              <w:t xml:space="preserve">13</w:t>
            </w:r>
            <w:r/>
          </w:p>
        </w:tc>
      </w:tr>
    </w:tbl>
    <w:p>
      <w:pPr>
        <w:pStyle w:val="672"/>
        <w:rPr>
          <w:rFonts w:hint="eastAsia" w:ascii="宋体" w:hAnsi="宋体" w:eastAsia="宋体" w:cs="宋体"/>
          <w:b/>
          <w:bCs/>
          <w:sz w:val="28"/>
          <w:szCs w:val="28"/>
          <w:lang w:val="en-US" w:eastAsia="zh-Hans"/>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项目</w:t>
      </w:r>
      <w:r>
        <w:rPr>
          <w:rFonts w:hint="eastAsia" w:ascii="宋体" w:hAnsi="宋体" w:eastAsia="宋体" w:cs="宋体"/>
          <w:b/>
          <w:bCs/>
          <w:sz w:val="28"/>
          <w:szCs w:val="28"/>
          <w:lang w:eastAsia="zh-CN"/>
        </w:rPr>
        <w:t xml:space="preserve">系统</w:t>
      </w:r>
      <w:r>
        <w:rPr>
          <w:rFonts w:hint="eastAsia" w:ascii="宋体" w:hAnsi="宋体" w:eastAsia="宋体" w:cs="宋体"/>
          <w:b/>
          <w:bCs/>
          <w:sz w:val="28"/>
          <w:szCs w:val="28"/>
          <w:lang w:val="en-US" w:eastAsia="zh-CN"/>
        </w:rPr>
        <w:t xml:space="preserve">参数</w:t>
      </w:r>
      <w:r>
        <w:rPr>
          <w:rFonts w:hint="eastAsia" w:ascii="宋体" w:hAnsi="宋体" w:eastAsia="宋体" w:cs="宋体"/>
          <w:b/>
          <w:bCs/>
          <w:sz w:val="28"/>
          <w:szCs w:val="28"/>
          <w:lang w:val="en-US" w:eastAsia="zh-Hans"/>
        </w:rPr>
        <w:t xml:space="preserve">要求</w:t>
      </w:r>
      <w:r/>
    </w:p>
    <w:p>
      <w:pPr>
        <w:ind w:left="0" w:right="0"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本项目的设计规划和建设，</w:t>
      </w:r>
      <w:r>
        <w:rPr>
          <w:rFonts w:hint="eastAsia" w:ascii="宋体" w:hAnsi="宋体" w:eastAsia="宋体" w:cs="宋体"/>
          <w:sz w:val="24"/>
          <w:szCs w:val="24"/>
          <w:lang w:val="en-US" w:eastAsia="zh-CN"/>
        </w:rPr>
        <w:t xml:space="preserve">要</w:t>
      </w:r>
      <w:r>
        <w:rPr>
          <w:rFonts w:hint="eastAsia" w:ascii="宋体" w:hAnsi="宋体" w:eastAsia="宋体" w:cs="宋体"/>
          <w:sz w:val="24"/>
          <w:szCs w:val="24"/>
        </w:rPr>
        <w:t xml:space="preserve">充分考虑兼容</w:t>
      </w:r>
      <w:r>
        <w:rPr>
          <w:rFonts w:hint="eastAsia" w:ascii="宋体" w:hAnsi="宋体" w:eastAsia="宋体" w:cs="宋体"/>
          <w:sz w:val="24"/>
          <w:szCs w:val="24"/>
        </w:rPr>
        <w:t xml:space="preserve">信创</w:t>
      </w:r>
      <w:r>
        <w:rPr>
          <w:rFonts w:hint="eastAsia" w:ascii="宋体" w:hAnsi="宋体" w:eastAsia="宋体" w:cs="宋体"/>
          <w:sz w:val="24"/>
          <w:szCs w:val="24"/>
        </w:rPr>
        <w:t xml:space="preserve">环境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采用的数据库、操作系统均是基于满足信创云设计要求的国产化产品，系统采用B/S架构进行部署。</w:t>
      </w:r>
      <w:r/>
    </w:p>
    <w:p>
      <w:pPr>
        <w:ind w:left="0" w:right="0"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rPr>
        <w:t xml:space="preserve">信创</w:t>
      </w:r>
      <w:r>
        <w:rPr>
          <w:rFonts w:hint="eastAsia" w:ascii="宋体" w:hAnsi="宋体" w:eastAsia="宋体" w:cs="宋体"/>
          <w:sz w:val="24"/>
          <w:szCs w:val="24"/>
        </w:rPr>
        <w:t xml:space="preserve">处理器、操作系统以及数据库如下表：</w:t>
      </w:r>
      <w:r/>
    </w:p>
    <w:p>
      <w:pPr>
        <w:ind w:left="0" w:right="0" w:firstLine="480"/>
        <w:jc w:val="both"/>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eastAsia="zh-CN"/>
        </w:rPr>
        <w:t xml:space="preserve">（包括但不限于以下</w:t>
      </w:r>
      <w:r>
        <w:rPr>
          <w:rFonts w:hint="eastAsia" w:ascii="宋体" w:hAnsi="宋体" w:cs="宋体"/>
          <w:sz w:val="24"/>
          <w:szCs w:val="24"/>
          <w:lang w:eastAsia="zh-CN"/>
        </w:rPr>
        <w:t xml:space="preserve">信创</w:t>
      </w:r>
      <w:r>
        <w:rPr>
          <w:rFonts w:hint="eastAsia" w:ascii="宋体" w:hAnsi="宋体" w:cs="宋体"/>
          <w:sz w:val="24"/>
          <w:szCs w:val="24"/>
          <w:lang w:eastAsia="zh-CN"/>
        </w:rPr>
        <w:t xml:space="preserve">品牌）</w:t>
      </w:r>
      <w:r/>
    </w:p>
    <w:tbl>
      <w:tblPr>
        <w:tblStyle w:val="681"/>
        <w:tblW w:w="8243" w:type="dxa"/>
        <w:tblInd w:w="141" w:type="dxa"/>
        <w:tblLayout w:type="fixed"/>
        <w:tblCellMar>
          <w:left w:w="108" w:type="dxa"/>
          <w:top w:w="0" w:type="dxa"/>
          <w:right w:w="108" w:type="dxa"/>
          <w:bottom w:w="0" w:type="dxa"/>
        </w:tblCellMar>
        <w:tblLook w:val="04A0" w:firstRow="1" w:lastRow="0" w:firstColumn="1" w:lastColumn="0" w:noHBand="0" w:noVBand="1"/>
      </w:tblPr>
      <w:tblGrid>
        <w:gridCol w:w="988"/>
        <w:gridCol w:w="2410"/>
        <w:gridCol w:w="2835"/>
        <w:gridCol w:w="2010"/>
      </w:tblGrid>
      <w:tr>
        <w:trPr>
          <w:trHeight w:val="459" w:hRule="exact"/>
        </w:trPr>
        <w:tc>
          <w:tcPr>
            <w:shd w:val="clear" w:color="000000" w:fill="bfbfbf"/>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000000" w:fill="bfbfbf"/>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国产化系统</w:t>
            </w:r>
            <w:r/>
          </w:p>
        </w:tc>
        <w:tc>
          <w:tcPr>
            <w:shd w:val="clear" w:color="000000" w:fill="bfbfbf"/>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w:t>
            </w:r>
            <w:r/>
          </w:p>
        </w:tc>
        <w:tc>
          <w:tcPr>
            <w:shd w:val="clear" w:color="000000" w:fill="bfbfbf"/>
            <w:tcBorders>
              <w:top w:val="single" w:color="auto"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支持程度</w:t>
            </w:r>
            <w:r/>
          </w:p>
        </w:tc>
      </w:tr>
      <w:tr>
        <w:trPr>
          <w:trHeight w:val="459" w:hRule="exact"/>
        </w:trPr>
        <w:tc>
          <w:tcPr>
            <w:tcBorders>
              <w:top w:val="none" w:color="000000" w:sz="4" w:space="0"/>
              <w:left w:val="single" w:color="auto" w:sz="4" w:space="0"/>
              <w:bottom w:val="single" w:color="000000" w:sz="4" w:space="0"/>
              <w:right w:val="single" w:color="auto" w:sz="4" w:space="0"/>
            </w:tcBorders>
            <w:tcW w:w="988" w:type="dxa"/>
            <w:vAlign w:val="center"/>
            <w:vMerge w:val="restart"/>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auto" w:sz="4" w:space="0"/>
              <w:bottom w:val="single" w:color="000000" w:sz="4" w:space="0"/>
              <w:right w:val="single" w:color="auto" w:sz="4" w:space="0"/>
            </w:tcBorders>
            <w:tcW w:w="2410" w:type="dxa"/>
            <w:vAlign w:val="center"/>
            <w:vMerge w:val="restart"/>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芯片</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鲲鹏</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r>
        <w:trPr>
          <w:trHeight w:val="459" w:hRule="exact"/>
        </w:trPr>
        <w:tc>
          <w:tcPr>
            <w:tcBorders>
              <w:top w:val="none" w:color="000000" w:sz="4" w:space="0"/>
              <w:left w:val="single" w:color="auto" w:sz="4" w:space="0"/>
              <w:bottom w:val="single" w:color="000000" w:sz="4" w:space="0"/>
              <w:right w:val="single" w:color="auto" w:sz="4" w:space="0"/>
            </w:tcBorders>
            <w:tcW w:w="988"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飞腾</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r>
        <w:trPr>
          <w:trHeight w:val="459" w:hRule="exact"/>
        </w:trPr>
        <w:tc>
          <w:tcPr>
            <w:tcBorders>
              <w:top w:val="none" w:color="000000" w:sz="4" w:space="0"/>
              <w:left w:val="single" w:color="auto" w:sz="4" w:space="0"/>
              <w:right w:val="single" w:color="auto" w:sz="4" w:space="0"/>
            </w:tcBorders>
            <w:tcW w:w="988" w:type="dxa"/>
            <w:vAlign w:val="center"/>
            <w:vMerge w:val="restart"/>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auto" w:sz="4" w:space="0"/>
              <w:right w:val="single" w:color="auto" w:sz="4" w:space="0"/>
            </w:tcBorders>
            <w:tcW w:w="2410" w:type="dxa"/>
            <w:vAlign w:val="center"/>
            <w:vMerge w:val="restart"/>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操作系统</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中标麒麟</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r>
        <w:trPr>
          <w:trHeight w:val="459" w:hRule="exact"/>
        </w:trPr>
        <w:tc>
          <w:tcPr>
            <w:tcBorders>
              <w:left w:val="single" w:color="auto" w:sz="4" w:space="0"/>
              <w:right w:val="single" w:color="auto" w:sz="4" w:space="0"/>
            </w:tcBorders>
            <w:tcW w:w="988"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410"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银河麒麟</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r>
        <w:trPr>
          <w:trHeight w:val="459" w:hRule="exact"/>
        </w:trPr>
        <w:tc>
          <w:tcPr>
            <w:tcBorders>
              <w:left w:val="single" w:color="auto" w:sz="4" w:space="0"/>
              <w:bottom w:val="single" w:color="000000" w:sz="4" w:space="0"/>
              <w:right w:val="single" w:color="auto" w:sz="4" w:space="0"/>
            </w:tcBorders>
            <w:tcW w:w="988"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000000" w:sz="4" w:space="0"/>
              <w:right w:val="single" w:color="auto" w:sz="4" w:space="0"/>
            </w:tcBorders>
            <w:tcW w:w="2410"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统信UOS</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r>
        <w:trPr>
          <w:trHeight w:val="459" w:hRule="exact"/>
        </w:trPr>
        <w:tc>
          <w:tcPr>
            <w:tcBorders>
              <w:top w:val="none" w:color="000000" w:sz="4" w:space="0"/>
              <w:left w:val="single" w:color="auto" w:sz="4" w:space="0"/>
              <w:bottom w:val="single" w:color="000000" w:sz="4" w:space="0"/>
              <w:right w:val="single" w:color="auto" w:sz="4" w:space="0"/>
            </w:tcBorders>
            <w:tcW w:w="988" w:type="dxa"/>
            <w:vAlign w:val="center"/>
            <w:vMerge w:val="restart"/>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auto" w:sz="4" w:space="0"/>
              <w:bottom w:val="single" w:color="000000" w:sz="4" w:space="0"/>
              <w:right w:val="single" w:color="auto" w:sz="4" w:space="0"/>
            </w:tcBorders>
            <w:tcW w:w="2410" w:type="dxa"/>
            <w:vAlign w:val="center"/>
            <w:vMerge w:val="restart"/>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数据库</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达梦数据库</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r>
        <w:trPr>
          <w:trHeight w:val="459" w:hRule="exact"/>
        </w:trPr>
        <w:tc>
          <w:tcPr>
            <w:tcBorders>
              <w:top w:val="none" w:color="000000" w:sz="4" w:space="0"/>
              <w:left w:val="single" w:color="auto" w:sz="4" w:space="0"/>
              <w:bottom w:val="single" w:color="000000" w:sz="4" w:space="0"/>
              <w:right w:val="single" w:color="auto" w:sz="4" w:space="0"/>
            </w:tcBorders>
            <w:tcW w:w="988"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人大金仓</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r>
        <w:trPr>
          <w:trHeight w:val="459" w:hRule="exact"/>
        </w:trPr>
        <w:tc>
          <w:tcPr>
            <w:tcBorders>
              <w:top w:val="none" w:color="000000" w:sz="4" w:space="0"/>
              <w:left w:val="single" w:color="auto" w:sz="4" w:space="0"/>
              <w:bottom w:val="single" w:color="000000" w:sz="4" w:space="0"/>
              <w:right w:val="single" w:color="auto" w:sz="4" w:space="0"/>
            </w:tcBorders>
            <w:tcW w:w="988"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南大通用</w:t>
            </w:r>
            <w:r/>
          </w:p>
        </w:tc>
        <w:tc>
          <w:tcPr>
            <w:tcBorders>
              <w:top w:val="none" w:color="000000" w:sz="4" w:space="0"/>
              <w:left w:val="none" w:color="000000" w:sz="4" w:space="0"/>
              <w:bottom w:val="single" w:color="auto" w:sz="4" w:space="0"/>
              <w:right w:val="single" w:color="auto" w:sz="4" w:space="0"/>
            </w:tcBorders>
            <w:tcW w:w="2010" w:type="dxa"/>
            <w:vAlign w:val="center"/>
            <w:textDirection w:val="lrTb"/>
            <w:noWrap w:val="false"/>
          </w:tcPr>
          <w:p>
            <w:pPr>
              <w:pStyle w:val="690"/>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w:t>
            </w:r>
            <w:r/>
          </w:p>
        </w:tc>
      </w:tr>
    </w:tbl>
    <w:p>
      <w:pPr>
        <w:pStyle w:val="671"/>
        <w:rPr>
          <w:rFonts w:hint="eastAsia"/>
          <w:lang w:val="en-US" w:eastAsia="zh-CN"/>
        </w:rPr>
      </w:pPr>
      <w:r>
        <w:rPr>
          <w:rFonts w:hint="eastAsia"/>
          <w:lang w:val="en-US" w:eastAsia="zh-CN"/>
        </w:rPr>
        <w:t xml:space="preserve">二、商务要求</w:t>
      </w:r>
      <w:r/>
    </w:p>
    <w:p>
      <w:pPr>
        <w:pStyle w:val="672"/>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（一）采购标的需实现的功能或者目标</w:t>
      </w:r>
      <w:r/>
    </w:p>
    <w:p>
      <w:pPr>
        <w:pStyle w:val="673"/>
        <w:rPr>
          <w:rFonts w:hint="eastAsia"/>
          <w:lang w:val="en-US" w:eastAsia="zh-CN"/>
        </w:rPr>
      </w:pPr>
      <w:r/>
      <w:bookmarkStart w:id="193" w:name="_Toc29306"/>
      <w:r/>
      <w:bookmarkStart w:id="194" w:name="_Toc12611"/>
      <w:r>
        <w:rPr>
          <w:rFonts w:hint="eastAsia"/>
          <w:lang w:val="en-US" w:eastAsia="zh-CN"/>
        </w:rPr>
        <w:t xml:space="preserve">1.项目建设目标</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为南通港沿海港区引航站研发建设沿海港区智慧引航云服务一体化子平台，实现南通港沿海港区引航站为港口码头企业船代等行业用户提供阳光引航、数字引航和智慧引航服务。系统平台可根据用户身份权限提供不同的业务功能，实现引航作业安全高效、引航申报实时在线、船舶靠离泊码头作业进度、引航调度科学管理、引航作业实现数据化服务、船舶引航作业安全辅助与引航作业生产规划等多系统定制在一个平台中，实现互联互通，通航态势实时可视化；对外提供引航服务安全、公开、高效、透明，来提升南通沿海港区引航站的业务管理水平和船舶引航作业安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系统与通州湾港航一体化平台建立外部用户统一单点登录机制，实现统一的登录门户与用户体系。可根据需要在门户网站发布与公开显示引航调度排班计划、作业进度、海洋水文气象信息等港航业务相关信息。</w:t>
      </w:r>
      <w:bookmarkEnd w:id="193"/>
      <w:r/>
      <w:bookmarkEnd w:id="194"/>
      <w:r/>
      <w:r/>
    </w:p>
    <w:p>
      <w:pPr>
        <w:pStyle w:val="673"/>
        <w:rPr>
          <w:rFonts w:hint="eastAsia"/>
          <w:lang w:val="en-US" w:eastAsia="zh-CN"/>
        </w:rPr>
      </w:pPr>
      <w:r>
        <w:rPr>
          <w:rFonts w:hint="eastAsia"/>
          <w:lang w:val="en-US" w:eastAsia="zh-CN"/>
        </w:rPr>
        <w:t xml:space="preserve">2.项目建设内容</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沿海港区智慧引航云服务一体化系统主要建设内容根据引航站站内办公与业务管理的需要及对外服务用户的需求量身定制开发引航站专用的行业应用软件、独特的个性化功能模块和辅助船舶引航作业安全的引航员船舶助航专业终端设备的采购。</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应用软件主要建设内容：船舶引航动态与靠离泊作业安全监控、船代申请船舶引航、引航业务作业审批与计划、引航自动调度排班、引航电子签证单、引航自动计缴费结算、引航作业数据统计分析、系统单点登录、引航基础数据管理、平台后台管理服务、引航办公管理、便携式引航终端助导航子系统、应用系统对接。</w:t>
      </w:r>
      <w:r/>
    </w:p>
    <w:p>
      <w:pPr>
        <w:pStyle w:val="672"/>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（二）采购标的需执行的国家相关标准、行业标准、地方标准或者其他标准、规范</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国家、行业发布的现行标准和规范，若在本次招标项目合同履行过程中有新标准、新规范发布，则以最新发布的执行。若不同标准、规范有矛盾之处，以最严格的执行。但在采购文件中有特别要求的，按采购招标文件中规定的要求执行，并且符合相关法律、法规规定的要求。</w:t>
      </w:r>
      <w:r/>
    </w:p>
    <w:p>
      <w:pPr>
        <w:pStyle w:val="672"/>
        <w:numPr>
          <w:ilvl w:val="0"/>
          <w:numId w:val="10"/>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采购标的需满足的质量、安全、技术规格、物理特性等要求</w:t>
      </w:r>
      <w:r/>
    </w:p>
    <w:p>
      <w:pPr>
        <w:pStyle w:val="673"/>
        <w:numPr>
          <w:ilvl w:val="0"/>
          <w:numId w:val="0"/>
        </w:numPr>
        <w:ind w:right="0" w:firstLine="482"/>
        <w:jc w:val="both"/>
        <w:keepLines/>
        <w:keepNext/>
        <w:pageBreakBefore w:val="0"/>
        <w:spacing w:line="360" w:lineRule="auto"/>
        <w:widowControl w:val="off"/>
        <w:rPr>
          <w:rFonts w:hint="eastAsia" w:ascii="宋体" w:hAnsi="宋体" w:eastAsia="宋体" w:cs="宋体"/>
          <w:b/>
          <w:bCs/>
          <w:sz w:val="24"/>
          <w:szCs w:val="24"/>
          <w:lang w:eastAsia="zh-CN"/>
        </w:rPr>
        <w:outlineLvl w:val="2"/>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项目管理要求</w:t>
      </w:r>
      <w:r/>
    </w:p>
    <w:p>
      <w:pPr>
        <w:numPr>
          <w:ilvl w:val="0"/>
          <w:numId w:val="11"/>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必须在项目建设的过程中严格执行以下的项目管理活动，这些项目管理活动是否被严格和高质量的执行将作为对投标人项目建设过程质量的重要考核和评价依据。</w:t>
      </w:r>
      <w:r/>
    </w:p>
    <w:p>
      <w:pPr>
        <w:numPr>
          <w:ilvl w:val="0"/>
          <w:numId w:val="11"/>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规范的软件开发流程：严格按照软件工程规范的开发流程进行系统的开发，进行文档化的过程管理，所有的过程文档都有标准的文档模板，且文档模板是符合要求的。有完善的管理制度和流程，明确的项目团队成员的分工等。</w:t>
      </w:r>
      <w:r/>
    </w:p>
    <w:p>
      <w:pPr>
        <w:numPr>
          <w:ilvl w:val="0"/>
          <w:numId w:val="11"/>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完整而详细的项目计划：对整个项目进行完整而详细的计划是成功开发和实施项目的前提条件，将整个项目详细分解到可被分配到单个人员执行并进行考核的任务，对每个任务分配预计的工作时间，预计的开始时间和结束时间，分配相应的资源，确定各个任务之间的执行顺序等等。应使用微软的Project软件编制整个软件项目的完整计划。</w:t>
      </w:r>
      <w:r/>
    </w:p>
    <w:p>
      <w:pPr>
        <w:numPr>
          <w:ilvl w:val="0"/>
          <w:numId w:val="11"/>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完备的配置管理制度：能够将软件开发过程的所有文档纳入严格的配置管理，对所有的文档进行集中管理，并管理每一个文档的各个版本，执行文档的备份管理；应使用配置管理工具进行项目过程中所有电子文档和程序代码的版本及配置管理。</w:t>
      </w:r>
      <w:r/>
    </w:p>
    <w:p>
      <w:pPr>
        <w:numPr>
          <w:ilvl w:val="0"/>
          <w:numId w:val="11"/>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项目跟踪：建立严格的项目跟踪制度，定期对项目的执行情况进行检查，跟踪项目的实际进度，对项目计划进行适当的调整，预测可能的风险，对现存的问题进行控制和管理等。</w:t>
      </w:r>
      <w:r/>
    </w:p>
    <w:p>
      <w:pPr>
        <w:pStyle w:val="673"/>
        <w:numPr>
          <w:ilvl w:val="0"/>
          <w:numId w:val="0"/>
        </w:numPr>
        <w:ind w:right="0" w:firstLine="482"/>
        <w:jc w:val="both"/>
        <w:keepLines/>
        <w:keepNext/>
        <w:pageBreakBefore w:val="0"/>
        <w:spacing w:line="360" w:lineRule="auto"/>
        <w:widowControl w:val="off"/>
        <w:rPr>
          <w:rFonts w:hint="eastAsia" w:ascii="宋体" w:hAnsi="宋体" w:eastAsia="宋体" w:cs="宋体"/>
          <w:b/>
          <w:bCs/>
          <w:sz w:val="24"/>
          <w:szCs w:val="24"/>
          <w:lang w:val="en-US" w:eastAsia="zh-Hans"/>
        </w:rPr>
        <w:outlineLvl w:val="2"/>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Hans"/>
        </w:rPr>
        <w:t xml:space="preserve">人员资质要求</w:t>
      </w:r>
      <w:r/>
    </w:p>
    <w:p>
      <w:pPr>
        <w:numPr>
          <w:ilvl w:val="0"/>
          <w:numId w:val="12"/>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有清晰的项目组织结构和经验丰富的实施咨询顾问，组织足够信息系统开发实力的项目团队，其中角色至少包括：</w:t>
      </w:r>
      <w:r/>
    </w:p>
    <w:p>
      <w:pPr>
        <w:numPr>
          <w:ilvl w:val="0"/>
          <w:numId w:val="12"/>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项目经理：应至少具备5年以上的软件开发工作经验，并至少具备3年以上担任大型软件开发项目经理的经验。</w:t>
      </w:r>
      <w:r/>
    </w:p>
    <w:p>
      <w:pPr>
        <w:numPr>
          <w:ilvl w:val="0"/>
          <w:numId w:val="12"/>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Hans"/>
        </w:rPr>
        <w:t xml:space="preserve">高级程序员：应至少具备3年以上的软件开发工作经验，并从事过大型信息系统的软件编程开发工作。</w:t>
      </w:r>
      <w:r/>
    </w:p>
    <w:p>
      <w:pPr>
        <w:numPr>
          <w:ilvl w:val="0"/>
          <w:numId w:val="12"/>
        </w:numPr>
        <w:ind w:left="0" w:right="0" w:firstLine="480"/>
        <w:jc w:val="both"/>
        <w:keepLines w:val="0"/>
        <w:keepNext w:val="0"/>
        <w:pageBreakBefore w:val="0"/>
        <w:spacing w:line="360" w:lineRule="auto"/>
        <w:widowControl w:val="off"/>
        <w:rPr>
          <w:rFonts w:hint="eastAsia"/>
          <w:lang w:val="en-US" w:eastAsia="zh-CN"/>
        </w:rPr>
        <w:outlineLvl w:val="9"/>
      </w:pPr>
      <w:r>
        <w:rPr>
          <w:rFonts w:hint="eastAsia" w:ascii="宋体" w:hAnsi="宋体" w:eastAsia="宋体" w:cs="宋体"/>
          <w:sz w:val="24"/>
          <w:szCs w:val="24"/>
          <w:lang w:val="en-US" w:eastAsia="zh-Hans"/>
        </w:rPr>
        <w:t xml:space="preserve">测试员：应至少具备2年以上的大型信息系统测试工作经验，并具有丰富的软件测试工作经验。</w:t>
      </w:r>
      <w:r/>
    </w:p>
    <w:p>
      <w:pPr>
        <w:pStyle w:val="672"/>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四</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采购项目交付</w:t>
      </w:r>
      <w:r>
        <w:rPr>
          <w:rFonts w:hint="eastAsia" w:ascii="宋体" w:hAnsi="宋体" w:eastAsia="宋体" w:cs="宋体"/>
          <w:b/>
          <w:bCs/>
          <w:sz w:val="28"/>
          <w:szCs w:val="28"/>
          <w:lang w:val="en-US" w:eastAsia="zh-CN"/>
        </w:rPr>
        <w:t xml:space="preserve">进度、要求以及</w:t>
      </w:r>
      <w:r>
        <w:rPr>
          <w:rFonts w:hint="eastAsia" w:ascii="宋体" w:hAnsi="宋体" w:eastAsia="宋体" w:cs="宋体"/>
          <w:b/>
          <w:bCs/>
          <w:sz w:val="28"/>
          <w:szCs w:val="28"/>
        </w:rPr>
        <w:t xml:space="preserve">实施的时间</w:t>
      </w:r>
      <w:r/>
    </w:p>
    <w:p>
      <w:pPr>
        <w:pStyle w:val="673"/>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lang w:val="en-US" w:eastAsia="zh-Hans" w:bidi="ar-SA"/>
        </w:rPr>
        <w:t xml:space="preserve">项目进度要求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b w:val="0"/>
          <w:bCs w:val="0"/>
          <w:sz w:val="24"/>
          <w:szCs w:val="24"/>
          <w:lang w:val="en-US" w:eastAsia="zh-Hans" w:bidi="ar-SA"/>
        </w:rPr>
        <w:t xml:space="preserve">项目计划分三</w:t>
      </w:r>
      <w:r>
        <w:rPr>
          <w:rFonts w:hint="eastAsia" w:ascii="宋体" w:hAnsi="宋体" w:eastAsia="宋体" w:cs="宋体"/>
          <w:sz w:val="24"/>
          <w:szCs w:val="24"/>
          <w:lang w:val="en-US" w:eastAsia="zh-Hans"/>
        </w:rPr>
        <w:t xml:space="preserve">阶段，其中第一阶段需求调研阶段，第二阶段为设计开发阶段，第三阶段为上线试运行阶段。</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第一阶段重点是系统需求阶段的需求调研、功能分析，编制需求分析报告，最终双方确认需求分析报告。</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第二阶段为设计开发阶段，业务系统设计、开发、上线在合同签订后</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val="en-US" w:eastAsia="zh-Hans"/>
        </w:rPr>
        <w:t xml:space="preserve">个月内完成。</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第三阶段自系统上线之日起，进入为期三个月的试运行期，试运行结束后，组织完成项目验收，开始进入为期一年的免费质保期支持。</w:t>
      </w:r>
      <w:r/>
    </w:p>
    <w:p>
      <w:pPr>
        <w:pStyle w:val="673"/>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lang w:val="en-US" w:eastAsia="zh-Hans" w:bidi="ar-SA"/>
        </w:rPr>
        <w:t xml:space="preserve">项目交付</w:t>
      </w:r>
      <w:r>
        <w:rPr>
          <w:rFonts w:hint="eastAsia" w:ascii="宋体" w:hAnsi="宋体" w:eastAsia="宋体" w:cs="宋体"/>
          <w:b/>
          <w:bCs/>
          <w:sz w:val="24"/>
          <w:szCs w:val="24"/>
          <w:lang w:val="en-US" w:eastAsia="zh-CN" w:bidi="ar-SA"/>
        </w:rPr>
        <w:t xml:space="preserve">要求</w:t>
      </w:r>
      <w:r/>
    </w:p>
    <w:p>
      <w:pPr>
        <w:ind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项目交付物（至少提交以下项目文档）：</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Hans"/>
        </w:rPr>
        <w:t xml:space="preserve">《项目需求报告》；</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Hans"/>
        </w:rPr>
        <w:t xml:space="preserve">《项目用户操作手册》；</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Hans"/>
        </w:rPr>
        <w:t xml:space="preserve">项目开发过程中的所有过程电子文档，如：《项目计划》、《项目周例会报告》及其它重要过程文档。</w:t>
      </w:r>
      <w:r/>
    </w:p>
    <w:p>
      <w:pPr>
        <w:ind w:left="0" w:right="0" w:firstLine="480"/>
        <w:jc w:val="both"/>
        <w:keepLines w:val="0"/>
        <w:keepNext w:val="0"/>
        <w:pageBreakBefore w:val="0"/>
        <w:spacing w:line="360" w:lineRule="auto"/>
        <w:widowControl w:val="off"/>
        <w:rPr>
          <w:rFonts w:hint="eastAsia"/>
          <w:lang w:val="en-US" w:eastAsia="zh-Hans"/>
        </w:rPr>
        <w:outlineLvl w:val="9"/>
      </w:pPr>
      <w:r>
        <w:rPr>
          <w:rFonts w:hint="eastAsia" w:ascii="宋体" w:hAnsi="宋体" w:eastAsia="宋体" w:cs="宋体"/>
          <w:sz w:val="24"/>
          <w:szCs w:val="24"/>
          <w:lang w:val="en-US" w:eastAsia="zh-Hans" w:bidi="ar-SA"/>
        </w:rPr>
        <w:t xml:space="preserve">沿海港区智慧引航云服务一体化系统内的用户操作日志和修改记录将记录保存六年时间。</w:t>
      </w:r>
      <w:r/>
    </w:p>
    <w:p>
      <w:pPr>
        <w:pStyle w:val="673"/>
        <w:rPr>
          <w:rFonts w:hint="default"/>
          <w:lang w:val="en-US" w:eastAsia="zh-CN"/>
        </w:rPr>
      </w:pPr>
      <w:r>
        <w:rPr>
          <w:rFonts w:hint="eastAsia"/>
          <w:lang w:val="en-US" w:eastAsia="zh-CN"/>
        </w:rPr>
        <w:t xml:space="preserve">3.取得采购标的的时间、地点</w:t>
      </w:r>
      <w:r/>
    </w:p>
    <w:p>
      <w:pPr>
        <w:ind w:firstLine="480"/>
        <w:jc w:val="both"/>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采购项目交付时间：项目</w:t>
      </w:r>
      <w:r>
        <w:rPr>
          <w:rFonts w:hint="eastAsia" w:ascii="宋体" w:hAnsi="宋体" w:cs="宋体"/>
          <w:bCs/>
          <w:sz w:val="24"/>
          <w:szCs w:val="24"/>
          <w:lang w:val="en-US" w:eastAsia="zh-CN"/>
        </w:rPr>
        <w:t xml:space="preserve">历时</w:t>
      </w:r>
      <w:r>
        <w:rPr>
          <w:rFonts w:hint="eastAsia" w:ascii="宋体" w:hAnsi="宋体" w:eastAsia="宋体" w:cs="宋体"/>
          <w:bCs/>
          <w:sz w:val="24"/>
          <w:szCs w:val="24"/>
        </w:rPr>
        <w:t xml:space="preserve">8个月，质保期不低于</w:t>
      </w:r>
      <w:r>
        <w:rPr>
          <w:rFonts w:hint="eastAsia" w:ascii="宋体" w:hAnsi="宋体" w:eastAsia="宋体" w:cs="宋体"/>
          <w:bCs/>
          <w:sz w:val="24"/>
          <w:szCs w:val="24"/>
          <w:lang w:eastAsia="zh-CN"/>
        </w:rPr>
        <w:t xml:space="preserve">一</w:t>
      </w:r>
      <w:r>
        <w:rPr>
          <w:rFonts w:hint="eastAsia" w:ascii="宋体" w:hAnsi="宋体" w:eastAsia="宋体" w:cs="宋体"/>
          <w:bCs/>
          <w:sz w:val="24"/>
          <w:szCs w:val="24"/>
        </w:rPr>
        <w:t xml:space="preserve">年。</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采购项目交付地点:南通港沿海港区引航站。</w:t>
      </w:r>
      <w:r/>
    </w:p>
    <w:p>
      <w:pPr>
        <w:pStyle w:val="672"/>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（五）采购标的的其他服务要求</w:t>
      </w:r>
      <w:r/>
    </w:p>
    <w:p>
      <w:pPr>
        <w:pStyle w:val="673"/>
        <w:rPr>
          <w:rFonts w:hint="eastAsia"/>
          <w:lang w:val="en-US" w:eastAsia="zh-Hans"/>
        </w:rPr>
      </w:pPr>
      <w:r>
        <w:rPr>
          <w:rFonts w:hint="eastAsia"/>
          <w:lang w:val="en-US" w:eastAsia="zh-CN"/>
        </w:rPr>
        <w:t xml:space="preserve">1.</w:t>
      </w:r>
      <w:r>
        <w:rPr>
          <w:rFonts w:hint="eastAsia"/>
          <w:lang w:val="en-US" w:eastAsia="zh-Hans"/>
        </w:rPr>
        <w:t xml:space="preserve">项目培训要求</w:t>
      </w:r>
      <w:r/>
    </w:p>
    <w:p>
      <w:pPr>
        <w:numPr>
          <w:ilvl w:val="0"/>
          <w:numId w:val="13"/>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投标人应为用户指定的人员安排合适和足够的培训以使其在实施过程中有效参与并且在实施完成后顺利交接。</w:t>
      </w:r>
      <w:r/>
    </w:p>
    <w:p>
      <w:pPr>
        <w:numPr>
          <w:ilvl w:val="0"/>
          <w:numId w:val="13"/>
        </w:num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必须为所有被培训人员提供培训用文字资料和讲义等相关用品，所有的资料必须是中文书写</w:t>
      </w:r>
      <w:r>
        <w:rPr>
          <w:rFonts w:hint="eastAsia" w:ascii="宋体" w:hAnsi="宋体" w:cs="宋体"/>
          <w:sz w:val="24"/>
          <w:szCs w:val="24"/>
          <w:lang w:val="en-US" w:eastAsia="zh-CN"/>
        </w:rPr>
        <w:t xml:space="preserve">；</w:t>
      </w:r>
      <w:r/>
    </w:p>
    <w:p>
      <w:pPr>
        <w:numPr>
          <w:ilvl w:val="0"/>
          <w:numId w:val="13"/>
        </w:numPr>
        <w:ind w:left="0" w:right="0" w:firstLine="480"/>
        <w:jc w:val="both"/>
        <w:keepLines w:val="0"/>
        <w:keepNext w:val="0"/>
        <w:pageBreakBefore w:val="0"/>
        <w:spacing w:line="360" w:lineRule="auto"/>
        <w:widowControl w:val="off"/>
        <w:rPr>
          <w:rFonts w:hint="eastAsia" w:ascii="宋体" w:hAnsi="宋体" w:eastAsia="宋体" w:cs="宋体"/>
          <w:lang w:val="en-US" w:eastAsia="zh-CN"/>
        </w:rPr>
        <w:outlineLvl w:val="9"/>
      </w:pPr>
      <w:r>
        <w:rPr>
          <w:rFonts w:hint="eastAsia" w:ascii="宋体" w:hAnsi="宋体" w:eastAsia="宋体" w:cs="宋体"/>
          <w:sz w:val="24"/>
          <w:szCs w:val="24"/>
          <w:lang w:val="en-US" w:eastAsia="zh-Hans"/>
        </w:rPr>
        <w:t xml:space="preserve">所有的培训费用（含培训教材费）及各项相关的费用，须分别报价并计入投标总价。</w:t>
      </w:r>
      <w:r/>
    </w:p>
    <w:p>
      <w:pPr>
        <w:numPr>
          <w:ilvl w:val="0"/>
          <w:numId w:val="13"/>
        </w:numPr>
        <w:ind w:left="0" w:right="0" w:firstLine="480"/>
        <w:jc w:val="both"/>
        <w:keepLines w:val="0"/>
        <w:keepNext w:val="0"/>
        <w:pageBreakBefore w:val="0"/>
        <w:spacing w:line="360" w:lineRule="auto"/>
        <w:widowControl w:val="off"/>
        <w:rPr>
          <w:rFonts w:hint="eastAsia" w:ascii="宋体" w:hAnsi="宋体" w:eastAsia="宋体" w:cs="宋体"/>
          <w:lang w:val="en-US" w:eastAsia="zh-CN"/>
        </w:rPr>
        <w:outlineLvl w:val="9"/>
      </w:pPr>
      <w:r>
        <w:rPr>
          <w:rFonts w:hint="eastAsia" w:ascii="宋体" w:hAnsi="宋体" w:eastAsia="宋体" w:cs="宋体"/>
          <w:sz w:val="24"/>
          <w:szCs w:val="24"/>
          <w:lang w:val="en-US" w:eastAsia="zh-CN"/>
        </w:rPr>
        <w:t xml:space="preserve">培训实现的目标包括：</w:t>
      </w:r>
      <w:r/>
    </w:p>
    <w:p>
      <w:pPr>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①了解软件的设计思想和具体功能实现；</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②了解本项目信息系统的总体架构、应用方式以及主要运作流程；</w:t>
      </w:r>
      <w:r/>
    </w:p>
    <w:p>
      <w:pPr>
        <w:ind w:firstLine="480"/>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③熟练掌握系统的应用功能操作；</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掌握系统软件的安装、测试及维护；</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⑤掌握系统的初始化及故障诊断、定位排除、故障恢复的基本技能；</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⑥了解运行维护的组织与管理流程；</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val="0"/>
          <w:bCs w:val="0"/>
          <w:sz w:val="24"/>
          <w:szCs w:val="24"/>
        </w:rPr>
        <w:t xml:space="preserve">⑦</w:t>
      </w:r>
      <w:r>
        <w:rPr>
          <w:rFonts w:hint="eastAsia" w:ascii="宋体" w:hAnsi="宋体" w:eastAsia="宋体" w:cs="宋体"/>
          <w:sz w:val="24"/>
          <w:szCs w:val="24"/>
        </w:rPr>
        <w:t xml:space="preserve">能独立发现和报告系统运行中的故障；</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val="0"/>
          <w:bCs w:val="0"/>
          <w:sz w:val="24"/>
          <w:szCs w:val="24"/>
        </w:rPr>
        <w:t xml:space="preserve">⑧</w:t>
      </w:r>
      <w:r>
        <w:rPr>
          <w:rFonts w:hint="eastAsia" w:ascii="宋体" w:hAnsi="宋体" w:eastAsia="宋体" w:cs="宋体"/>
          <w:sz w:val="24"/>
          <w:szCs w:val="24"/>
        </w:rPr>
        <w:t xml:space="preserve">能进行系统的日常维护，并能够处理一些严重的突发故障进行前期处置，保证系统的不间断运行。</w:t>
      </w:r>
      <w:r/>
    </w:p>
    <w:p>
      <w:pPr>
        <w:pStyle w:val="673"/>
        <w:rPr>
          <w:rFonts w:hint="eastAsia"/>
          <w:lang w:val="en-US" w:eastAsia="zh-Hans"/>
        </w:rPr>
      </w:pPr>
      <w:r/>
      <w:bookmarkStart w:id="195" w:name="_Toc32220"/>
      <w:r/>
      <w:bookmarkStart w:id="196" w:name="_Toc27931"/>
      <w:r>
        <w:rPr>
          <w:rFonts w:hint="eastAsia"/>
          <w:lang w:val="en-US" w:eastAsia="zh-CN"/>
        </w:rPr>
        <w:t xml:space="preserve">2.</w:t>
      </w:r>
      <w:r>
        <w:rPr>
          <w:rFonts w:hint="eastAsia"/>
        </w:rPr>
        <w:t xml:space="preserve">系统</w:t>
      </w:r>
      <w:r>
        <w:rPr>
          <w:rFonts w:hint="eastAsia"/>
          <w:lang w:val="en-US" w:eastAsia="zh-CN"/>
        </w:rPr>
        <w:t xml:space="preserve">建设、</w:t>
      </w:r>
      <w:r>
        <w:rPr>
          <w:rFonts w:hint="eastAsia"/>
          <w:lang w:val="en-US" w:eastAsia="zh-Hans"/>
        </w:rPr>
        <w:t xml:space="preserve">运维服务要求</w:t>
      </w:r>
      <w:bookmarkEnd w:id="195"/>
      <w:r/>
      <w:bookmarkEnd w:id="196"/>
      <w:r/>
      <w:bookmarkStart w:id="197" w:name="_Toc7775"/>
      <w:r/>
      <w:bookmarkStart w:id="198" w:name="_Toc12165"/>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Hans"/>
        </w:rPr>
        <w:t xml:space="preserve">系统建设原则</w:t>
      </w:r>
      <w:r>
        <w:rPr>
          <w:rFonts w:hint="eastAsia" w:ascii="宋体" w:hAnsi="宋体" w:eastAsia="宋体" w:cs="宋体"/>
          <w:sz w:val="24"/>
          <w:szCs w:val="24"/>
          <w:lang w:val="en-US" w:eastAsia="zh-CN"/>
        </w:rPr>
        <w:t xml:space="preserve">要求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系统可靠性：系统需要具备高度的可靠性，能够保证系统的稳定运行，减少因系统故障对业务造成的影响。</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系统可用性：系统需要具备较高的可用性，使得用户能够方便、快速地获取所需信息，提高工作效率。</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系统可扩展性：系统需要具备良好的可扩展性，能够根据业务需求进行功能扩展和优化，满足不断变化的市场需求。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系统响应速度：系统需要具备快速的响应速度，在保证系统稳定的前提下，能够快速处理用户请求，提高用户体验。具体体现在，用户提交类业务，1~2秒内响应，简单查询类业务，1秒内响应，复杂查询业务，响应时间不超过3秒。</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Hans"/>
        </w:rPr>
        <w:outlineLvl w:val="9"/>
      </w:pPr>
      <w:r>
        <w:rPr>
          <w:rFonts w:hint="eastAsia" w:ascii="宋体" w:hAnsi="宋体" w:eastAsia="宋体" w:cs="宋体"/>
          <w:sz w:val="24"/>
          <w:szCs w:val="24"/>
          <w:lang w:val="en-US" w:eastAsia="zh-Hans"/>
        </w:rPr>
        <w:t xml:space="preserve">系统可维护性：系统需要具备可维护性，使得系统的维护和升级变得更加容易和方便，降低维护成本和难度。</w:t>
      </w:r>
      <w:r/>
    </w:p>
    <w:p>
      <w:pPr>
        <w:ind w:left="0" w:right="0"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Hans"/>
        </w:rPr>
        <w:t xml:space="preserve">系统可测试性：信息化系统需要具备可测试性，使得测试人员能够方便地对系统进行测试和验证，确保系统的质量和稳定性。</w:t>
      </w:r>
      <w:r/>
    </w:p>
    <w:p>
      <w:pPr>
        <w:ind w:left="0" w:right="0" w:firstLine="480"/>
        <w:jc w:val="both"/>
        <w:keepLines w:val="0"/>
        <w:keepNext w:val="0"/>
        <w:pageBreakBefore w:val="0"/>
        <w:spacing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运维内容</w:t>
      </w:r>
      <w:bookmarkEnd w:id="197"/>
      <w:r/>
      <w:bookmarkEnd w:id="198"/>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沿海港区智慧引航云服务一体化系统主要建设内容包括应用软件建设和引航员船舶助航终端的采购。结合项目建设特点，本次运维服务主要包含以下内容：</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①系统应用程序维护。根据用户需求进行系统业务逻辑调整。即对系统程序的修改和调整，扩充在使用过程中用户提出的新的功能及性能要求。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数据维护。业务处理对数据的需求是不断发生变化的，除了系统中主体业务数据的定期正常更新外，还有许多数据需要进行不定期的更新，或随环境或业务的变化而进行调整，以及数据内容的增加、数据结构的调整。此外，数据的备份与恢复等，都是数据维护的工作内容。</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③代码维护。随着系统应用范围的扩大，应用环境的变化，系统中的各种代码都需要进行一定程度的增加、修改、删除，以及设置新的代码。</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定期检查程序错误日志，清除系统运行中发生的故障和错误。</w:t>
      </w:r>
      <w:r/>
    </w:p>
    <w:p>
      <w:pPr>
        <w:ind w:left="0" w:right="0" w:firstLine="480"/>
        <w:jc w:val="both"/>
        <w:keepLines w:val="0"/>
        <w:keepNext w:val="0"/>
        <w:pageBreakBefore w:val="0"/>
        <w:spacing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运维</w:t>
      </w:r>
      <w:r>
        <w:rPr>
          <w:rFonts w:hint="eastAsia" w:ascii="宋体" w:hAnsi="宋体" w:eastAsia="宋体" w:cs="宋体"/>
          <w:b w:val="0"/>
          <w:bCs w:val="0"/>
          <w:sz w:val="24"/>
          <w:szCs w:val="24"/>
          <w:lang w:val="en-US" w:eastAsia="zh-CN"/>
        </w:rPr>
        <w:t xml:space="preserve">方式</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考虑到引航工作的特殊性，针对本项目建设内容，主要通过以下方式开展运维工作：</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①电话服务：通过电话沟通，实时为甲方解决问题的服务。</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远程服务：用户在使用软件时遇到疑难或软件不正常的情况下，由平台开发方提供远程技术支持服务，以快速直接地面对软件运行中出现的故障问题，并对其进行诊断，给出解决方案，最终帮助用户排除软件运行出现的故障。</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③驻场服务：根据实施单位的要求，派遣技术人员到现场解决问题，并进行系统保障的服务。</w:t>
      </w:r>
      <w:r/>
    </w:p>
    <w:p>
      <w:pPr>
        <w:pStyle w:val="673"/>
        <w:rPr>
          <w:rFonts w:hint="eastAsia"/>
          <w:lang w:val="en-US" w:eastAsia="zh-Hans"/>
        </w:rPr>
      </w:pPr>
      <w:r>
        <w:rPr>
          <w:rFonts w:hint="eastAsia"/>
          <w:lang w:val="en-US" w:eastAsia="zh-CN"/>
        </w:rPr>
        <w:t xml:space="preserve">3.</w:t>
      </w:r>
      <w:r>
        <w:rPr>
          <w:rFonts w:hint="eastAsia"/>
          <w:lang w:val="en-US" w:eastAsia="zh-Hans"/>
        </w:rPr>
        <w:t xml:space="preserve">资源共享要求</w:t>
      </w:r>
      <w:r/>
    </w:p>
    <w:p>
      <w:pPr>
        <w:ind w:left="0" w:right="0" w:firstLine="480"/>
        <w:jc w:val="both"/>
        <w:keepLines w:val="0"/>
        <w:keepNext w:val="0"/>
        <w:pageBreakBefore w:val="0"/>
        <w:spacing w:line="360" w:lineRule="auto"/>
        <w:widowControl w:val="off"/>
        <w:rPr>
          <w:rFonts w:hint="eastAsia"/>
          <w:lang w:val="en-US" w:eastAsia="zh-CN"/>
        </w:rPr>
        <w:outlineLvl w:val="9"/>
      </w:pPr>
      <w:r>
        <w:rPr>
          <w:rFonts w:hint="eastAsia" w:ascii="宋体" w:hAnsi="宋体" w:eastAsia="宋体" w:cs="宋体"/>
          <w:sz w:val="24"/>
          <w:szCs w:val="24"/>
        </w:rPr>
        <w:t xml:space="preserve">信息资源共享措施主要在软件系统平台上向全社会数据发布。各委办局确认业务必要性和安全性后通过南通市政务数据共享交换平台进行有条件共享。政务数据共享交换按照南通市数据局发布的统一管理办法执行。系统中收集的数据资源信息，通过南通市数据共享交换平台进行共享。</w:t>
      </w:r>
      <w:r/>
    </w:p>
    <w:p>
      <w:pPr>
        <w:pStyle w:val="672"/>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采购标的对应的中小企业划分标准所属行业一览表</w:t>
      </w:r>
      <w:r/>
    </w:p>
    <w:tbl>
      <w:tblPr>
        <w:tblStyle w:val="681"/>
        <w:tblW w:w="83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4567"/>
        <w:gridCol w:w="2852"/>
      </w:tblGrid>
      <w:tr>
        <w:trPr>
          <w:cantSplit/>
          <w:jc w:val="center"/>
        </w:trPr>
        <w:tc>
          <w:tcPr>
            <w:tcW w:w="89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56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285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291"/>
        </w:trPr>
        <w:tc>
          <w:tcPr>
            <w:tcW w:w="89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67" w:type="dxa"/>
            <w:vAlign w:val="center"/>
            <w:textDirection w:val="lrTb"/>
            <w:noWrap/>
          </w:tcPr>
          <w:p>
            <w:pPr>
              <w:pStyle w:val="682"/>
              <w:jc w:val="both"/>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沿海港区智慧引航云服务一体化系统项目</w:t>
            </w:r>
            <w:r/>
          </w:p>
        </w:tc>
        <w:tc>
          <w:tcPr>
            <w:tcW w:w="285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bl>
    <w:p>
      <w:pPr>
        <w:pStyle w:val="672"/>
        <w:rPr>
          <w:rFonts w:hint="eastAsia"/>
          <w:lang w:val="en-US" w:eastAsia="zh-CN"/>
        </w:rPr>
      </w:pPr>
      <w:r>
        <w:rPr>
          <w:rFonts w:hint="eastAsia" w:ascii="宋体" w:hAnsi="宋体" w:eastAsia="宋体" w:cs="宋体"/>
          <w:b/>
          <w:bCs/>
          <w:sz w:val="28"/>
          <w:szCs w:val="28"/>
          <w:lang w:val="en-US" w:eastAsia="zh-CN"/>
        </w:rPr>
        <w:t xml:space="preserve">（七）</w:t>
      </w:r>
      <w:r>
        <w:rPr>
          <w:rFonts w:hint="eastAsia" w:ascii="微软雅黑" w:hAnsi="微软雅黑" w:eastAsia="微软雅黑" w:cs="微软雅黑"/>
          <w:b/>
          <w:bCs/>
          <w:sz w:val="28"/>
          <w:szCs w:val="28"/>
          <w:shd w:val="clear" w:color="auto" w:fill="ffffff"/>
          <w:lang w:bidi="ar"/>
        </w:rPr>
        <w:t xml:space="preserve">采购标的其他技术、服务等要求</w:t>
      </w:r>
      <w:r/>
    </w:p>
    <w:p>
      <w:pPr>
        <w:ind w:firstLine="480"/>
        <w:jc w:val="both"/>
        <w:pageBreakBefore w:val="0"/>
        <w:spacing w:line="360" w:lineRule="auto"/>
        <w:widowControl/>
        <w:rPr>
          <w:rFonts w:hint="eastAsia" w:ascii="宋体" w:hAnsi="宋体" w:eastAsia="宋体" w:cs="宋体"/>
          <w:bCs/>
          <w:sz w:val="24"/>
          <w:szCs w:val="24"/>
        </w:rPr>
      </w:pPr>
      <w:r>
        <w:rPr>
          <w:rFonts w:hint="eastAsia" w:ascii="宋体" w:hAnsi="宋体" w:eastAsia="宋体" w:cs="宋体"/>
          <w:b/>
          <w:bCs w:val="0"/>
          <w:sz w:val="24"/>
          <w:szCs w:val="24"/>
          <w:lang w:val="en-US" w:eastAsia="zh-CN"/>
        </w:rPr>
        <w:t xml:space="preserve">1.</w:t>
      </w:r>
      <w:r>
        <w:rPr>
          <w:rFonts w:hint="eastAsia" w:ascii="宋体" w:hAnsi="宋体" w:eastAsia="宋体" w:cs="宋体"/>
          <w:b/>
          <w:bCs w:val="0"/>
          <w:sz w:val="24"/>
          <w:szCs w:val="24"/>
        </w:rPr>
        <w:t xml:space="preserve">签定合同日期</w:t>
      </w:r>
      <w:r>
        <w:rPr>
          <w:rFonts w:hint="eastAsia" w:ascii="宋体" w:hAnsi="宋体" w:eastAsia="宋体" w:cs="宋体"/>
          <w:bCs/>
          <w:sz w:val="24"/>
          <w:szCs w:val="24"/>
        </w:rPr>
        <w:t xml:space="preserve">：自采购中心中标（成交）通知书发出之日起三十日内按时签约。</w:t>
      </w:r>
      <w:r/>
    </w:p>
    <w:p>
      <w:pPr>
        <w:ind w:firstLine="480"/>
        <w:jc w:val="both"/>
        <w:pageBreakBefore w:val="0"/>
        <w:spacing w:line="360" w:lineRule="auto"/>
        <w:widowControl/>
        <w:rPr>
          <w:rFonts w:hint="eastAsia" w:ascii="宋体" w:hAnsi="宋体" w:eastAsia="宋体" w:cs="宋体"/>
          <w:bCs/>
          <w:sz w:val="24"/>
          <w:szCs w:val="24"/>
        </w:rPr>
      </w:pPr>
      <w:r>
        <w:rPr>
          <w:rFonts w:hint="eastAsia" w:ascii="宋体" w:hAnsi="宋体" w:cs="宋体"/>
          <w:b/>
          <w:bCs w:val="0"/>
          <w:sz w:val="24"/>
          <w:szCs w:val="24"/>
          <w:lang w:val="en-US" w:eastAsia="zh-CN"/>
        </w:rPr>
        <w:t xml:space="preserve">2.</w:t>
      </w:r>
      <w:r>
        <w:rPr>
          <w:rFonts w:hint="eastAsia" w:ascii="宋体" w:hAnsi="宋体" w:eastAsia="宋体" w:cs="宋体"/>
          <w:b/>
          <w:bCs w:val="0"/>
          <w:sz w:val="24"/>
          <w:szCs w:val="24"/>
        </w:rPr>
        <w:t xml:space="preserve">履约保证金：</w:t>
      </w:r>
      <w:r>
        <w:rPr>
          <w:rFonts w:hint="eastAsia" w:ascii="宋体" w:hAnsi="宋体" w:eastAsia="宋体" w:cs="宋体"/>
          <w:bCs/>
          <w:sz w:val="24"/>
          <w:szCs w:val="24"/>
        </w:rPr>
        <w:t xml:space="preserve">无。</w:t>
      </w:r>
      <w:r/>
    </w:p>
    <w:p>
      <w:pPr>
        <w:jc w:val="left"/>
        <w:widowControl/>
        <w:rPr>
          <w:rFonts w:ascii="微软雅黑" w:hAnsi="微软雅黑" w:eastAsia="微软雅黑" w:cs="微软雅黑"/>
          <w:b/>
          <w:bCs/>
          <w:sz w:val="28"/>
          <w:szCs w:val="28"/>
          <w:shd w:val="clear" w:color="auto" w:fill="ffffff"/>
          <w:lang w:bidi="ar"/>
        </w:rPr>
        <w:outlineLvl w:val="0"/>
      </w:pPr>
      <w:r>
        <w:rPr>
          <w:rFonts w:hint="eastAsia" w:ascii="微软雅黑" w:hAnsi="微软雅黑" w:eastAsia="微软雅黑" w:cs="微软雅黑"/>
          <w:b/>
          <w:bCs/>
          <w:sz w:val="28"/>
          <w:szCs w:val="28"/>
          <w:shd w:val="clear" w:color="auto" w:fill="ffffff"/>
          <w:lang w:bidi="ar"/>
        </w:rPr>
        <w:t xml:space="preserve">（八）非单一产品采购项目，采购标的中的核心产品</w:t>
      </w:r>
      <w:r/>
    </w:p>
    <w:p>
      <w:pPr>
        <w:ind w:firstLine="480"/>
        <w:jc w:val="left"/>
        <w:spacing w:line="360" w:lineRule="auto"/>
        <w:rPr>
          <w:rFonts w:ascii="宋体" w:hAnsi="宋体" w:cs="宋体"/>
          <w:sz w:val="24"/>
        </w:rPr>
      </w:pPr>
      <w:r>
        <w:rPr>
          <w:rFonts w:hint="eastAsia" w:ascii="宋体" w:hAnsi="宋体" w:cs="宋体"/>
          <w:sz w:val="24"/>
        </w:rPr>
        <w:t xml:space="preserve">本项目为服务项目，非产品采购项目，不涉及此项。</w:t>
      </w:r>
      <w:r/>
    </w:p>
    <w:p>
      <w:pPr>
        <w:jc w:val="left"/>
        <w:widowControl/>
        <w:rPr>
          <w:rFonts w:ascii="微软雅黑" w:hAnsi="微软雅黑" w:eastAsia="微软雅黑" w:cs="微软雅黑"/>
          <w:b/>
          <w:bCs/>
          <w:sz w:val="28"/>
          <w:szCs w:val="28"/>
          <w:shd w:val="clear" w:color="auto" w:fill="ffffff"/>
          <w:lang w:bidi="ar"/>
        </w:rPr>
        <w:outlineLvl w:val="0"/>
      </w:pPr>
      <w:r>
        <w:rPr>
          <w:rFonts w:hint="eastAsia" w:ascii="微软雅黑" w:hAnsi="微软雅黑" w:eastAsia="微软雅黑" w:cs="微软雅黑"/>
          <w:b/>
          <w:bCs/>
          <w:sz w:val="28"/>
          <w:szCs w:val="28"/>
          <w:shd w:val="clear" w:color="auto" w:fill="ffffff"/>
          <w:lang w:bidi="ar"/>
        </w:rPr>
        <w:t xml:space="preserve">（九）付款方式</w:t>
      </w:r>
      <w:r/>
    </w:p>
    <w:p>
      <w:pPr>
        <w:ind w:firstLine="480"/>
        <w:jc w:val="both"/>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项目签订合同后20个工作日内，支付合同额的30%预付款；项目进入试运行后20个工作日内，支付至合同额的90%；项目验收合格后20个工作日内，支付合同额的10%尾款。</w:t>
      </w:r>
      <w:r/>
    </w:p>
    <w:p>
      <w:pPr>
        <w:jc w:val="left"/>
        <w:widowControl/>
        <w:rPr>
          <w:rFonts w:hint="eastAsia" w:ascii="微软雅黑" w:hAnsi="微软雅黑" w:eastAsia="微软雅黑" w:cs="微软雅黑"/>
          <w:b/>
          <w:bCs/>
          <w:sz w:val="28"/>
          <w:szCs w:val="28"/>
          <w:shd w:val="clear" w:color="auto" w:fill="ffffff"/>
          <w:lang w:eastAsia="zh-CN" w:bidi="ar"/>
        </w:rPr>
        <w:outlineLvl w:val="0"/>
      </w:pPr>
      <w:r>
        <w:rPr>
          <w:rFonts w:hint="eastAsia" w:ascii="微软雅黑" w:hAnsi="微软雅黑" w:eastAsia="微软雅黑" w:cs="微软雅黑"/>
          <w:b/>
          <w:bCs/>
          <w:sz w:val="28"/>
          <w:szCs w:val="28"/>
          <w:shd w:val="clear" w:color="auto" w:fill="ffffff"/>
          <w:lang w:bidi="ar"/>
        </w:rPr>
        <w:t xml:space="preserve">（十）履约保证金</w:t>
      </w:r>
      <w:r>
        <w:rPr>
          <w:rFonts w:hint="eastAsia" w:ascii="微软雅黑" w:hAnsi="微软雅黑" w:eastAsia="微软雅黑" w:cs="微软雅黑"/>
          <w:b/>
          <w:bCs/>
          <w:sz w:val="28"/>
          <w:szCs w:val="28"/>
          <w:shd w:val="clear" w:color="auto" w:fill="ffffff"/>
          <w:lang w:eastAsia="zh-CN" w:bidi="ar"/>
        </w:rPr>
        <w:t xml:space="preserve">（</w:t>
      </w:r>
      <w:r>
        <w:rPr>
          <w:rFonts w:hint="eastAsia" w:ascii="微软雅黑" w:hAnsi="微软雅黑" w:eastAsia="微软雅黑" w:cs="微软雅黑"/>
          <w:b/>
          <w:bCs/>
          <w:sz w:val="28"/>
          <w:szCs w:val="28"/>
          <w:shd w:val="clear" w:color="auto" w:fill="ffffff"/>
          <w:lang w:val="en-US" w:eastAsia="zh-CN" w:bidi="ar"/>
        </w:rPr>
        <w:t xml:space="preserve">本项目无履约保证金</w:t>
      </w:r>
      <w:r>
        <w:rPr>
          <w:rFonts w:hint="eastAsia" w:ascii="微软雅黑" w:hAnsi="微软雅黑" w:eastAsia="微软雅黑" w:cs="微软雅黑"/>
          <w:b/>
          <w:bCs/>
          <w:sz w:val="28"/>
          <w:szCs w:val="28"/>
          <w:shd w:val="clear" w:color="auto" w:fill="ffffff"/>
          <w:lang w:eastAsia="zh-CN" w:bidi="ar"/>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 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可直接在网上办理履约保证保险替代实质性的履约保证金缴纳，进一步减轻企业现金流压力。集中采购的中标（成交）供应商可在南通市公共资源交易金融服务平台 “履约保证保险”模块在线申请履约保证保险投保。</w:t>
      </w:r>
      <w:r/>
    </w:p>
    <w:p>
      <w:pPr>
        <w:ind w:firstLine="480"/>
        <w:jc w:val="left"/>
        <w:spacing w:line="360" w:lineRule="auto"/>
        <w:rPr>
          <w:rFonts w:ascii="宋体" w:hAnsi="宋体" w:cs="宋体"/>
          <w:sz w:val="24"/>
        </w:rPr>
      </w:pPr>
      <w:r>
        <w:rPr>
          <w:rFonts w:hint="eastAsia" w:ascii="宋体" w:hAnsi="宋体" w:cs="宋体"/>
          <w:sz w:val="24"/>
        </w:rPr>
        <w:t xml:space="preserve">2.成交供应商全部履约合同义务，经采购单位验收合格无质量、进度等问题的，采购人在验收合格后一次性退还履约保证金。</w:t>
      </w:r>
      <w:r/>
    </w:p>
    <w:p>
      <w:pPr>
        <w:jc w:val="left"/>
        <w:widowControl/>
        <w:rPr>
          <w:rFonts w:ascii="微软雅黑" w:hAnsi="微软雅黑" w:eastAsia="微软雅黑" w:cs="微软雅黑"/>
          <w:b/>
          <w:bCs/>
          <w:sz w:val="28"/>
          <w:szCs w:val="28"/>
          <w:shd w:val="clear" w:color="auto" w:fill="ffffff"/>
          <w:lang w:bidi="ar"/>
        </w:rPr>
        <w:outlineLvl w:val="0"/>
      </w:pPr>
      <w:r>
        <w:rPr>
          <w:rFonts w:hint="eastAsia" w:ascii="微软雅黑" w:hAnsi="微软雅黑" w:eastAsia="微软雅黑" w:cs="微软雅黑"/>
          <w:b/>
          <w:bCs/>
          <w:sz w:val="28"/>
          <w:szCs w:val="28"/>
          <w:shd w:val="clear" w:color="auto" w:fill="ffffff"/>
          <w:lang w:bidi="ar"/>
        </w:rPr>
        <w:t xml:space="preserve">（十一）样品</w:t>
      </w:r>
      <w:r/>
    </w:p>
    <w:p>
      <w:pPr>
        <w:ind w:firstLine="480"/>
        <w:jc w:val="left"/>
        <w:spacing w:line="360" w:lineRule="auto"/>
        <w:rPr>
          <w:rFonts w:ascii="宋体" w:hAnsi="宋体" w:cs="宋体"/>
          <w:sz w:val="24"/>
        </w:rPr>
      </w:pPr>
      <w:r>
        <w:rPr>
          <w:rFonts w:hint="eastAsia" w:ascii="宋体" w:hAnsi="宋体" w:cs="宋体"/>
          <w:sz w:val="24"/>
        </w:rPr>
        <w:t xml:space="preserve">本项目无需提供样品。</w:t>
      </w:r>
      <w:r/>
    </w:p>
    <w:p>
      <w:pPr>
        <w:jc w:val="left"/>
        <w:widowControl/>
        <w:rPr>
          <w:rFonts w:ascii="微软雅黑" w:hAnsi="微软雅黑" w:eastAsia="微软雅黑" w:cs="微软雅黑"/>
          <w:b/>
          <w:bCs/>
          <w:sz w:val="28"/>
          <w:szCs w:val="28"/>
          <w:shd w:val="clear" w:color="auto" w:fill="ffffff"/>
          <w:lang w:bidi="ar"/>
        </w:rPr>
        <w:outlineLvl w:val="0"/>
      </w:pPr>
      <w:r>
        <w:rPr>
          <w:rFonts w:hint="eastAsia" w:ascii="微软雅黑" w:hAnsi="微软雅黑" w:eastAsia="微软雅黑" w:cs="微软雅黑"/>
          <w:b/>
          <w:bCs/>
          <w:sz w:val="28"/>
          <w:szCs w:val="28"/>
          <w:shd w:val="clear" w:color="auto" w:fill="ffffff"/>
          <w:lang w:bidi="ar"/>
        </w:rPr>
        <w:t xml:space="preserve">（十二）演示讲解</w:t>
      </w:r>
      <w:r/>
    </w:p>
    <w:p>
      <w:pPr>
        <w:ind w:firstLine="480"/>
        <w:jc w:val="left"/>
        <w:spacing w:line="360" w:lineRule="auto"/>
        <w:rPr>
          <w:rFonts w:ascii="宋体" w:hAnsi="宋体" w:cs="宋体"/>
          <w:sz w:val="24"/>
        </w:rPr>
      </w:pPr>
      <w:r>
        <w:rPr>
          <w:rFonts w:hint="eastAsia" w:ascii="宋体" w:hAnsi="宋体" w:cs="宋体"/>
          <w:b/>
          <w:bCs/>
          <w:sz w:val="24"/>
        </w:rPr>
        <w:t xml:space="preserve">本项目</w:t>
      </w:r>
      <w:r>
        <w:rPr>
          <w:rFonts w:hint="eastAsia" w:ascii="宋体" w:hAnsi="宋体" w:cs="宋体"/>
          <w:b/>
          <w:bCs/>
          <w:sz w:val="24"/>
          <w:lang w:val="en-US" w:eastAsia="zh-CN"/>
        </w:rPr>
        <w:t xml:space="preserve">需提供</w:t>
      </w:r>
      <w:r>
        <w:rPr>
          <w:rFonts w:hint="eastAsia" w:ascii="宋体" w:hAnsi="宋体" w:cs="宋体"/>
          <w:b/>
          <w:bCs/>
          <w:sz w:val="24"/>
        </w:rPr>
        <w:t xml:space="preserve">演示讲解</w:t>
      </w:r>
      <w:r>
        <w:rPr>
          <w:rFonts w:hint="eastAsia" w:ascii="宋体" w:hAnsi="宋体" w:cs="宋体"/>
          <w:b/>
          <w:bCs/>
          <w:sz w:val="24"/>
          <w:lang w:val="en-US" w:eastAsia="zh-CN"/>
        </w:rPr>
        <w:t xml:space="preserve">视频</w:t>
      </w:r>
      <w:r>
        <w:rPr>
          <w:rFonts w:hint="eastAsia" w:ascii="宋体" w:hAnsi="宋体" w:cs="宋体"/>
          <w:b/>
          <w:bCs/>
          <w:sz w:val="24"/>
        </w:rPr>
        <w:t xml:space="preserve">。</w:t>
      </w:r>
      <w:r>
        <w:rPr>
          <w:rFonts w:hint="eastAsia" w:ascii="宋体" w:hAnsi="宋体" w:cs="宋体"/>
          <w:sz w:val="24"/>
        </w:rPr>
        <w:t xml:space="preserve">供应商在评审全过程中应保持通讯畅通，若评审小组有疑问及时安排专人与交易中心及评审小组联系。</w:t>
      </w:r>
      <w:r/>
    </w:p>
    <w:p>
      <w:pPr>
        <w:jc w:val="left"/>
        <w:widowControl/>
        <w:rPr>
          <w:rFonts w:ascii="微软雅黑" w:hAnsi="微软雅黑" w:eastAsia="微软雅黑" w:cs="微软雅黑"/>
          <w:b/>
          <w:bCs/>
          <w:sz w:val="28"/>
          <w:szCs w:val="28"/>
          <w:shd w:val="clear" w:color="auto" w:fill="ffffff"/>
          <w:lang w:bidi="ar"/>
        </w:rPr>
        <w:outlineLvl w:val="0"/>
      </w:pPr>
      <w:r>
        <w:rPr>
          <w:rFonts w:hint="eastAsia" w:ascii="微软雅黑" w:hAnsi="微软雅黑" w:eastAsia="微软雅黑" w:cs="微软雅黑"/>
          <w:b/>
          <w:bCs/>
          <w:sz w:val="28"/>
          <w:szCs w:val="28"/>
          <w:shd w:val="clear" w:color="auto" w:fill="ffffff"/>
          <w:lang w:bidi="ar"/>
        </w:rPr>
        <w:t xml:space="preserve">（十三）本项目（接受/不接受）进口产品投标;（备注：如有多分包，明确每个分包是否接受进口产品投标）</w:t>
      </w:r>
      <w:r/>
    </w:p>
    <w:p>
      <w:pPr>
        <w:ind w:firstLine="480"/>
        <w:jc w:val="left"/>
        <w:spacing w:line="360" w:lineRule="auto"/>
        <w:rPr>
          <w:rFonts w:ascii="宋体" w:hAnsi="宋体" w:cs="宋体"/>
          <w:sz w:val="24"/>
        </w:rPr>
      </w:pPr>
      <w:r>
        <w:rPr>
          <w:rFonts w:hint="eastAsia" w:ascii="宋体" w:hAnsi="宋体" w:cs="宋体"/>
          <w:sz w:val="24"/>
        </w:rPr>
        <w:t xml:space="preserve">本项目为服务项目，不适用。</w:t>
      </w:r>
      <w:r/>
    </w:p>
    <w:p>
      <w:pPr>
        <w:pStyle w:val="682"/>
        <w:rPr>
          <w:rFonts w:hint="eastAsia"/>
        </w:rPr>
      </w:pPr>
      <w:r>
        <w:rPr>
          <w:rFonts w:hint="eastAsia"/>
        </w:rPr>
      </w:r>
      <w:r/>
    </w:p>
    <w:p>
      <w:pPr>
        <w:pStyle w:val="671"/>
        <w:rPr>
          <w:rFonts w:hint="eastAsia" w:ascii="宋体" w:hAnsi="宋体" w:eastAsia="宋体" w:cs="宋体"/>
          <w:b/>
          <w:bCs/>
          <w:sz w:val="28"/>
          <w:szCs w:val="28"/>
        </w:rPr>
      </w:pPr>
      <w:r>
        <w:rPr>
          <w:rFonts w:hint="eastAsia"/>
          <w:b/>
          <w:bCs/>
          <w:lang w:val="en-US" w:eastAsia="zh-CN"/>
        </w:rPr>
        <w:t xml:space="preserve">三</w:t>
      </w:r>
      <w:r>
        <w:rPr>
          <w:rFonts w:hint="eastAsia"/>
          <w:b/>
          <w:bCs/>
        </w:rPr>
        <w:t xml:space="preserve">、采购需求中必须满足的实质性要求</w:t>
      </w:r>
      <w:r/>
    </w:p>
    <w:p>
      <w:pPr>
        <w:pStyle w:val="672"/>
        <w:rPr>
          <w:rFonts w:hint="eastAsia" w:ascii="宋体" w:hAnsi="宋体" w:eastAsia="宋体" w:cs="宋体"/>
          <w:b/>
          <w:bCs/>
          <w:sz w:val="28"/>
          <w:szCs w:val="28"/>
        </w:rPr>
      </w:pPr>
      <w:r>
        <w:rPr>
          <w:rFonts w:hint="eastAsia" w:ascii="宋体" w:hAnsi="宋体" w:eastAsia="宋体" w:cs="宋体"/>
          <w:b/>
          <w:bCs/>
          <w:sz w:val="28"/>
          <w:szCs w:val="28"/>
        </w:rPr>
        <w:t xml:space="preserve">商务部分实质性要求</w:t>
      </w:r>
      <w:r/>
    </w:p>
    <w:p>
      <w:pPr>
        <w:ind w:firstLine="480"/>
        <w:jc w:val="both"/>
        <w:pageBreakBefore w:val="0"/>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中标单位在合同执行期间，如发现中标单位无法按照采购内容完成项目开发的，招标方有权提前解除合同。</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提供承诺书，格式自拟</w:t>
      </w:r>
      <w:r>
        <w:rPr>
          <w:rFonts w:hint="eastAsia" w:ascii="宋体" w:hAnsi="宋体" w:cs="宋体"/>
          <w:bCs/>
          <w:sz w:val="24"/>
          <w:szCs w:val="24"/>
          <w:lang w:eastAsia="zh-CN"/>
        </w:rPr>
        <w:t xml:space="preserve">）</w:t>
      </w:r>
      <w:r/>
    </w:p>
    <w:p>
      <w:pPr>
        <w:ind w:firstLine="480"/>
        <w:jc w:val="both"/>
        <w:pageBreakBefore w:val="0"/>
        <w:spacing w:line="360" w:lineRule="auto"/>
        <w:widowControl/>
        <w:rPr>
          <w:rFonts w:hint="eastAsia" w:ascii="宋体" w:hAnsi="宋体" w:cs="宋体"/>
          <w:bCs/>
          <w:sz w:val="24"/>
          <w:szCs w:val="24"/>
          <w:lang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投标人承诺能协调本项目所有研判所需数据对接，包括但不限于</w:t>
      </w:r>
      <w:r>
        <w:rPr>
          <w:rFonts w:hint="eastAsia" w:ascii="宋体" w:hAnsi="宋体" w:eastAsia="宋体" w:cs="宋体"/>
          <w:bCs/>
          <w:sz w:val="24"/>
          <w:szCs w:val="24"/>
          <w:lang w:val="en-US" w:eastAsia="zh-CN"/>
        </w:rPr>
        <w:t xml:space="preserve">海事，港口等</w:t>
      </w:r>
      <w:r>
        <w:rPr>
          <w:rFonts w:hint="eastAsia" w:ascii="宋体" w:hAnsi="宋体" w:eastAsia="宋体" w:cs="宋体"/>
          <w:bCs/>
          <w:sz w:val="24"/>
          <w:szCs w:val="24"/>
        </w:rPr>
        <w:t xml:space="preserve">，甲方不再另行支付费用。</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提供承诺书，格式自拟</w:t>
      </w:r>
      <w:r>
        <w:rPr>
          <w:rFonts w:hint="eastAsia" w:ascii="宋体" w:hAnsi="宋体" w:cs="宋体"/>
          <w:bCs/>
          <w:sz w:val="24"/>
          <w:szCs w:val="24"/>
          <w:lang w:eastAsia="zh-CN"/>
        </w:rPr>
        <w:t xml:space="preserve">）</w:t>
      </w:r>
      <w:r/>
    </w:p>
    <w:p>
      <w:pPr>
        <w:ind w:firstLine="480"/>
        <w:jc w:val="both"/>
        <w:pageBreakBefore w:val="0"/>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3.供应商需提供相应的承诺书（格式自拟），并加盖投标人公章。</w:t>
      </w:r>
      <w:r/>
    </w:p>
    <w:p>
      <w:pPr>
        <w:pStyle w:val="9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709"/>
        <w:ind w:firstLine="0"/>
      </w:pPr>
      <w:r/>
      <w:r/>
    </w:p>
    <w:p>
      <w:pPr>
        <w:pStyle w:val="709"/>
        <w:ind w:firstLine="0"/>
      </w:pPr>
      <w:r/>
      <w:r/>
    </w:p>
    <w:p>
      <w:pPr>
        <w:pStyle w:val="709"/>
        <w:ind w:firstLine="0"/>
      </w:pPr>
      <w:r/>
      <w:r/>
    </w:p>
    <w:p>
      <w:pPr>
        <w:pStyle w:val="859"/>
        <w:rPr>
          <w:rFonts w:ascii="黑体" w:eastAsia="黑体"/>
          <w:bCs/>
          <w:sz w:val="44"/>
        </w:rPr>
      </w:pPr>
      <w:r/>
      <w:bookmarkStart w:id="199"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42"/>
        <w:rPr>
          <w:rFonts w:ascii="宋体" w:hAnsi="宋体" w:cs="宋体"/>
        </w:rPr>
      </w:pPr>
      <w:r>
        <w:rPr>
          <w:rFonts w:hint="eastAsia" w:ascii="宋体" w:hAnsi="宋体" w:cs="宋体"/>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4"/>
        <w:gridCol w:w="5575"/>
      </w:tblGrid>
      <w:tr>
        <w:trPr/>
        <w:tc>
          <w:tcPr>
            <w:tcW w:w="2504" w:type="dxa"/>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选取中标候选人数量</w:t>
            </w:r>
            <w:r/>
          </w:p>
        </w:tc>
        <w:tc>
          <w:tcPr>
            <w:tcW w:w="5575" w:type="dxa"/>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选取中标候选人的原则</w:t>
            </w:r>
            <w:r/>
          </w:p>
        </w:tc>
      </w:tr>
      <w:tr>
        <w:trPr/>
        <w:tc>
          <w:tcPr>
            <w:tcW w:w="2504" w:type="dxa"/>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5575" w:type="dxa"/>
            <w:textDirection w:val="lrTb"/>
            <w:noWrap w:val="false"/>
          </w:tcPr>
          <w:p>
            <w:pPr>
              <w:jc w:val="left"/>
              <w:spacing w:line="480" w:lineRule="exact"/>
              <w:rPr>
                <w:rFonts w:ascii="宋体" w:hAnsi="宋体" w:cs="宋体"/>
                <w:color w:val="000000"/>
                <w:sz w:val="24"/>
                <w:szCs w:val="24"/>
              </w:rPr>
            </w:pPr>
            <w:r>
              <w:rPr>
                <w:rFonts w:hint="eastAsia" w:ascii="宋体" w:hAnsi="宋体" w:cs="宋体"/>
                <w:color w:val="000000"/>
                <w:sz w:val="24"/>
                <w:szCs w:val="24"/>
              </w:rPr>
              <w:t xml:space="preserve">满足招标文件全部实质性要求，且按照评审因素的量化指标评审得分最高的投标人为中标候选人。</w:t>
            </w:r>
            <w:r/>
          </w:p>
        </w:tc>
      </w:tr>
    </w:tbl>
    <w:p>
      <w:pPr>
        <w:pStyle w:val="942"/>
        <w:ind w:firstLine="482"/>
        <w:spacing w:line="0" w:lineRule="atLeast"/>
        <w:rPr>
          <w:rFonts w:ascii="宋体" w:hAnsi="宋体" w:cs="宋体"/>
          <w:b/>
          <w:highlight w:val="yellow"/>
        </w:rPr>
      </w:pPr>
      <w:r>
        <w:rPr>
          <w:rFonts w:hint="eastAsia" w:ascii="宋体" w:hAnsi="宋体" w:cs="宋体"/>
          <w:b/>
        </w:rPr>
        <w:t xml:space="preserve">评标方法与评标标准</w:t>
      </w:r>
      <w:r/>
    </w:p>
    <w:p>
      <w:pPr>
        <w:pStyle w:val="942"/>
        <w:ind w:firstLine="482"/>
        <w:rPr>
          <w:rFonts w:ascii="宋体" w:hAnsi="宋体" w:cs="宋体"/>
          <w:b/>
          <w:color w:val="000000" w:themeColor="text1"/>
        </w:rPr>
      </w:pPr>
      <w:r>
        <w:rPr>
          <w:rFonts w:hint="eastAsia" w:ascii="宋体" w:hAnsi="宋体" w:cs="宋体"/>
          <w:b/>
        </w:rPr>
        <w:t xml:space="preserve">1.</w:t>
      </w:r>
      <w:r>
        <w:rPr>
          <w:rFonts w:hint="eastAsia" w:ascii="宋体" w:hAnsi="宋体" w:cs="宋体"/>
          <w:b/>
          <w:lang w:val="zh-CN"/>
        </w:rPr>
        <w:t xml:space="preserve">价格分：</w:t>
      </w:r>
      <w:r>
        <w:rPr>
          <w:rFonts w:hint="eastAsia" w:ascii="宋体" w:hAnsi="宋体" w:cs="宋体"/>
          <w:b/>
          <w:color w:val="000000" w:themeColor="text1"/>
          <w:lang w:val="en-US" w:eastAsia="zh-CN"/>
        </w:rPr>
        <w:t xml:space="preserve">40</w:t>
      </w:r>
      <w:r>
        <w:rPr>
          <w:rFonts w:hint="eastAsia" w:ascii="宋体" w:hAnsi="宋体" w:cs="宋体"/>
          <w:b/>
          <w:color w:val="000000" w:themeColor="text1"/>
          <w:lang w:val="zh-CN"/>
        </w:rPr>
        <w:t xml:space="preserve">分</w:t>
      </w:r>
      <w:r>
        <w:rPr>
          <w:color w:val="000000" w:themeColor="text1"/>
        </w:rPr>
      </w:r>
    </w:p>
    <w:p>
      <w:pPr>
        <w:pStyle w:val="942"/>
        <w:ind w:firstLine="482"/>
        <w:rPr>
          <w:rFonts w:ascii="宋体" w:hAnsi="宋体" w:cs="宋体"/>
          <w:b/>
        </w:rPr>
      </w:pPr>
      <w:r>
        <w:rPr>
          <w:rFonts w:hint="eastAsia" w:ascii="宋体" w:hAnsi="宋体" w:cs="宋体"/>
          <w:b/>
        </w:rPr>
        <w:t xml:space="preserve">价格分统一采用低价优先法计算，即满足招标文件要求且投标价格最低的投标报价为评标基准价，其价格分为满分。其他投标人的价格分统一按照下列公式计算：</w:t>
      </w:r>
      <w:r/>
    </w:p>
    <w:p>
      <w:pPr>
        <w:pStyle w:val="942"/>
        <w:ind w:firstLine="482"/>
        <w:rPr>
          <w:rFonts w:ascii="宋体" w:hAnsi="宋体" w:cs="宋体"/>
          <w:b/>
        </w:rPr>
      </w:pPr>
      <w:r>
        <w:rPr>
          <w:rFonts w:hint="eastAsia" w:ascii="宋体" w:hAnsi="宋体" w:cs="宋体"/>
          <w:b/>
        </w:rPr>
        <w:t xml:space="preserve">投标报价得分=（评标基准价/投标报价）×价格权值×100</w:t>
      </w:r>
      <w:r/>
    </w:p>
    <w:p>
      <w:pPr>
        <w:ind w:left="482"/>
        <w:jc w:val="left"/>
        <w:spacing w:before="120" w:after="120" w:line="0" w:lineRule="atLeast"/>
        <w:tabs>
          <w:tab w:val="left" w:pos="312" w:leader="none"/>
        </w:tabs>
        <w:rPr>
          <w:rFonts w:ascii="宋体" w:hAnsi="宋体" w:cs="Arial"/>
          <w:b/>
          <w:color w:val="000000" w:themeColor="text1"/>
          <w:sz w:val="24"/>
        </w:rPr>
      </w:pPr>
      <w:r>
        <w:rPr>
          <w:rFonts w:hint="eastAsia" w:ascii="宋体" w:hAnsi="宋体" w:cs="Arial"/>
          <w:b/>
          <w:sz w:val="24"/>
        </w:rPr>
        <w:t xml:space="preserve">2.技术分：</w:t>
      </w:r>
      <w:r>
        <w:rPr>
          <w:rFonts w:hint="eastAsia" w:ascii="宋体" w:hAnsi="宋体" w:cs="Arial"/>
          <w:b/>
          <w:color w:val="000000" w:themeColor="text1"/>
          <w:sz w:val="24"/>
          <w:lang w:val="en-US" w:eastAsia="zh-CN"/>
        </w:rPr>
        <w:t xml:space="preserve">40</w:t>
      </w:r>
      <w:r>
        <w:rPr>
          <w:rFonts w:hint="eastAsia" w:ascii="宋体" w:hAnsi="宋体" w:cs="Arial"/>
          <w:b/>
          <w:color w:val="000000" w:themeColor="text1"/>
          <w:sz w:val="24"/>
        </w:rPr>
        <w:t xml:space="preserve">分</w:t>
      </w:r>
      <w:r>
        <w:rPr>
          <w:color w:val="000000" w:themeColor="text1"/>
        </w:rPr>
      </w:r>
    </w:p>
    <w:tbl>
      <w:tblPr>
        <w:tblStyle w:val="681"/>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058"/>
        <w:gridCol w:w="5655"/>
        <w:gridCol w:w="720"/>
        <w:gridCol w:w="699"/>
        <w:gridCol w:w="634"/>
      </w:tblGrid>
      <w:tr>
        <w:trPr>
          <w:trHeight w:val="550"/>
        </w:trPr>
        <w:tc>
          <w:tcPr>
            <w:tcW w:w="0" w:type="auto"/>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tcW w:w="105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评分点</w:t>
            </w:r>
            <w:r/>
          </w:p>
          <w:p>
            <w:pPr>
              <w:jc w:val="center"/>
              <w:widowControl/>
              <w:rPr>
                <w:rFonts w:ascii="宋体" w:hAnsi="宋体" w:cs="宋体"/>
                <w:color w:val="000000"/>
              </w:rPr>
            </w:pPr>
            <w:r>
              <w:rPr>
                <w:rFonts w:hint="eastAsia" w:ascii="宋体" w:hAnsi="宋体" w:cs="宋体"/>
                <w:color w:val="000000"/>
                <w:lang w:eastAsia="zh-Hans"/>
              </w:rPr>
              <w:t xml:space="preserve">名</w:t>
            </w:r>
            <w:r>
              <w:rPr>
                <w:rFonts w:hint="eastAsia" w:ascii="宋体" w:hAnsi="宋体" w:cs="宋体"/>
                <w:color w:val="000000"/>
              </w:rPr>
              <w:t xml:space="preserve">称</w:t>
            </w:r>
            <w:r/>
          </w:p>
        </w:tc>
        <w:tc>
          <w:tcPr>
            <w:tcW w:w="565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评审标准</w:t>
            </w:r>
            <w:r/>
          </w:p>
        </w:tc>
        <w:tc>
          <w:tcPr>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最高分</w:t>
            </w:r>
            <w:r/>
          </w:p>
        </w:tc>
        <w:tc>
          <w:tcPr>
            <w:tcW w:w="69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最低分</w:t>
            </w:r>
            <w:r/>
          </w:p>
        </w:tc>
        <w:tc>
          <w:tcPr>
            <w:tcW w:w="6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主</w:t>
            </w:r>
            <w:r>
              <w:rPr>
                <w:rFonts w:ascii="Arial" w:hAnsi="Arial" w:cs="Arial"/>
                <w:color w:val="000000"/>
              </w:rPr>
              <w:t xml:space="preserve">/</w:t>
            </w:r>
            <w:r>
              <w:rPr>
                <w:rFonts w:hint="eastAsia" w:ascii="宋体" w:hAnsi="宋体" w:cs="宋体"/>
                <w:color w:val="000000"/>
              </w:rPr>
              <w:t xml:space="preserve">客观</w:t>
            </w:r>
            <w:r/>
          </w:p>
        </w:tc>
      </w:tr>
      <w:tr>
        <w:trPr>
          <w:trHeight w:val="853"/>
        </w:trPr>
        <w:tc>
          <w:tcPr>
            <w:tcW w:w="0" w:type="auto"/>
            <w:vAlign w:val="center"/>
            <w:vMerge w:val="restart"/>
            <w:textDirection w:val="lrTb"/>
            <w:noWrap w:val="false"/>
          </w:tcPr>
          <w:p>
            <w:pPr>
              <w:jc w:val="left"/>
              <w:widowControl/>
              <w:rPr>
                <w:rFonts w:hint="eastAsia" w:ascii="Arial" w:hAnsi="Arial" w:eastAsia="等线" w:cs="Arial"/>
                <w:color w:val="000000"/>
              </w:rPr>
            </w:pPr>
            <w:r>
              <w:rPr>
                <w:rFonts w:hint="eastAsia" w:ascii="Arial" w:hAnsi="Arial" w:eastAsia="等线" w:cs="Arial"/>
                <w:color w:val="000000"/>
              </w:rPr>
              <w:t xml:space="preserve">1</w:t>
            </w:r>
            <w:r/>
          </w:p>
        </w:tc>
        <w:tc>
          <w:tcPr>
            <w:tcW w:w="1058" w:type="dxa"/>
            <w:vAlign w:val="center"/>
            <w:vMerge w:val="restart"/>
            <w:textDirection w:val="lrTb"/>
            <w:noWrap w:val="false"/>
          </w:tcPr>
          <w:p>
            <w:pPr>
              <w:jc w:val="left"/>
              <w:widowControl/>
              <w:rPr>
                <w:rFonts w:hint="eastAsia" w:ascii="宋体" w:hAnsi="宋体" w:eastAsia="Times New Roman" w:cs="宋体"/>
                <w:color w:val="000000"/>
                <w:lang w:eastAsia="zh-Hans"/>
              </w:rPr>
            </w:pPr>
            <w:r>
              <w:rPr>
                <w:rFonts w:hint="eastAsia" w:ascii="宋体" w:hAnsi="宋体" w:cs="宋体"/>
                <w:color w:val="000000"/>
                <w:lang w:eastAsia="zh-Hans"/>
              </w:rPr>
              <w:t xml:space="preserve">系统演示</w:t>
            </w:r>
            <w:r/>
          </w:p>
        </w:tc>
        <w:tc>
          <w:tcPr>
            <w:gridSpan w:val="3"/>
            <w:tcW w:w="7074" w:type="dxa"/>
            <w:vAlign w:val="center"/>
            <w:textDirection w:val="lrTb"/>
            <w:noWrap w:val="false"/>
          </w:tcPr>
          <w:p>
            <w:pPr>
              <w:ind w:firstLine="210"/>
              <w:jc w:val="left"/>
              <w:widowControl/>
              <w:rPr>
                <w:rFonts w:ascii="Arial" w:hAnsi="Arial" w:eastAsia="等线" w:cs="Arial"/>
                <w:color w:val="000000"/>
              </w:rPr>
            </w:pPr>
            <w:r>
              <w:rPr>
                <w:rFonts w:hint="eastAsia" w:ascii="宋体" w:hAnsi="宋体" w:cs="宋体"/>
                <w:color w:val="000000"/>
                <w:lang w:eastAsia="zh-Hans"/>
              </w:rPr>
              <w:t xml:space="preserve">智慧引航系统功能介绍包括不限于如下重点</w:t>
            </w:r>
            <w:r>
              <w:rPr>
                <w:rFonts w:hint="eastAsia" w:ascii="宋体" w:hAnsi="宋体" w:cs="宋体"/>
                <w:color w:val="000000"/>
              </w:rPr>
              <w:t xml:space="preserve">，</w:t>
            </w:r>
            <w:r>
              <w:rPr>
                <w:rFonts w:hint="eastAsia" w:ascii="宋体" w:hAnsi="宋体" w:cs="宋体"/>
                <w:color w:val="000000"/>
                <w:lang w:eastAsia="zh-Hans"/>
              </w:rPr>
              <w:t xml:space="preserve">系统演示</w:t>
            </w:r>
            <w:r>
              <w:rPr>
                <w:rFonts w:hint="eastAsia" w:ascii="宋体" w:hAnsi="宋体" w:cs="宋体"/>
                <w:color w:val="000000"/>
              </w:rPr>
              <w:t xml:space="preserve">内容需详细且满足项目需求，每提供一个得对应的分数，最多</w:t>
            </w:r>
            <w:r>
              <w:rPr>
                <w:rFonts w:hint="eastAsia" w:ascii="宋体" w:hAnsi="宋体" w:cs="宋体"/>
                <w:color w:val="000000" w:themeColor="text1"/>
              </w:rPr>
              <w:t xml:space="preserve">得</w:t>
            </w:r>
            <w:r>
              <w:rPr>
                <w:rFonts w:hint="eastAsia" w:ascii="Arial" w:hAnsi="Arial" w:cs="Arial"/>
                <w:color w:val="000000" w:themeColor="text1"/>
                <w:lang w:val="en-US" w:eastAsia="zh-CN"/>
              </w:rPr>
              <w:t xml:space="preserve">20</w:t>
            </w:r>
            <w:r>
              <w:rPr>
                <w:rFonts w:hint="eastAsia" w:ascii="宋体" w:hAnsi="宋体" w:cs="宋体"/>
                <w:color w:val="000000" w:themeColor="text1"/>
              </w:rPr>
              <w:t xml:space="preserve">分</w:t>
            </w:r>
            <w:r>
              <w:rPr>
                <w:rFonts w:hint="eastAsia" w:ascii="宋体" w:hAnsi="宋体" w:cs="宋体"/>
                <w:color w:val="000000"/>
              </w:rPr>
              <w:t xml:space="preserve">，不提供则不得分。</w:t>
            </w:r>
            <w:r/>
          </w:p>
        </w:tc>
        <w:tc>
          <w:tcPr>
            <w:tcW w:w="634" w:type="dxa"/>
            <w:vAlign w:val="center"/>
            <w:vMerge w:val="restart"/>
            <w:textDirection w:val="lrTb"/>
            <w:noWrap w:val="false"/>
          </w:tcPr>
          <w:p>
            <w:pPr>
              <w:jc w:val="left"/>
              <w:widowControl/>
              <w:rPr>
                <w:rFonts w:hint="eastAsia" w:ascii="宋体" w:hAnsi="宋体" w:eastAsia="Times New Roman" w:cs="宋体"/>
                <w:color w:val="000000"/>
                <w:lang w:eastAsia="zh-Hans"/>
              </w:rPr>
            </w:pPr>
            <w:r>
              <w:rPr>
                <w:rFonts w:hint="eastAsia" w:ascii="宋体" w:hAnsi="宋体" w:cs="宋体"/>
                <w:color w:val="000000"/>
                <w:lang w:eastAsia="zh-Hans"/>
              </w:rPr>
              <w:t xml:space="preserve">客观</w:t>
            </w:r>
            <w:r/>
          </w:p>
        </w:tc>
      </w:tr>
      <w:tr>
        <w:trPr>
          <w:trHeight w:val="1090"/>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jc w:val="left"/>
              <w:widowControl/>
            </w:pPr>
            <w:r>
              <w:rPr>
                <w:rFonts w:ascii="宋体" w:hAnsi="宋体" w:cs="宋体"/>
                <w:color w:val="000000"/>
              </w:rPr>
              <w:t xml:space="preserve">1.</w:t>
            </w:r>
            <w:r>
              <w:rPr>
                <w:rFonts w:hint="eastAsia"/>
              </w:rPr>
              <w:t xml:space="preserve">船代人员可通过</w:t>
            </w:r>
            <w:r>
              <w:rPr>
                <w:rFonts w:hint="eastAsia"/>
                <w:lang w:eastAsia="zh-Hans"/>
              </w:rPr>
              <w:t xml:space="preserve">web</w:t>
            </w:r>
            <w:r>
              <w:rPr>
                <w:rFonts w:hint="eastAsia"/>
              </w:rPr>
              <w:t xml:space="preserve">与</w:t>
            </w:r>
            <w:r>
              <w:rPr>
                <w:rFonts w:hint="eastAsia"/>
                <w:lang w:eastAsia="zh-Hans"/>
              </w:rPr>
              <w:t xml:space="preserve">app</w:t>
            </w:r>
            <w:r>
              <w:rPr>
                <w:rFonts w:hint="eastAsia"/>
              </w:rPr>
              <w:t xml:space="preserve">向引航站预报船舶进出港作业时间并向引航站申请引航作业服务，自动生成《船舶进出港申请预报书》</w:t>
            </w:r>
            <w:r>
              <w:t xml:space="preserve">,</w:t>
            </w:r>
            <w:r>
              <w:rPr>
                <w:rFonts w:hint="eastAsia"/>
                <w:lang w:eastAsia="zh-Hans"/>
              </w:rPr>
              <w:t xml:space="preserve">支持智能语音识别输入</w:t>
            </w:r>
            <w:r>
              <w:rPr>
                <w:rFonts w:hint="eastAsia"/>
              </w:rPr>
              <w:t xml:space="preserve">。</w:t>
            </w:r>
            <w:r/>
          </w:p>
        </w:tc>
        <w:tc>
          <w:tcPr>
            <w:tcW w:w="720" w:type="dxa"/>
            <w:vAlign w:val="center"/>
            <w:textDirection w:val="lrTb"/>
            <w:noWrap w:val="false"/>
          </w:tcPr>
          <w:p>
            <w:pPr>
              <w:jc w:val="center"/>
              <w:widowControl/>
              <w:rPr>
                <w:rFonts w:hint="eastAsia" w:ascii="Arial" w:hAnsi="Arial" w:eastAsia="等线" w:cs="Arial"/>
                <w:color w:val="auto"/>
                <w:lang w:eastAsia="zh-CN"/>
              </w:rPr>
            </w:pPr>
            <w:r>
              <w:rPr>
                <w:rFonts w:hint="eastAsia" w:ascii="Arial" w:hAnsi="Arial" w:eastAsia="等线" w:cs="Arial"/>
                <w:color w:val="auto"/>
                <w:lang w:val="en-US" w:eastAsia="zh-CN"/>
              </w:rPr>
              <w:t xml:space="preserve">1</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954"/>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w:t>
            </w:r>
            <w:r>
              <w:rPr>
                <w:rFonts w:hint="eastAsia" w:ascii="宋体" w:hAnsi="宋体" w:cs="宋体"/>
                <w:color w:val="000000"/>
                <w:lang w:eastAsia="zh-Hans"/>
              </w:rPr>
              <w:t xml:space="preserve">代理在app端提交申请后创建船舶引航</w:t>
            </w:r>
            <w:r>
              <w:rPr>
                <w:rFonts w:ascii="宋体" w:hAnsi="宋体" w:cs="宋体"/>
                <w:color w:val="000000"/>
                <w:lang w:eastAsia="zh-Hans"/>
              </w:rPr>
              <w:t xml:space="preserve">IM</w:t>
            </w:r>
            <w:r>
              <w:rPr>
                <w:rFonts w:hint="eastAsia" w:ascii="宋体" w:hAnsi="宋体" w:cs="宋体"/>
                <w:color w:val="000000"/>
                <w:lang w:eastAsia="zh-Hans"/>
              </w:rPr>
              <w:t xml:space="preserve">工作群</w:t>
            </w:r>
            <w:r>
              <w:rPr>
                <w:rFonts w:ascii="宋体" w:hAnsi="宋体" w:cs="宋体"/>
                <w:color w:val="000000"/>
                <w:lang w:eastAsia="zh-Hans"/>
              </w:rPr>
              <w:t xml:space="preserve">,</w:t>
            </w:r>
            <w:r>
              <w:rPr>
                <w:rFonts w:hint="eastAsia" w:ascii="宋体" w:hAnsi="宋体" w:cs="宋体"/>
                <w:color w:val="000000"/>
                <w:lang w:eastAsia="zh-Hans"/>
              </w:rPr>
              <w:t xml:space="preserve">包括调度</w:t>
            </w:r>
            <w:r>
              <w:rPr>
                <w:rFonts w:ascii="宋体" w:hAnsi="宋体" w:cs="宋体"/>
                <w:color w:val="000000"/>
              </w:rPr>
              <w:t xml:space="preserve">、</w:t>
            </w:r>
            <w:r>
              <w:rPr>
                <w:rFonts w:hint="eastAsia" w:ascii="宋体" w:hAnsi="宋体" w:cs="宋体"/>
                <w:color w:val="000000"/>
                <w:lang w:eastAsia="zh-Hans"/>
              </w:rPr>
              <w:t xml:space="preserve">引航员</w:t>
            </w:r>
            <w:r>
              <w:rPr>
                <w:rFonts w:ascii="宋体" w:hAnsi="宋体" w:cs="宋体"/>
                <w:color w:val="000000"/>
              </w:rPr>
              <w:t xml:space="preserve">、</w:t>
            </w:r>
            <w:r>
              <w:rPr>
                <w:rFonts w:hint="eastAsia" w:ascii="宋体" w:hAnsi="宋体" w:cs="宋体"/>
                <w:color w:val="000000"/>
                <w:lang w:eastAsia="zh-Hans"/>
              </w:rPr>
              <w:t xml:space="preserve">码头方</w:t>
            </w:r>
            <w:r>
              <w:rPr>
                <w:rFonts w:ascii="宋体" w:hAnsi="宋体" w:cs="宋体"/>
                <w:color w:val="000000"/>
              </w:rPr>
              <w:t xml:space="preserve">、</w:t>
            </w:r>
            <w:r>
              <w:rPr>
                <w:rFonts w:hint="eastAsia" w:ascii="宋体" w:hAnsi="宋体" w:cs="宋体"/>
                <w:color w:val="000000"/>
                <w:lang w:eastAsia="zh-Hans"/>
              </w:rPr>
              <w:t xml:space="preserve">拖轮方等相关人员</w:t>
            </w:r>
            <w:r>
              <w:rPr>
                <w:rFonts w:ascii="宋体" w:hAnsi="宋体" w:cs="宋体"/>
                <w:color w:val="000000"/>
                <w:lang w:eastAsia="zh-Hans"/>
              </w:rPr>
              <w:t xml:space="preserve">,</w:t>
            </w:r>
            <w:r>
              <w:rPr>
                <w:rFonts w:hint="eastAsia" w:ascii="宋体" w:hAnsi="宋体" w:cs="宋体"/>
                <w:color w:val="000000"/>
                <w:lang w:eastAsia="zh-Hans"/>
              </w:rPr>
              <w:t xml:space="preserve">支持查看船舶详情</w:t>
            </w:r>
            <w:r>
              <w:rPr>
                <w:rFonts w:ascii="宋体" w:hAnsi="宋体" w:cs="宋体"/>
                <w:color w:val="000000"/>
                <w:lang w:eastAsia="zh-Hans"/>
              </w:rPr>
              <w:t xml:space="preserve">,</w:t>
            </w:r>
            <w:r>
              <w:rPr>
                <w:rFonts w:hint="eastAsia" w:ascii="宋体" w:hAnsi="宋体" w:cs="宋体"/>
                <w:color w:val="000000"/>
                <w:lang w:eastAsia="zh-Hans"/>
              </w:rPr>
              <w:t xml:space="preserve">引航作业进度通知</w:t>
            </w:r>
            <w:r>
              <w:rPr>
                <w:rFonts w:hint="eastAsia"/>
              </w:rPr>
              <w:t xml:space="preserve">。</w:t>
            </w:r>
            <w:r/>
          </w:p>
        </w:tc>
        <w:tc>
          <w:tcPr>
            <w:tcW w:w="720" w:type="dxa"/>
            <w:vAlign w:val="center"/>
            <w:textDirection w:val="lrTb"/>
            <w:noWrap w:val="false"/>
          </w:tcPr>
          <w:p>
            <w:pPr>
              <w:jc w:val="center"/>
              <w:widowControl/>
              <w:rPr>
                <w:rFonts w:hint="eastAsia" w:ascii="Arial" w:hAnsi="Arial" w:eastAsia="等线" w:cs="Arial"/>
                <w:color w:val="auto"/>
                <w:lang w:eastAsia="zh-CN"/>
              </w:rPr>
            </w:pPr>
            <w:r>
              <w:rPr>
                <w:rFonts w:hint="eastAsia" w:ascii="Arial" w:hAnsi="Arial" w:eastAsia="等线" w:cs="Arial"/>
                <w:color w:val="000000" w:themeColor="text1"/>
                <w:lang w:val="en-US" w:eastAsia="zh-CN"/>
              </w:rPr>
              <w:t xml:space="preserve">3</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938"/>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3.</w:t>
            </w:r>
            <w:r>
              <w:rPr>
                <w:rFonts w:hint="eastAsia"/>
              </w:rPr>
              <w:t xml:space="preserve">船舶评价</w:t>
            </w:r>
            <w:r>
              <w:t xml:space="preserve">:</w:t>
            </w:r>
            <w:r>
              <w:rPr>
                <w:rFonts w:hint="eastAsia"/>
              </w:rPr>
              <w:t xml:space="preserve">船舶的动态信息数据的历史作业记录，如果船舶被引航站评分过低和不良评价，系统会给用户提出意见和警示。</w:t>
            </w:r>
            <w:r/>
          </w:p>
        </w:tc>
        <w:tc>
          <w:tcPr>
            <w:tcW w:w="720" w:type="dxa"/>
            <w:vAlign w:val="center"/>
            <w:textDirection w:val="lrTb"/>
            <w:noWrap w:val="false"/>
          </w:tcPr>
          <w:p>
            <w:pPr>
              <w:jc w:val="center"/>
              <w:widowControl/>
              <w:rPr>
                <w:rFonts w:hint="eastAsia" w:ascii="Arial" w:hAnsi="Arial" w:eastAsia="等线" w:cs="Arial"/>
                <w:color w:val="auto"/>
                <w:lang w:eastAsia="zh-CN"/>
              </w:rPr>
            </w:pPr>
            <w:r>
              <w:rPr>
                <w:rFonts w:hint="eastAsia" w:ascii="Arial" w:hAnsi="Arial" w:eastAsia="等线" w:cs="Arial"/>
                <w:color w:val="auto"/>
                <w:lang w:val="en-US" w:eastAsia="zh-CN"/>
              </w:rPr>
              <w:t xml:space="preserve">1</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1090"/>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jc w:val="left"/>
              <w:widowControl/>
              <w:rPr>
                <w:rFonts w:ascii="Arial" w:hAnsi="Arial" w:eastAsia="等线" w:cs="Arial"/>
                <w:color w:val="000000"/>
              </w:rPr>
            </w:pPr>
            <w:r>
              <w:t xml:space="preserve">4.</w:t>
            </w:r>
            <w:r>
              <w:rPr>
                <w:rFonts w:hint="eastAsia"/>
              </w:rPr>
              <w:t xml:space="preserve">引航调度人员根据船舶进出港的作业计划、引航派班规则如船长、等级、危险品船舶等条件进行智能调度派班，为每一条申请引航作业的船舶指派相对应的引航员，如果有特殊情况引航员不适合该船，系统会自动判断并给调度人员预警，重新安排引航员，也支持调度手动调整引航员。</w:t>
            </w:r>
            <w:r/>
          </w:p>
        </w:tc>
        <w:tc>
          <w:tcPr>
            <w:tcW w:w="720" w:type="dxa"/>
            <w:vAlign w:val="center"/>
            <w:textDirection w:val="lrTb"/>
            <w:noWrap w:val="false"/>
          </w:tcPr>
          <w:p>
            <w:pPr>
              <w:jc w:val="center"/>
              <w:widowControl/>
              <w:rPr>
                <w:rFonts w:hint="eastAsia" w:ascii="Arial" w:hAnsi="Arial" w:eastAsia="等线" w:cs="Arial"/>
                <w:color w:val="000000" w:themeColor="text1"/>
              </w:rPr>
            </w:pPr>
            <w:r>
              <w:rPr>
                <w:rFonts w:hint="eastAsia" w:ascii="Arial" w:hAnsi="Arial" w:eastAsia="等线" w:cs="Arial"/>
                <w:color w:val="000000" w:themeColor="text1"/>
                <w:lang w:val="en-US" w:eastAsia="zh-CN"/>
              </w:rPr>
              <w:t xml:space="preserve">2</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820"/>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rPr>
                <w:rFonts w:ascii="Arial" w:hAnsi="Arial" w:eastAsia="等线" w:cs="Arial"/>
                <w:color w:val="000000"/>
              </w:rPr>
            </w:pPr>
            <w:r>
              <w:t xml:space="preserve">5.</w:t>
            </w:r>
            <w:r>
              <w:rPr>
                <w:rFonts w:hint="eastAsia"/>
              </w:rPr>
              <w:t xml:space="preserve">富裕水深警戒：系统会根据船型、船舶吃水、作业时间、船舶停靠泊位、航道等因素智能判断引航作业富裕水深，一旦超过安全富裕警戒，会报警提示并要求调度人员变更计划，提醒引航员作业风险。</w:t>
            </w:r>
            <w:r/>
          </w:p>
        </w:tc>
        <w:tc>
          <w:tcPr>
            <w:tcW w:w="720" w:type="dxa"/>
            <w:vAlign w:val="center"/>
            <w:textDirection w:val="lrTb"/>
            <w:noWrap w:val="false"/>
          </w:tcPr>
          <w:p>
            <w:pPr>
              <w:jc w:val="center"/>
              <w:widowControl/>
              <w:rPr>
                <w:rFonts w:ascii="Arial" w:hAnsi="Arial" w:eastAsia="等线" w:cs="Arial"/>
                <w:color w:val="auto"/>
              </w:rPr>
            </w:pPr>
            <w:r>
              <w:rPr>
                <w:rFonts w:hint="eastAsia" w:ascii="Arial" w:hAnsi="Arial" w:eastAsia="等线" w:cs="Arial"/>
                <w:color w:val="auto"/>
                <w:lang w:val="en-US" w:eastAsia="zh-CN"/>
              </w:rPr>
              <w:t xml:space="preserve">1</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450"/>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jc w:val="left"/>
              <w:widowControl/>
            </w:pPr>
            <w:r>
              <w:t xml:space="preserve">6.</w:t>
            </w:r>
            <w:r>
              <w:rPr>
                <w:rFonts w:hint="eastAsia"/>
              </w:rPr>
              <w:t xml:space="preserve">引航员值班管理：自动记录引航员值班情况，每天在岗、请假等情况，是实现引航员智能化排班的数据支撑；支持设置港区、科室、值班天数及组员数量，实现全年每月每日自动值班。</w:t>
            </w:r>
            <w:r/>
          </w:p>
        </w:tc>
        <w:tc>
          <w:tcPr>
            <w:tcW w:w="720" w:type="dxa"/>
            <w:vAlign w:val="center"/>
            <w:textDirection w:val="lrTb"/>
            <w:noWrap w:val="false"/>
          </w:tcPr>
          <w:p>
            <w:pPr>
              <w:jc w:val="center"/>
              <w:widowControl/>
              <w:rPr>
                <w:rFonts w:hint="eastAsia" w:ascii="Arial" w:hAnsi="Arial" w:eastAsia="等线" w:cs="Arial"/>
                <w:color w:val="auto"/>
                <w:lang w:eastAsia="zh-CN"/>
              </w:rPr>
            </w:pPr>
            <w:r>
              <w:rPr>
                <w:rFonts w:hint="eastAsia" w:ascii="Arial" w:hAnsi="Arial" w:eastAsia="等线" w:cs="Arial"/>
                <w:color w:val="auto"/>
                <w:lang w:val="en-US" w:eastAsia="zh-CN"/>
              </w:rPr>
              <w:t xml:space="preserve">1</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280"/>
        </w:trPr>
        <w:tc>
          <w:tcPr>
            <w:tcW w:w="0" w:type="auto"/>
            <w:vAlign w:val="center"/>
            <w:vMerge w:val="continue"/>
            <w:textDirection w:val="lrTb"/>
            <w:noWrap w:val="false"/>
          </w:tcPr>
          <w:p>
            <w:pPr>
              <w:jc w:val="center"/>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center"/>
              <w:widowControl/>
              <w:rPr>
                <w:rFonts w:hint="eastAsia"/>
              </w:rPr>
            </w:pPr>
            <w:r>
              <w:rPr>
                <w:rFonts w:hint="eastAsia"/>
              </w:rPr>
            </w:r>
            <w:r/>
          </w:p>
        </w:tc>
        <w:tc>
          <w:tcPr>
            <w:tcW w:w="5655" w:type="dxa"/>
            <w:vAlign w:val="center"/>
            <w:textDirection w:val="lrTb"/>
            <w:noWrap w:val="false"/>
          </w:tcPr>
          <w:p>
            <w:pPr>
              <w:jc w:val="left"/>
              <w:widowControl/>
              <w:rPr>
                <w:rFonts w:ascii="Arial" w:hAnsi="Arial" w:eastAsia="等线" w:cs="Arial"/>
                <w:color w:val="000000"/>
              </w:rPr>
            </w:pPr>
            <w:r>
              <w:rPr>
                <w:rFonts w:ascii="Arial" w:hAnsi="Arial" w:eastAsia="等线" w:cs="Arial"/>
                <w:color w:val="000000"/>
              </w:rPr>
              <w:t xml:space="preserve">7.</w:t>
            </w:r>
            <w:r>
              <w:rPr>
                <w:rFonts w:hint="eastAsia"/>
              </w:rPr>
              <w:t xml:space="preserve">引航员任务卡：引航员被排班以后，会在个人终端自动生成引航任务卡，</w:t>
            </w:r>
            <w:r>
              <w:rPr>
                <w:rFonts w:hint="eastAsia"/>
                <w:lang w:eastAsia="zh-Hans"/>
              </w:rPr>
              <w:t xml:space="preserve">显示</w:t>
            </w:r>
            <w:r>
              <w:rPr>
                <w:rFonts w:hint="eastAsia"/>
              </w:rPr>
              <w:t xml:space="preserve">引航员需要的船舶静态、水文潮汐等所有信息与作业动态计划信息，并且能够点击【开始引航】、【结束引航】来自动计算引航作业时间。</w:t>
            </w:r>
            <w:r/>
          </w:p>
        </w:tc>
        <w:tc>
          <w:tcPr>
            <w:tcW w:w="720" w:type="dxa"/>
            <w:vAlign w:val="center"/>
            <w:textDirection w:val="lrTb"/>
            <w:noWrap w:val="false"/>
          </w:tcPr>
          <w:p>
            <w:pPr>
              <w:jc w:val="center"/>
              <w:widowControl/>
              <w:rPr>
                <w:rFonts w:hint="eastAsia" w:ascii="Arial" w:hAnsi="Arial" w:eastAsia="等线" w:cs="Arial"/>
                <w:color w:val="auto"/>
                <w:lang w:eastAsia="zh-CN"/>
              </w:rPr>
            </w:pPr>
            <w:r>
              <w:rPr>
                <w:rFonts w:hint="eastAsia" w:ascii="Arial" w:hAnsi="Arial" w:eastAsia="等线" w:cs="Arial"/>
                <w:color w:val="000000" w:themeColor="text1"/>
                <w:lang w:val="en-US" w:eastAsia="zh-CN"/>
              </w:rPr>
              <w:t xml:space="preserve">3</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820"/>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jc w:val="left"/>
              <w:widowControl/>
              <w:rPr>
                <w:rFonts w:ascii="Arial" w:hAnsi="Arial" w:eastAsia="等线" w:cs="Arial"/>
                <w:color w:val="000000"/>
              </w:rPr>
            </w:pPr>
            <w:r>
              <w:rPr>
                <w:rFonts w:ascii="Arial" w:hAnsi="Arial" w:eastAsia="等线" w:cs="Arial"/>
                <w:color w:val="000000"/>
              </w:rPr>
              <w:t xml:space="preserve">8.</w:t>
            </w:r>
            <w:r>
              <w:rPr>
                <w:rFonts w:hint="eastAsia"/>
              </w:rPr>
              <w:t xml:space="preserve">电子签证单：引航员工作核心功能，当引航员完成引航作业后，会提交引航电子签证单，签证单有白天模式和夜间模式，有网无网都能智能提交，纵版横版模式，船长电子签名和电子印章扫描、拍照上传三种模式，签证单数据引航员可修改。</w:t>
            </w:r>
            <w:r/>
          </w:p>
        </w:tc>
        <w:tc>
          <w:tcPr>
            <w:tcW w:w="720" w:type="dxa"/>
            <w:vAlign w:val="center"/>
            <w:textDirection w:val="lrTb"/>
            <w:noWrap w:val="false"/>
          </w:tcPr>
          <w:p>
            <w:pPr>
              <w:jc w:val="center"/>
              <w:widowControl/>
              <w:rPr>
                <w:rFonts w:hint="eastAsia" w:ascii="Arial" w:hAnsi="Arial" w:eastAsia="等线" w:cs="Arial"/>
                <w:color w:val="auto"/>
                <w:lang w:eastAsia="zh-CN"/>
              </w:rPr>
            </w:pPr>
            <w:r>
              <w:rPr>
                <w:rFonts w:hint="eastAsia" w:ascii="Arial" w:hAnsi="Arial" w:eastAsia="等线" w:cs="Arial"/>
                <w:color w:val="auto"/>
                <w:lang w:val="en-US" w:eastAsia="zh-CN"/>
              </w:rPr>
              <w:t xml:space="preserve">1</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550"/>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rPr>
                <w:rFonts w:ascii="Arial" w:hAnsi="Arial" w:eastAsia="等线" w:cs="Arial"/>
                <w:color w:val="000000"/>
              </w:rPr>
            </w:pPr>
            <w:r>
              <w:rPr>
                <w:rFonts w:ascii="Arial" w:hAnsi="Arial" w:eastAsia="等线" w:cs="Arial"/>
                <w:color w:val="000000"/>
              </w:rPr>
              <w:t xml:space="preserve">9.</w:t>
            </w:r>
            <w:r>
              <w:rPr>
                <w:rFonts w:hint="eastAsia"/>
              </w:rPr>
              <w:t xml:space="preserve">制服管理：引航站内务管理，站内制服的置换管理。支持对制服基础信息管理，如名称，更换周期，套数，图片等维护；支持统计每年需要更换的品目及数量；统计每类制服的人数及尺码；支持到期全选，一键更新日期。支持导出等功能。</w:t>
            </w:r>
            <w:r/>
          </w:p>
        </w:tc>
        <w:tc>
          <w:tcPr>
            <w:tcW w:w="720" w:type="dxa"/>
            <w:vAlign w:val="center"/>
            <w:textDirection w:val="lrTb"/>
            <w:noWrap w:val="false"/>
          </w:tcPr>
          <w:p>
            <w:pPr>
              <w:jc w:val="center"/>
              <w:widowControl/>
              <w:rPr>
                <w:rFonts w:hint="eastAsia" w:ascii="Arial" w:hAnsi="Arial" w:eastAsia="等线" w:cs="Arial"/>
                <w:color w:val="000000" w:themeColor="text1"/>
              </w:rPr>
            </w:pPr>
            <w:r>
              <w:rPr>
                <w:rFonts w:hint="eastAsia" w:ascii="Arial" w:hAnsi="Arial" w:eastAsia="等线" w:cs="Arial"/>
                <w:color w:val="000000" w:themeColor="text1"/>
                <w:lang w:val="en-US" w:eastAsia="zh-CN"/>
              </w:rPr>
              <w:t xml:space="preserve">3</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657"/>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rPr>
                <w:rFonts w:ascii="Arial" w:hAnsi="Arial" w:eastAsia="等线" w:cs="Arial"/>
                <w:color w:val="000000"/>
              </w:rPr>
            </w:pPr>
            <w:r>
              <w:rPr>
                <w:rFonts w:ascii="Arial" w:hAnsi="Arial" w:eastAsia="等线" w:cs="Arial"/>
                <w:color w:val="000000"/>
              </w:rPr>
              <w:t xml:space="preserve">10.</w:t>
            </w:r>
            <w:r>
              <w:rPr>
                <w:rFonts w:hint="eastAsia"/>
              </w:rPr>
              <w:t xml:space="preserve">引航计费：</w:t>
            </w:r>
            <w:r>
              <w:rPr>
                <w:rFonts w:hint="eastAsia"/>
                <w:lang w:eastAsia="zh-Hans"/>
              </w:rPr>
              <w:t xml:space="preserve">支持用户可在app端</w:t>
            </w:r>
            <w:r>
              <w:rPr>
                <w:rFonts w:hint="eastAsia"/>
              </w:rPr>
              <w:t xml:space="preserve">引航计费，按照引航收费费规进行计费，可以一键计费，多船统一计费。</w:t>
            </w:r>
            <w:r/>
          </w:p>
        </w:tc>
        <w:tc>
          <w:tcPr>
            <w:tcW w:w="720" w:type="dxa"/>
            <w:vAlign w:val="center"/>
            <w:textDirection w:val="lrTb"/>
            <w:noWrap w:val="false"/>
          </w:tcPr>
          <w:p>
            <w:pPr>
              <w:jc w:val="center"/>
              <w:widowControl/>
              <w:rPr>
                <w:rFonts w:hint="eastAsia" w:ascii="Arial" w:hAnsi="Arial" w:eastAsia="等线" w:cs="Arial"/>
                <w:color w:val="000000" w:themeColor="text1"/>
              </w:rPr>
            </w:pPr>
            <w:r>
              <w:rPr>
                <w:rFonts w:hint="eastAsia" w:ascii="Arial" w:hAnsi="Arial" w:eastAsia="等线" w:cs="Arial"/>
                <w:color w:val="000000" w:themeColor="text1"/>
                <w:lang w:val="en-US" w:eastAsia="zh-CN"/>
              </w:rPr>
              <w:t xml:space="preserve">1</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756"/>
        </w:trPr>
        <w:tc>
          <w:tcPr>
            <w:tcW w:w="0" w:type="auto"/>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W w:w="1058"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5655" w:type="dxa"/>
            <w:vAlign w:val="center"/>
            <w:textDirection w:val="lrTb"/>
            <w:noWrap w:val="false"/>
          </w:tcPr>
          <w:p>
            <w:pPr>
              <w:pStyle w:val="690"/>
              <w:rPr>
                <w:rFonts w:ascii="Arial" w:hAnsi="Arial" w:eastAsia="等线" w:cs="Arial"/>
                <w:color w:val="000000"/>
              </w:rPr>
            </w:pPr>
            <w:r>
              <w:rPr>
                <w:rFonts w:ascii="Arial" w:hAnsi="Arial" w:eastAsia="等线" w:cs="Arial"/>
                <w:color w:val="000000"/>
                <w:sz w:val="21"/>
              </w:rPr>
              <w:t xml:space="preserve">1</w:t>
            </w:r>
            <w:r>
              <w:rPr>
                <w:rFonts w:hint="eastAsia" w:ascii="Arial" w:hAnsi="Arial" w:eastAsia="等线" w:cs="Arial"/>
                <w:color w:val="000000"/>
                <w:sz w:val="21"/>
              </w:rPr>
              <w:t xml:space="preserve">1</w:t>
            </w:r>
            <w:r>
              <w:rPr>
                <w:rFonts w:ascii="Arial" w:hAnsi="Arial" w:eastAsia="等线" w:cs="Arial"/>
                <w:color w:val="000000"/>
                <w:sz w:val="21"/>
              </w:rPr>
              <w:t xml:space="preserve">.</w:t>
            </w:r>
            <w:r>
              <w:rPr>
                <w:rFonts w:hint="eastAsia"/>
                <w:sz w:val="21"/>
                <w:lang w:eastAsia="zh-Hans"/>
              </w:rPr>
              <w:t xml:space="preserve">数电发票</w:t>
            </w:r>
            <w:r>
              <w:rPr>
                <w:sz w:val="21"/>
                <w:lang w:eastAsia="zh-Hans"/>
              </w:rPr>
              <w:t xml:space="preserve">:</w:t>
            </w:r>
            <w:r>
              <w:rPr>
                <w:rFonts w:hint="eastAsia"/>
                <w:sz w:val="21"/>
                <w:lang w:eastAsia="zh-Hans"/>
              </w:rPr>
              <w:t xml:space="preserve">支持用户在app端开具数电发票</w:t>
            </w:r>
            <w:r>
              <w:rPr>
                <w:sz w:val="21"/>
                <w:lang w:eastAsia="zh-Hans"/>
              </w:rPr>
              <w:t xml:space="preserve">,</w:t>
            </w:r>
            <w:r>
              <w:rPr>
                <w:rFonts w:hint="eastAsia"/>
                <w:sz w:val="21"/>
                <w:lang w:eastAsia="zh-Hans"/>
              </w:rPr>
              <w:t xml:space="preserve">可以选择单个或者多个引航账单进行开具发票</w:t>
            </w:r>
            <w:r>
              <w:rPr>
                <w:sz w:val="21"/>
                <w:lang w:eastAsia="zh-Hans"/>
              </w:rPr>
              <w:t xml:space="preserve">,</w:t>
            </w:r>
            <w:r>
              <w:rPr>
                <w:rFonts w:hint="eastAsia"/>
                <w:sz w:val="21"/>
                <w:lang w:eastAsia="zh-Hans"/>
              </w:rPr>
              <w:t xml:space="preserve">支持调整开票信息</w:t>
            </w:r>
            <w:r>
              <w:rPr>
                <w:rFonts w:hint="eastAsia"/>
                <w:sz w:val="21"/>
              </w:rPr>
              <w:t xml:space="preserve">。</w:t>
            </w:r>
            <w:r/>
          </w:p>
        </w:tc>
        <w:tc>
          <w:tcPr>
            <w:tcW w:w="720" w:type="dxa"/>
            <w:vAlign w:val="center"/>
            <w:textDirection w:val="lrTb"/>
            <w:noWrap w:val="false"/>
          </w:tcPr>
          <w:p>
            <w:pPr>
              <w:jc w:val="center"/>
              <w:widowControl/>
              <w:rPr>
                <w:rFonts w:hint="eastAsia" w:ascii="Arial" w:hAnsi="Arial" w:eastAsia="等线" w:cs="Arial"/>
                <w:color w:val="000000" w:themeColor="text1"/>
              </w:rPr>
            </w:pPr>
            <w:r>
              <w:rPr>
                <w:rFonts w:hint="eastAsia" w:ascii="Arial" w:hAnsi="Arial" w:eastAsia="等线" w:cs="Arial"/>
                <w:color w:val="000000" w:themeColor="text1"/>
                <w:lang w:val="en-US" w:eastAsia="zh-CN"/>
              </w:rPr>
              <w:t xml:space="preserve">3</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trHeight w:val="1291"/>
        </w:trPr>
        <w:tc>
          <w:tcPr>
            <w:tcW w:w="0" w:type="auto"/>
            <w:vAlign w:val="center"/>
            <w:textDirection w:val="lrTb"/>
            <w:noWrap w:val="false"/>
          </w:tcPr>
          <w:p>
            <w:pPr>
              <w:jc w:val="center"/>
              <w:widowControl/>
              <w:rPr>
                <w:rFonts w:hint="eastAsia" w:ascii="Arial" w:hAnsi="Arial" w:eastAsia="等线" w:cs="Arial"/>
                <w:color w:val="000000"/>
              </w:rPr>
            </w:pPr>
            <w:r>
              <w:rPr>
                <w:rFonts w:hint="eastAsia" w:ascii="Arial" w:hAnsi="Arial" w:eastAsia="等线" w:cs="Arial"/>
                <w:color w:val="000000"/>
              </w:rPr>
              <w:t xml:space="preserve">2</w:t>
            </w:r>
            <w:r/>
          </w:p>
        </w:tc>
        <w:tc>
          <w:tcPr>
            <w:tcW w:w="10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投标文件编制及响应情况</w:t>
            </w:r>
            <w:r/>
          </w:p>
        </w:tc>
        <w:tc>
          <w:tcPr>
            <w:tcW w:w="565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根据投标人投标文件的编制情况以及商务条款的响应情况进行综合评估，全部响应及方案完整得</w:t>
            </w:r>
            <w:r>
              <w:rPr>
                <w:rFonts w:ascii="宋体" w:hAnsi="宋体" w:cs="宋体"/>
                <w:color w:val="000000"/>
              </w:rPr>
              <w:t xml:space="preserve">2</w:t>
            </w:r>
            <w:r>
              <w:rPr>
                <w:rFonts w:hint="eastAsia" w:ascii="宋体" w:hAnsi="宋体" w:cs="宋体"/>
                <w:color w:val="000000"/>
              </w:rPr>
              <w:t xml:space="preserve">分, 部分响应</w:t>
            </w:r>
            <w:r>
              <w:rPr>
                <w:rFonts w:hint="eastAsia" w:ascii="宋体" w:hAnsi="宋体" w:cs="宋体"/>
                <w:color w:val="000000"/>
                <w:lang w:eastAsia="zh-CN"/>
              </w:rPr>
              <w:t xml:space="preserve">得</w:t>
            </w:r>
            <w:r>
              <w:rPr>
                <w:rFonts w:hint="eastAsia" w:ascii="宋体" w:hAnsi="宋体" w:cs="宋体"/>
                <w:color w:val="000000"/>
                <w:lang w:val="en-US" w:eastAsia="zh-CN"/>
              </w:rPr>
              <w:t xml:space="preserve">1分，</w:t>
            </w:r>
            <w:r>
              <w:rPr>
                <w:rFonts w:hint="eastAsia" w:ascii="宋体" w:hAnsi="宋体" w:cs="宋体"/>
                <w:color w:val="000000"/>
              </w:rPr>
              <w:t xml:space="preserve">方案缺失得0分。</w:t>
            </w:r>
            <w:r/>
          </w:p>
        </w:tc>
        <w:tc>
          <w:tcPr>
            <w:tcW w:w="720" w:type="dxa"/>
            <w:vAlign w:val="center"/>
            <w:textDirection w:val="lrTb"/>
            <w:noWrap w:val="false"/>
          </w:tcPr>
          <w:p>
            <w:pPr>
              <w:jc w:val="center"/>
              <w:widowControl/>
              <w:rPr>
                <w:rFonts w:ascii="Arial" w:hAnsi="Arial" w:eastAsia="等线" w:cs="Arial"/>
                <w:color w:val="auto"/>
              </w:rPr>
            </w:pPr>
            <w:r>
              <w:rPr>
                <w:rFonts w:ascii="Arial" w:hAnsi="Arial" w:eastAsia="等线" w:cs="Arial"/>
                <w:color w:val="auto"/>
              </w:rPr>
              <w:t xml:space="preserve">2</w:t>
            </w: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主观</w:t>
            </w:r>
            <w:r/>
          </w:p>
        </w:tc>
      </w:tr>
      <w:tr>
        <w:trPr>
          <w:trHeight w:val="2194"/>
        </w:trPr>
        <w:tc>
          <w:tcPr>
            <w:tcW w:w="0" w:type="auto"/>
            <w:vAlign w:val="center"/>
            <w:textDirection w:val="lrTb"/>
            <w:noWrap w:val="false"/>
          </w:tcPr>
          <w:p>
            <w:pPr>
              <w:jc w:val="center"/>
              <w:widowControl/>
              <w:rPr>
                <w:rFonts w:hint="eastAsia" w:ascii="Arial" w:hAnsi="Arial" w:eastAsia="等线" w:cs="Arial"/>
                <w:color w:val="000000"/>
              </w:rPr>
            </w:pPr>
            <w:r>
              <w:rPr>
                <w:rFonts w:hint="eastAsia" w:ascii="Arial" w:hAnsi="Arial" w:eastAsia="等线" w:cs="Arial"/>
                <w:color w:val="000000"/>
              </w:rPr>
              <w:t xml:space="preserve">3</w:t>
            </w:r>
            <w:r/>
          </w:p>
        </w:tc>
        <w:tc>
          <w:tcPr>
            <w:tcW w:w="1058"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eastAsia="zh-Hans"/>
              </w:rPr>
              <w:t xml:space="preserve">项目</w:t>
            </w:r>
            <w:r/>
          </w:p>
          <w:p>
            <w:pPr>
              <w:jc w:val="center"/>
              <w:widowControl/>
              <w:rPr>
                <w:rFonts w:hint="eastAsia" w:ascii="宋体" w:hAnsi="宋体" w:eastAsia="Times New Roman" w:cs="宋体"/>
                <w:color w:val="000000"/>
                <w:lang w:eastAsia="zh-Hans"/>
              </w:rPr>
            </w:pPr>
            <w:r>
              <w:rPr>
                <w:rFonts w:hint="eastAsia" w:ascii="宋体" w:hAnsi="宋体" w:cs="宋体"/>
                <w:color w:val="000000"/>
                <w:lang w:eastAsia="zh-Hans"/>
              </w:rPr>
              <w:t xml:space="preserve">设计方案</w:t>
            </w:r>
            <w:r/>
          </w:p>
        </w:tc>
        <w:tc>
          <w:tcPr>
            <w:tcW w:w="5655" w:type="dxa"/>
            <w:vAlign w:val="center"/>
            <w:textDirection w:val="lrTb"/>
            <w:noWrap w:val="false"/>
          </w:tcPr>
          <w:p>
            <w:pPr>
              <w:jc w:val="left"/>
              <w:widowControl/>
              <w:rPr>
                <w:rFonts w:hint="eastAsia" w:ascii="宋体" w:hAnsi="宋体"/>
                <w:color w:val="000000" w:themeColor="text1"/>
              </w:rPr>
            </w:pPr>
            <w:r>
              <w:rPr>
                <w:rFonts w:hint="eastAsia" w:ascii="宋体" w:hAnsi="宋体" w:cs="宋体"/>
                <w:color w:val="000000" w:themeColor="text1"/>
              </w:rPr>
              <w:t xml:space="preserve">评委对投标人所提供的项目方案需实现业务系统在引航业务全流程覆盖的需求，进行横向比较，功能实现包括但不限于调度管理、费收管理、</w:t>
            </w:r>
            <w:r>
              <w:rPr>
                <w:rFonts w:hint="eastAsia" w:ascii="宋体" w:hAnsi="宋体" w:cs="宋体"/>
                <w:color w:val="000000" w:themeColor="text1"/>
                <w:lang w:eastAsia="zh-Hans"/>
              </w:rPr>
              <w:t xml:space="preserve">船舶动态监控</w:t>
            </w:r>
            <w:r>
              <w:rPr>
                <w:rFonts w:hint="eastAsia" w:ascii="宋体" w:hAnsi="宋体" w:cs="宋体"/>
                <w:color w:val="000000" w:themeColor="text1"/>
              </w:rPr>
              <w:t xml:space="preserve">管理以及数据</w:t>
            </w:r>
            <w:r>
              <w:rPr>
                <w:rFonts w:hint="eastAsia" w:ascii="宋体" w:hAnsi="宋体" w:cs="宋体"/>
                <w:color w:val="000000" w:themeColor="text1"/>
                <w:lang w:eastAsia="zh-Hans"/>
              </w:rPr>
              <w:t xml:space="preserve">可视化</w:t>
            </w:r>
            <w:r>
              <w:rPr>
                <w:rFonts w:hint="eastAsia" w:ascii="宋体" w:hAnsi="宋体" w:cs="宋体"/>
                <w:color w:val="000000" w:themeColor="text1"/>
              </w:rPr>
              <w:t xml:space="preserve">查询等功能，</w:t>
            </w:r>
            <w:r>
              <w:rPr>
                <w:rFonts w:hint="eastAsia" w:ascii="宋体" w:hAnsi="宋体"/>
                <w:color w:val="000000" w:themeColor="text1"/>
              </w:rPr>
              <w:t xml:space="preserve">进行评分，进行横向比较。方案合理、准确、完整的得</w:t>
            </w:r>
            <w:r>
              <w:rPr>
                <w:rFonts w:hint="eastAsia" w:ascii="宋体" w:hAnsi="宋体"/>
                <w:color w:val="000000" w:themeColor="text1"/>
                <w:lang w:val="en-US" w:eastAsia="zh-CN"/>
              </w:rPr>
              <w:t xml:space="preserve">1</w:t>
            </w:r>
            <w:r>
              <w:rPr>
                <w:rFonts w:hint="eastAsia" w:ascii="宋体" w:hAnsi="宋体"/>
                <w:color w:val="000000" w:themeColor="text1"/>
              </w:rPr>
              <w:t xml:space="preserve">0</w:t>
            </w:r>
            <w:r>
              <w:rPr>
                <w:rFonts w:hint="eastAsia" w:ascii="宋体" w:hAnsi="宋体"/>
                <w:color w:val="000000" w:themeColor="text1"/>
              </w:rPr>
              <w:t xml:space="preserve">分，较为合理、准确、可行的得</w:t>
            </w:r>
            <w:r>
              <w:rPr>
                <w:rFonts w:hint="eastAsia" w:ascii="宋体" w:hAnsi="宋体"/>
                <w:color w:val="000000" w:themeColor="text1"/>
                <w:lang w:val="en-US" w:eastAsia="zh-CN"/>
              </w:rPr>
              <w:t xml:space="preserve">7</w:t>
            </w:r>
            <w:r>
              <w:rPr>
                <w:rFonts w:hint="eastAsia" w:ascii="宋体" w:hAnsi="宋体"/>
                <w:color w:val="000000" w:themeColor="text1"/>
              </w:rPr>
              <w:t xml:space="preserve">分，一般的得</w:t>
            </w:r>
            <w:r>
              <w:rPr>
                <w:rFonts w:hint="eastAsia" w:ascii="宋体" w:hAnsi="宋体"/>
                <w:color w:val="000000" w:themeColor="text1"/>
                <w:lang w:val="en-US" w:eastAsia="zh-CN"/>
              </w:rPr>
              <w:t xml:space="preserve">4</w:t>
            </w:r>
            <w:r>
              <w:rPr>
                <w:rFonts w:hint="eastAsia" w:ascii="宋体" w:hAnsi="宋体"/>
                <w:color w:val="000000" w:themeColor="text1"/>
              </w:rPr>
              <w:t xml:space="preserve">分。</w:t>
            </w:r>
            <w:r>
              <w:rPr>
                <w:color w:val="000000" w:themeColor="text1"/>
              </w:rPr>
            </w:r>
          </w:p>
        </w:tc>
        <w:tc>
          <w:tcPr>
            <w:tcW w:w="720" w:type="dxa"/>
            <w:vAlign w:val="center"/>
            <w:textDirection w:val="lrTb"/>
            <w:noWrap w:val="false"/>
          </w:tcPr>
          <w:p>
            <w:pPr>
              <w:jc w:val="center"/>
              <w:widowControl/>
              <w:rPr>
                <w:rFonts w:hint="default" w:ascii="Arial" w:hAnsi="Arial" w:eastAsia="等线" w:cs="Arial"/>
                <w:color w:val="000000" w:themeColor="text1"/>
              </w:rPr>
            </w:pPr>
            <w:r>
              <w:rPr>
                <w:rFonts w:hint="eastAsia" w:ascii="Arial" w:hAnsi="Arial" w:eastAsia="等线" w:cs="Arial"/>
                <w:color w:val="000000" w:themeColor="text1"/>
                <w:lang w:val="en-US" w:eastAsia="zh-CN"/>
              </w:rPr>
              <w:t xml:space="preserve">10</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主观</w:t>
            </w:r>
            <w:r/>
          </w:p>
        </w:tc>
      </w:tr>
      <w:tr>
        <w:trPr>
          <w:trHeight w:val="1908"/>
        </w:trPr>
        <w:tc>
          <w:tcPr>
            <w:tcW w:w="0" w:type="auto"/>
            <w:vAlign w:val="center"/>
            <w:textDirection w:val="lrTb"/>
            <w:noWrap w:val="false"/>
          </w:tcPr>
          <w:p>
            <w:pPr>
              <w:jc w:val="center"/>
              <w:widowControl/>
              <w:rPr>
                <w:rFonts w:hint="eastAsia" w:ascii="Arial" w:hAnsi="Arial" w:eastAsia="等线" w:cs="Arial"/>
                <w:color w:val="000000"/>
              </w:rPr>
            </w:pPr>
            <w:r>
              <w:rPr>
                <w:rFonts w:hint="eastAsia" w:ascii="Arial" w:hAnsi="Arial" w:eastAsia="等线" w:cs="Arial"/>
                <w:color w:val="000000"/>
              </w:rPr>
              <w:t xml:space="preserve">4</w:t>
            </w:r>
            <w:r/>
          </w:p>
        </w:tc>
        <w:tc>
          <w:tcPr>
            <w:tcW w:w="10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lang w:eastAsia="zh-Hans"/>
              </w:rPr>
              <w:t xml:space="preserve">管理</w:t>
            </w:r>
            <w:r/>
          </w:p>
        </w:tc>
        <w:tc>
          <w:tcPr>
            <w:tcW w:w="5655" w:type="dxa"/>
            <w:vAlign w:val="center"/>
            <w:textDirection w:val="lrTb"/>
            <w:noWrap w:val="false"/>
          </w:tcPr>
          <w:p>
            <w:pPr>
              <w:jc w:val="left"/>
              <w:widowControl/>
              <w:rPr>
                <w:rFonts w:ascii="宋体" w:hAnsi="宋体" w:cs="宋体"/>
                <w:color w:val="000000" w:themeColor="text1"/>
              </w:rPr>
            </w:pPr>
            <w:r>
              <w:rPr>
                <w:rFonts w:hint="eastAsia" w:ascii="宋体" w:hAnsi="宋体" w:cs="宋体"/>
                <w:color w:val="000000" w:themeColor="text1"/>
              </w:rPr>
              <w:t xml:space="preserve">评委对投标人的项目管理工作在科学性、合理性、规范性和可操作性上，包括组织机构、工作程序和步骤、管理和协调方法、关键步骤的思路和要点等进行横向比较，进行评分：方案合理、准确、完整的得</w:t>
            </w:r>
            <w:r>
              <w:rPr>
                <w:rFonts w:hint="eastAsia" w:ascii="宋体" w:hAnsi="宋体" w:cs="宋体"/>
                <w:color w:val="000000" w:themeColor="text1"/>
                <w:lang w:val="en-US" w:eastAsia="zh-CN"/>
              </w:rPr>
              <w:t xml:space="preserve">4</w:t>
            </w:r>
            <w:r>
              <w:rPr>
                <w:rFonts w:hint="eastAsia" w:ascii="宋体" w:hAnsi="宋体" w:cs="宋体"/>
                <w:color w:val="000000" w:themeColor="text1"/>
              </w:rPr>
              <w:t xml:space="preserve">分，较为合理、准确、可行的得</w:t>
            </w:r>
            <w:r>
              <w:rPr>
                <w:rFonts w:hint="eastAsia" w:ascii="宋体" w:hAnsi="宋体" w:cs="宋体"/>
                <w:color w:val="000000" w:themeColor="text1"/>
                <w:lang w:val="en-US" w:eastAsia="zh-CN"/>
              </w:rPr>
              <w:t xml:space="preserve">2</w:t>
            </w:r>
            <w:r>
              <w:rPr>
                <w:rFonts w:hint="eastAsia" w:ascii="宋体" w:hAnsi="宋体" w:cs="宋体"/>
                <w:color w:val="000000" w:themeColor="text1"/>
              </w:rPr>
              <w:t xml:space="preserve">分，一般的得</w:t>
            </w:r>
            <w:r>
              <w:rPr>
                <w:rFonts w:hint="eastAsia" w:ascii="宋体" w:hAnsi="宋体" w:cs="宋体"/>
                <w:color w:val="000000" w:themeColor="text1"/>
                <w:lang w:val="en-US" w:eastAsia="zh-CN"/>
              </w:rPr>
              <w:t xml:space="preserve">0</w:t>
            </w:r>
            <w:r>
              <w:rPr>
                <w:rFonts w:hint="eastAsia" w:ascii="宋体" w:hAnsi="宋体" w:cs="宋体"/>
                <w:color w:val="000000" w:themeColor="text1"/>
              </w:rPr>
              <w:t xml:space="preserve">分。</w:t>
            </w:r>
            <w:r>
              <w:rPr>
                <w:color w:val="000000" w:themeColor="text1"/>
              </w:rPr>
            </w:r>
          </w:p>
        </w:tc>
        <w:tc>
          <w:tcPr>
            <w:tcW w:w="720" w:type="dxa"/>
            <w:vAlign w:val="center"/>
            <w:textDirection w:val="lrTb"/>
            <w:noWrap w:val="false"/>
          </w:tcPr>
          <w:p>
            <w:pPr>
              <w:jc w:val="center"/>
              <w:widowControl/>
              <w:rPr>
                <w:rFonts w:hint="eastAsia" w:ascii="Arial" w:hAnsi="Arial" w:eastAsia="等线" w:cs="Arial"/>
                <w:color w:val="000000" w:themeColor="text1"/>
              </w:rPr>
            </w:pPr>
            <w:r>
              <w:rPr>
                <w:rFonts w:hint="eastAsia" w:ascii="Arial" w:hAnsi="Arial" w:eastAsia="等线" w:cs="Arial"/>
                <w:color w:val="000000" w:themeColor="text1"/>
                <w:lang w:val="en-US" w:eastAsia="zh-CN"/>
              </w:rPr>
              <w:t xml:space="preserve">4</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主观</w:t>
            </w:r>
            <w:r/>
          </w:p>
        </w:tc>
      </w:tr>
      <w:tr>
        <w:trPr>
          <w:trHeight w:val="810"/>
        </w:trPr>
        <w:tc>
          <w:tcPr>
            <w:tcW w:w="636" w:type="dxa"/>
            <w:vAlign w:val="center"/>
            <w:textDirection w:val="lrTb"/>
            <w:noWrap w:val="false"/>
          </w:tcPr>
          <w:p>
            <w:pPr>
              <w:jc w:val="center"/>
              <w:widowControl/>
              <w:rPr>
                <w:rFonts w:hint="eastAsia" w:ascii="Arial" w:hAnsi="Arial" w:eastAsia="等线" w:cs="Arial"/>
                <w:color w:val="000000"/>
              </w:rPr>
            </w:pPr>
            <w:r>
              <w:rPr>
                <w:rFonts w:hint="eastAsia" w:ascii="Arial" w:hAnsi="Arial" w:eastAsia="等线" w:cs="Arial"/>
                <w:color w:val="000000"/>
              </w:rPr>
              <w:t xml:space="preserve">5</w:t>
            </w:r>
            <w:r/>
          </w:p>
        </w:tc>
        <w:tc>
          <w:tcPr>
            <w:tcW w:w="10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技术支持与培训</w:t>
            </w:r>
            <w:r/>
          </w:p>
        </w:tc>
        <w:tc>
          <w:tcPr>
            <w:tcW w:w="5655" w:type="dxa"/>
            <w:vAlign w:val="center"/>
            <w:textDirection w:val="lrTb"/>
            <w:noWrap w:val="false"/>
          </w:tcPr>
          <w:p>
            <w:pPr>
              <w:jc w:val="left"/>
              <w:widowControl/>
              <w:rPr>
                <w:rFonts w:ascii="宋体" w:hAnsi="宋体" w:cs="宋体"/>
                <w:color w:val="000000" w:themeColor="text1"/>
              </w:rPr>
            </w:pPr>
            <w:r>
              <w:rPr>
                <w:rFonts w:hint="eastAsia" w:ascii="宋体" w:hAnsi="宋体" w:cs="宋体"/>
                <w:color w:val="000000" w:themeColor="text1"/>
              </w:rPr>
              <w:t xml:space="preserve">评委对投标人提供的技术服务及技术培训方案进行横向比较，进行评分：方案合理、准确、完整的得</w:t>
            </w:r>
            <w:r>
              <w:rPr>
                <w:rFonts w:hint="eastAsia" w:ascii="宋体" w:hAnsi="宋体" w:cs="宋体"/>
                <w:color w:val="000000" w:themeColor="text1"/>
                <w:lang w:val="en-US" w:eastAsia="zh-CN"/>
              </w:rPr>
              <w:t xml:space="preserve">2</w:t>
            </w:r>
            <w:r>
              <w:rPr>
                <w:rFonts w:hint="eastAsia" w:ascii="宋体" w:hAnsi="宋体" w:cs="宋体"/>
                <w:color w:val="000000" w:themeColor="text1"/>
              </w:rPr>
              <w:t xml:space="preserve">分，较为合理、准确、可行的得</w:t>
            </w:r>
            <w:r>
              <w:rPr>
                <w:rFonts w:hint="eastAsia" w:ascii="宋体" w:hAnsi="宋体" w:cs="宋体"/>
                <w:color w:val="000000" w:themeColor="text1"/>
                <w:lang w:val="en-US" w:eastAsia="zh-CN"/>
              </w:rPr>
              <w:t xml:space="preserve">1</w:t>
            </w:r>
            <w:r>
              <w:rPr>
                <w:rFonts w:hint="eastAsia" w:ascii="宋体" w:hAnsi="宋体" w:cs="宋体"/>
                <w:color w:val="000000" w:themeColor="text1"/>
              </w:rPr>
              <w:t xml:space="preserve">分，一般的得</w:t>
            </w:r>
            <w:r>
              <w:rPr>
                <w:rFonts w:hint="eastAsia" w:ascii="宋体" w:hAnsi="宋体" w:cs="宋体"/>
                <w:color w:val="000000" w:themeColor="text1"/>
                <w:lang w:val="en-US" w:eastAsia="zh-CN"/>
              </w:rPr>
              <w:t xml:space="preserve">0</w:t>
            </w:r>
            <w:r>
              <w:rPr>
                <w:rFonts w:hint="eastAsia" w:ascii="宋体" w:hAnsi="宋体" w:cs="宋体"/>
                <w:color w:val="000000" w:themeColor="text1"/>
              </w:rPr>
              <w:t xml:space="preserve">分。</w:t>
            </w:r>
            <w:r>
              <w:rPr>
                <w:color w:val="000000" w:themeColor="text1"/>
              </w:rPr>
            </w:r>
          </w:p>
        </w:tc>
        <w:tc>
          <w:tcPr>
            <w:tcW w:w="720" w:type="dxa"/>
            <w:vAlign w:val="center"/>
            <w:textDirection w:val="lrTb"/>
            <w:noWrap w:val="false"/>
          </w:tcPr>
          <w:p>
            <w:pPr>
              <w:jc w:val="center"/>
              <w:widowControl/>
              <w:rPr>
                <w:rFonts w:hint="eastAsia" w:ascii="Arial" w:hAnsi="Arial" w:eastAsia="等线" w:cs="Arial"/>
                <w:color w:val="000000" w:themeColor="text1"/>
              </w:rPr>
            </w:pPr>
            <w:r>
              <w:rPr>
                <w:rFonts w:hint="eastAsia" w:ascii="Arial" w:hAnsi="Arial" w:eastAsia="等线" w:cs="Arial"/>
                <w:color w:val="000000" w:themeColor="text1"/>
                <w:lang w:val="en-US" w:eastAsia="zh-CN"/>
              </w:rPr>
              <w:t xml:space="preserve">2</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主观</w:t>
            </w:r>
            <w:r/>
          </w:p>
        </w:tc>
      </w:tr>
      <w:tr>
        <w:trPr>
          <w:trHeight w:val="560"/>
        </w:trPr>
        <w:tc>
          <w:tcPr>
            <w:tcW w:w="636" w:type="dxa"/>
            <w:vAlign w:val="center"/>
            <w:textDirection w:val="lrTb"/>
            <w:noWrap w:val="false"/>
          </w:tcPr>
          <w:p>
            <w:pPr>
              <w:jc w:val="center"/>
              <w:widowControl/>
              <w:rPr>
                <w:rFonts w:hint="eastAsia" w:ascii="Arial" w:hAnsi="Arial" w:eastAsia="等线" w:cs="Arial"/>
                <w:color w:val="000000"/>
              </w:rPr>
            </w:pPr>
            <w:r>
              <w:rPr>
                <w:rFonts w:hint="eastAsia" w:ascii="Arial" w:hAnsi="Arial" w:eastAsia="等线" w:cs="Arial"/>
                <w:color w:val="000000"/>
              </w:rPr>
              <w:t xml:space="preserve">6</w:t>
            </w:r>
            <w:r/>
          </w:p>
        </w:tc>
        <w:tc>
          <w:tcPr>
            <w:tcW w:w="10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售后服务</w:t>
            </w:r>
            <w:r/>
          </w:p>
        </w:tc>
        <w:tc>
          <w:tcPr>
            <w:tcW w:w="5655" w:type="dxa"/>
            <w:vAlign w:val="center"/>
            <w:textDirection w:val="lrTb"/>
            <w:noWrap w:val="false"/>
          </w:tcPr>
          <w:p>
            <w:pPr>
              <w:jc w:val="left"/>
              <w:widowControl/>
              <w:rPr>
                <w:rFonts w:ascii="宋体" w:hAnsi="宋体" w:cs="宋体"/>
                <w:color w:val="000000" w:themeColor="text1"/>
              </w:rPr>
            </w:pPr>
            <w:r>
              <w:rPr>
                <w:rFonts w:hint="eastAsia" w:ascii="宋体" w:hAnsi="宋体" w:cs="宋体"/>
                <w:color w:val="000000" w:themeColor="text1"/>
              </w:rPr>
              <w:t xml:space="preserve">根据投标人提供完善的运维服务方案，包括服务承诺、机构设置、人员配置情况、故障处理响应时间、解决故障承诺时间、质量保证期限及质量保证的范围、热线服务解决方案等。方案合理、准确得</w:t>
            </w:r>
            <w:r>
              <w:rPr>
                <w:rFonts w:hint="eastAsia" w:ascii="宋体" w:hAnsi="宋体" w:cs="宋体"/>
                <w:color w:val="000000" w:themeColor="text1"/>
                <w:lang w:val="en-US" w:eastAsia="zh-CN"/>
              </w:rPr>
              <w:t xml:space="preserve">2</w:t>
            </w:r>
            <w:r>
              <w:rPr>
                <w:rFonts w:hint="eastAsia" w:ascii="宋体" w:hAnsi="宋体" w:cs="宋体"/>
                <w:color w:val="000000" w:themeColor="text1"/>
              </w:rPr>
              <w:t xml:space="preserve">分、较为合理、准确、可行的得</w:t>
            </w:r>
            <w:r>
              <w:rPr>
                <w:rFonts w:hint="eastAsia" w:ascii="宋体" w:hAnsi="宋体" w:cs="宋体"/>
                <w:color w:val="000000" w:themeColor="text1"/>
                <w:lang w:val="en-US" w:eastAsia="zh-CN"/>
              </w:rPr>
              <w:t xml:space="preserve">1</w:t>
            </w:r>
            <w:r>
              <w:rPr>
                <w:rFonts w:hint="eastAsia" w:ascii="宋体" w:hAnsi="宋体" w:cs="宋体"/>
                <w:color w:val="000000" w:themeColor="text1"/>
              </w:rPr>
              <w:t xml:space="preserve">分，未提供或不满足的不得分。</w:t>
            </w:r>
            <w:r>
              <w:rPr>
                <w:color w:val="000000" w:themeColor="text1"/>
              </w:rPr>
            </w:r>
          </w:p>
        </w:tc>
        <w:tc>
          <w:tcPr>
            <w:tcW w:w="720" w:type="dxa"/>
            <w:vAlign w:val="center"/>
            <w:textDirection w:val="lrTb"/>
            <w:noWrap w:val="false"/>
          </w:tcPr>
          <w:p>
            <w:pPr>
              <w:jc w:val="center"/>
              <w:widowControl/>
              <w:rPr>
                <w:rFonts w:hint="eastAsia" w:ascii="Arial" w:hAnsi="Arial" w:eastAsia="等线" w:cs="Arial"/>
                <w:color w:val="000000" w:themeColor="text1"/>
              </w:rPr>
            </w:pPr>
            <w:r>
              <w:rPr>
                <w:rFonts w:hint="eastAsia" w:ascii="Arial" w:hAnsi="Arial" w:eastAsia="等线" w:cs="Arial"/>
                <w:color w:val="000000" w:themeColor="text1"/>
                <w:lang w:val="en-US" w:eastAsia="zh-CN"/>
              </w:rPr>
              <w:t xml:space="preserve">2</w:t>
            </w:r>
            <w:r>
              <w:rPr>
                <w:color w:val="000000" w:themeColor="text1"/>
              </w:rPr>
            </w:r>
          </w:p>
        </w:tc>
        <w:tc>
          <w:tcPr>
            <w:tcW w:w="699" w:type="dxa"/>
            <w:vAlign w:val="center"/>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W w:w="634" w:type="dxa"/>
            <w:vAlign w:val="center"/>
            <w:textDirection w:val="lrTb"/>
            <w:noWrap w:val="false"/>
          </w:tcPr>
          <w:p>
            <w:pPr>
              <w:jc w:val="left"/>
              <w:widowControl/>
              <w:rPr>
                <w:rFonts w:hint="eastAsia" w:ascii="宋体" w:hAnsi="宋体" w:eastAsia="Times New Roman" w:cs="宋体"/>
                <w:color w:val="000000"/>
                <w:lang w:eastAsia="zh-Hans"/>
              </w:rPr>
            </w:pPr>
            <w:r>
              <w:rPr>
                <w:rFonts w:hint="eastAsia" w:ascii="宋体" w:hAnsi="宋体" w:cs="宋体"/>
                <w:color w:val="000000"/>
                <w:lang w:eastAsia="zh-Hans"/>
              </w:rPr>
              <w:t xml:space="preserve">主观</w:t>
            </w:r>
            <w:r/>
          </w:p>
        </w:tc>
      </w:tr>
    </w:tbl>
    <w:p>
      <w:pPr>
        <w:rPr>
          <w:rFonts w:hint="eastAsia"/>
        </w:rPr>
      </w:pPr>
      <w:r>
        <w:rPr>
          <w:rFonts w:hint="eastAsia"/>
        </w:rPr>
      </w:r>
      <w:r/>
    </w:p>
    <w:p>
      <w:pPr>
        <w:ind w:left="482"/>
        <w:jc w:val="left"/>
        <w:spacing w:before="120" w:after="120" w:line="0" w:lineRule="atLeast"/>
        <w:tabs>
          <w:tab w:val="left" w:pos="312" w:leader="none"/>
        </w:tabs>
        <w:rPr>
          <w:rFonts w:ascii="Arial" w:hAnsi="Arial" w:cs="Arial"/>
          <w:sz w:val="24"/>
        </w:rPr>
      </w:pPr>
      <w:r>
        <w:rPr>
          <w:rFonts w:hint="eastAsia" w:ascii="宋体" w:hAnsi="宋体" w:cs="Arial"/>
          <w:b/>
          <w:sz w:val="24"/>
        </w:rPr>
        <w:t xml:space="preserve">3.商务分：</w:t>
      </w:r>
      <w:r>
        <w:rPr>
          <w:rFonts w:ascii="宋体" w:hAnsi="宋体" w:cs="Arial"/>
          <w:b/>
          <w:sz w:val="24"/>
        </w:rPr>
        <w:t xml:space="preserve">2</w:t>
      </w:r>
      <w:r>
        <w:rPr>
          <w:rFonts w:hint="eastAsia" w:ascii="宋体" w:hAnsi="宋体" w:cs="Arial"/>
          <w:b/>
          <w:sz w:val="24"/>
        </w:rPr>
        <w:t xml:space="preserve">0分</w:t>
      </w:r>
      <w:r/>
    </w:p>
    <w:tbl>
      <w:tblPr>
        <w:tblStyle w:val="681"/>
        <w:tblW w:w="9591" w:type="dxa"/>
        <w:jc w:val="center"/>
        <w:tblLayout w:type="autofit"/>
        <w:tblCellMar>
          <w:left w:w="108" w:type="dxa"/>
          <w:top w:w="0" w:type="dxa"/>
          <w:right w:w="108" w:type="dxa"/>
          <w:bottom w:w="0" w:type="dxa"/>
        </w:tblCellMar>
        <w:tblLook w:val="04A0" w:firstRow="1" w:lastRow="0" w:firstColumn="1" w:lastColumn="0" w:noHBand="0" w:noVBand="1"/>
      </w:tblPr>
      <w:tblGrid>
        <w:gridCol w:w="485"/>
        <w:gridCol w:w="1115"/>
        <w:gridCol w:w="5812"/>
        <w:gridCol w:w="733"/>
        <w:gridCol w:w="756"/>
        <w:gridCol w:w="690"/>
      </w:tblGrid>
      <w:tr>
        <w:trPr>
          <w:jc w:val="center"/>
          <w:trHeight w:val="588"/>
        </w:trPr>
        <w:tc>
          <w:tcPr>
            <w:tcBorders>
              <w:top w:val="single" w:color="auto" w:sz="8" w:space="0"/>
              <w:left w:val="single" w:color="auto" w:sz="8" w:space="0"/>
              <w:bottom w:val="single" w:color="auto" w:sz="8" w:space="0"/>
              <w:right w:val="single" w:color="auto" w:sz="8" w:space="0"/>
            </w:tcBorders>
            <w:tcW w:w="48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tcBorders>
              <w:top w:val="single" w:color="auto" w:sz="8" w:space="0"/>
              <w:left w:val="none" w:color="000000" w:sz="4" w:space="0"/>
              <w:bottom w:val="single" w:color="auto" w:sz="8" w:space="0"/>
              <w:right w:val="single" w:color="auto" w:sz="8" w:space="0"/>
            </w:tcBorders>
            <w:tcW w:w="1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评分点名称</w:t>
            </w:r>
            <w:r/>
          </w:p>
        </w:tc>
        <w:tc>
          <w:tcPr>
            <w:tcBorders>
              <w:top w:val="single" w:color="auto" w:sz="8" w:space="0"/>
              <w:left w:val="none" w:color="000000" w:sz="4" w:space="0"/>
              <w:bottom w:val="single" w:color="auto" w:sz="8" w:space="0"/>
              <w:right w:val="single" w:color="auto" w:sz="8" w:space="0"/>
            </w:tcBorders>
            <w:tcW w:w="581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评审标准</w:t>
            </w:r>
            <w:r/>
          </w:p>
        </w:tc>
        <w:tc>
          <w:tcPr>
            <w:tcBorders>
              <w:top w:val="single" w:color="auto" w:sz="8" w:space="0"/>
              <w:left w:val="none" w:color="000000" w:sz="4" w:space="0"/>
              <w:bottom w:val="single" w:color="auto" w:sz="8" w:space="0"/>
              <w:right w:val="single" w:color="auto" w:sz="8" w:space="0"/>
            </w:tcBorders>
            <w:tcW w:w="73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最高分</w:t>
            </w:r>
            <w:r/>
          </w:p>
        </w:tc>
        <w:tc>
          <w:tcPr>
            <w:tcBorders>
              <w:top w:val="single" w:color="auto" w:sz="8" w:space="0"/>
              <w:left w:val="none" w:color="000000" w:sz="4" w:space="0"/>
              <w:bottom w:val="single" w:color="auto" w:sz="8" w:space="0"/>
              <w:right w:val="single" w:color="auto" w:sz="8" w:space="0"/>
            </w:tcBorders>
            <w:tcW w:w="75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最低分</w:t>
            </w:r>
            <w:r/>
          </w:p>
        </w:tc>
        <w:tc>
          <w:tcPr>
            <w:tcBorders>
              <w:top w:val="single" w:color="auto" w:sz="8" w:space="0"/>
              <w:left w:val="none" w:color="000000" w:sz="4" w:space="0"/>
              <w:bottom w:val="single" w:color="auto" w:sz="8" w:space="0"/>
              <w:right w:val="single" w:color="auto" w:sz="8" w:space="0"/>
            </w:tcBorders>
            <w:tcW w:w="69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主</w:t>
            </w:r>
            <w:r>
              <w:rPr>
                <w:rFonts w:ascii="Arial" w:hAnsi="Arial" w:cs="Arial"/>
                <w:color w:val="000000"/>
              </w:rPr>
              <w:t xml:space="preserve">/</w:t>
            </w:r>
            <w:r>
              <w:rPr>
                <w:rFonts w:hint="eastAsia" w:ascii="宋体" w:hAnsi="宋体" w:cs="宋体"/>
                <w:color w:val="000000"/>
              </w:rPr>
              <w:t xml:space="preserve">客观</w:t>
            </w:r>
            <w:r/>
          </w:p>
        </w:tc>
      </w:tr>
      <w:tr>
        <w:trPr>
          <w:jc w:val="center"/>
          <w:trHeight w:val="288"/>
        </w:trPr>
        <w:tc>
          <w:tcPr>
            <w:tcBorders>
              <w:top w:val="none" w:color="000000" w:sz="4" w:space="0"/>
              <w:left w:val="single" w:color="auto" w:sz="8" w:space="0"/>
              <w:bottom w:val="single" w:color="000000" w:sz="8" w:space="0"/>
              <w:right w:val="single" w:color="auto" w:sz="8" w:space="0"/>
            </w:tcBorders>
            <w:tcW w:w="485" w:type="dxa"/>
            <w:vAlign w:val="center"/>
            <w:vMerge w:val="restart"/>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1</w:t>
            </w:r>
            <w:r/>
          </w:p>
        </w:tc>
        <w:tc>
          <w:tcPr>
            <w:tcBorders>
              <w:top w:val="none" w:color="000000" w:sz="4" w:space="0"/>
              <w:left w:val="single" w:color="auto" w:sz="8" w:space="0"/>
              <w:bottom w:val="single" w:color="000000" w:sz="8" w:space="0"/>
              <w:right w:val="single" w:color="auto" w:sz="8" w:space="0"/>
            </w:tcBorders>
            <w:tcW w:w="111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投标人业绩</w:t>
            </w:r>
            <w:r/>
          </w:p>
        </w:tc>
        <w:tc>
          <w:tcPr>
            <w:tcBorders>
              <w:top w:val="none" w:color="000000" w:sz="4" w:space="0"/>
              <w:left w:val="none" w:color="000000" w:sz="4" w:space="0"/>
              <w:bottom w:val="none" w:color="000000" w:sz="4" w:space="0"/>
              <w:right w:val="single" w:color="auto" w:sz="8" w:space="0"/>
            </w:tcBorders>
            <w:tcW w:w="5812" w:type="dxa"/>
            <w:vAlign w:val="center"/>
            <w:textDirection w:val="lrTb"/>
            <w:noWrap w:val="false"/>
          </w:tcPr>
          <w:p>
            <w:pPr>
              <w:jc w:val="left"/>
              <w:spacing w:line="240" w:lineRule="exact"/>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、软件业绩（</w:t>
            </w:r>
            <w:r>
              <w:rPr>
                <w:rFonts w:ascii="宋体" w:hAnsi="宋体" w:cs="宋体"/>
                <w:color w:val="000000"/>
              </w:rPr>
              <w:t xml:space="preserve">10</w:t>
            </w:r>
            <w:r>
              <w:rPr>
                <w:rFonts w:hint="eastAsia" w:ascii="宋体" w:hAnsi="宋体" w:cs="宋体"/>
                <w:color w:val="000000"/>
              </w:rPr>
              <w:t xml:space="preserve">分）</w:t>
            </w:r>
            <w:r/>
          </w:p>
        </w:tc>
        <w:tc>
          <w:tcPr>
            <w:tcBorders>
              <w:top w:val="none" w:color="000000" w:sz="4" w:space="0"/>
              <w:left w:val="single" w:color="auto" w:sz="8" w:space="0"/>
              <w:bottom w:val="single" w:color="000000" w:sz="8" w:space="0"/>
              <w:right w:val="single" w:color="auto" w:sz="8" w:space="0"/>
            </w:tcBorders>
            <w:tcW w:w="733" w:type="dxa"/>
            <w:vAlign w:val="center"/>
            <w:vMerge w:val="restart"/>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10</w:t>
            </w:r>
            <w:r/>
          </w:p>
        </w:tc>
        <w:tc>
          <w:tcPr>
            <w:tcBorders>
              <w:top w:val="none" w:color="000000" w:sz="4" w:space="0"/>
              <w:left w:val="single" w:color="auto" w:sz="8" w:space="0"/>
              <w:bottom w:val="single" w:color="000000" w:sz="8" w:space="0"/>
              <w:right w:val="single" w:color="auto" w:sz="8" w:space="0"/>
            </w:tcBorders>
            <w:tcW w:w="756" w:type="dxa"/>
            <w:vAlign w:val="center"/>
            <w:vMerge w:val="restart"/>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Borders>
              <w:top w:val="none" w:color="000000" w:sz="4" w:space="0"/>
              <w:left w:val="single" w:color="auto" w:sz="8" w:space="0"/>
              <w:bottom w:val="single" w:color="000000" w:sz="8" w:space="0"/>
              <w:right w:val="single" w:color="auto" w:sz="8" w:space="0"/>
            </w:tcBorders>
            <w:tcW w:w="69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客观</w:t>
            </w:r>
            <w:r/>
          </w:p>
        </w:tc>
      </w:tr>
      <w:tr>
        <w:trPr>
          <w:jc w:val="center"/>
          <w:trHeight w:val="864"/>
        </w:trPr>
        <w:tc>
          <w:tcPr>
            <w:tcBorders>
              <w:top w:val="none" w:color="000000" w:sz="4" w:space="0"/>
              <w:left w:val="single" w:color="auto" w:sz="8" w:space="0"/>
              <w:bottom w:val="single" w:color="000000" w:sz="8" w:space="0"/>
              <w:right w:val="single" w:color="auto" w:sz="8" w:space="0"/>
            </w:tcBorders>
            <w:tcW w:w="485"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1115"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auto" w:sz="8" w:space="0"/>
            </w:tcBorders>
            <w:tcW w:w="5812" w:type="dxa"/>
            <w:vAlign w:val="center"/>
            <w:textDirection w:val="lrTb"/>
            <w:noWrap w:val="false"/>
          </w:tcPr>
          <w:p>
            <w:pPr>
              <w:jc w:val="left"/>
              <w:spacing w:line="240" w:lineRule="exact"/>
              <w:widowControl/>
              <w:rPr>
                <w:rFonts w:ascii="宋体" w:hAnsi="宋体" w:cs="宋体"/>
                <w:color w:val="000000"/>
              </w:rPr>
            </w:pPr>
            <w:r>
              <w:rPr>
                <w:rFonts w:hint="eastAsia" w:ascii="宋体" w:hAnsi="宋体" w:cs="宋体"/>
                <w:color w:val="000000"/>
              </w:rPr>
              <w:t xml:space="preserve">投标人提供近三年（</w:t>
            </w:r>
            <w:r>
              <w:rPr>
                <w:rFonts w:hint="eastAsia" w:ascii="宋体" w:hAnsi="宋体" w:cs="宋体"/>
                <w:color w:val="000000"/>
                <w:lang w:val="en-US" w:eastAsia="zh-CN"/>
              </w:rPr>
              <w:t xml:space="preserve">2021年1月1日以来，以</w:t>
            </w:r>
            <w:r>
              <w:rPr>
                <w:rFonts w:hint="eastAsia" w:ascii="宋体" w:hAnsi="宋体" w:cs="宋体"/>
                <w:color w:val="000000"/>
                <w:lang w:eastAsia="zh-CN"/>
              </w:rPr>
              <w:t xml:space="preserve">合同签订时间为准</w:t>
            </w:r>
            <w:r>
              <w:rPr>
                <w:rFonts w:hint="eastAsia" w:ascii="宋体" w:hAnsi="宋体" w:cs="宋体"/>
                <w:color w:val="000000"/>
              </w:rPr>
              <w:t xml:space="preserve">）承担与本项目采购需求类似的</w:t>
            </w:r>
            <w:r>
              <w:rPr>
                <w:rFonts w:hint="eastAsia" w:ascii="宋体" w:hAnsi="宋体" w:cs="宋体"/>
                <w:color w:val="000000"/>
                <w:lang w:eastAsia="zh-Hans"/>
              </w:rPr>
              <w:t xml:space="preserve">港口引航调度管理</w:t>
            </w:r>
            <w:r>
              <w:rPr>
                <w:rFonts w:hint="eastAsia" w:ascii="宋体" w:hAnsi="宋体" w:cs="宋体"/>
                <w:color w:val="000000"/>
              </w:rPr>
              <w:t xml:space="preserve">软件项目案例，每提供一个得</w:t>
            </w:r>
            <w:r>
              <w:rPr>
                <w:rFonts w:ascii="宋体" w:hAnsi="宋体" w:cs="宋体"/>
                <w:color w:val="000000"/>
              </w:rPr>
              <w:t xml:space="preserve">1</w:t>
            </w:r>
            <w:r>
              <w:rPr>
                <w:rFonts w:hint="eastAsia" w:ascii="宋体" w:hAnsi="宋体" w:cs="宋体"/>
                <w:color w:val="000000"/>
              </w:rPr>
              <w:t xml:space="preserve">分，最高得</w:t>
            </w:r>
            <w:r>
              <w:rPr>
                <w:rFonts w:ascii="宋体" w:hAnsi="宋体" w:cs="宋体"/>
                <w:color w:val="000000"/>
              </w:rPr>
              <w:t xml:space="preserve">10</w:t>
            </w:r>
            <w:r>
              <w:rPr>
                <w:rFonts w:hint="eastAsia" w:ascii="宋体" w:hAnsi="宋体" w:cs="宋体"/>
                <w:color w:val="000000"/>
              </w:rPr>
              <w:t xml:space="preserve">分。</w:t>
            </w:r>
            <w:r/>
          </w:p>
        </w:tc>
        <w:tc>
          <w:tcPr>
            <w:tcBorders>
              <w:top w:val="none" w:color="000000" w:sz="4" w:space="0"/>
              <w:left w:val="single" w:color="auto" w:sz="8" w:space="0"/>
              <w:bottom w:val="single" w:color="000000" w:sz="8" w:space="0"/>
              <w:right w:val="single" w:color="auto" w:sz="8" w:space="0"/>
            </w:tcBorders>
            <w:tcW w:w="733"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756"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69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jc w:val="center"/>
          <w:trHeight w:val="876"/>
        </w:trPr>
        <w:tc>
          <w:tcPr>
            <w:tcBorders>
              <w:top w:val="none" w:color="000000" w:sz="4" w:space="0"/>
              <w:left w:val="single" w:color="auto" w:sz="8" w:space="0"/>
              <w:bottom w:val="single" w:color="000000" w:sz="8" w:space="0"/>
              <w:right w:val="single" w:color="auto" w:sz="8" w:space="0"/>
            </w:tcBorders>
            <w:tcW w:w="485"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1115"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auto" w:sz="8" w:space="0"/>
              <w:right w:val="single" w:color="auto" w:sz="8" w:space="0"/>
            </w:tcBorders>
            <w:tcW w:w="5812" w:type="dxa"/>
            <w:vAlign w:val="center"/>
            <w:textDirection w:val="lrTb"/>
            <w:noWrap w:val="false"/>
          </w:tcPr>
          <w:p>
            <w:pPr>
              <w:jc w:val="left"/>
              <w:spacing w:line="240" w:lineRule="exact"/>
              <w:widowControl/>
              <w:rPr>
                <w:rFonts w:ascii="宋体" w:hAnsi="宋体" w:cs="宋体"/>
                <w:color w:val="000000"/>
              </w:rPr>
            </w:pPr>
            <w:r>
              <w:rPr>
                <w:rFonts w:hint="eastAsia" w:ascii="宋体" w:hAnsi="宋体" w:cs="宋体"/>
                <w:color w:val="000000"/>
              </w:rPr>
              <w:t xml:space="preserve">（提供合同扫描件并加盖投标人公章，能够清晰反应合同首页、</w:t>
            </w:r>
            <w:r>
              <w:rPr>
                <w:rFonts w:hint="eastAsia" w:ascii="宋体" w:hAnsi="宋体" w:cs="宋体"/>
                <w:color w:val="000000"/>
                <w:lang w:eastAsia="zh-CN"/>
              </w:rPr>
              <w:t xml:space="preserve">签订日期、</w:t>
            </w:r>
            <w:r>
              <w:rPr>
                <w:rFonts w:hint="eastAsia" w:ascii="宋体" w:hAnsi="宋体" w:cs="宋体"/>
                <w:color w:val="000000"/>
              </w:rPr>
              <w:t xml:space="preserve">建设内容、合同金额、合同签字页等，否则不得分）</w:t>
            </w:r>
            <w:r/>
          </w:p>
        </w:tc>
        <w:tc>
          <w:tcPr>
            <w:tcBorders>
              <w:top w:val="none" w:color="000000" w:sz="4" w:space="0"/>
              <w:left w:val="single" w:color="auto" w:sz="8" w:space="0"/>
              <w:bottom w:val="single" w:color="000000" w:sz="8" w:space="0"/>
              <w:right w:val="single" w:color="auto" w:sz="8" w:space="0"/>
            </w:tcBorders>
            <w:tcW w:w="733"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756"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69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r>
        <w:trPr>
          <w:jc w:val="center"/>
          <w:trHeight w:val="576"/>
        </w:trPr>
        <w:tc>
          <w:tcPr>
            <w:tcBorders>
              <w:top w:val="none" w:color="000000" w:sz="4" w:space="0"/>
              <w:left w:val="single" w:color="auto" w:sz="8" w:space="0"/>
              <w:bottom w:val="single" w:color="000000" w:sz="8" w:space="0"/>
              <w:right w:val="single" w:color="auto" w:sz="8" w:space="0"/>
            </w:tcBorders>
            <w:tcW w:w="485" w:type="dxa"/>
            <w:vAlign w:val="center"/>
            <w:vMerge w:val="restart"/>
            <w:textDirection w:val="lrTb"/>
            <w:noWrap w:val="false"/>
          </w:tcPr>
          <w:p>
            <w:pPr>
              <w:jc w:val="center"/>
              <w:widowControl/>
              <w:rPr>
                <w:rFonts w:hint="eastAsia" w:ascii="Arial" w:hAnsi="Arial" w:eastAsia="等线" w:cs="Arial"/>
                <w:color w:val="000000"/>
                <w:lang w:val="en-US" w:eastAsia="zh-CN"/>
              </w:rPr>
            </w:pPr>
            <w:r>
              <w:rPr>
                <w:rFonts w:hint="eastAsia" w:ascii="Arial" w:hAnsi="Arial" w:eastAsia="等线" w:cs="Arial"/>
                <w:color w:val="000000"/>
                <w:lang w:val="en-US" w:eastAsia="zh-CN"/>
              </w:rPr>
              <w:t xml:space="preserve">2</w:t>
            </w:r>
            <w:r/>
          </w:p>
        </w:tc>
        <w:tc>
          <w:tcPr>
            <w:tcBorders>
              <w:top w:val="none" w:color="000000" w:sz="4" w:space="0"/>
              <w:left w:val="single" w:color="auto" w:sz="8" w:space="0"/>
              <w:bottom w:val="single" w:color="000000" w:sz="8" w:space="0"/>
              <w:right w:val="single" w:color="auto" w:sz="8" w:space="0"/>
            </w:tcBorders>
            <w:tcW w:w="111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软件著作权</w:t>
            </w:r>
            <w:r/>
          </w:p>
        </w:tc>
        <w:tc>
          <w:tcPr>
            <w:tcBorders>
              <w:top w:val="none" w:color="000000" w:sz="4" w:space="0"/>
              <w:left w:val="none" w:color="000000" w:sz="4" w:space="0"/>
              <w:bottom w:val="none" w:color="000000" w:sz="4" w:space="0"/>
              <w:right w:val="single" w:color="auto" w:sz="8" w:space="0"/>
            </w:tcBorders>
            <w:tcW w:w="5812"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投标人应提供港口引航业务相关著作权证书，每提供一项</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ascii="Arial" w:hAnsi="Arial" w:cs="Arial"/>
                <w:color w:val="000000"/>
              </w:rPr>
              <w:t xml:space="preserve">,</w:t>
            </w:r>
            <w:r>
              <w:rPr>
                <w:rFonts w:hint="eastAsia" w:ascii="宋体" w:hAnsi="宋体" w:cs="宋体"/>
                <w:color w:val="000000"/>
              </w:rPr>
              <w:t xml:space="preserve">最高得</w:t>
            </w:r>
            <w:r>
              <w:rPr>
                <w:rFonts w:hint="eastAsia" w:ascii="宋体" w:hAnsi="宋体" w:cs="宋体"/>
                <w:color w:val="000000"/>
                <w:lang w:val="en-US" w:eastAsia="zh-CN"/>
              </w:rPr>
              <w:t xml:space="preserve">10</w:t>
            </w:r>
            <w:r>
              <w:rPr>
                <w:rFonts w:hint="eastAsia" w:ascii="宋体" w:hAnsi="宋体" w:cs="宋体"/>
                <w:color w:val="000000"/>
              </w:rPr>
              <w:t xml:space="preserve">分。</w:t>
            </w:r>
            <w:r/>
          </w:p>
        </w:tc>
        <w:tc>
          <w:tcPr>
            <w:tcBorders>
              <w:top w:val="none" w:color="000000" w:sz="4" w:space="0"/>
              <w:left w:val="single" w:color="auto" w:sz="8" w:space="0"/>
              <w:bottom w:val="single" w:color="000000" w:sz="8" w:space="0"/>
              <w:right w:val="single" w:color="auto" w:sz="8" w:space="0"/>
            </w:tcBorders>
            <w:tcW w:w="733" w:type="dxa"/>
            <w:vAlign w:val="center"/>
            <w:vMerge w:val="restart"/>
            <w:textDirection w:val="lrTb"/>
            <w:noWrap w:val="false"/>
          </w:tcPr>
          <w:p>
            <w:pPr>
              <w:jc w:val="center"/>
              <w:widowControl/>
              <w:rPr>
                <w:rFonts w:hint="default" w:ascii="Arial" w:hAnsi="Arial" w:eastAsia="等线" w:cs="Arial"/>
                <w:color w:val="000000"/>
                <w:lang w:val="en-US" w:eastAsia="zh-CN"/>
              </w:rPr>
            </w:pPr>
            <w:r>
              <w:rPr>
                <w:rFonts w:hint="eastAsia" w:ascii="Arial" w:hAnsi="Arial" w:eastAsia="等线" w:cs="Arial"/>
                <w:color w:val="000000"/>
                <w:lang w:val="en-US" w:eastAsia="zh-CN"/>
              </w:rPr>
              <w:t xml:space="preserve">10</w:t>
            </w:r>
            <w:r/>
          </w:p>
        </w:tc>
        <w:tc>
          <w:tcPr>
            <w:tcBorders>
              <w:top w:val="none" w:color="000000" w:sz="4" w:space="0"/>
              <w:left w:val="single" w:color="auto" w:sz="8" w:space="0"/>
              <w:bottom w:val="single" w:color="000000" w:sz="8" w:space="0"/>
              <w:right w:val="single" w:color="auto" w:sz="8" w:space="0"/>
            </w:tcBorders>
            <w:tcW w:w="756" w:type="dxa"/>
            <w:vAlign w:val="center"/>
            <w:vMerge w:val="restart"/>
            <w:textDirection w:val="lrTb"/>
            <w:noWrap w:val="false"/>
          </w:tcPr>
          <w:p>
            <w:pPr>
              <w:jc w:val="center"/>
              <w:widowControl/>
              <w:rPr>
                <w:rFonts w:ascii="Arial" w:hAnsi="Arial" w:eastAsia="等线" w:cs="Arial"/>
                <w:color w:val="000000"/>
              </w:rPr>
            </w:pPr>
            <w:r>
              <w:rPr>
                <w:rFonts w:ascii="Arial" w:hAnsi="Arial" w:eastAsia="等线" w:cs="Arial"/>
                <w:color w:val="000000"/>
              </w:rPr>
              <w:t xml:space="preserve">0</w:t>
            </w:r>
            <w:r/>
          </w:p>
        </w:tc>
        <w:tc>
          <w:tcPr>
            <w:tcBorders>
              <w:top w:val="none" w:color="000000" w:sz="4" w:space="0"/>
              <w:left w:val="single" w:color="auto" w:sz="8" w:space="0"/>
              <w:bottom w:val="single" w:color="000000" w:sz="8" w:space="0"/>
              <w:right w:val="single" w:color="auto" w:sz="8" w:space="0"/>
            </w:tcBorders>
            <w:tcW w:w="69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客观</w:t>
            </w:r>
            <w:r/>
          </w:p>
        </w:tc>
      </w:tr>
      <w:tr>
        <w:trPr>
          <w:jc w:val="center"/>
          <w:trHeight w:val="588"/>
        </w:trPr>
        <w:tc>
          <w:tcPr>
            <w:tcBorders>
              <w:top w:val="none" w:color="000000" w:sz="4" w:space="0"/>
              <w:left w:val="single" w:color="auto" w:sz="8" w:space="0"/>
              <w:bottom w:val="single" w:color="000000" w:sz="8" w:space="0"/>
              <w:right w:val="single" w:color="auto" w:sz="8" w:space="0"/>
            </w:tcBorders>
            <w:tcW w:w="485"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1115"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auto" w:sz="8" w:space="0"/>
              <w:right w:val="single" w:color="auto" w:sz="8" w:space="0"/>
            </w:tcBorders>
            <w:tcW w:w="5812"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（提供相应证明材料扫描件，并加盖投标人公章）</w:t>
            </w:r>
            <w:r/>
          </w:p>
        </w:tc>
        <w:tc>
          <w:tcPr>
            <w:tcBorders>
              <w:top w:val="none" w:color="000000" w:sz="4" w:space="0"/>
              <w:left w:val="single" w:color="auto" w:sz="8" w:space="0"/>
              <w:bottom w:val="single" w:color="000000" w:sz="8" w:space="0"/>
              <w:right w:val="single" w:color="auto" w:sz="8" w:space="0"/>
            </w:tcBorders>
            <w:tcW w:w="733"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756" w:type="dxa"/>
            <w:vAlign w:val="center"/>
            <w:vMerge w:val="continue"/>
            <w:textDirection w:val="lrTb"/>
            <w:noWrap w:val="false"/>
          </w:tcPr>
          <w:p>
            <w:pPr>
              <w:jc w:val="left"/>
              <w:widowControl/>
              <w:rPr>
                <w:rFonts w:ascii="Arial" w:hAnsi="Arial" w:eastAsia="等线" w:cs="Arial"/>
                <w:color w:val="000000"/>
              </w:rPr>
            </w:pPr>
            <w:r>
              <w:rPr>
                <w:rFonts w:ascii="Arial" w:hAnsi="Arial" w:eastAsia="等线" w:cs="Arial"/>
                <w:color w:val="000000"/>
              </w:rPr>
            </w:r>
            <w:r/>
          </w:p>
        </w:tc>
        <w:tc>
          <w:tcPr>
            <w:tcBorders>
              <w:top w:val="none" w:color="000000" w:sz="4" w:space="0"/>
              <w:left w:val="single" w:color="auto" w:sz="8" w:space="0"/>
              <w:bottom w:val="single" w:color="000000" w:sz="8" w:space="0"/>
              <w:right w:val="single" w:color="auto" w:sz="8" w:space="0"/>
            </w:tcBorders>
            <w:tcW w:w="69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r>
    </w:tbl>
    <w:p>
      <w:pPr>
        <w:pStyle w:val="683"/>
        <w:ind w:firstLine="0"/>
        <w:rPr>
          <w:rFonts w:hint="eastAsia"/>
        </w:rPr>
      </w:pPr>
      <w:r>
        <w:rPr>
          <w:rFonts w:hint="eastAsia"/>
        </w:rPr>
      </w:r>
      <w:r/>
    </w:p>
    <w:p>
      <w:pPr>
        <w:rPr>
          <w:rFonts w:ascii="黑体" w:eastAsia="黑体"/>
          <w:bCs/>
          <w:sz w:val="44"/>
        </w:rPr>
      </w:pPr>
      <w:r>
        <w:rPr>
          <w:rFonts w:hint="eastAsia" w:ascii="黑体" w:eastAsia="黑体"/>
          <w:bCs/>
          <w:sz w:val="44"/>
        </w:rPr>
        <w:br w:type="page" w:clear="all"/>
      </w:r>
      <w:r/>
    </w:p>
    <w:p>
      <w:pPr>
        <w:pStyle w:val="859"/>
        <w:rPr>
          <w:rFonts w:ascii="黑体" w:eastAsia="黑体"/>
          <w:bCs/>
          <w:sz w:val="44"/>
        </w:rPr>
      </w:pPr>
      <w:r>
        <w:rPr>
          <w:rFonts w:hint="eastAsia" w:ascii="黑体" w:eastAsia="黑体"/>
          <w:bCs/>
          <w:sz w:val="44"/>
        </w:rPr>
        <w:t xml:space="preserve">第六章  投标</w:t>
      </w:r>
      <w:bookmarkEnd w:id="191"/>
      <w:r/>
      <w:bookmarkEnd w:id="192"/>
      <w:r/>
      <w:bookmarkEnd w:id="199"/>
      <w:r>
        <w:rPr>
          <w:rFonts w:hint="eastAsia" w:ascii="黑体" w:eastAsia="黑体"/>
          <w:bCs/>
          <w:sz w:val="44"/>
        </w:rPr>
        <w:t xml:space="preserve">文件格式 </w:t>
      </w:r>
      <w:r/>
    </w:p>
    <w:p>
      <w:pPr>
        <w:jc w:val="center"/>
        <w:rPr>
          <w:rFonts w:ascii="宋体" w:hAnsi="宋体"/>
          <w:b/>
          <w:sz w:val="72"/>
        </w:rPr>
      </w:pPr>
      <w:r/>
      <w:bookmarkStart w:id="200" w:name="_Hlt26955039"/>
      <w:r/>
      <w:bookmarkEnd w:id="200"/>
      <w:r/>
      <w:bookmarkStart w:id="201" w:name="_Hlt26671244"/>
      <w:r/>
      <w:bookmarkEnd w:id="201"/>
      <w:r/>
      <w:bookmarkStart w:id="202" w:name="_Toc49090576"/>
      <w:r/>
      <w:bookmarkStart w:id="203" w:name="_Toc120614282"/>
      <w:r/>
      <w:bookmarkStart w:id="204"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48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p>
    <w:p>
      <w:pPr>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p>
    <w:p>
      <w:pPr>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p>
    <w:p>
      <w:pPr>
        <w:ind w:firstLine="560"/>
        <w:jc w:val="left"/>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560"/>
        <w:rPr>
          <w:rFonts w:ascii="宋体" w:hAnsi="宋体" w:eastAsia="仿宋"/>
          <w:b/>
          <w:color w:val="000000"/>
          <w:sz w:val="30"/>
          <w:szCs w:val="30"/>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投标人符合《政府采购法》第二十二条规定条件的声明函（格式见附件5）</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法人授权书（格式见附件6）</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投标函（格式见附件7）</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rPr>
        <w:t xml:space="preserve">8）</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rPr>
        <w:t xml:space="preserve">9）</w:t>
      </w:r>
      <w:r/>
    </w:p>
    <w:p>
      <w:pPr>
        <w:pStyle w:val="709"/>
        <w:ind w:firstLine="546"/>
        <w:rPr>
          <w:rFonts w:eastAsia="仿宋"/>
        </w:rPr>
      </w:pPr>
      <w:r>
        <w:rPr>
          <w:rFonts w:hint="eastAsia" w:ascii="仿宋" w:hAnsi="仿宋" w:eastAsia="仿宋"/>
          <w:color w:val="000000"/>
          <w:sz w:val="28"/>
          <w:szCs w:val="28"/>
        </w:rPr>
        <w:t xml:space="preserve">6、监狱和戒毒企业证明材料</w:t>
      </w:r>
      <w:r/>
    </w:p>
    <w:p>
      <w:pPr>
        <w:ind w:left="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总备注：上述“资格审查内容”中1、2、3条投标人必须在投标文件中提供相关材料，否则作无效投标处理；4、5、6条投标人必须满足其中一项且在投标文件中提供相关材料，否则作无效投标处理。</w:t>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560"/>
        <w:spacing w:line="480" w:lineRule="exact"/>
        <w:rPr>
          <w:rFonts w:ascii="仿宋" w:hAnsi="仿宋" w:eastAsia="仿宋"/>
          <w:b/>
          <w:bCs/>
          <w:color w:val="000000"/>
          <w:sz w:val="28"/>
          <w:szCs w:val="28"/>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bookmarkEnd w:id="202"/>
      <w:bookmarkEnd w:id="203"/>
      <w:bookmarkEnd w:id="204"/>
      <w:r/>
    </w:p>
    <w:p>
      <w:pPr>
        <w:pStyle w:val="709"/>
      </w:pPr>
      <w:r/>
      <w:r/>
    </w:p>
    <w:p>
      <w:pPr>
        <w:rPr>
          <w:rFonts w:ascii="黑体" w:hAnsi="黑体" w:eastAsia="黑体"/>
          <w:i/>
          <w:sz w:val="32"/>
          <w:szCs w:val="32"/>
          <w:u w:val="single"/>
        </w:rPr>
      </w:pPr>
      <w:r/>
      <w:bookmarkStart w:id="205" w:name="_Toc120614284"/>
      <w:r/>
      <w:r/>
    </w:p>
    <w:p>
      <w:pPr>
        <w:jc w:val="center"/>
        <w:rPr>
          <w:rFonts w:ascii="黑体" w:hAnsi="黑体" w:eastAsia="黑体"/>
          <w:i/>
          <w:sz w:val="32"/>
          <w:szCs w:val="32"/>
          <w:u w:val="single"/>
        </w:rPr>
      </w:pPr>
      <w:r>
        <w:rPr>
          <w:rFonts w:ascii="黑体" w:hAnsi="黑体" w:eastAsia="黑体"/>
          <w:i/>
          <w:sz w:val="32"/>
          <w:szCs w:val="32"/>
          <w:u w:val="single"/>
        </w:rPr>
      </w:r>
      <w:r/>
    </w:p>
    <w:p>
      <w:pPr>
        <w:rPr>
          <w:rFonts w:ascii="宋体" w:hAnsi="宋体" w:cs="宋体"/>
          <w:b/>
          <w:bCs/>
          <w:sz w:val="28"/>
          <w:szCs w:val="28"/>
        </w:rPr>
      </w:pPr>
      <w:r>
        <w:rPr>
          <w:rFonts w:hint="eastAsia" w:ascii="宋体" w:hAnsi="宋体" w:cs="宋体"/>
          <w:b/>
          <w:bCs/>
          <w:sz w:val="28"/>
          <w:szCs w:val="28"/>
        </w:rPr>
        <w:br w:type="page" w:clear="all"/>
      </w:r>
      <w:r/>
    </w:p>
    <w:p>
      <w:pPr>
        <w:jc w:val="center"/>
        <w:rPr>
          <w:rFonts w:eastAsia="仿宋_GB2312"/>
          <w:sz w:val="28"/>
          <w:szCs w:val="28"/>
        </w:rPr>
        <w:outlineLvl w:val="0"/>
      </w:pPr>
      <w:r>
        <w:rPr>
          <w:rFonts w:hint="eastAsia" w:ascii="宋体" w:hAnsi="宋体" w:cs="宋体"/>
          <w:b/>
          <w:bCs/>
          <w:sz w:val="28"/>
          <w:szCs w:val="28"/>
        </w:rPr>
        <w:t xml:space="preserve">附件1  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                                  </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2"/>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rPr>
          <w:rFonts w:ascii="宋体" w:hAnsi="宋体"/>
          <w:sz w:val="24"/>
          <w:szCs w:val="24"/>
        </w:rPr>
      </w:pPr>
      <w:r>
        <w:rPr>
          <w:rFonts w:ascii="宋体" w:hAnsi="宋体"/>
          <w:sz w:val="24"/>
          <w:szCs w:val="24"/>
        </w:rPr>
      </w:r>
      <w:r/>
    </w:p>
    <w:p>
      <w:pPr>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pStyle w:val="709"/>
      </w:pPr>
      <w:r/>
      <w:r/>
    </w:p>
    <w:p>
      <w:pPr>
        <w:rPr>
          <w:rFonts w:ascii="仿宋" w:hAnsi="仿宋" w:eastAsia="仿宋"/>
          <w:b/>
          <w:color w:val="000000"/>
          <w:sz w:val="28"/>
          <w:szCs w:val="28"/>
        </w:rPr>
      </w:pPr>
      <w:r>
        <w:rPr>
          <w:rFonts w:hint="eastAsia" w:ascii="仿宋" w:hAnsi="仿宋" w:eastAsia="仿宋"/>
          <w:b/>
          <w:color w:val="000000"/>
          <w:sz w:val="28"/>
          <w:szCs w:val="28"/>
        </w:rPr>
        <w:br w:type="page" w:clear="all"/>
      </w:r>
      <w:r/>
    </w:p>
    <w:p>
      <w:pPr>
        <w:jc w:val="center"/>
        <w:spacing w:line="480" w:lineRule="exact"/>
        <w:rPr>
          <w:rFonts w:ascii="黑体" w:hAnsi="黑体" w:eastAsia="黑体"/>
          <w:b/>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投标分项报价表（服务）</w:t>
      </w:r>
      <w:r/>
    </w:p>
    <w:tbl>
      <w:tblPr>
        <w:tblStyle w:val="68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09"/>
      </w:pPr>
      <w:r/>
      <w:r/>
    </w:p>
    <w:p>
      <w:pPr>
        <w:jc w:val="center"/>
        <w:rPr>
          <w:rFonts w:ascii="仿宋" w:hAnsi="仿宋" w:eastAsia="仿宋"/>
          <w:b/>
          <w:color w:val="000000"/>
          <w:sz w:val="28"/>
          <w:szCs w:val="28"/>
        </w:rPr>
      </w:pPr>
      <w:r>
        <w:rPr>
          <w:rFonts w:ascii="仿宋" w:hAnsi="仿宋" w:eastAsia="仿宋"/>
          <w:b/>
          <w:color w:val="000000"/>
          <w:sz w:val="28"/>
          <w:szCs w:val="28"/>
        </w:rPr>
      </w:r>
      <w:r/>
    </w:p>
    <w:p>
      <w:pPr>
        <w:jc w:val="center"/>
        <w:rPr>
          <w:rFonts w:ascii="仿宋" w:hAnsi="仿宋" w:eastAsia="仿宋"/>
          <w:b/>
          <w:color w:val="000000"/>
          <w:sz w:val="28"/>
          <w:szCs w:val="28"/>
        </w:rPr>
      </w:pPr>
      <w:r>
        <w:rPr>
          <w:rFonts w:ascii="仿宋" w:hAnsi="仿宋" w:eastAsia="仿宋"/>
          <w:b/>
          <w:color w:val="000000"/>
          <w:sz w:val="28"/>
          <w:szCs w:val="28"/>
        </w:rPr>
      </w:r>
      <w:r/>
    </w:p>
    <w:p>
      <w:pPr>
        <w:rPr>
          <w:rFonts w:ascii="仿宋" w:hAnsi="仿宋" w:eastAsia="仿宋"/>
          <w:b/>
          <w:color w:val="000000"/>
          <w:sz w:val="28"/>
          <w:szCs w:val="28"/>
        </w:rPr>
      </w:pPr>
      <w:r>
        <w:rPr>
          <w:rFonts w:hint="eastAsia" w:ascii="仿宋" w:hAnsi="仿宋" w:eastAsia="仿宋"/>
          <w:b/>
          <w:color w:val="000000"/>
          <w:sz w:val="28"/>
          <w:szCs w:val="28"/>
        </w:rPr>
        <w:br w:type="page" w:clear="all"/>
      </w:r>
      <w:r/>
    </w:p>
    <w:p>
      <w:pPr>
        <w:jc w:val="center"/>
        <w:rPr>
          <w:rFonts w:ascii="仿宋" w:hAnsi="仿宋" w:eastAsia="仿宋"/>
          <w:b/>
          <w:color w:val="000000"/>
          <w:sz w:val="28"/>
          <w:szCs w:val="28"/>
        </w:rPr>
        <w:outlineLvl w:val="0"/>
      </w:pPr>
      <w:r>
        <w:rPr>
          <w:rFonts w:hint="eastAsia" w:ascii="仿宋" w:hAnsi="仿宋" w:eastAsia="仿宋"/>
          <w:b/>
          <w:color w:val="000000"/>
          <w:sz w:val="28"/>
          <w:szCs w:val="28"/>
        </w:rPr>
        <w:t xml:space="preserve">附件3  技术要求响应及偏离表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招标文件技术要求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2283"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28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283" w:type="dxa"/>
            <w:textDirection w:val="lrTb"/>
            <w:noWrap w:val="false"/>
          </w:tcPr>
          <w:p>
            <w:pPr>
              <w:jc w:val="center"/>
              <w:rPr>
                <w:rFonts w:ascii="宋体" w:hAnsi="宋体"/>
                <w:sz w:val="24"/>
                <w:szCs w:val="24"/>
              </w:rPr>
            </w:pPr>
            <w:r>
              <w:rPr>
                <w:rFonts w:ascii="宋体" w:hAnsi="宋体"/>
                <w:sz w:val="24"/>
                <w:szCs w:val="24"/>
              </w:rPr>
            </w:r>
            <w:r/>
          </w:p>
        </w:tc>
      </w:tr>
    </w:tbl>
    <w:p>
      <w:pPr>
        <w:spacing w:line="480" w:lineRule="exact"/>
        <w:rPr>
          <w:rFonts w:ascii="仿宋" w:hAnsi="仿宋" w:eastAsia="仿宋"/>
          <w:color w:val="000000"/>
          <w:sz w:val="28"/>
          <w:szCs w:val="28"/>
        </w:rPr>
      </w:pPr>
      <w:r/>
      <w:bookmarkStart w:id="206" w:name="_Toc14066"/>
      <w:r/>
      <w:bookmarkStart w:id="207" w:name="_Toc17519"/>
      <w:r/>
      <w:bookmarkStart w:id="208" w:name="_Toc27942"/>
      <w:r/>
      <w:bookmarkStart w:id="209" w:name="_Toc4145"/>
      <w:r/>
      <w:bookmarkStart w:id="210" w:name="_Toc11012"/>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06"/>
      <w:r/>
      <w:bookmarkEnd w:id="207"/>
      <w:r/>
      <w:bookmarkEnd w:id="208"/>
      <w:r/>
      <w:bookmarkEnd w:id="209"/>
      <w:r/>
      <w:bookmarkEnd w:id="210"/>
      <w:r/>
      <w:r/>
    </w:p>
    <w:p>
      <w:pPr>
        <w:spacing w:line="480" w:lineRule="exact"/>
        <w:rPr>
          <w:rFonts w:ascii="仿宋" w:hAnsi="仿宋" w:eastAsia="仿宋"/>
          <w:color w:val="000000"/>
          <w:sz w:val="28"/>
          <w:szCs w:val="28"/>
        </w:rPr>
      </w:pPr>
      <w:r>
        <w:rPr>
          <w:rFonts w:ascii="仿宋" w:hAnsi="仿宋" w:eastAsia="仿宋"/>
          <w:color w:val="000000"/>
          <w:sz w:val="28"/>
          <w:szCs w:val="28"/>
        </w:rPr>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做出明确响应</w:t>
      </w:r>
      <w:r>
        <w:rPr>
          <w:rFonts w:hint="eastAsia"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709"/>
        <w:rPr>
          <w:rFonts w:ascii="黑体" w:eastAsia="黑体"/>
          <w:sz w:val="32"/>
        </w:rPr>
      </w:pPr>
      <w:r>
        <w:rPr>
          <w:rFonts w:ascii="黑体" w:eastAsia="黑体"/>
          <w:sz w:val="32"/>
        </w:rPr>
      </w:r>
      <w:r/>
    </w:p>
    <w:p>
      <w:pPr>
        <w:pStyle w:val="709"/>
        <w:rPr>
          <w:rFonts w:ascii="黑体" w:eastAsia="黑体"/>
          <w:sz w:val="32"/>
        </w:rPr>
      </w:pPr>
      <w:r>
        <w:rPr>
          <w:rFonts w:ascii="黑体" w:eastAsia="黑体"/>
          <w:sz w:val="32"/>
        </w:rPr>
      </w:r>
      <w:r/>
    </w:p>
    <w:p>
      <w:pPr>
        <w:jc w:val="center"/>
        <w:rPr>
          <w:rFonts w:ascii="仿宋" w:hAnsi="仿宋" w:eastAsia="仿宋"/>
          <w:b/>
          <w:color w:val="000000"/>
          <w:sz w:val="28"/>
          <w:szCs w:val="28"/>
        </w:rPr>
      </w:pPr>
      <w:r/>
      <w:bookmarkStart w:id="211" w:name="_Hlt26955054"/>
      <w:r/>
      <w:bookmarkEnd w:id="211"/>
      <w:r/>
      <w:r/>
    </w:p>
    <w:p>
      <w:pPr>
        <w:rPr>
          <w:rFonts w:ascii="仿宋" w:hAnsi="仿宋" w:eastAsia="仿宋"/>
          <w:b/>
          <w:color w:val="000000"/>
          <w:sz w:val="28"/>
          <w:szCs w:val="28"/>
        </w:rPr>
      </w:pPr>
      <w:r>
        <w:rPr>
          <w:rFonts w:hint="eastAsia" w:ascii="仿宋" w:hAnsi="仿宋" w:eastAsia="仿宋"/>
          <w:b/>
          <w:color w:val="000000"/>
          <w:sz w:val="28"/>
          <w:szCs w:val="28"/>
        </w:rPr>
        <w:br w:type="page" w:clear="all"/>
      </w:r>
      <w:r/>
    </w:p>
    <w:p>
      <w:pPr>
        <w:jc w:val="center"/>
        <w:rPr>
          <w:rFonts w:ascii="黑体" w:hAnsi="黑体" w:eastAsia="黑体"/>
          <w:b/>
          <w:sz w:val="32"/>
          <w:szCs w:val="32"/>
        </w:rPr>
        <w:outlineLvl w:val="0"/>
      </w:pPr>
      <w:r>
        <w:rPr>
          <w:rFonts w:hint="eastAsia" w:ascii="仿宋" w:hAnsi="仿宋" w:eastAsia="仿宋"/>
          <w:b/>
          <w:color w:val="000000"/>
          <w:sz w:val="28"/>
          <w:szCs w:val="28"/>
        </w:rPr>
        <w:t xml:space="preserve">附件4  商务要求响应及偏离表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rPr>
                <w:rFonts w:ascii="宋体" w:hAnsi="宋体"/>
                <w:sz w:val="24"/>
                <w:szCs w:val="24"/>
              </w:rPr>
            </w:pPr>
            <w:r/>
            <w:bookmarkStart w:id="212" w:name="_Hlt26671372"/>
            <w:r/>
            <w:bookmarkEnd w:id="212"/>
            <w:r/>
            <w:bookmarkStart w:id="213" w:name="_Hlt26580838"/>
            <w:r/>
            <w:bookmarkEnd w:id="213"/>
            <w:r/>
            <w:bookmarkStart w:id="214" w:name="_Hlt26671343"/>
            <w:r/>
            <w:bookmarkEnd w:id="214"/>
            <w:r/>
            <w:bookmarkStart w:id="215" w:name="_Hlt26609391"/>
            <w:r/>
            <w:bookmarkEnd w:id="215"/>
            <w:r/>
            <w:bookmarkStart w:id="216" w:name="_Hlt26955064"/>
            <w:r/>
            <w:bookmarkEnd w:id="216"/>
            <w:r/>
            <w:bookmarkStart w:id="217" w:name="_Hlt26782999"/>
            <w:r/>
            <w:bookmarkEnd w:id="217"/>
            <w:r/>
            <w:bookmarkStart w:id="218" w:name="_Hlt24879081"/>
            <w:r/>
            <w:bookmarkEnd w:id="218"/>
            <w:r/>
            <w:bookmarkStart w:id="219" w:name="_Hlt26955056"/>
            <w:r/>
            <w:bookmarkEnd w:id="219"/>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招标文件商务要求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226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682" w:type="dxa"/>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2268"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仿宋" w:hAnsi="仿宋" w:eastAsia="仿宋"/>
                <w:color w:val="000000"/>
                <w:sz w:val="28"/>
                <w:szCs w:val="28"/>
              </w:rPr>
              <w:t xml:space="preserve">……</w:t>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2268" w:type="dxa"/>
            <w:textDirection w:val="lrTb"/>
            <w:noWrap w:val="false"/>
          </w:tcPr>
          <w:p>
            <w:pPr>
              <w:jc w:val="center"/>
              <w:rPr>
                <w:rFonts w:ascii="宋体" w:hAnsi="宋体"/>
                <w:sz w:val="24"/>
                <w:szCs w:val="24"/>
              </w:rPr>
            </w:pPr>
            <w:r>
              <w:rPr>
                <w:rFonts w:ascii="宋体" w:hAnsi="宋体"/>
                <w:sz w:val="24"/>
                <w:szCs w:val="24"/>
              </w:rPr>
            </w:r>
            <w:r/>
          </w:p>
        </w:tc>
      </w:tr>
    </w:tbl>
    <w:p>
      <w:pPr>
        <w:spacing w:line="480" w:lineRule="exact"/>
        <w:rPr>
          <w:rFonts w:ascii="仿宋" w:hAnsi="仿宋" w:eastAsia="仿宋"/>
          <w:color w:val="000000"/>
          <w:sz w:val="28"/>
          <w:szCs w:val="28"/>
        </w:rPr>
      </w:pPr>
      <w:r/>
      <w:bookmarkStart w:id="220" w:name="_Toc8940"/>
      <w:r/>
      <w:bookmarkStart w:id="221" w:name="_Toc3831"/>
      <w:r/>
      <w:bookmarkStart w:id="222" w:name="_Toc11985"/>
      <w:r/>
      <w:bookmarkStart w:id="223" w:name="_Toc16927"/>
      <w:r/>
      <w:bookmarkStart w:id="224" w:name="_Toc24768"/>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20"/>
      <w:r/>
      <w:bookmarkEnd w:id="221"/>
      <w:r/>
      <w:bookmarkEnd w:id="222"/>
      <w:r/>
      <w:bookmarkEnd w:id="223"/>
      <w:r/>
      <w:bookmarkEnd w:id="224"/>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做出明确响应</w:t>
      </w:r>
      <w:r>
        <w:rPr>
          <w:rFonts w:hint="eastAsia"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p>
    <w:p>
      <w:pPr>
        <w:spacing w:line="480" w:lineRule="auto"/>
        <w:rPr>
          <w:rFonts w:ascii="宋体" w:hAnsi="宋体"/>
          <w:sz w:val="24"/>
        </w:rPr>
      </w:pPr>
      <w:r>
        <w:rPr>
          <w:rFonts w:ascii="宋体" w:hAnsi="宋体"/>
          <w:sz w:val="24"/>
        </w:rPr>
      </w:r>
      <w:r/>
    </w:p>
    <w:p>
      <w:pPr>
        <w:ind w:left="480"/>
        <w:spacing w:line="480" w:lineRule="exact"/>
        <w:rPr>
          <w:rFonts w:ascii="仿宋" w:hAnsi="仿宋" w:eastAsia="仿宋"/>
          <w:b/>
          <w:color w:val="000000"/>
          <w:sz w:val="28"/>
          <w:szCs w:val="28"/>
          <w:highlight w:val="green"/>
        </w:rPr>
      </w:pPr>
      <w:r/>
      <w:bookmarkStart w:id="225" w:name="_Toc5624"/>
      <w:r/>
      <w:bookmarkStart w:id="226" w:name="_Toc22668"/>
      <w:r/>
      <w:bookmarkStart w:id="227" w:name="_Toc10386"/>
      <w:r/>
      <w:bookmarkStart w:id="228" w:name="_Toc11709"/>
      <w:r/>
      <w:bookmarkStart w:id="229" w:name="_Toc13278"/>
      <w:r/>
      <w:r/>
    </w:p>
    <w:p>
      <w:pPr>
        <w:ind w:left="480"/>
        <w:spacing w:line="480" w:lineRule="exact"/>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pStyle w:val="709"/>
        <w:rPr>
          <w:rFonts w:ascii="仿宋" w:hAnsi="仿宋" w:eastAsia="仿宋"/>
          <w:b/>
          <w:color w:val="000000"/>
          <w:sz w:val="28"/>
          <w:szCs w:val="28"/>
          <w:highlight w:val="green"/>
        </w:rPr>
      </w:pPr>
      <w:r>
        <w:rPr>
          <w:rFonts w:ascii="仿宋" w:hAnsi="仿宋" w:eastAsia="仿宋"/>
          <w:b/>
          <w:color w:val="000000"/>
          <w:sz w:val="28"/>
          <w:szCs w:val="28"/>
          <w:highlight w:val="green"/>
        </w:rPr>
      </w:r>
      <w:r/>
    </w:p>
    <w:p>
      <w:pPr>
        <w:rPr>
          <w:rFonts w:ascii="仿宋" w:hAnsi="仿宋" w:eastAsia="仿宋"/>
          <w:b/>
          <w:color w:val="000000"/>
          <w:sz w:val="28"/>
          <w:szCs w:val="28"/>
        </w:rPr>
      </w:pPr>
      <w:r>
        <w:rPr>
          <w:rFonts w:hint="eastAsia" w:ascii="仿宋" w:hAnsi="仿宋" w:eastAsia="仿宋"/>
          <w:b/>
          <w:color w:val="000000"/>
          <w:sz w:val="28"/>
          <w:szCs w:val="28"/>
        </w:rPr>
        <w:br w:type="page" w:clear="all"/>
      </w:r>
      <w:r/>
    </w:p>
    <w:p>
      <w:pPr>
        <w:ind w:left="480"/>
        <w:spacing w:line="480" w:lineRule="exact"/>
        <w:rPr>
          <w:rFonts w:ascii="宋体" w:hAnsi="宋体"/>
          <w:b/>
          <w:color w:val="000000"/>
          <w:sz w:val="30"/>
          <w:szCs w:val="30"/>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5</w:t>
      </w:r>
      <w:bookmarkEnd w:id="225"/>
      <w:r/>
      <w:bookmarkEnd w:id="226"/>
      <w:r/>
      <w:bookmarkEnd w:id="227"/>
      <w:r/>
      <w:bookmarkEnd w:id="228"/>
      <w:r/>
      <w:bookmarkEnd w:id="229"/>
      <w:r>
        <w:rPr>
          <w:rFonts w:hint="eastAsia" w:ascii="仿宋" w:hAnsi="仿宋" w:eastAsia="仿宋"/>
          <w:b/>
          <w:color w:val="000000"/>
          <w:sz w:val="28"/>
          <w:szCs w:val="28"/>
        </w:rPr>
        <w:t xml:space="preserve"> </w:t>
      </w:r>
      <w:r>
        <w:rPr>
          <w:rFonts w:hint="eastAsia" w:ascii="宋体" w:hAnsi="宋体"/>
          <w:b/>
          <w:color w:val="000000"/>
          <w:sz w:val="30"/>
          <w:szCs w:val="30"/>
        </w:rPr>
        <w:t xml:space="preserve">投标人符合《政府采购法》第二十二条规定条件的声明函</w:t>
      </w:r>
      <w:r/>
    </w:p>
    <w:p>
      <w:pPr>
        <w:spacing w:line="460" w:lineRule="exact"/>
        <w:rPr>
          <w:rFonts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               </w:t>
      </w:r>
      <w:r>
        <w:rPr>
          <w:rFonts w:hint="eastAsia" w:ascii="宋体" w:hAnsi="宋体"/>
          <w:bCs/>
          <w:color w:val="000000"/>
          <w:sz w:val="24"/>
        </w:rPr>
        <w:t xml:space="preserve">（项目名称）</w:t>
      </w:r>
      <w:r>
        <w:rPr>
          <w:rFonts w:hint="eastAsia" w:ascii="宋体" w:hAnsi="宋体"/>
          <w:bCs/>
          <w:color w:val="000000"/>
          <w:sz w:val="24"/>
          <w:u w:val="single"/>
        </w:rPr>
        <w:t xml:space="preserve">                  </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480" w:lineRule="auto"/>
        <w:rPr>
          <w:rFonts w:ascii="仿宋_GB2312" w:hAnsi="Arial"/>
          <w:sz w:val="30"/>
        </w:rPr>
      </w:pPr>
      <w:r>
        <w:rPr>
          <w:rFonts w:hint="eastAsia" w:ascii="宋体" w:hAnsi="宋体"/>
          <w:color w:val="000000"/>
          <w:sz w:val="24"/>
        </w:rPr>
        <w:t xml:space="preserve">6.我单位满足法律、行政法规规定的其他条件。</w:t>
      </w:r>
      <w:r/>
    </w:p>
    <w:p>
      <w:pPr>
        <w:pStyle w:val="861"/>
        <w:ind w:firstLine="0"/>
        <w:rPr>
          <w:rFonts w:ascii="宋体" w:hAnsi="宋体"/>
          <w:sz w:val="24"/>
        </w:rPr>
      </w:pPr>
      <w:r/>
      <w:bookmarkStart w:id="230" w:name="_Hlt26671374"/>
      <w:r/>
      <w:bookmarkEnd w:id="230"/>
      <w:r/>
      <w:bookmarkStart w:id="231" w:name="_Toc462564146"/>
      <w:r/>
      <w:bookmarkEnd w:id="231"/>
      <w:r/>
      <w:bookmarkStart w:id="232" w:name="_Hlt26955066"/>
      <w:r/>
      <w:bookmarkEnd w:id="232"/>
      <w:r/>
      <w:bookmarkStart w:id="233" w:name="_Hlt26609389"/>
      <w:r/>
      <w:bookmarkEnd w:id="233"/>
      <w:r/>
      <w:r/>
    </w:p>
    <w:p>
      <w:pPr>
        <w:jc w:val="center"/>
        <w:rPr>
          <w:rFonts w:ascii="黑体" w:hAnsi="黑体" w:eastAsia="黑体"/>
          <w:b/>
          <w:sz w:val="32"/>
          <w:szCs w:val="32"/>
        </w:rPr>
      </w:pPr>
      <w:r/>
      <w:bookmarkStart w:id="234" w:name="_格式2__法定代表人授权书"/>
      <w:r/>
      <w:bookmarkEnd w:id="234"/>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spacing w:line="460" w:lineRule="exact"/>
        <w:rPr>
          <w:rFonts w:ascii="宋体" w:hAnsi="宋体"/>
          <w:bCs/>
          <w:color w:val="000000"/>
          <w:sz w:val="24"/>
        </w:rPr>
      </w:pPr>
      <w:r>
        <w:rPr>
          <w:rFonts w:hint="eastAsia" w:ascii="宋体" w:hAnsi="宋体"/>
          <w:bCs/>
          <w:color w:val="000000"/>
          <w:sz w:val="24"/>
        </w:rPr>
        <w:t xml:space="preserve">  承诺人名称（公章）：</w:t>
      </w:r>
      <w:r/>
    </w:p>
    <w:p>
      <w:pPr>
        <w:jc w:val="right"/>
        <w:spacing w:line="460" w:lineRule="exact"/>
        <w:rPr>
          <w:rFonts w:ascii="宋体" w:hAnsi="宋体"/>
          <w:bCs/>
          <w:color w:val="000000"/>
          <w:sz w:val="24"/>
        </w:rPr>
      </w:pPr>
      <w:r>
        <w:rPr>
          <w:rFonts w:hint="eastAsia" w:ascii="宋体" w:hAnsi="宋体"/>
          <w:bCs/>
          <w:color w:val="000000"/>
          <w:sz w:val="24"/>
        </w:rPr>
        <w:t xml:space="preserve">    </w:t>
      </w:r>
      <w:r/>
    </w:p>
    <w:p>
      <w:pPr>
        <w:jc w:val="right"/>
        <w:spacing w:line="460" w:lineRule="exac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i/>
          <w:sz w:val="32"/>
          <w:szCs w:val="32"/>
          <w:u w:val="single"/>
        </w:rPr>
      </w:pPr>
      <w:r>
        <w:rPr>
          <w:rFonts w:ascii="黑体" w:hAnsi="黑体" w:eastAsia="黑体"/>
          <w:i/>
          <w:sz w:val="32"/>
          <w:szCs w:val="32"/>
          <w:u w:val="single"/>
        </w:rPr>
      </w:r>
      <w:r/>
    </w:p>
    <w:p>
      <w:pPr>
        <w:pStyle w:val="709"/>
        <w:ind w:firstLine="0"/>
        <w:rPr>
          <w:rFonts w:ascii="黑体" w:hAnsi="黑体" w:eastAsia="黑体"/>
          <w:i/>
          <w:sz w:val="32"/>
          <w:szCs w:val="32"/>
          <w:u w:val="single"/>
        </w:rPr>
      </w:pPr>
      <w:r>
        <w:rPr>
          <w:rFonts w:ascii="黑体" w:hAnsi="黑体" w:eastAsia="黑体"/>
          <w:i/>
          <w:sz w:val="32"/>
          <w:szCs w:val="32"/>
          <w:u w:val="single"/>
        </w:rPr>
      </w:r>
      <w:r/>
    </w:p>
    <w:p>
      <w:pPr>
        <w:rPr>
          <w:rFonts w:ascii="仿宋" w:hAnsi="仿宋" w:eastAsia="仿宋"/>
          <w:b/>
          <w:color w:val="000000"/>
          <w:sz w:val="28"/>
          <w:szCs w:val="28"/>
        </w:rPr>
      </w:pPr>
      <w:r>
        <w:rPr>
          <w:rFonts w:hint="eastAsia" w:ascii="仿宋" w:hAnsi="仿宋" w:eastAsia="仿宋"/>
          <w:b/>
          <w:color w:val="000000"/>
          <w:sz w:val="28"/>
          <w:szCs w:val="28"/>
        </w:rPr>
        <w:br w:type="page" w:clear="all"/>
      </w:r>
      <w:r/>
    </w:p>
    <w:p>
      <w:pPr>
        <w:jc w:val="center"/>
        <w:rPr>
          <w:rFonts w:ascii="黑体" w:hAnsi="黑体" w:eastAsia="黑体"/>
          <w:i/>
          <w:sz w:val="32"/>
          <w:szCs w:val="32"/>
          <w:u w:val="single"/>
        </w:rPr>
        <w:outlineLvl w:val="0"/>
      </w:pPr>
      <w:r>
        <w:rPr>
          <w:rFonts w:hint="eastAsia" w:ascii="仿宋" w:hAnsi="仿宋" w:eastAsia="仿宋"/>
          <w:b/>
          <w:color w:val="000000"/>
          <w:sz w:val="28"/>
          <w:szCs w:val="28"/>
        </w:rPr>
        <w:t xml:space="preserve">附件6 法人授权书</w:t>
      </w:r>
      <w:r/>
    </w:p>
    <w:p>
      <w:pPr>
        <w:pStyle w:val="940"/>
        <w:ind w:firstLine="480"/>
        <w:rPr>
          <w:sz w:val="24"/>
          <w:szCs w:val="24"/>
        </w:rPr>
      </w:pPr>
      <w:r>
        <w:rPr>
          <w:rFonts w:hint="eastAsia"/>
          <w:sz w:val="24"/>
          <w:szCs w:val="24"/>
        </w:rPr>
        <w:t xml:space="preserve">本授权书声明：____________（投标人名称）授权________________（被授权人的姓名）为我方就 JSZC-320600-JZCG-G2024-0209 号项目采购活动的合法代理人，以本单位名义全权处理一切与该项目采购有关的事务。</w:t>
      </w:r>
      <w:r/>
    </w:p>
    <w:p>
      <w:pPr>
        <w:pStyle w:val="940"/>
        <w:ind w:firstLine="480"/>
        <w:rPr>
          <w:sz w:val="24"/>
          <w:szCs w:val="24"/>
        </w:rPr>
      </w:pPr>
      <w:r>
        <w:rPr>
          <w:rFonts w:hint="eastAsia"/>
          <w:sz w:val="24"/>
          <w:szCs w:val="24"/>
        </w:rPr>
        <w:t xml:space="preserve">本授权书于______年____月____日起生效，特此声明。</w:t>
      </w:r>
      <w:r/>
    </w:p>
    <w:p>
      <w:pPr>
        <w:pStyle w:val="940"/>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40"/>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40"/>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40"/>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40"/>
        <w:ind w:firstLine="480"/>
        <w:rPr>
          <w:sz w:val="24"/>
          <w:szCs w:val="24"/>
        </w:rPr>
      </w:pPr>
      <w:r>
        <w:rPr>
          <w:rFonts w:hint="eastAsia"/>
          <w:sz w:val="24"/>
          <w:szCs w:val="24"/>
        </w:rPr>
        <w:t xml:space="preserve">      日期：</w:t>
      </w:r>
      <w:bookmarkStart w:id="235" w:name="_Hlt26671380"/>
      <w:r/>
      <w:bookmarkEnd w:id="235"/>
      <w:r/>
      <w:bookmarkStart w:id="236" w:name="_Hlt26955070"/>
      <w:r/>
      <w:bookmarkEnd w:id="236"/>
      <w:r/>
      <w:bookmarkStart w:id="237" w:name="_格式3__银行出具的资信证明"/>
      <w:r/>
      <w:bookmarkEnd w:id="237"/>
      <w:r>
        <w:rPr>
          <w:rFonts w:hint="eastAsia"/>
          <w:sz w:val="24"/>
          <w:szCs w:val="24"/>
          <w:u w:val="single"/>
        </w:rPr>
        <w:t xml:space="preserve">                                         </w:t>
      </w:r>
      <w:r/>
    </w:p>
    <w:p>
      <w:pPr>
        <w:pStyle w:val="861"/>
        <w:rPr>
          <w:i/>
          <w:sz w:val="24"/>
          <w:szCs w:val="24"/>
          <w:u w:val="single"/>
        </w:rPr>
      </w:pPr>
      <w:r>
        <w:rPr>
          <w:i/>
          <w:sz w:val="24"/>
          <w:szCs w:val="24"/>
          <w:u w:val="single"/>
        </w:rPr>
      </w:r>
      <w:r/>
    </w:p>
    <w:p>
      <w:pPr>
        <w:pStyle w:val="861"/>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860"/>
        <w:ind w:firstLine="3390"/>
        <w:jc w:val="both"/>
        <w:rPr>
          <w:rFonts w:ascii="黑体" w:hAnsi="黑体" w:eastAsia="黑体" w:cs="Times New Roman"/>
          <w:bCs w:val="0"/>
          <w:i/>
          <w:sz w:val="32"/>
          <w:szCs w:val="32"/>
          <w:u w:val="single"/>
        </w:rPr>
        <w:outlineLvl w:val="0"/>
      </w:pPr>
      <w:r>
        <w:rPr>
          <w:rFonts w:ascii="宋体" w:hAnsi="宋体"/>
          <w:bCs w:val="0"/>
          <w:sz w:val="24"/>
        </w:rPr>
        <w:br w:type="page" w:clear="all"/>
      </w:r>
      <w:r>
        <w:rPr>
          <w:rFonts w:hint="eastAsia" w:ascii="仿宋" w:hAnsi="仿宋" w:eastAsia="仿宋"/>
          <w:color w:val="000000"/>
          <w:sz w:val="28"/>
          <w:szCs w:val="28"/>
        </w:rPr>
        <w:t xml:space="preserve">附件7 投标函</w:t>
      </w:r>
      <w:r/>
    </w:p>
    <w:p>
      <w:pPr>
        <w:pStyle w:val="942"/>
        <w:ind w:firstLine="0"/>
        <w:spacing w:before="0" w:after="0" w:line="420" w:lineRule="exact"/>
        <w:rPr>
          <w:rFonts w:ascii="宋体" w:hAnsi="宋体"/>
          <w:szCs w:val="21"/>
        </w:rPr>
      </w:pPr>
      <w:r>
        <w:rPr>
          <w:rFonts w:hint="eastAsia" w:ascii="宋体" w:hAnsi="宋体"/>
          <w:szCs w:val="21"/>
        </w:rPr>
        <w:t xml:space="preserve">致：南通市政府采购中心</w:t>
      </w:r>
      <w:r/>
    </w:p>
    <w:p>
      <w:pPr>
        <w:pStyle w:val="942"/>
        <w:spacing w:before="0" w:after="0" w:line="420" w:lineRule="exact"/>
        <w:rPr>
          <w:rFonts w:ascii="宋体" w:hAnsi="宋体"/>
          <w:szCs w:val="21"/>
        </w:rPr>
      </w:pPr>
      <w:r>
        <w:rPr>
          <w:rFonts w:hint="eastAsia" w:ascii="宋体" w:hAnsi="宋体"/>
          <w:szCs w:val="21"/>
        </w:rPr>
        <w:t xml:space="preserve">根据贵方的 JSZC-320600-JZCG-G2024-0209号招标文件，正式授权______(被授权人姓名)代表我方______________（投标人的名称），全权处理本次项目投标的有关事宜。</w:t>
      </w:r>
      <w:r/>
    </w:p>
    <w:p>
      <w:pPr>
        <w:pStyle w:val="942"/>
        <w:spacing w:before="0" w:after="0" w:line="420" w:lineRule="exact"/>
        <w:rPr>
          <w:rFonts w:ascii="宋体" w:hAnsi="宋体"/>
          <w:szCs w:val="21"/>
        </w:rPr>
      </w:pPr>
      <w:r>
        <w:rPr>
          <w:rFonts w:hint="eastAsia" w:ascii="宋体" w:hAnsi="宋体"/>
          <w:szCs w:val="21"/>
        </w:rPr>
        <w:t xml:space="preserve">据此函，__________（被授权人签字）兹宣布同意如下：</w:t>
      </w:r>
      <w:r/>
    </w:p>
    <w:p>
      <w:pPr>
        <w:pStyle w:val="94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4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4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2"/>
        <w:ind w:left="420"/>
        <w:spacing w:before="0" w:after="0" w:line="420" w:lineRule="exact"/>
        <w:rPr>
          <w:rFonts w:ascii="宋体" w:hAnsi="宋体"/>
          <w:szCs w:val="21"/>
        </w:rPr>
      </w:pPr>
      <w:r>
        <w:rPr>
          <w:rFonts w:hint="eastAsia" w:ascii="宋体" w:hAnsi="宋体"/>
          <w:szCs w:val="21"/>
        </w:rPr>
        <w:t xml:space="preserve">地          址：</w:t>
      </w:r>
      <w:r/>
    </w:p>
    <w:p>
      <w:pPr>
        <w:pStyle w:val="942"/>
        <w:ind w:left="420"/>
        <w:spacing w:before="0" w:after="0" w:line="420" w:lineRule="exact"/>
        <w:rPr>
          <w:rFonts w:ascii="宋体" w:hAnsi="宋体"/>
          <w:szCs w:val="21"/>
        </w:rPr>
      </w:pPr>
      <w:r>
        <w:rPr>
          <w:rFonts w:hint="eastAsia" w:ascii="宋体" w:hAnsi="宋体"/>
          <w:szCs w:val="21"/>
        </w:rPr>
        <w:t xml:space="preserve">邮          编：</w:t>
      </w:r>
      <w:r/>
    </w:p>
    <w:p>
      <w:pPr>
        <w:pStyle w:val="942"/>
        <w:ind w:left="420"/>
        <w:spacing w:before="0" w:after="0" w:line="420" w:lineRule="exact"/>
        <w:rPr>
          <w:rFonts w:ascii="宋体" w:hAnsi="宋体"/>
          <w:szCs w:val="21"/>
        </w:rPr>
      </w:pPr>
      <w:r>
        <w:rPr>
          <w:rFonts w:hint="eastAsia" w:ascii="宋体" w:hAnsi="宋体"/>
          <w:szCs w:val="21"/>
        </w:rPr>
        <w:t xml:space="preserve">电          话：</w:t>
      </w:r>
      <w:r/>
    </w:p>
    <w:p>
      <w:pPr>
        <w:pStyle w:val="942"/>
        <w:ind w:left="420"/>
        <w:spacing w:before="0" w:after="0" w:line="420" w:lineRule="exact"/>
        <w:rPr>
          <w:rFonts w:ascii="宋体" w:hAnsi="宋体"/>
          <w:szCs w:val="21"/>
        </w:rPr>
      </w:pPr>
      <w:r>
        <w:rPr>
          <w:rFonts w:hint="eastAsia" w:ascii="宋体" w:hAnsi="宋体"/>
          <w:szCs w:val="21"/>
        </w:rPr>
        <w:t xml:space="preserve">传          真：</w:t>
      </w:r>
      <w:r/>
    </w:p>
    <w:p>
      <w:pPr>
        <w:pStyle w:val="942"/>
        <w:ind w:left="420"/>
        <w:spacing w:before="0" w:after="0" w:line="420" w:lineRule="exact"/>
        <w:rPr>
          <w:rFonts w:ascii="宋体" w:hAnsi="宋体"/>
          <w:szCs w:val="21"/>
        </w:rPr>
      </w:pPr>
      <w:r>
        <w:rPr>
          <w:rFonts w:hint="eastAsia" w:ascii="宋体" w:hAnsi="宋体"/>
          <w:szCs w:val="21"/>
        </w:rPr>
        <w:t xml:space="preserve">投标人开户行：</w:t>
      </w:r>
      <w:r/>
    </w:p>
    <w:p>
      <w:pPr>
        <w:pStyle w:val="942"/>
        <w:ind w:left="420"/>
        <w:spacing w:before="0" w:after="0" w:line="420" w:lineRule="exact"/>
        <w:rPr>
          <w:rFonts w:ascii="宋体" w:hAnsi="宋体"/>
          <w:szCs w:val="21"/>
        </w:rPr>
      </w:pPr>
      <w:r>
        <w:rPr>
          <w:rFonts w:hint="eastAsia" w:ascii="宋体" w:hAnsi="宋体"/>
          <w:szCs w:val="21"/>
        </w:rPr>
        <w:t xml:space="preserve">账          号： </w:t>
      </w:r>
      <w:r/>
    </w:p>
    <w:p>
      <w:pPr>
        <w:pStyle w:val="942"/>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outlineLvl w:val="0"/>
      </w:pPr>
      <w:r>
        <w:rPr>
          <w:rFonts w:hint="eastAsia" w:ascii="仿宋" w:hAnsi="仿宋" w:eastAsia="仿宋"/>
          <w:b/>
          <w:color w:val="000000"/>
          <w:sz w:val="28"/>
          <w:szCs w:val="28"/>
        </w:rPr>
        <w:t xml:space="preserve">附件8 中小微企业声明函（服务类项目）</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本公司（联合体）郑重声明，根据《政府采购促进中小企业发展管理办法》(财库[2020]46号)的规定，本公司（联合体）参加南通市政府采购中心组织的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JSZC-320600-JZCG-G2024-0209 </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仿宋" w:hAnsi="仿宋" w:eastAsia="仿宋"/>
          <w:color w:val="000000"/>
          <w:sz w:val="28"/>
          <w:szCs w:val="28"/>
          <w:u w:val="single"/>
        </w:rPr>
        <w:t xml:space="preserve">（</w:t>
      </w:r>
      <w:r>
        <w:rPr>
          <w:rFonts w:ascii="Wingdings 2" w:hAnsi="Wingdings 2" w:eastAsia="Wingdings 2" w:cs="Wingdings 2"/>
          <w:color w:val="000000"/>
          <w:sz w:val="28"/>
          <w:szCs w:val="28"/>
          <w:u w:val="single"/>
        </w:rPr>
        <w:t xml:space="preserve"></w:t>
      </w:r>
      <w:r>
        <w:rPr>
          <w:rFonts w:hint="eastAsia" w:ascii="仿宋" w:hAnsi="仿宋" w:eastAsia="仿宋"/>
          <w:color w:val="000000"/>
          <w:sz w:val="28"/>
          <w:szCs w:val="28"/>
          <w:u w:val="single"/>
        </w:rPr>
        <w:t xml:space="preserve">中型企业 □小型企业 □微型企业）</w:t>
      </w:r>
      <w:r>
        <w:rPr>
          <w:rFonts w:hint="eastAsia" w:ascii="宋体" w:hAnsi="宋体"/>
          <w:color w:val="000000"/>
          <w:sz w:val="24"/>
          <w:szCs w:val="24"/>
          <w:u w:val="single"/>
        </w:rPr>
        <w:t xml:space="preserve">；</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仿宋" w:hAnsi="仿宋" w:eastAsia="仿宋"/>
          <w:color w:val="000000"/>
          <w:sz w:val="28"/>
          <w:szCs w:val="28"/>
          <w:u w:val="single"/>
        </w:rPr>
        <w:t xml:space="preserve">（</w:t>
      </w:r>
      <w:r>
        <w:rPr>
          <w:rFonts w:ascii="Wingdings 2" w:hAnsi="Wingdings 2" w:eastAsia="Wingdings 2" w:cs="Wingdings 2"/>
          <w:color w:val="000000"/>
          <w:sz w:val="28"/>
          <w:szCs w:val="28"/>
          <w:u w:val="single"/>
        </w:rPr>
        <w:t xml:space="preserve"></w:t>
      </w:r>
      <w:r>
        <w:rPr>
          <w:rFonts w:hint="eastAsia" w:ascii="仿宋" w:hAnsi="仿宋" w:eastAsia="仿宋"/>
          <w:color w:val="000000"/>
          <w:sz w:val="28"/>
          <w:szCs w:val="28"/>
          <w:u w:val="single"/>
        </w:rPr>
        <w:t xml:space="preserve">中型企业 □小型企业 □微型企业）</w:t>
      </w:r>
      <w:r>
        <w:rPr>
          <w:rFonts w:hint="eastAsia" w:ascii="宋体" w:hAnsi="宋体"/>
          <w:color w:val="000000"/>
          <w:sz w:val="24"/>
          <w:szCs w:val="24"/>
          <w:u w:val="single"/>
        </w:rPr>
        <w:t xml:space="preserve">；</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hint="eastAsia" w:ascii="宋体" w:hAnsi="宋体"/>
          <w:sz w:val="24"/>
          <w:szCs w:val="24"/>
        </w:rPr>
        <w:t xml:space="preserve">备注：</w:t>
      </w:r>
      <w:r/>
    </w:p>
    <w:p>
      <w:pPr>
        <w:ind w:firstLine="480"/>
        <w:spacing w:line="56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60" w:lineRule="exact"/>
        <w:rPr>
          <w:rFonts w:ascii="宋体" w:hAnsi="宋体"/>
          <w:sz w:val="24"/>
          <w:szCs w:val="24"/>
        </w:rPr>
      </w:pPr>
      <w:r>
        <w:rPr>
          <w:rFonts w:hint="eastAsia" w:ascii="宋体" w:hAnsi="宋体"/>
          <w:sz w:val="24"/>
          <w:szCs w:val="24"/>
        </w:rPr>
        <w:t xml:space="preserve">3.供应商自行勾选制造商的企业规模类型。</w:t>
      </w:r>
      <w:r/>
    </w:p>
    <w:p>
      <w:pPr>
        <w:jc w:val="center"/>
        <w:spacing w:line="460" w:lineRule="exact"/>
        <w:rPr>
          <w:rFonts w:ascii="黑体" w:hAnsi="黑体" w:eastAsia="黑体"/>
          <w:b/>
          <w:sz w:val="32"/>
          <w:szCs w:val="32"/>
        </w:rPr>
        <w:outlineLvl w:val="0"/>
      </w:pPr>
      <w:r>
        <w:rPr>
          <w:rFonts w:ascii="黑体" w:hAnsi="黑体" w:eastAsia="黑体"/>
          <w:b/>
          <w:sz w:val="32"/>
          <w:szCs w:val="32"/>
        </w:rPr>
        <w:br w:type="page" w:clear="all"/>
      </w:r>
      <w:r>
        <w:rPr>
          <w:rFonts w:hint="eastAsia" w:ascii="仿宋" w:hAnsi="仿宋" w:eastAsia="仿宋"/>
          <w:b/>
          <w:color w:val="000000"/>
          <w:sz w:val="28"/>
          <w:szCs w:val="28"/>
        </w:rPr>
        <w:t xml:space="preserve">附件9 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 JSZC-320600-JZCG-G2024-0209 的</w:t>
      </w:r>
      <w:r>
        <w:rPr>
          <w:rFonts w:hint="eastAsia" w:ascii="宋体" w:hAnsi="宋体"/>
          <w:sz w:val="24"/>
          <w:u w:val="single"/>
        </w:rPr>
        <w:t xml:space="preserve">       </w:t>
      </w:r>
      <w:r>
        <w:rPr>
          <w:rFonts w:hint="eastAsia" w:ascii="宋体" w:hAnsi="宋体"/>
          <w:sz w:val="24"/>
        </w:rPr>
        <w:t xml:space="preserve">项目采购活动由本单位提供服务。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w:t>
      </w:r>
      <w:r/>
    </w:p>
    <w:p>
      <w:pPr>
        <w:ind w:firstLine="480"/>
        <w:spacing w:line="588" w:lineRule="exact"/>
        <w:rPr>
          <w:rFonts w:ascii="宋体" w:hAnsi="宋体"/>
          <w:sz w:val="24"/>
        </w:rPr>
      </w:pPr>
      <w:r>
        <w:rPr>
          <w:rFonts w:hint="eastAsia" w:ascii="宋体" w:hAnsi="宋体"/>
          <w:sz w:val="24"/>
        </w:rPr>
        <w:t xml:space="preserve">1.专门面向中小微型企业采购的项目，供应商为残疾人福利性单位，必须提供此声明函，否则将不能通过资格审查。</w:t>
      </w:r>
      <w:r/>
    </w:p>
    <w:p>
      <w:pPr>
        <w:ind w:firstLine="480"/>
        <w:spacing w:line="588" w:lineRule="exact"/>
        <w:rPr>
          <w:rFonts w:ascii="宋体" w:hAnsi="宋体"/>
          <w:sz w:val="24"/>
        </w:rPr>
      </w:pPr>
      <w:r>
        <w:rPr>
          <w:rFonts w:hint="eastAsia" w:ascii="宋体" w:hAnsi="宋体"/>
          <w:sz w:val="24"/>
        </w:rPr>
        <w:t xml:space="preserve">2. 非专门面向中小微型企业采购的项目，供应商如不提供此声明函，价格将不做相应扣除。</w:t>
      </w:r>
      <w:r/>
    </w:p>
    <w:p>
      <w:pPr>
        <w:ind w:firstLine="480"/>
        <w:spacing w:line="588"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bookmarkEnd w:id="188"/>
      <w:bookmarkEnd w:id="189"/>
      <w:bookmarkEnd w:id="205"/>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outlineLvl w:val="0"/>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61"/>
        <w:rPr>
          <w:sz w:val="24"/>
          <w:szCs w:val="24"/>
        </w:rPr>
      </w:pPr>
      <w:r>
        <w:rPr>
          <w:sz w:val="24"/>
          <w:szCs w:val="24"/>
        </w:rPr>
      </w:r>
      <w:r/>
    </w:p>
    <w:p>
      <w:pPr>
        <w:pStyle w:val="861"/>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howcard Gothic">
    <w:panose1 w:val="04020904020102020604"/>
  </w:font>
  <w:font w:name="Wingdings">
    <w:panose1 w:val="05000000000000000000"/>
  </w:font>
  <w:font w:name="Symbol">
    <w:panose1 w:val="05050102010706020507"/>
  </w:font>
  <w:font w:name="新宋体">
    <w:panose1 w:val="02010609030101010101"/>
  </w:font>
  <w:font w:name="Calibri Light">
    <w:panose1 w:val="020F0302020204030204"/>
  </w:font>
  <w:font w:name="方正黑体_GBK">
    <w:panose1 w:val="020B0503020202020204"/>
  </w:font>
  <w:font w:name="Tahoma">
    <w:panose1 w:val="020B0604030504040204"/>
  </w:font>
  <w:font w:name="Calibri">
    <w:panose1 w:val="020F0502020204030204"/>
  </w:font>
  <w:font w:name="微软雅黑">
    <w:panose1 w:val="020B0503020204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8"/>
        <w:rFonts w:ascii="宋体" w:hAnsi="宋体"/>
      </w:rPr>
      <w:framePr w:wrap="around" w:vAnchor="text" w:hAnchor="margin" w:xAlign="center" w:y="1"/>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40</w:t>
    </w:r>
    <w:r>
      <w:rPr>
        <w:rFonts w:ascii="宋体" w:hAnsi="宋体"/>
      </w:rPr>
      <w:fldChar w:fldCharType="end"/>
    </w:r>
    <w:r/>
  </w:p>
  <w:p>
    <w:pPr>
      <w:pStyle w:val="90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5"/>
      <w:isLgl w:val="false"/>
      <w:suff w:val="nothing"/>
      <w:lvlText w:val=""/>
      <w:lvlJc w:val="left"/>
      <w:pPr>
        <w:ind w:left="0" w:firstLine="0"/>
      </w:pPr>
      <w:rPr>
        <w:rFonts w:hint="eastAsia"/>
      </w:rPr>
    </w:lvl>
    <w:lvl w:ilvl="6">
      <w:start w:val="1"/>
      <w:numFmt w:val="decimal"/>
      <w:pStyle w:val="866"/>
      <w:isLgl w:val="false"/>
      <w:suff w:val="nothing"/>
      <w:lvlText w:val=""/>
      <w:lvlJc w:val="left"/>
      <w:pPr>
        <w:ind w:left="0" w:firstLine="0"/>
      </w:pPr>
      <w:rPr>
        <w:rFonts w:hint="eastAsia"/>
      </w:rPr>
    </w:lvl>
    <w:lvl w:ilvl="7">
      <w:start w:val="1"/>
      <w:numFmt w:val="decimal"/>
      <w:pStyle w:val="867"/>
      <w:isLgl w:val="false"/>
      <w:suff w:val="nothing"/>
      <w:lvlText w:val=""/>
      <w:lvlJc w:val="left"/>
      <w:pPr>
        <w:ind w:left="0" w:firstLine="0"/>
      </w:pPr>
      <w:rPr>
        <w:rFonts w:hint="eastAsia"/>
      </w:rPr>
    </w:lvl>
    <w:lvl w:ilvl="8">
      <w:start w:val="1"/>
      <w:numFmt w:val="decimal"/>
      <w:pStyle w:val="868"/>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5">
    <w:name w:val="Heading 2 Char"/>
    <w:basedOn w:val="680"/>
    <w:link w:val="672"/>
    <w:uiPriority w:val="9"/>
    <w:rPr>
      <w:rFonts w:ascii="Arial" w:hAnsi="Arial" w:eastAsia="Arial" w:cs="Arial"/>
      <w:sz w:val="34"/>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character" w:styleId="34">
    <w:name w:val="Title Char"/>
    <w:basedOn w:val="680"/>
    <w:link w:val="704"/>
    <w:uiPriority w:val="10"/>
    <w:rPr>
      <w:sz w:val="48"/>
      <w:szCs w:val="48"/>
    </w:rPr>
  </w:style>
  <w:style w:type="character" w:styleId="36">
    <w:name w:val="Subtitle Char"/>
    <w:basedOn w:val="680"/>
    <w:link w:val="698"/>
    <w:uiPriority w:val="11"/>
    <w:rPr>
      <w:sz w:val="24"/>
      <w:szCs w:val="24"/>
    </w:rPr>
  </w:style>
  <w:style w:type="character" w:styleId="38">
    <w:name w:val="Quote Char"/>
    <w:link w:val="724"/>
    <w:uiPriority w:val="29"/>
    <w:rPr>
      <w:i/>
    </w:rPr>
  </w:style>
  <w:style w:type="character" w:styleId="40">
    <w:name w:val="Intense Quote Char"/>
    <w:link w:val="726"/>
    <w:uiPriority w:val="30"/>
    <w:rPr>
      <w:i/>
    </w:rPr>
  </w:style>
  <w:style w:type="character" w:styleId="42">
    <w:name w:val="Header Char"/>
    <w:basedOn w:val="680"/>
    <w:link w:val="695"/>
    <w:uiPriority w:val="99"/>
  </w:style>
  <w:style w:type="character" w:styleId="46">
    <w:name w:val="Caption Char"/>
    <w:basedOn w:val="686"/>
    <w:link w:val="694"/>
    <w:uiPriority w:val="99"/>
  </w:style>
  <w:style w:type="character" w:styleId="175">
    <w:name w:val="Footnote Text Char"/>
    <w:link w:val="699"/>
    <w:uiPriority w:val="99"/>
    <w:rPr>
      <w:sz w:val="18"/>
    </w:rPr>
  </w:style>
  <w:style w:type="character" w:styleId="178">
    <w:name w:val="Endnote Text Char"/>
    <w:link w:val="692"/>
    <w:uiPriority w:val="99"/>
    <w:rPr>
      <w:sz w:val="20"/>
    </w:rPr>
  </w:style>
  <w:style w:type="paragraph" w:styleId="189">
    <w:name w:val="TOC Heading"/>
    <w:uiPriority w:val="39"/>
    <w:unhideWhenUsed/>
  </w:style>
  <w:style w:type="paragraph" w:styleId="670" w:default="1">
    <w:name w:val="Normal"/>
    <w:next w:val="682"/>
    <w:uiPriority w:val="0"/>
    <w:qFormat/>
    <w:pPr>
      <w:jc w:val="both"/>
      <w:widowControl w:val="off"/>
    </w:pPr>
    <w:rPr>
      <w:rFonts w:ascii="Times New Roman" w:hAnsi="Times New Roman" w:eastAsia="宋体" w:cs="Times New Roman"/>
      <w:sz w:val="21"/>
      <w:szCs w:val="21"/>
      <w:lang w:val="en-US" w:eastAsia="zh-CN" w:bidi="ar-SA"/>
    </w:rPr>
  </w:style>
  <w:style w:type="paragraph" w:styleId="671">
    <w:name w:val="Heading 1"/>
    <w:basedOn w:val="670"/>
    <w:next w:val="670"/>
    <w:link w:val="711"/>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2"/>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3"/>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4"/>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5"/>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6"/>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8"/>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9"/>
    <w:uiPriority w:val="9"/>
    <w:unhideWhenUsed/>
    <w:qFormat/>
    <w:pPr>
      <w:keepLines/>
      <w:keepNext/>
      <w:spacing w:before="320" w:after="200"/>
      <w:outlineLvl w:val="8"/>
    </w:pPr>
    <w:rPr>
      <w:rFonts w:ascii="Arial" w:hAnsi="Arial" w:eastAsia="Arial" w:cs="Arial"/>
      <w:i/>
      <w:iCs/>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w:basedOn w:val="670"/>
    <w:next w:val="683"/>
    <w:uiPriority w:val="0"/>
    <w:unhideWhenUsed/>
    <w:qFormat/>
    <w:pPr>
      <w:spacing w:after="120"/>
    </w:pPr>
  </w:style>
  <w:style w:type="paragraph" w:styleId="683">
    <w:name w:val="Body Text First Indent"/>
    <w:basedOn w:val="682"/>
    <w:next w:val="670"/>
    <w:uiPriority w:val="0"/>
    <w:qFormat/>
    <w:pPr>
      <w:ind w:firstLine="200"/>
      <w:spacing w:line="360" w:lineRule="auto"/>
    </w:pPr>
    <w:rPr>
      <w:rFonts w:ascii="仿宋_GB2312" w:hAnsi="Times New Roman" w:eastAsia="仿宋_GB2312"/>
      <w:sz w:val="30"/>
      <w:szCs w:val="30"/>
    </w:rPr>
  </w:style>
  <w:style w:type="paragraph" w:styleId="684">
    <w:name w:val="toc 7"/>
    <w:basedOn w:val="670"/>
    <w:next w:val="670"/>
    <w:uiPriority w:val="39"/>
    <w:unhideWhenUsed/>
    <w:qFormat/>
    <w:pPr>
      <w:ind w:left="1701"/>
      <w:spacing w:after="57"/>
    </w:pPr>
  </w:style>
  <w:style w:type="paragraph" w:styleId="685">
    <w:name w:val="Normal Indent"/>
    <w:basedOn w:val="670"/>
    <w:uiPriority w:val="99"/>
    <w:semiHidden/>
    <w:unhideWhenUsed/>
    <w:qFormat/>
    <w:pPr>
      <w:ind w:firstLine="420"/>
    </w:pPr>
  </w:style>
  <w:style w:type="paragraph" w:styleId="686">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annotation text"/>
    <w:basedOn w:val="670"/>
    <w:uiPriority w:val="99"/>
    <w:semiHidden/>
    <w:unhideWhenUsed/>
    <w:qFormat/>
    <w:pPr>
      <w:jc w:val="left"/>
    </w:pPr>
  </w:style>
  <w:style w:type="paragraph" w:styleId="688">
    <w:name w:val="toc 5"/>
    <w:basedOn w:val="670"/>
    <w:next w:val="670"/>
    <w:uiPriority w:val="39"/>
    <w:unhideWhenUsed/>
    <w:qFormat/>
    <w:pPr>
      <w:ind w:left="1134"/>
      <w:spacing w:after="57"/>
    </w:pPr>
  </w:style>
  <w:style w:type="paragraph" w:styleId="689">
    <w:name w:val="toc 3"/>
    <w:basedOn w:val="670"/>
    <w:next w:val="670"/>
    <w:uiPriority w:val="39"/>
    <w:unhideWhenUsed/>
    <w:qFormat/>
    <w:pPr>
      <w:ind w:left="567"/>
      <w:spacing w:after="57"/>
    </w:pPr>
  </w:style>
  <w:style w:type="paragraph" w:styleId="690">
    <w:name w:val="Plain Text"/>
    <w:basedOn w:val="670"/>
    <w:uiPriority w:val="0"/>
    <w:qFormat/>
    <w:rPr>
      <w:rFonts w:ascii="宋体" w:hAnsi="Courier New"/>
      <w:sz w:val="20"/>
    </w:rPr>
  </w:style>
  <w:style w:type="paragraph" w:styleId="691">
    <w:name w:val="toc 8"/>
    <w:basedOn w:val="670"/>
    <w:next w:val="670"/>
    <w:uiPriority w:val="39"/>
    <w:unhideWhenUsed/>
    <w:qFormat/>
    <w:pPr>
      <w:ind w:left="1984"/>
      <w:spacing w:after="57"/>
    </w:pPr>
  </w:style>
  <w:style w:type="paragraph" w:styleId="692">
    <w:name w:val="endnote text"/>
    <w:basedOn w:val="670"/>
    <w:link w:val="857"/>
    <w:uiPriority w:val="99"/>
    <w:semiHidden/>
    <w:unhideWhenUsed/>
    <w:qFormat/>
    <w:rPr>
      <w:sz w:val="20"/>
    </w:rPr>
  </w:style>
  <w:style w:type="paragraph" w:styleId="693">
    <w:name w:val="Balloon Text"/>
    <w:basedOn w:val="670"/>
    <w:link w:val="979"/>
    <w:uiPriority w:val="99"/>
    <w:semiHidden/>
    <w:unhideWhenUsed/>
    <w:qFormat/>
    <w:rPr>
      <w:sz w:val="18"/>
      <w:szCs w:val="18"/>
    </w:rPr>
  </w:style>
  <w:style w:type="paragraph" w:styleId="694">
    <w:name w:val="Footer"/>
    <w:basedOn w:val="670"/>
    <w:link w:val="730"/>
    <w:uiPriority w:val="99"/>
    <w:unhideWhenUsed/>
    <w:qFormat/>
    <w:pPr>
      <w:tabs>
        <w:tab w:val="center" w:pos="7143" w:leader="none"/>
        <w:tab w:val="right" w:pos="14287" w:leader="none"/>
      </w:tabs>
    </w:pPr>
  </w:style>
  <w:style w:type="paragraph" w:styleId="695">
    <w:name w:val="Header"/>
    <w:basedOn w:val="670"/>
    <w:link w:val="728"/>
    <w:uiPriority w:val="99"/>
    <w:unhideWhenUsed/>
    <w:qFormat/>
    <w:pPr>
      <w:tabs>
        <w:tab w:val="center" w:pos="7143" w:leader="none"/>
        <w:tab w:val="right" w:pos="14287" w:leader="none"/>
      </w:tabs>
    </w:pPr>
  </w:style>
  <w:style w:type="paragraph" w:styleId="696">
    <w:name w:val="toc 1"/>
    <w:basedOn w:val="670"/>
    <w:next w:val="670"/>
    <w:uiPriority w:val="39"/>
    <w:unhideWhenUsed/>
    <w:qFormat/>
    <w:pPr>
      <w:spacing w:after="57"/>
    </w:pPr>
  </w:style>
  <w:style w:type="paragraph" w:styleId="697">
    <w:name w:val="toc 4"/>
    <w:basedOn w:val="670"/>
    <w:next w:val="670"/>
    <w:uiPriority w:val="39"/>
    <w:unhideWhenUsed/>
    <w:qFormat/>
    <w:pPr>
      <w:ind w:left="850"/>
      <w:spacing w:after="57"/>
    </w:pPr>
  </w:style>
  <w:style w:type="paragraph" w:styleId="698">
    <w:name w:val="Subtitle"/>
    <w:basedOn w:val="670"/>
    <w:next w:val="670"/>
    <w:link w:val="723"/>
    <w:uiPriority w:val="11"/>
    <w:qFormat/>
    <w:pPr>
      <w:spacing w:before="200" w:after="200"/>
    </w:pPr>
    <w:rPr>
      <w:sz w:val="24"/>
      <w:szCs w:val="24"/>
    </w:rPr>
  </w:style>
  <w:style w:type="paragraph" w:styleId="699">
    <w:name w:val="footnote text"/>
    <w:basedOn w:val="670"/>
    <w:link w:val="856"/>
    <w:uiPriority w:val="99"/>
    <w:semiHidden/>
    <w:unhideWhenUsed/>
    <w:qFormat/>
    <w:pPr>
      <w:spacing w:after="40"/>
    </w:pPr>
    <w:rPr>
      <w:sz w:val="18"/>
    </w:rPr>
  </w:style>
  <w:style w:type="paragraph" w:styleId="700">
    <w:name w:val="toc 6"/>
    <w:basedOn w:val="670"/>
    <w:next w:val="670"/>
    <w:uiPriority w:val="39"/>
    <w:unhideWhenUsed/>
    <w:qFormat/>
    <w:pPr>
      <w:ind w:left="1417"/>
      <w:spacing w:after="57"/>
    </w:pPr>
  </w:style>
  <w:style w:type="paragraph" w:styleId="701">
    <w:name w:val="table of figures"/>
    <w:basedOn w:val="670"/>
    <w:next w:val="670"/>
    <w:uiPriority w:val="99"/>
    <w:unhideWhenUsed/>
    <w:qFormat/>
  </w:style>
  <w:style w:type="paragraph" w:styleId="702">
    <w:name w:val="toc 2"/>
    <w:basedOn w:val="670"/>
    <w:next w:val="670"/>
    <w:uiPriority w:val="39"/>
    <w:unhideWhenUsed/>
    <w:qFormat/>
    <w:pPr>
      <w:ind w:left="283"/>
      <w:spacing w:after="57"/>
    </w:pPr>
  </w:style>
  <w:style w:type="paragraph" w:styleId="703">
    <w:name w:val="toc 9"/>
    <w:basedOn w:val="670"/>
    <w:next w:val="670"/>
    <w:uiPriority w:val="39"/>
    <w:unhideWhenUsed/>
    <w:qFormat/>
    <w:pPr>
      <w:ind w:left="2268"/>
      <w:spacing w:after="57"/>
    </w:pPr>
  </w:style>
  <w:style w:type="paragraph" w:styleId="704">
    <w:name w:val="Title"/>
    <w:basedOn w:val="670"/>
    <w:next w:val="670"/>
    <w:link w:val="722"/>
    <w:uiPriority w:val="10"/>
    <w:qFormat/>
    <w:pPr>
      <w:contextualSpacing/>
      <w:spacing w:before="300" w:after="200"/>
    </w:pPr>
    <w:rPr>
      <w:sz w:val="48"/>
      <w:szCs w:val="48"/>
    </w:rPr>
  </w:style>
  <w:style w:type="table" w:styleId="7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paragraph" w:styleId="709" w:customStyle="1">
    <w:name w:val="正文首行缩进1"/>
    <w:basedOn w:val="710"/>
    <w:link w:val="872"/>
    <w:uiPriority w:val="0"/>
    <w:qFormat/>
    <w:pPr>
      <w:ind w:firstLine="200"/>
      <w:spacing w:line="360" w:lineRule="auto"/>
    </w:pPr>
    <w:rPr>
      <w:rFonts w:ascii="仿宋_GB2312" w:eastAsia="仿宋_GB2312"/>
      <w:sz w:val="30"/>
      <w:szCs w:val="30"/>
    </w:rPr>
  </w:style>
  <w:style w:type="paragraph" w:styleId="710" w:customStyle="1">
    <w:name w:val="正文文本1"/>
    <w:basedOn w:val="670"/>
    <w:next w:val="670"/>
    <w:link w:val="871"/>
    <w:uiPriority w:val="0"/>
    <w:qFormat/>
    <w:rPr>
      <w:rFonts w:ascii="楷体_GB2312" w:hAnsi="Arial" w:eastAsia="楷体_GB2312"/>
      <w:sz w:val="28"/>
      <w:szCs w:val="28"/>
    </w:rPr>
  </w:style>
  <w:style w:type="character" w:styleId="711" w:customStyle="1">
    <w:name w:val="标题 1 Char1"/>
    <w:link w:val="671"/>
    <w:uiPriority w:val="9"/>
    <w:qFormat/>
    <w:rPr>
      <w:rFonts w:ascii="Arial" w:hAnsi="Arial" w:eastAsia="Arial" w:cs="Arial"/>
      <w:sz w:val="40"/>
      <w:szCs w:val="40"/>
    </w:rPr>
  </w:style>
  <w:style w:type="character" w:styleId="712" w:customStyle="1">
    <w:name w:val="标题 2 Char1"/>
    <w:link w:val="672"/>
    <w:uiPriority w:val="9"/>
    <w:qFormat/>
    <w:rPr>
      <w:rFonts w:ascii="Arial" w:hAnsi="Arial" w:eastAsia="Arial" w:cs="Arial"/>
      <w:sz w:val="34"/>
    </w:rPr>
  </w:style>
  <w:style w:type="character" w:styleId="713" w:customStyle="1">
    <w:name w:val="标题 3 Char1"/>
    <w:link w:val="673"/>
    <w:uiPriority w:val="9"/>
    <w:qFormat/>
    <w:rPr>
      <w:rFonts w:ascii="Arial" w:hAnsi="Arial" w:eastAsia="Arial" w:cs="Arial"/>
      <w:sz w:val="30"/>
      <w:szCs w:val="30"/>
    </w:rPr>
  </w:style>
  <w:style w:type="character" w:styleId="714" w:customStyle="1">
    <w:name w:val="标题 4 Char1"/>
    <w:link w:val="674"/>
    <w:uiPriority w:val="9"/>
    <w:qFormat/>
    <w:rPr>
      <w:rFonts w:ascii="Arial" w:hAnsi="Arial" w:eastAsia="Arial" w:cs="Arial"/>
      <w:b/>
      <w:bCs/>
      <w:sz w:val="26"/>
      <w:szCs w:val="26"/>
    </w:rPr>
  </w:style>
  <w:style w:type="character" w:styleId="715" w:customStyle="1">
    <w:name w:val="标题 5 Char1"/>
    <w:link w:val="675"/>
    <w:uiPriority w:val="9"/>
    <w:qFormat/>
    <w:rPr>
      <w:rFonts w:ascii="Arial" w:hAnsi="Arial" w:eastAsia="Arial" w:cs="Arial"/>
      <w:b/>
      <w:bCs/>
      <w:sz w:val="24"/>
      <w:szCs w:val="24"/>
    </w:rPr>
  </w:style>
  <w:style w:type="character" w:styleId="716" w:customStyle="1">
    <w:name w:val="标题 6 Char1"/>
    <w:link w:val="676"/>
    <w:uiPriority w:val="9"/>
    <w:qFormat/>
    <w:rPr>
      <w:rFonts w:ascii="Arial" w:hAnsi="Arial" w:eastAsia="Arial" w:cs="Arial"/>
      <w:b/>
      <w:bCs/>
      <w:sz w:val="22"/>
      <w:szCs w:val="22"/>
    </w:rPr>
  </w:style>
  <w:style w:type="character" w:styleId="717" w:customStyle="1">
    <w:name w:val="标题 7 Char1"/>
    <w:link w:val="677"/>
    <w:uiPriority w:val="9"/>
    <w:qFormat/>
    <w:rPr>
      <w:rFonts w:ascii="Arial" w:hAnsi="Arial" w:eastAsia="Arial" w:cs="Arial"/>
      <w:b/>
      <w:bCs/>
      <w:i/>
      <w:iCs/>
      <w:sz w:val="22"/>
      <w:szCs w:val="22"/>
    </w:rPr>
  </w:style>
  <w:style w:type="character" w:styleId="718" w:customStyle="1">
    <w:name w:val="标题 8 Char1"/>
    <w:link w:val="678"/>
    <w:uiPriority w:val="9"/>
    <w:qFormat/>
    <w:rPr>
      <w:rFonts w:ascii="Arial" w:hAnsi="Arial" w:eastAsia="Arial" w:cs="Arial"/>
      <w:i/>
      <w:iCs/>
      <w:sz w:val="22"/>
      <w:szCs w:val="22"/>
    </w:rPr>
  </w:style>
  <w:style w:type="character" w:styleId="719" w:customStyle="1">
    <w:name w:val="标题 9 Char1"/>
    <w:link w:val="679"/>
    <w:uiPriority w:val="9"/>
    <w:qFormat/>
    <w:rPr>
      <w:rFonts w:ascii="Arial" w:hAnsi="Arial" w:eastAsia="Arial" w:cs="Arial"/>
      <w:i/>
      <w:iCs/>
      <w:sz w:val="21"/>
      <w:szCs w:val="21"/>
    </w:rPr>
  </w:style>
  <w:style w:type="paragraph" w:styleId="720">
    <w:name w:val="List Paragraph"/>
    <w:basedOn w:val="670"/>
    <w:uiPriority w:val="34"/>
    <w:qFormat/>
    <w:pPr>
      <w:contextualSpacing/>
      <w:ind w:left="720"/>
    </w:pPr>
  </w:style>
  <w:style w:type="paragraph" w:styleId="721">
    <w:name w:val="No Spacing"/>
    <w:uiPriority w:val="1"/>
    <w:qFormat/>
    <w:rPr>
      <w:rFonts w:ascii="Times New Roman" w:hAnsi="Times New Roman" w:eastAsia="宋体" w:cs="Times New Roman"/>
      <w:lang w:val="en-US" w:eastAsia="zh-CN" w:bidi="ar-SA"/>
    </w:rPr>
  </w:style>
  <w:style w:type="character" w:styleId="722" w:customStyle="1">
    <w:name w:val="标题 Char"/>
    <w:link w:val="704"/>
    <w:uiPriority w:val="10"/>
    <w:qFormat/>
    <w:rPr>
      <w:sz w:val="48"/>
      <w:szCs w:val="48"/>
    </w:rPr>
  </w:style>
  <w:style w:type="character" w:styleId="723" w:customStyle="1">
    <w:name w:val="副标题 Char"/>
    <w:link w:val="698"/>
    <w:uiPriority w:val="11"/>
    <w:qFormat/>
    <w:rPr>
      <w:sz w:val="24"/>
      <w:szCs w:val="24"/>
    </w:rPr>
  </w:style>
  <w:style w:type="paragraph" w:styleId="724">
    <w:name w:val="Quote"/>
    <w:basedOn w:val="670"/>
    <w:next w:val="670"/>
    <w:link w:val="725"/>
    <w:uiPriority w:val="29"/>
    <w:qFormat/>
    <w:pPr>
      <w:ind w:left="720" w:right="720"/>
    </w:pPr>
    <w:rPr>
      <w:i/>
    </w:rPr>
  </w:style>
  <w:style w:type="character" w:styleId="725" w:customStyle="1">
    <w:name w:val="引用 Char"/>
    <w:link w:val="724"/>
    <w:uiPriority w:val="29"/>
    <w:qFormat/>
    <w:rPr>
      <w:i/>
    </w:rPr>
  </w:style>
  <w:style w:type="paragraph" w:styleId="726">
    <w:name w:val="Intense Quote"/>
    <w:basedOn w:val="670"/>
    <w:next w:val="670"/>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明显引用 Char"/>
    <w:link w:val="726"/>
    <w:uiPriority w:val="30"/>
    <w:qFormat/>
    <w:rPr>
      <w:i/>
    </w:rPr>
  </w:style>
  <w:style w:type="character" w:styleId="728" w:customStyle="1">
    <w:name w:val="页眉 Char1"/>
    <w:link w:val="695"/>
    <w:uiPriority w:val="99"/>
    <w:qFormat/>
  </w:style>
  <w:style w:type="character" w:styleId="729" w:customStyle="1">
    <w:name w:val="Footer Char"/>
    <w:uiPriority w:val="99"/>
    <w:qFormat/>
  </w:style>
  <w:style w:type="character" w:styleId="730" w:customStyle="1">
    <w:name w:val="页脚 Char1"/>
    <w:link w:val="694"/>
    <w:uiPriority w:val="99"/>
    <w:qFormat/>
  </w:style>
  <w:style w:type="table" w:styleId="7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脚注文本 Char"/>
    <w:link w:val="699"/>
    <w:uiPriority w:val="99"/>
    <w:qFormat/>
    <w:rPr>
      <w:sz w:val="18"/>
    </w:rPr>
  </w:style>
  <w:style w:type="character" w:styleId="857" w:customStyle="1">
    <w:name w:val="尾注文本 Char"/>
    <w:link w:val="692"/>
    <w:uiPriority w:val="99"/>
    <w:qFormat/>
    <w:rPr>
      <w:sz w:val="20"/>
    </w:rPr>
  </w:style>
  <w:style w:type="paragraph" w:styleId="858" w:customStyle="1">
    <w:name w:val="TOC 标题1"/>
    <w:uiPriority w:val="39"/>
    <w:unhideWhenUsed/>
    <w:qFormat/>
    <w:rPr>
      <w:rFonts w:ascii="Times New Roman" w:hAnsi="Times New Roman" w:eastAsia="宋体" w:cs="Times New Roman"/>
      <w:lang w:val="en-US" w:eastAsia="zh-CN" w:bidi="ar-SA"/>
    </w:rPr>
  </w:style>
  <w:style w:type="paragraph" w:styleId="859" w:customStyle="1">
    <w:name w:val="标题 11"/>
    <w:basedOn w:val="670"/>
    <w:next w:val="670"/>
    <w:link w:val="873"/>
    <w:uiPriority w:val="0"/>
    <w:qFormat/>
    <w:pPr>
      <w:jc w:val="center"/>
      <w:keepNext/>
      <w:outlineLvl w:val="0"/>
    </w:pPr>
    <w:rPr>
      <w:rFonts w:ascii="楷体_GB2312" w:eastAsia="楷体_GB2312"/>
      <w:sz w:val="28"/>
      <w:szCs w:val="28"/>
    </w:rPr>
  </w:style>
  <w:style w:type="paragraph" w:styleId="860" w:customStyle="1">
    <w:name w:val="标题 21"/>
    <w:basedOn w:val="670"/>
    <w:next w:val="861"/>
    <w:link w:val="8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1" w:customStyle="1">
    <w:name w:val="正文缩进1"/>
    <w:basedOn w:val="670"/>
    <w:link w:val="875"/>
    <w:uiPriority w:val="0"/>
    <w:qFormat/>
    <w:pPr>
      <w:ind w:firstLine="420"/>
    </w:pPr>
  </w:style>
  <w:style w:type="paragraph" w:styleId="862" w:customStyle="1">
    <w:name w:val="标题 31"/>
    <w:basedOn w:val="670"/>
    <w:next w:val="861"/>
    <w:link w:val="876"/>
    <w:uiPriority w:val="0"/>
    <w:qFormat/>
    <w:pPr>
      <w:keepLines/>
      <w:keepNext/>
      <w:spacing w:before="260" w:after="260" w:line="416" w:lineRule="auto"/>
      <w:outlineLvl w:val="2"/>
    </w:pPr>
    <w:rPr>
      <w:b/>
      <w:bCs/>
      <w:sz w:val="32"/>
      <w:szCs w:val="32"/>
    </w:rPr>
  </w:style>
  <w:style w:type="paragraph" w:styleId="863" w:customStyle="1">
    <w:name w:val="标题 41"/>
    <w:basedOn w:val="670"/>
    <w:next w:val="861"/>
    <w:link w:val="877"/>
    <w:uiPriority w:val="0"/>
    <w:qFormat/>
    <w:pPr>
      <w:keepLines/>
      <w:keepNext/>
      <w:spacing w:before="280" w:after="290" w:line="376" w:lineRule="auto"/>
      <w:outlineLvl w:val="3"/>
    </w:pPr>
    <w:rPr>
      <w:rFonts w:ascii="Arial" w:hAnsi="Arial" w:eastAsia="黑体" w:cs="Arial"/>
      <w:b/>
      <w:bCs/>
      <w:sz w:val="28"/>
      <w:szCs w:val="28"/>
    </w:rPr>
  </w:style>
  <w:style w:type="paragraph" w:styleId="864" w:customStyle="1">
    <w:name w:val="标题 51"/>
    <w:basedOn w:val="670"/>
    <w:next w:val="861"/>
    <w:link w:val="878"/>
    <w:uiPriority w:val="0"/>
    <w:qFormat/>
    <w:pPr>
      <w:keepNext/>
      <w:outlineLvl w:val="4"/>
    </w:pPr>
    <w:rPr>
      <w:rFonts w:ascii="宋体"/>
      <w:color w:val="000000"/>
      <w:sz w:val="28"/>
      <w:szCs w:val="28"/>
    </w:rPr>
  </w:style>
  <w:style w:type="paragraph" w:styleId="865" w:customStyle="1">
    <w:name w:val="标题 61"/>
    <w:basedOn w:val="670"/>
    <w:next w:val="670"/>
    <w:link w:val="87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customStyle="1">
    <w:name w:val="标题 71"/>
    <w:basedOn w:val="670"/>
    <w:next w:val="670"/>
    <w:link w:val="880"/>
    <w:uiPriority w:val="0"/>
    <w:qFormat/>
    <w:pPr>
      <w:numPr>
        <w:ilvl w:val="6"/>
        <w:numId w:val="1"/>
      </w:numPr>
      <w:keepLines/>
      <w:keepNext/>
      <w:spacing w:before="240" w:after="64" w:line="320" w:lineRule="auto"/>
      <w:outlineLvl w:val="6"/>
    </w:pPr>
    <w:rPr>
      <w:b/>
      <w:bCs/>
      <w:sz w:val="24"/>
      <w:szCs w:val="24"/>
    </w:rPr>
  </w:style>
  <w:style w:type="paragraph" w:styleId="867" w:customStyle="1">
    <w:name w:val="标题 81"/>
    <w:basedOn w:val="670"/>
    <w:next w:val="670"/>
    <w:link w:val="88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customStyle="1">
    <w:name w:val="标题 91"/>
    <w:basedOn w:val="670"/>
    <w:next w:val="670"/>
    <w:link w:val="882"/>
    <w:uiPriority w:val="0"/>
    <w:qFormat/>
    <w:pPr>
      <w:numPr>
        <w:ilvl w:val="8"/>
        <w:numId w:val="1"/>
      </w:numPr>
      <w:keepLines/>
      <w:keepNext/>
      <w:spacing w:before="240" w:after="64" w:line="320" w:lineRule="auto"/>
      <w:outlineLvl w:val="8"/>
    </w:pPr>
    <w:rPr>
      <w:rFonts w:ascii="Arial" w:hAnsi="Arial" w:eastAsia="黑体"/>
    </w:rPr>
  </w:style>
  <w:style w:type="character" w:styleId="869" w:customStyle="1">
    <w:name w:val="默认段落字体1"/>
    <w:uiPriority w:val="1"/>
    <w:unhideWhenUsed/>
    <w:qFormat/>
  </w:style>
  <w:style w:type="table" w:styleId="870" w:customStyle="1">
    <w:name w:val="普通表格1"/>
    <w:uiPriority w:val="99"/>
    <w:unhideWhenUsed/>
    <w:qFormat/>
    <w:tblPr>
      <w:tblCellMar>
        <w:left w:w="0" w:type="dxa"/>
        <w:top w:w="0" w:type="dxa"/>
        <w:right w:w="0" w:type="dxa"/>
        <w:bottom w:w="0" w:type="dxa"/>
      </w:tblCellMar>
    </w:tblPr>
  </w:style>
  <w:style w:type="character" w:styleId="871" w:customStyle="1">
    <w:name w:val="正文文本 Char"/>
    <w:link w:val="710"/>
    <w:uiPriority w:val="0"/>
    <w:qFormat/>
    <w:rPr>
      <w:rFonts w:ascii="楷体_GB2312" w:hAnsi="Arial" w:eastAsia="楷体_GB2312" w:cs="Times New Roman"/>
      <w:sz w:val="28"/>
      <w:szCs w:val="28"/>
    </w:rPr>
  </w:style>
  <w:style w:type="character" w:styleId="872" w:customStyle="1">
    <w:name w:val="正文首行缩进 Char"/>
    <w:link w:val="709"/>
    <w:uiPriority w:val="0"/>
    <w:qFormat/>
    <w:rPr>
      <w:rFonts w:ascii="仿宋_GB2312" w:hAnsi="Times New Roman" w:eastAsia="仿宋_GB2312" w:cs="Times New Roman"/>
      <w:sz w:val="30"/>
      <w:szCs w:val="30"/>
    </w:rPr>
  </w:style>
  <w:style w:type="character" w:styleId="873" w:customStyle="1">
    <w:name w:val="标题 1 Char"/>
    <w:link w:val="859"/>
    <w:uiPriority w:val="0"/>
    <w:qFormat/>
    <w:rPr>
      <w:rFonts w:ascii="楷体_GB2312" w:hAnsi="Times New Roman" w:eastAsia="楷体_GB2312" w:cs="Times New Roman"/>
      <w:sz w:val="28"/>
      <w:szCs w:val="28"/>
    </w:rPr>
  </w:style>
  <w:style w:type="character" w:styleId="874" w:customStyle="1">
    <w:name w:val="标题 2 Char"/>
    <w:link w:val="860"/>
    <w:uiPriority w:val="0"/>
    <w:qFormat/>
    <w:rPr>
      <w:rFonts w:ascii="Arial" w:hAnsi="Arial" w:eastAsia="幼圆" w:cs="Arial"/>
      <w:b/>
      <w:bCs/>
      <w:sz w:val="44"/>
      <w:szCs w:val="44"/>
    </w:rPr>
  </w:style>
  <w:style w:type="character" w:styleId="875" w:customStyle="1">
    <w:name w:val="正文缩进 Char"/>
    <w:link w:val="861"/>
    <w:uiPriority w:val="0"/>
    <w:qFormat/>
    <w:rPr>
      <w:rFonts w:ascii="Times New Roman" w:hAnsi="Times New Roman" w:eastAsia="宋体" w:cs="Times New Roman"/>
      <w:szCs w:val="21"/>
    </w:rPr>
  </w:style>
  <w:style w:type="character" w:styleId="876" w:customStyle="1">
    <w:name w:val="标题 3 Char"/>
    <w:link w:val="862"/>
    <w:uiPriority w:val="0"/>
    <w:qFormat/>
    <w:rPr>
      <w:rFonts w:ascii="Times New Roman" w:hAnsi="Times New Roman" w:eastAsia="宋体" w:cs="Times New Roman"/>
      <w:b/>
      <w:bCs/>
      <w:sz w:val="32"/>
      <w:szCs w:val="32"/>
    </w:rPr>
  </w:style>
  <w:style w:type="character" w:styleId="877" w:customStyle="1">
    <w:name w:val="标题 4 Char"/>
    <w:link w:val="863"/>
    <w:uiPriority w:val="0"/>
    <w:qFormat/>
    <w:rPr>
      <w:rFonts w:ascii="Arial" w:hAnsi="Arial" w:eastAsia="黑体" w:cs="Arial"/>
      <w:b/>
      <w:bCs/>
      <w:sz w:val="28"/>
      <w:szCs w:val="28"/>
    </w:rPr>
  </w:style>
  <w:style w:type="character" w:styleId="878" w:customStyle="1">
    <w:name w:val="标题 5 Char"/>
    <w:link w:val="864"/>
    <w:uiPriority w:val="0"/>
    <w:qFormat/>
    <w:rPr>
      <w:rFonts w:ascii="宋体" w:hAnsi="Times New Roman" w:eastAsia="宋体" w:cs="Times New Roman"/>
      <w:color w:val="000000"/>
      <w:sz w:val="28"/>
      <w:szCs w:val="28"/>
    </w:rPr>
  </w:style>
  <w:style w:type="character" w:styleId="879" w:customStyle="1">
    <w:name w:val="标题 6 Char"/>
    <w:link w:val="865"/>
    <w:uiPriority w:val="0"/>
    <w:qFormat/>
    <w:rPr>
      <w:rFonts w:ascii="Arial" w:hAnsi="Arial" w:eastAsia="黑体" w:cs="Times New Roman"/>
      <w:b/>
      <w:bCs/>
      <w:sz w:val="24"/>
      <w:szCs w:val="24"/>
    </w:rPr>
  </w:style>
  <w:style w:type="character" w:styleId="880" w:customStyle="1">
    <w:name w:val="标题 7 Char"/>
    <w:link w:val="866"/>
    <w:uiPriority w:val="0"/>
    <w:qFormat/>
    <w:rPr>
      <w:rFonts w:ascii="Times New Roman" w:hAnsi="Times New Roman" w:eastAsia="宋体" w:cs="Times New Roman"/>
      <w:b/>
      <w:bCs/>
      <w:sz w:val="24"/>
      <w:szCs w:val="24"/>
    </w:rPr>
  </w:style>
  <w:style w:type="character" w:styleId="881" w:customStyle="1">
    <w:name w:val="标题 8 Char"/>
    <w:link w:val="867"/>
    <w:uiPriority w:val="0"/>
    <w:qFormat/>
    <w:rPr>
      <w:rFonts w:ascii="Arial" w:hAnsi="Arial" w:eastAsia="黑体" w:cs="Times New Roman"/>
      <w:sz w:val="24"/>
      <w:szCs w:val="24"/>
    </w:rPr>
  </w:style>
  <w:style w:type="character" w:styleId="882" w:customStyle="1">
    <w:name w:val="标题 9 Char"/>
    <w:link w:val="868"/>
    <w:uiPriority w:val="0"/>
    <w:qFormat/>
    <w:rPr>
      <w:rFonts w:ascii="Arial" w:hAnsi="Arial" w:eastAsia="黑体" w:cs="Times New Roman"/>
      <w:szCs w:val="21"/>
    </w:rPr>
  </w:style>
  <w:style w:type="paragraph" w:styleId="883" w:customStyle="1">
    <w:name w:val="列表 31"/>
    <w:basedOn w:val="670"/>
    <w:uiPriority w:val="0"/>
    <w:qFormat/>
    <w:pPr>
      <w:ind w:left="100" w:hanging="200"/>
    </w:pPr>
  </w:style>
  <w:style w:type="paragraph" w:styleId="884" w:customStyle="1">
    <w:name w:val="目录 71"/>
    <w:basedOn w:val="670"/>
    <w:next w:val="670"/>
    <w:uiPriority w:val="0"/>
    <w:semiHidden/>
    <w:qFormat/>
    <w:pPr>
      <w:ind w:left="1260"/>
      <w:jc w:val="left"/>
    </w:pPr>
  </w:style>
  <w:style w:type="paragraph" w:styleId="885" w:customStyle="1">
    <w:name w:val="文档结构图1"/>
    <w:basedOn w:val="670"/>
    <w:link w:val="886"/>
    <w:uiPriority w:val="0"/>
    <w:semiHidden/>
    <w:qFormat/>
    <w:pPr>
      <w:shd w:val="clear" w:color="auto" w:fill="000080"/>
    </w:pPr>
  </w:style>
  <w:style w:type="character" w:styleId="886" w:customStyle="1">
    <w:name w:val="文档结构图 Char"/>
    <w:link w:val="885"/>
    <w:uiPriority w:val="0"/>
    <w:semiHidden/>
    <w:qFormat/>
    <w:rPr>
      <w:rFonts w:ascii="Times New Roman" w:hAnsi="Times New Roman" w:eastAsia="宋体" w:cs="Times New Roman"/>
      <w:szCs w:val="21"/>
      <w:shd w:val="clear" w:color="auto" w:fill="000080"/>
    </w:rPr>
  </w:style>
  <w:style w:type="paragraph" w:styleId="887" w:customStyle="1">
    <w:name w:val="批注文字1"/>
    <w:basedOn w:val="670"/>
    <w:link w:val="888"/>
    <w:uiPriority w:val="0"/>
    <w:semiHidden/>
    <w:qFormat/>
    <w:pPr>
      <w:jc w:val="left"/>
    </w:pPr>
  </w:style>
  <w:style w:type="character" w:styleId="888" w:customStyle="1">
    <w:name w:val="批注文字 Char"/>
    <w:link w:val="887"/>
    <w:uiPriority w:val="0"/>
    <w:semiHidden/>
    <w:qFormat/>
    <w:rPr>
      <w:rFonts w:ascii="Times New Roman" w:hAnsi="Times New Roman" w:eastAsia="宋体" w:cs="Times New Roman"/>
      <w:szCs w:val="21"/>
    </w:rPr>
  </w:style>
  <w:style w:type="paragraph" w:styleId="889" w:customStyle="1">
    <w:name w:val="正文文本 31"/>
    <w:basedOn w:val="670"/>
    <w:link w:val="890"/>
    <w:uiPriority w:val="0"/>
    <w:qFormat/>
    <w:rPr>
      <w:rFonts w:ascii="仿宋_GB2312" w:hAnsi="Arial" w:eastAsia="仿宋_GB2312"/>
      <w:sz w:val="32"/>
      <w:szCs w:val="32"/>
    </w:rPr>
  </w:style>
  <w:style w:type="character" w:styleId="890" w:customStyle="1">
    <w:name w:val="正文文本 3 Char"/>
    <w:link w:val="889"/>
    <w:uiPriority w:val="0"/>
    <w:qFormat/>
    <w:rPr>
      <w:rFonts w:ascii="仿宋_GB2312" w:hAnsi="Arial" w:eastAsia="仿宋_GB2312" w:cs="Times New Roman"/>
      <w:sz w:val="32"/>
      <w:szCs w:val="32"/>
    </w:rPr>
  </w:style>
  <w:style w:type="paragraph" w:styleId="891" w:customStyle="1">
    <w:name w:val="正文文本缩进11"/>
    <w:basedOn w:val="670"/>
    <w:link w:val="892"/>
    <w:uiPriority w:val="0"/>
    <w:qFormat/>
    <w:pPr>
      <w:ind w:firstLine="645"/>
    </w:pPr>
    <w:rPr>
      <w:rFonts w:ascii="楷体_GB2312" w:eastAsia="楷体_GB2312"/>
      <w:sz w:val="32"/>
      <w:szCs w:val="32"/>
    </w:rPr>
  </w:style>
  <w:style w:type="character" w:styleId="892" w:customStyle="1">
    <w:name w:val="正文文本缩进 Char"/>
    <w:link w:val="891"/>
    <w:uiPriority w:val="0"/>
    <w:qFormat/>
    <w:rPr>
      <w:rFonts w:ascii="楷体_GB2312" w:hAnsi="Times New Roman" w:eastAsia="楷体_GB2312" w:cs="Times New Roman"/>
      <w:sz w:val="32"/>
      <w:szCs w:val="32"/>
    </w:rPr>
  </w:style>
  <w:style w:type="paragraph" w:styleId="893" w:customStyle="1">
    <w:name w:val="列表 21"/>
    <w:basedOn w:val="670"/>
    <w:uiPriority w:val="0"/>
    <w:qFormat/>
    <w:pPr>
      <w:ind w:left="100" w:hanging="200"/>
    </w:pPr>
  </w:style>
  <w:style w:type="paragraph" w:styleId="894" w:customStyle="1">
    <w:name w:val="目录 51"/>
    <w:basedOn w:val="670"/>
    <w:next w:val="670"/>
    <w:uiPriority w:val="0"/>
    <w:semiHidden/>
    <w:qFormat/>
    <w:pPr>
      <w:ind w:left="840"/>
      <w:jc w:val="left"/>
    </w:pPr>
  </w:style>
  <w:style w:type="paragraph" w:styleId="895" w:customStyle="1">
    <w:name w:val="目录 31"/>
    <w:basedOn w:val="670"/>
    <w:next w:val="670"/>
    <w:uiPriority w:val="0"/>
    <w:semiHidden/>
    <w:qFormat/>
    <w:pPr>
      <w:ind w:left="420"/>
      <w:jc w:val="left"/>
    </w:pPr>
    <w:rPr>
      <w:i/>
      <w:iCs/>
      <w:szCs w:val="24"/>
    </w:rPr>
  </w:style>
  <w:style w:type="paragraph" w:styleId="896" w:customStyle="1">
    <w:name w:val="纯文本1"/>
    <w:basedOn w:val="670"/>
    <w:link w:val="897"/>
    <w:uiPriority w:val="0"/>
    <w:qFormat/>
    <w:rPr>
      <w:rFonts w:ascii="宋体" w:hAnsi="Courier New" w:cs="Courier New"/>
    </w:rPr>
  </w:style>
  <w:style w:type="character" w:styleId="897" w:customStyle="1">
    <w:name w:val="纯文本 Char"/>
    <w:link w:val="896"/>
    <w:uiPriority w:val="0"/>
    <w:qFormat/>
    <w:rPr>
      <w:rFonts w:ascii="宋体" w:hAnsi="Courier New" w:eastAsia="宋体" w:cs="Courier New"/>
      <w:szCs w:val="21"/>
    </w:rPr>
  </w:style>
  <w:style w:type="paragraph" w:styleId="898" w:customStyle="1">
    <w:name w:val="目录 81"/>
    <w:basedOn w:val="670"/>
    <w:next w:val="670"/>
    <w:uiPriority w:val="0"/>
    <w:semiHidden/>
    <w:qFormat/>
    <w:pPr>
      <w:ind w:left="1470"/>
      <w:jc w:val="left"/>
    </w:pPr>
  </w:style>
  <w:style w:type="paragraph" w:styleId="899" w:customStyle="1">
    <w:name w:val="日期1"/>
    <w:basedOn w:val="670"/>
    <w:next w:val="670"/>
    <w:link w:val="900"/>
    <w:uiPriority w:val="0"/>
    <w:qFormat/>
    <w:rPr>
      <w:sz w:val="24"/>
      <w:szCs w:val="24"/>
    </w:rPr>
  </w:style>
  <w:style w:type="character" w:styleId="900" w:customStyle="1">
    <w:name w:val="日期 Char"/>
    <w:link w:val="899"/>
    <w:uiPriority w:val="0"/>
    <w:qFormat/>
    <w:rPr>
      <w:rFonts w:ascii="Times New Roman" w:hAnsi="Times New Roman" w:eastAsia="宋体" w:cs="Times New Roman"/>
      <w:sz w:val="24"/>
      <w:szCs w:val="24"/>
    </w:rPr>
  </w:style>
  <w:style w:type="paragraph" w:styleId="901" w:customStyle="1">
    <w:name w:val="正文文本缩进 21"/>
    <w:basedOn w:val="670"/>
    <w:link w:val="902"/>
    <w:uiPriority w:val="0"/>
    <w:qFormat/>
    <w:pPr>
      <w:ind w:left="630" w:firstLine="645"/>
    </w:pPr>
    <w:rPr>
      <w:rFonts w:ascii="Arial" w:hAnsi="Arial" w:eastAsia="仿宋_GB2312" w:cs="Arial"/>
      <w:sz w:val="32"/>
      <w:szCs w:val="32"/>
    </w:rPr>
  </w:style>
  <w:style w:type="character" w:styleId="902" w:customStyle="1">
    <w:name w:val="正文文本缩进 2 Char"/>
    <w:link w:val="901"/>
    <w:uiPriority w:val="0"/>
    <w:qFormat/>
    <w:rPr>
      <w:rFonts w:ascii="Arial" w:hAnsi="Arial" w:eastAsia="仿宋_GB2312" w:cs="Arial"/>
      <w:sz w:val="32"/>
      <w:szCs w:val="32"/>
    </w:rPr>
  </w:style>
  <w:style w:type="paragraph" w:styleId="903" w:customStyle="1">
    <w:name w:val="批注框文本1"/>
    <w:basedOn w:val="670"/>
    <w:link w:val="904"/>
    <w:uiPriority w:val="0"/>
    <w:semiHidden/>
    <w:qFormat/>
    <w:rPr>
      <w:sz w:val="18"/>
      <w:szCs w:val="18"/>
    </w:rPr>
  </w:style>
  <w:style w:type="character" w:styleId="904" w:customStyle="1">
    <w:name w:val="批注框文本 Char"/>
    <w:link w:val="903"/>
    <w:uiPriority w:val="0"/>
    <w:semiHidden/>
    <w:qFormat/>
    <w:rPr>
      <w:rFonts w:ascii="Times New Roman" w:hAnsi="Times New Roman" w:eastAsia="宋体" w:cs="Times New Roman"/>
      <w:sz w:val="18"/>
      <w:szCs w:val="18"/>
    </w:rPr>
  </w:style>
  <w:style w:type="paragraph" w:styleId="905" w:customStyle="1">
    <w:name w:val="页脚1"/>
    <w:basedOn w:val="670"/>
    <w:link w:val="906"/>
    <w:uiPriority w:val="0"/>
    <w:qFormat/>
    <w:pPr>
      <w:jc w:val="left"/>
      <w:tabs>
        <w:tab w:val="center" w:pos="4153" w:leader="none"/>
        <w:tab w:val="right" w:pos="8306" w:leader="none"/>
      </w:tabs>
    </w:pPr>
    <w:rPr>
      <w:sz w:val="18"/>
      <w:szCs w:val="18"/>
    </w:rPr>
  </w:style>
  <w:style w:type="character" w:styleId="906" w:customStyle="1">
    <w:name w:val="页脚 Char"/>
    <w:link w:val="905"/>
    <w:uiPriority w:val="0"/>
    <w:qFormat/>
    <w:rPr>
      <w:rFonts w:ascii="Times New Roman" w:hAnsi="Times New Roman" w:eastAsia="宋体" w:cs="Times New Roman"/>
      <w:sz w:val="18"/>
      <w:szCs w:val="18"/>
    </w:rPr>
  </w:style>
  <w:style w:type="paragraph" w:styleId="907" w:customStyle="1">
    <w:name w:val="页眉1"/>
    <w:basedOn w:val="670"/>
    <w:link w:val="908"/>
    <w:uiPriority w:val="0"/>
    <w:qFormat/>
    <w:pPr>
      <w:jc w:val="center"/>
      <w:tabs>
        <w:tab w:val="center" w:pos="4153" w:leader="none"/>
        <w:tab w:val="right" w:pos="8306" w:leader="none"/>
      </w:tabs>
      <w:pBdr>
        <w:bottom w:val="single" w:color="000000" w:sz="6" w:space="1"/>
      </w:pBdr>
    </w:pPr>
    <w:rPr>
      <w:sz w:val="18"/>
      <w:szCs w:val="18"/>
    </w:rPr>
  </w:style>
  <w:style w:type="character" w:styleId="908" w:customStyle="1">
    <w:name w:val="页眉 Char"/>
    <w:link w:val="907"/>
    <w:uiPriority w:val="0"/>
    <w:qFormat/>
    <w:rPr>
      <w:rFonts w:ascii="Times New Roman" w:hAnsi="Times New Roman" w:eastAsia="宋体" w:cs="Times New Roman"/>
      <w:sz w:val="18"/>
      <w:szCs w:val="18"/>
    </w:rPr>
  </w:style>
  <w:style w:type="paragraph" w:styleId="909" w:customStyle="1">
    <w:name w:val="目录 1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910" w:customStyle="1">
    <w:name w:val="目录 41"/>
    <w:basedOn w:val="670"/>
    <w:next w:val="670"/>
    <w:uiPriority w:val="0"/>
    <w:semiHidden/>
    <w:qFormat/>
    <w:pPr>
      <w:ind w:left="630"/>
      <w:jc w:val="left"/>
    </w:pPr>
  </w:style>
  <w:style w:type="paragraph" w:styleId="911" w:customStyle="1">
    <w:name w:val="列表1"/>
    <w:basedOn w:val="670"/>
    <w:uiPriority w:val="0"/>
    <w:qFormat/>
    <w:pPr>
      <w:ind w:left="200" w:hanging="200"/>
    </w:pPr>
  </w:style>
  <w:style w:type="paragraph" w:styleId="912" w:customStyle="1">
    <w:name w:val="目录 61"/>
    <w:basedOn w:val="670"/>
    <w:next w:val="670"/>
    <w:uiPriority w:val="0"/>
    <w:semiHidden/>
    <w:qFormat/>
    <w:pPr>
      <w:ind w:left="1050"/>
      <w:jc w:val="left"/>
    </w:pPr>
  </w:style>
  <w:style w:type="paragraph" w:styleId="913" w:customStyle="1">
    <w:name w:val="正文文本缩进 31"/>
    <w:basedOn w:val="670"/>
    <w:link w:val="914"/>
    <w:uiPriority w:val="0"/>
    <w:qFormat/>
    <w:pPr>
      <w:ind w:left="645" w:firstLine="645"/>
    </w:pPr>
    <w:rPr>
      <w:rFonts w:ascii="Arial" w:hAnsi="Arial" w:eastAsia="仿宋_GB2312" w:cs="Arial"/>
      <w:color w:val="ffff00"/>
      <w:sz w:val="32"/>
      <w:szCs w:val="32"/>
    </w:rPr>
  </w:style>
  <w:style w:type="character" w:styleId="914" w:customStyle="1">
    <w:name w:val="正文文本缩进 3 Char"/>
    <w:link w:val="913"/>
    <w:uiPriority w:val="0"/>
    <w:qFormat/>
    <w:rPr>
      <w:rFonts w:ascii="Arial" w:hAnsi="Arial" w:eastAsia="仿宋_GB2312" w:cs="Arial"/>
      <w:color w:val="ffff00"/>
      <w:sz w:val="32"/>
      <w:szCs w:val="32"/>
    </w:rPr>
  </w:style>
  <w:style w:type="paragraph" w:styleId="915" w:customStyle="1">
    <w:name w:val="图表目录1"/>
    <w:basedOn w:val="670"/>
    <w:next w:val="670"/>
    <w:uiPriority w:val="0"/>
    <w:semiHidden/>
    <w:qFormat/>
    <w:pPr>
      <w:ind w:left="840" w:hanging="420"/>
    </w:pPr>
  </w:style>
  <w:style w:type="paragraph" w:styleId="916" w:customStyle="1">
    <w:name w:val="目录 21"/>
    <w:basedOn w:val="670"/>
    <w:next w:val="670"/>
    <w:uiPriority w:val="0"/>
    <w:semiHidden/>
    <w:qFormat/>
    <w:pPr>
      <w:ind w:left="210"/>
      <w:jc w:val="left"/>
    </w:pPr>
    <w:rPr>
      <w:smallCaps/>
      <w:szCs w:val="24"/>
    </w:rPr>
  </w:style>
  <w:style w:type="paragraph" w:styleId="917" w:customStyle="1">
    <w:name w:val="目录 91"/>
    <w:basedOn w:val="670"/>
    <w:next w:val="670"/>
    <w:uiPriority w:val="0"/>
    <w:semiHidden/>
    <w:qFormat/>
    <w:pPr>
      <w:ind w:left="1680"/>
      <w:jc w:val="left"/>
    </w:pPr>
  </w:style>
  <w:style w:type="paragraph" w:styleId="918" w:customStyle="1">
    <w:name w:val="正文文本 21"/>
    <w:basedOn w:val="670"/>
    <w:link w:val="919"/>
    <w:uiPriority w:val="0"/>
    <w:qFormat/>
    <w:pPr>
      <w:jc w:val="center"/>
      <w:widowControl/>
    </w:pPr>
    <w:rPr>
      <w:rFonts w:ascii="楷体_GB2312" w:eastAsia="楷体_GB2312"/>
      <w:sz w:val="28"/>
      <w:szCs w:val="28"/>
    </w:rPr>
  </w:style>
  <w:style w:type="character" w:styleId="919" w:customStyle="1">
    <w:name w:val="正文文本 2 Char"/>
    <w:link w:val="918"/>
    <w:uiPriority w:val="0"/>
    <w:qFormat/>
    <w:rPr>
      <w:rFonts w:ascii="楷体_GB2312" w:hAnsi="Times New Roman" w:eastAsia="楷体_GB2312" w:cs="Times New Roman"/>
      <w:sz w:val="28"/>
      <w:szCs w:val="28"/>
    </w:rPr>
  </w:style>
  <w:style w:type="paragraph" w:styleId="920"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21" w:customStyle="1">
    <w:name w:val="索引 11"/>
    <w:basedOn w:val="670"/>
    <w:next w:val="670"/>
    <w:uiPriority w:val="0"/>
    <w:semiHidden/>
    <w:qFormat/>
    <w:pPr>
      <w:spacing w:line="240" w:lineRule="atLeast"/>
    </w:pPr>
    <w:rPr>
      <w:b/>
      <w:bCs/>
    </w:rPr>
  </w:style>
  <w:style w:type="paragraph" w:styleId="922" w:customStyle="1">
    <w:name w:val="批注主题1"/>
    <w:basedOn w:val="887"/>
    <w:next w:val="887"/>
    <w:link w:val="923"/>
    <w:uiPriority w:val="0"/>
    <w:semiHidden/>
    <w:qFormat/>
    <w:rPr>
      <w:b/>
      <w:bCs/>
    </w:rPr>
  </w:style>
  <w:style w:type="character" w:styleId="923" w:customStyle="1">
    <w:name w:val="批注主题 Char"/>
    <w:link w:val="922"/>
    <w:uiPriority w:val="0"/>
    <w:semiHidden/>
    <w:qFormat/>
    <w:rPr>
      <w:rFonts w:ascii="Times New Roman" w:hAnsi="Times New Roman" w:eastAsia="宋体" w:cs="Times New Roman"/>
      <w:b/>
      <w:bCs/>
      <w:szCs w:val="21"/>
    </w:rPr>
  </w:style>
  <w:style w:type="paragraph" w:styleId="924" w:customStyle="1">
    <w:name w:val="正文首行缩进 211"/>
    <w:basedOn w:val="891"/>
    <w:link w:val="925"/>
    <w:uiPriority w:val="0"/>
    <w:qFormat/>
    <w:pPr>
      <w:ind w:firstLine="420"/>
      <w:spacing w:line="360" w:lineRule="auto"/>
    </w:pPr>
    <w:rPr>
      <w:rFonts w:ascii="宋体" w:hAnsi="宋体" w:eastAsia="宋体"/>
      <w:sz w:val="21"/>
      <w:szCs w:val="20"/>
    </w:rPr>
  </w:style>
  <w:style w:type="character" w:styleId="925" w:customStyle="1">
    <w:name w:val="正文首行缩进 2 Char"/>
    <w:link w:val="924"/>
    <w:uiPriority w:val="0"/>
    <w:qFormat/>
    <w:rPr>
      <w:rFonts w:ascii="宋体" w:hAnsi="宋体" w:eastAsia="宋体" w:cs="Times New Roman"/>
      <w:sz w:val="32"/>
      <w:szCs w:val="20"/>
    </w:rPr>
  </w:style>
  <w:style w:type="table" w:styleId="926" w:customStyle="1">
    <w:name w:val="网格型1"/>
    <w:basedOn w:val="870"/>
    <w:uiPriority w:val="0"/>
    <w:qFormat/>
    <w:pPr>
      <w:jc w:val="both"/>
      <w:widowControl w:val="off"/>
    </w:pPr>
    <w:tblPr>
      <w:tblCellMar>
        <w:left w:w="0" w:type="dxa"/>
        <w:top w:w="0" w:type="dxa"/>
        <w:right w:w="0" w:type="dxa"/>
        <w:bottom w:w="0" w:type="dxa"/>
      </w:tblCellMar>
    </w:tblPr>
  </w:style>
  <w:style w:type="character" w:styleId="927" w:customStyle="1">
    <w:name w:val="要点1"/>
    <w:uiPriority w:val="0"/>
    <w:qFormat/>
    <w:rPr>
      <w:b/>
      <w:bCs/>
    </w:rPr>
  </w:style>
  <w:style w:type="character" w:styleId="928" w:customStyle="1">
    <w:name w:val="页码1"/>
    <w:uiPriority w:val="0"/>
    <w:qFormat/>
  </w:style>
  <w:style w:type="character" w:styleId="929" w:customStyle="1">
    <w:name w:val="已访问的超链接1"/>
    <w:uiPriority w:val="0"/>
    <w:qFormat/>
    <w:rPr>
      <w:color w:val="800080"/>
      <w:u w:val="single"/>
    </w:rPr>
  </w:style>
  <w:style w:type="character" w:styleId="930" w:customStyle="1">
    <w:name w:val="超链接1"/>
    <w:uiPriority w:val="0"/>
    <w:qFormat/>
    <w:rPr>
      <w:color w:val="0000ff"/>
      <w:u w:val="single"/>
    </w:rPr>
  </w:style>
  <w:style w:type="character" w:styleId="931" w:customStyle="1">
    <w:name w:val="批注引用1"/>
    <w:uiPriority w:val="0"/>
    <w:semiHidden/>
    <w:qFormat/>
    <w:rPr>
      <w:sz w:val="21"/>
      <w:szCs w:val="21"/>
    </w:rPr>
  </w:style>
  <w:style w:type="character" w:styleId="932" w:customStyle="1">
    <w:name w:val="font5 Char"/>
    <w:uiPriority w:val="0"/>
    <w:qFormat/>
    <w:rPr>
      <w:rFonts w:ascii="宋体" w:hAnsi="宋体" w:eastAsia="宋体"/>
      <w:sz w:val="28"/>
      <w:szCs w:val="28"/>
      <w:lang w:val="en-US" w:eastAsia="zh-CN" w:bidi="ar-SA"/>
    </w:rPr>
  </w:style>
  <w:style w:type="character" w:styleId="933" w:customStyle="1">
    <w:name w:val="二级目录 Char"/>
    <w:link w:val="934"/>
    <w:uiPriority w:val="0"/>
    <w:qFormat/>
    <w:rPr>
      <w:b/>
      <w:sz w:val="30"/>
      <w:szCs w:val="28"/>
    </w:rPr>
  </w:style>
  <w:style w:type="paragraph" w:styleId="934" w:customStyle="1">
    <w:name w:val="二级目录"/>
    <w:next w:val="670"/>
    <w:link w:val="93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5" w:customStyle="1">
    <w:name w:val="列出段落 Char"/>
    <w:link w:val="936"/>
    <w:uiPriority w:val="0"/>
    <w:qFormat/>
    <w:rPr>
      <w:rFonts w:ascii="Calibri" w:hAnsi="Calibri"/>
      <w:sz w:val="24"/>
      <w:szCs w:val="24"/>
      <w:lang w:eastAsia="en-US" w:bidi="en-US"/>
    </w:rPr>
  </w:style>
  <w:style w:type="paragraph" w:styleId="936" w:customStyle="1">
    <w:name w:val="列出段落1"/>
    <w:basedOn w:val="670"/>
    <w:link w:val="935"/>
    <w:uiPriority w:val="0"/>
    <w:qFormat/>
    <w:pPr>
      <w:contextualSpacing/>
      <w:ind w:left="720"/>
      <w:jc w:val="left"/>
      <w:widowControl/>
    </w:pPr>
    <w:rPr>
      <w:rFonts w:ascii="Calibri" w:hAnsi="Calibri"/>
      <w:sz w:val="24"/>
      <w:szCs w:val="24"/>
      <w:lang w:eastAsia="en-US" w:bidi="en-US"/>
    </w:rPr>
  </w:style>
  <w:style w:type="paragraph" w:styleId="937" w:customStyle="1">
    <w:name w:val="Body Text(ch)"/>
    <w:basedOn w:val="670"/>
    <w:next w:val="710"/>
    <w:uiPriority w:val="0"/>
    <w:qFormat/>
    <w:pPr>
      <w:spacing w:after="120"/>
    </w:pPr>
    <w:rPr>
      <w:rFonts w:ascii="宋体" w:hAnsi="Arial"/>
      <w:bCs/>
      <w:iCs/>
      <w:szCs w:val="24"/>
    </w:rPr>
  </w:style>
  <w:style w:type="paragraph" w:styleId="938"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customStyle="1">
    <w:name w:val="Char"/>
    <w:basedOn w:val="670"/>
    <w:uiPriority w:val="0"/>
    <w:qFormat/>
    <w:pPr>
      <w:ind w:firstLine="200"/>
      <w:tabs>
        <w:tab w:val="left" w:pos="360" w:leader="none"/>
      </w:tabs>
    </w:pPr>
    <w:rPr>
      <w:sz w:val="28"/>
      <w:szCs w:val="30"/>
    </w:rPr>
  </w:style>
  <w:style w:type="paragraph" w:styleId="941" w:customStyle="1">
    <w:name w:val="Char1"/>
    <w:basedOn w:val="885"/>
    <w:uiPriority w:val="0"/>
    <w:qFormat/>
    <w:rPr>
      <w:rFonts w:ascii="Tahoma" w:hAnsi="Tahoma"/>
      <w:sz w:val="24"/>
      <w:szCs w:val="24"/>
    </w:rPr>
  </w:style>
  <w:style w:type="paragraph" w:styleId="942"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43" w:customStyle="1">
    <w:name w:val="table_lines"/>
    <w:basedOn w:val="670"/>
    <w:uiPriority w:val="0"/>
    <w:qFormat/>
    <w:pPr>
      <w:jc w:val="left"/>
      <w:widowControl/>
    </w:pPr>
    <w:rPr>
      <w:sz w:val="20"/>
      <w:szCs w:val="20"/>
      <w:lang w:val="de-DE" w:eastAsia="de-DE"/>
    </w:rPr>
  </w:style>
  <w:style w:type="paragraph" w:styleId="94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5"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46" w:customStyle="1">
    <w:name w:val="Char Char Char Char"/>
    <w:basedOn w:val="885"/>
    <w:uiPriority w:val="0"/>
    <w:qFormat/>
    <w:pPr>
      <w:spacing w:line="360" w:lineRule="auto"/>
    </w:pPr>
    <w:rPr>
      <w:rFonts w:ascii="Tahoma" w:hAnsi="Tahoma"/>
      <w:sz w:val="24"/>
      <w:szCs w:val="24"/>
    </w:rPr>
  </w:style>
  <w:style w:type="paragraph" w:styleId="947" w:customStyle="1">
    <w:name w:val="列出段落2"/>
    <w:basedOn w:val="670"/>
    <w:uiPriority w:val="0"/>
    <w:qFormat/>
    <w:pPr>
      <w:contextualSpacing/>
      <w:ind w:left="720"/>
      <w:jc w:val="left"/>
      <w:widowControl/>
    </w:pPr>
    <w:rPr>
      <w:rFonts w:ascii="Calibri" w:hAnsi="Calibri"/>
      <w:sz w:val="24"/>
      <w:szCs w:val="24"/>
      <w:lang w:eastAsia="en-US" w:bidi="en-US"/>
    </w:rPr>
  </w:style>
  <w:style w:type="paragraph" w:styleId="948" w:customStyle="1">
    <w:name w:val="4"/>
    <w:basedOn w:val="670"/>
    <w:next w:val="913"/>
    <w:uiPriority w:val="0"/>
    <w:qFormat/>
    <w:pPr>
      <w:ind w:firstLine="420"/>
      <w:spacing w:line="360" w:lineRule="auto"/>
    </w:pPr>
    <w:rPr>
      <w:color w:val="ff0000"/>
      <w:sz w:val="24"/>
      <w:szCs w:val="24"/>
    </w:rPr>
  </w:style>
  <w:style w:type="paragraph" w:styleId="949"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50" w:customStyle="1">
    <w:name w:val="Char Char Char Char Char Char Char Char Char Char"/>
    <w:basedOn w:val="670"/>
    <w:uiPriority w:val="0"/>
    <w:qFormat/>
    <w:pPr>
      <w:spacing w:line="360" w:lineRule="auto"/>
    </w:pPr>
    <w:rPr>
      <w:sz w:val="24"/>
      <w:szCs w:val="20"/>
    </w:rPr>
  </w:style>
  <w:style w:type="paragraph" w:styleId="951" w:customStyle="1">
    <w:name w:val="样式1"/>
    <w:basedOn w:val="670"/>
    <w:uiPriority w:val="0"/>
    <w:qFormat/>
    <w:pPr>
      <w:numPr>
        <w:ilvl w:val="0"/>
        <w:numId w:val="3"/>
      </w:numPr>
    </w:pPr>
    <w:rPr>
      <w:rFonts w:ascii="宋体" w:hAnsi="宋体"/>
    </w:rPr>
  </w:style>
  <w:style w:type="paragraph" w:styleId="952"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53"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56"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8"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9"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customStyle="1">
    <w:name w:val="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961"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62" w:customStyle="1">
    <w:name w:val="Char Char Char Char1"/>
    <w:basedOn w:val="885"/>
    <w:uiPriority w:val="0"/>
    <w:qFormat/>
    <w:pPr>
      <w:spacing w:line="360" w:lineRule="auto"/>
    </w:pPr>
    <w:rPr>
      <w:rFonts w:ascii="Tahoma" w:hAnsi="Tahoma"/>
      <w:sz w:val="24"/>
      <w:szCs w:val="24"/>
    </w:rPr>
  </w:style>
  <w:style w:type="paragraph" w:styleId="963" w:customStyle="1">
    <w:name w:val="table_1stline"/>
    <w:basedOn w:val="670"/>
    <w:uiPriority w:val="0"/>
    <w:qFormat/>
    <w:pPr>
      <w:jc w:val="left"/>
      <w:spacing w:before="120"/>
      <w:widowControl/>
    </w:pPr>
    <w:rPr>
      <w:bCs/>
      <w:sz w:val="20"/>
      <w:szCs w:val="20"/>
      <w:lang w:val="de-DE" w:eastAsia="de-DE"/>
    </w:rPr>
  </w:style>
  <w:style w:type="paragraph" w:styleId="964"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65"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6" w:customStyle="1">
    <w:name w:val="修订1"/>
    <w:uiPriority w:val="99"/>
    <w:semiHidden/>
    <w:qFormat/>
    <w:rPr>
      <w:rFonts w:ascii="Times New Roman" w:hAnsi="Times New Roman" w:eastAsia="宋体" w:cs="Times New Roman"/>
      <w:sz w:val="21"/>
      <w:szCs w:val="21"/>
      <w:lang w:val="en-US" w:eastAsia="zh-CN" w:bidi="ar-SA"/>
    </w:rPr>
  </w:style>
  <w:style w:type="paragraph" w:styleId="96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8" w:customStyle="1">
    <w:name w:val="普通(网站) Char"/>
    <w:basedOn w:val="670"/>
    <w:uiPriority w:val="0"/>
    <w:qFormat/>
    <w:pPr>
      <w:jc w:val="left"/>
      <w:spacing w:before="100" w:beforeAutospacing="1" w:after="100" w:afterAutospacing="1"/>
      <w:widowControl/>
    </w:pPr>
    <w:rPr>
      <w:rFonts w:hint="eastAsia" w:ascii="宋体" w:hAnsi="宋体"/>
      <w:sz w:val="24"/>
      <w:szCs w:val="24"/>
    </w:rPr>
  </w:style>
  <w:style w:type="paragraph" w:styleId="969" w:customStyle="1">
    <w:name w:val="Default"/>
    <w:uiPriority w:val="0"/>
    <w:qFormat/>
    <w:pPr>
      <w:widowControl w:val="off"/>
    </w:pPr>
    <w:rPr>
      <w:rFonts w:ascii="华文中宋" w:hAnsi="Calibri" w:eastAsia="华文中宋" w:cs="华文中宋"/>
      <w:color w:val="000000"/>
      <w:sz w:val="24"/>
      <w:szCs w:val="24"/>
      <w:lang w:val="en-US" w:eastAsia="zh-CN" w:bidi="ar-SA"/>
    </w:rPr>
  </w:style>
  <w:style w:type="paragraph" w:styleId="970" w:customStyle="1">
    <w:name w:val="正文首行缩进 21"/>
    <w:basedOn w:val="971"/>
    <w:uiPriority w:val="0"/>
    <w:qFormat/>
    <w:pPr>
      <w:ind w:left="0" w:firstLine="420"/>
      <w:spacing w:after="0" w:line="360" w:lineRule="auto"/>
    </w:pPr>
    <w:rPr>
      <w:rFonts w:ascii="宋体" w:hAnsi="宋体"/>
      <w:sz w:val="20"/>
      <w:szCs w:val="20"/>
    </w:rPr>
  </w:style>
  <w:style w:type="paragraph" w:styleId="971" w:customStyle="1">
    <w:name w:val="正文文本缩进1"/>
    <w:basedOn w:val="670"/>
    <w:uiPriority w:val="99"/>
    <w:unhideWhenUsed/>
    <w:qFormat/>
    <w:pPr>
      <w:ind w:left="420"/>
      <w:spacing w:after="120"/>
    </w:pPr>
  </w:style>
  <w:style w:type="paragraph" w:styleId="972" w:customStyle="1">
    <w:name w:val="正文2"/>
    <w:basedOn w:val="670"/>
    <w:uiPriority w:val="0"/>
    <w:qFormat/>
    <w:pPr>
      <w:ind w:firstLine="420"/>
    </w:pPr>
  </w:style>
  <w:style w:type="paragraph" w:styleId="973" w:customStyle="1">
    <w:name w:val="RS正文"/>
    <w:basedOn w:val="670"/>
    <w:uiPriority w:val="0"/>
    <w:qFormat/>
    <w:pPr>
      <w:ind w:firstLine="200"/>
      <w:widowControl/>
    </w:pPr>
  </w:style>
  <w:style w:type="character" w:styleId="974" w:customStyle="1">
    <w:name w:val="font31"/>
    <w:basedOn w:val="680"/>
    <w:uiPriority w:val="0"/>
    <w:qFormat/>
    <w:rPr>
      <w:rFonts w:hint="eastAsia" w:ascii="微软雅黑" w:hAnsi="微软雅黑" w:eastAsia="微软雅黑" w:cs="微软雅黑"/>
      <w:color w:val="000000"/>
      <w:sz w:val="20"/>
      <w:szCs w:val="20"/>
      <w:u w:val="none"/>
    </w:rPr>
  </w:style>
  <w:style w:type="character" w:styleId="975" w:customStyle="1">
    <w:name w:val="font21"/>
    <w:basedOn w:val="680"/>
    <w:uiPriority w:val="0"/>
    <w:qFormat/>
    <w:rPr>
      <w:rFonts w:hint="eastAsia" w:ascii="微软雅黑" w:hAnsi="微软雅黑" w:eastAsia="微软雅黑" w:cs="微软雅黑"/>
      <w:color w:val="000000"/>
      <w:sz w:val="20"/>
      <w:szCs w:val="20"/>
      <w:u w:val="none"/>
    </w:rPr>
  </w:style>
  <w:style w:type="paragraph" w:styleId="976" w:customStyle="1">
    <w:name w:val="首行缩进"/>
    <w:basedOn w:val="670"/>
    <w:next w:val="670"/>
    <w:uiPriority w:val="0"/>
    <w:qFormat/>
    <w:pPr>
      <w:ind w:firstLine="480"/>
      <w:spacing w:line="360" w:lineRule="auto"/>
    </w:pPr>
    <w:rPr>
      <w:rFonts w:ascii="宋体" w:hAnsi="宋体" w:cs="宋体"/>
      <w:sz w:val="24"/>
    </w:rPr>
  </w:style>
  <w:style w:type="paragraph" w:styleId="977" w:customStyle="1">
    <w:name w:val="TOC 标题11"/>
    <w:basedOn w:val="671"/>
    <w:next w:val="670"/>
    <w:uiPriority w:val="39"/>
    <w:qFormat/>
    <w:pPr>
      <w:jc w:val="left"/>
      <w:spacing w:before="240" w:line="259" w:lineRule="auto"/>
      <w:widowControl/>
      <w:outlineLvl w:val="9"/>
    </w:pPr>
    <w:rPr>
      <w:rFonts w:ascii="Calibri Light" w:hAnsi="Calibri Light"/>
      <w:color w:val="2e74b5"/>
      <w:sz w:val="32"/>
      <w:szCs w:val="32"/>
    </w:rPr>
  </w:style>
  <w:style w:type="paragraph" w:styleId="978" w:customStyle="1">
    <w:name w:val="普通(网站) Char Char"/>
    <w:basedOn w:val="670"/>
    <w:uiPriority w:val="0"/>
    <w:qFormat/>
    <w:pPr>
      <w:jc w:val="left"/>
      <w:spacing w:before="100" w:beforeAutospacing="1" w:after="100" w:afterAutospacing="1"/>
      <w:widowControl/>
    </w:pPr>
    <w:rPr>
      <w:rFonts w:hint="eastAsia" w:ascii="宋体" w:hAnsi="宋体"/>
      <w:sz w:val="24"/>
    </w:rPr>
  </w:style>
  <w:style w:type="character" w:styleId="979" w:customStyle="1">
    <w:name w:val="批注框文本 Char1"/>
    <w:basedOn w:val="680"/>
    <w:link w:val="693"/>
    <w:uiPriority w:val="99"/>
    <w:semiHidden/>
    <w:qFormat/>
    <w:rPr>
      <w:sz w:val="18"/>
      <w:szCs w:val="18"/>
    </w:rPr>
  </w:style>
  <w:style w:type="paragraph" w:styleId="980" w:customStyle="1">
    <w:name w:val="标题 411"/>
    <w:basedOn w:val="670"/>
    <w:next w:val="670"/>
    <w:uiPriority w:val="0"/>
    <w:qFormat/>
    <w:pPr>
      <w:jc w:val="center"/>
      <w:keepNext/>
      <w:outlineLvl w:val="3"/>
    </w:pPr>
    <w:rPr>
      <w:rFonts w:eastAsia="新宋体"/>
      <w:sz w:val="30"/>
    </w:rPr>
  </w:style>
  <w:style w:type="numbering" w:styleId="95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张红伟</cp:lastModifiedBy>
  <cp:revision>10</cp:revision>
  <dcterms:created xsi:type="dcterms:W3CDTF">2023-03-16T02:16:00Z</dcterms:created>
  <dcterms:modified xsi:type="dcterms:W3CDTF">2024-11-28T09:00:42Z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8C06138DA4BD4D028D24D9AADEC43080_13</vt:lpwstr>
  </property>
</Properties>
</file>