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rPr>
          <w:rFonts w:hAnsi="宋体"/>
          <w:b/>
          <w:spacing w:val="40"/>
          <w:sz w:val="96"/>
          <w:szCs w:val="96"/>
        </w:rPr>
      </w:pPr>
      <w:r>
        <w:rPr>
          <w:rFonts w:hAnsi="宋体"/>
          <w:b/>
          <w:spacing w:val="40"/>
          <w:sz w:val="96"/>
          <w:szCs w:val="96"/>
        </w:rPr>
      </w:r>
      <w:r/>
    </w:p>
    <w:p>
      <w:pPr>
        <w:pStyle w:val="840"/>
        <w:rPr>
          <w:rFonts w:hAnsi="宋体"/>
          <w:b/>
          <w:spacing w:val="40"/>
          <w:sz w:val="72"/>
          <w:szCs w:val="96"/>
        </w:rPr>
      </w:pPr>
      <w:r>
        <w:rPr>
          <w:rFonts w:hint="eastAsia" w:hAnsi="宋体"/>
          <w:b/>
          <w:spacing w:val="40"/>
          <w:sz w:val="72"/>
          <w:szCs w:val="96"/>
        </w:rPr>
        <w:t xml:space="preserve">     苏州</w:t>
      </w:r>
      <w:r>
        <w:rPr>
          <w:rFonts w:hAnsi="宋体"/>
          <w:b/>
          <w:spacing w:val="40"/>
          <w:sz w:val="72"/>
          <w:szCs w:val="96"/>
        </w:rPr>
        <w:t xml:space="preserve">政府采购</w:t>
      </w:r>
      <w:r/>
    </w:p>
    <w:p>
      <w:pPr>
        <w:jc w:val="center"/>
        <w:spacing w:line="960" w:lineRule="auto"/>
        <w:rPr>
          <w:b/>
          <w:spacing w:val="40"/>
          <w:sz w:val="72"/>
          <w:szCs w:val="96"/>
        </w:rPr>
      </w:pPr>
      <w:r>
        <w:rPr>
          <w:rFonts w:hAnsi="宋体"/>
          <w:b/>
          <w:spacing w:val="40"/>
          <w:sz w:val="72"/>
          <w:szCs w:val="96"/>
        </w:rPr>
        <w:t xml:space="preserve"> 竞争性磋商</w:t>
      </w:r>
      <w:r>
        <w:rPr>
          <w:rFonts w:hAnsi="宋体"/>
          <w:b/>
          <w:spacing w:val="20"/>
          <w:sz w:val="72"/>
          <w:szCs w:val="96"/>
        </w:rPr>
        <w:t xml:space="preserve">文件</w:t>
      </w:r>
      <w:r/>
    </w:p>
    <w:p>
      <w:pPr>
        <w:jc w:val="center"/>
      </w:pPr>
      <w:r/>
      <w:r/>
    </w:p>
    <w:p>
      <w:pPr>
        <w:jc w:val="center"/>
      </w:pPr>
      <w:r/>
      <w:r/>
    </w:p>
    <w:p>
      <w:pPr>
        <w:jc w:val="center"/>
      </w:pPr>
      <w:r/>
      <w:r/>
    </w:p>
    <w:p>
      <w:pPr>
        <w:jc w:val="center"/>
      </w:pPr>
      <w:r/>
      <w:r/>
    </w:p>
    <w:p>
      <w:pPr>
        <w:spacing w:line="360" w:lineRule="auto"/>
        <w:rPr>
          <w:b/>
          <w:sz w:val="28"/>
        </w:rPr>
      </w:pPr>
      <w:r>
        <w:rPr>
          <w:b/>
          <w:sz w:val="28"/>
        </w:rPr>
        <w:t xml:space="preserve">   </w:t>
      </w:r>
      <w:r>
        <w:rPr>
          <w:rFonts w:hint="eastAsia"/>
          <w:b/>
          <w:sz w:val="28"/>
        </w:rPr>
        <w:t xml:space="preserve">     </w:t>
      </w:r>
      <w:r>
        <w:rPr>
          <w:b/>
          <w:sz w:val="28"/>
        </w:rPr>
        <w:t xml:space="preserve">采购编号：</w:t>
      </w:r>
      <w:r>
        <w:rPr>
          <w:rFonts w:hint="eastAsia"/>
          <w:b/>
          <w:sz w:val="28"/>
          <w:lang w:eastAsia="zh-CN"/>
        </w:rPr>
        <w:t xml:space="preserve">JSZC-320506-JLDL-C2025-0005</w:t>
      </w:r>
      <w:r>
        <w:rPr>
          <w:b/>
          <w:sz w:val="28"/>
        </w:rPr>
        <w:t xml:space="preserve">号</w:t>
      </w:r>
      <w:r/>
    </w:p>
    <w:p>
      <w:pPr>
        <w:spacing w:line="360" w:lineRule="auto"/>
        <w:rPr>
          <w:rFonts w:hint="eastAsia" w:eastAsia="宋体"/>
          <w:b/>
          <w:sz w:val="28"/>
          <w:lang w:eastAsia="zh-CN"/>
        </w:rPr>
      </w:pPr>
      <w:r>
        <w:rPr>
          <w:b/>
          <w:sz w:val="28"/>
        </w:rPr>
        <w:t xml:space="preserve">    </w:t>
      </w:r>
      <w:r>
        <w:rPr>
          <w:rFonts w:hint="eastAsia"/>
          <w:b/>
          <w:sz w:val="28"/>
        </w:rPr>
        <w:t xml:space="preserve">    </w:t>
      </w:r>
      <w:r>
        <w:rPr>
          <w:b/>
          <w:sz w:val="28"/>
        </w:rPr>
        <w:t xml:space="preserve">采购</w:t>
      </w:r>
      <w:r>
        <w:rPr>
          <w:rFonts w:hint="eastAsia"/>
          <w:b/>
          <w:sz w:val="28"/>
        </w:rPr>
        <w:t xml:space="preserve">单位</w:t>
      </w:r>
      <w:r>
        <w:rPr>
          <w:b/>
          <w:sz w:val="28"/>
        </w:rPr>
        <w:t xml:space="preserve">：</w:t>
      </w:r>
      <w:r>
        <w:rPr>
          <w:rFonts w:hint="eastAsia"/>
          <w:b/>
          <w:sz w:val="28"/>
          <w:lang w:eastAsia="zh-CN"/>
        </w:rPr>
        <w:t xml:space="preserve">苏州市吴中区退役军人事务局</w:t>
      </w:r>
      <w:r/>
    </w:p>
    <w:p>
      <w:pPr>
        <w:ind w:firstLine="1124"/>
        <w:spacing w:line="360" w:lineRule="auto"/>
        <w:rPr>
          <w:rFonts w:hint="eastAsia" w:eastAsia="宋体"/>
          <w:b/>
          <w:sz w:val="28"/>
          <w:lang w:eastAsia="zh-CN"/>
        </w:rPr>
      </w:pPr>
      <w:r>
        <w:rPr>
          <w:b/>
          <w:sz w:val="28"/>
        </w:rPr>
        <w:t xml:space="preserve">采购内容：</w:t>
      </w:r>
      <w:r>
        <w:rPr>
          <w:rFonts w:hint="eastAsia"/>
          <w:b/>
          <w:sz w:val="28"/>
          <w:lang w:eastAsia="zh-CN"/>
        </w:rPr>
        <w:t xml:space="preserve">现役军人、退役军人及优抚对象保险保障</w:t>
      </w:r>
      <w:r/>
    </w:p>
    <w:p>
      <w:pPr>
        <w:ind w:firstLine="1124"/>
        <w:spacing w:line="360" w:lineRule="auto"/>
        <w:rPr>
          <w:b/>
          <w:sz w:val="28"/>
        </w:rPr>
      </w:pPr>
      <w:r>
        <w:rPr>
          <w:rFonts w:hint="eastAsia"/>
          <w:b/>
          <w:sz w:val="28"/>
        </w:rPr>
        <w:t xml:space="preserve">采购类型：服务类</w:t>
      </w:r>
      <w:r/>
    </w:p>
    <w:p>
      <w:pPr>
        <w:spacing w:line="360" w:lineRule="auto"/>
        <w:rPr>
          <w:b/>
          <w:sz w:val="32"/>
        </w:rPr>
      </w:pPr>
      <w:r>
        <w:rPr>
          <w:b/>
          <w:sz w:val="32"/>
        </w:rPr>
      </w:r>
      <w:r/>
    </w:p>
    <w:p>
      <w:pPr>
        <w:spacing w:line="360" w:lineRule="auto"/>
        <w:rPr>
          <w:b/>
          <w:sz w:val="32"/>
        </w:rPr>
      </w:pPr>
      <w:r>
        <w:rPr>
          <w:b/>
          <w:sz w:val="32"/>
        </w:rPr>
      </w:r>
      <w:r/>
    </w:p>
    <w:p>
      <w:pPr>
        <w:spacing w:line="360" w:lineRule="auto"/>
        <w:rPr>
          <w:b/>
          <w:spacing w:val="-26"/>
        </w:rPr>
      </w:pPr>
      <w:r>
        <w:rPr>
          <w:b/>
          <w:spacing w:val="-26"/>
        </w:rPr>
      </w:r>
      <w:r/>
    </w:p>
    <w:p>
      <w:pPr>
        <w:pStyle w:val="875"/>
      </w:pPr>
      <w:r/>
      <w:r/>
    </w:p>
    <w:p>
      <w:r/>
      <w:r/>
    </w:p>
    <w:p>
      <w:r/>
      <w:r/>
    </w:p>
    <w:p>
      <w:r/>
      <w:r/>
    </w:p>
    <w:p>
      <w:r/>
      <w:r/>
    </w:p>
    <w:p>
      <w:r/>
      <w:r/>
    </w:p>
    <w:p>
      <w:pPr>
        <w:rPr>
          <w:b/>
        </w:rPr>
      </w:pPr>
      <w:r>
        <w:rPr>
          <w:b/>
        </w:rPr>
      </w:r>
      <w:r/>
    </w:p>
    <w:p>
      <w:pPr>
        <w:jc w:val="center"/>
        <w:rPr>
          <w:b/>
          <w:sz w:val="32"/>
        </w:rPr>
      </w:pPr>
      <w:r>
        <w:rPr>
          <w:rFonts w:hint="eastAsia" w:hAnsi="宋体"/>
          <w:b/>
          <w:sz w:val="32"/>
        </w:rPr>
        <w:t xml:space="preserve">苏州建龙工程建设咨询有限公司</w:t>
      </w:r>
      <w:r/>
    </w:p>
    <w:p>
      <w:pPr>
        <w:jc w:val="center"/>
        <w:rPr>
          <w:rFonts w:hAnsi="宋体"/>
          <w:b/>
          <w:sz w:val="32"/>
        </w:rPr>
      </w:pPr>
      <w:r>
        <w:rPr>
          <w:rFonts w:hAnsi="宋体"/>
          <w:b/>
          <w:sz w:val="32"/>
        </w:rPr>
        <w:t xml:space="preserve">二</w:t>
      </w:r>
      <w:r>
        <w:rPr>
          <w:rFonts w:hint="eastAsia"/>
          <w:b/>
          <w:sz w:val="32"/>
        </w:rPr>
        <w:t xml:space="preserve">〇</w:t>
      </w:r>
      <w:r>
        <w:rPr>
          <w:rFonts w:hAnsi="宋体"/>
          <w:b/>
          <w:sz w:val="32"/>
        </w:rPr>
        <w:t xml:space="preserve">二</w:t>
      </w:r>
      <w:r>
        <w:rPr>
          <w:rFonts w:hint="eastAsia"/>
          <w:b/>
          <w:sz w:val="32"/>
          <w:lang w:val="en-US" w:eastAsia="zh-CN"/>
        </w:rPr>
        <w:t xml:space="preserve">五</w:t>
      </w:r>
      <w:r>
        <w:rPr>
          <w:rFonts w:hAnsi="宋体"/>
          <w:b/>
          <w:sz w:val="32"/>
        </w:rPr>
        <w:t xml:space="preserve">年</w:t>
      </w:r>
      <w:r>
        <w:rPr>
          <w:rFonts w:hint="eastAsia" w:hAnsi="宋体"/>
          <w:b/>
          <w:sz w:val="32"/>
          <w:lang w:val="en-US" w:eastAsia="zh-CN"/>
        </w:rPr>
        <w:t xml:space="preserve">十</w:t>
      </w:r>
      <w:r>
        <w:rPr>
          <w:rFonts w:hAnsi="宋体"/>
          <w:b/>
          <w:sz w:val="32"/>
        </w:rPr>
        <w:t xml:space="preserve">月</w:t>
      </w:r>
      <w:r/>
    </w:p>
    <w:p>
      <w:pPr>
        <w:jc w:val="center"/>
        <w:rPr>
          <w:rFonts w:ascii="黑体" w:hAnsi="黑体" w:eastAsia="黑体" w:cs="黑体"/>
          <w:b/>
          <w:sz w:val="36"/>
          <w:szCs w:val="36"/>
        </w:rPr>
      </w:pPr>
      <w:r>
        <w:rPr>
          <w:rFonts w:hAnsi="宋体"/>
          <w:b/>
          <w:sz w:val="32"/>
        </w:rPr>
        <w:br w:type="page" w:clear="all"/>
      </w:r>
      <w:r>
        <w:rPr>
          <w:rFonts w:hint="eastAsia" w:ascii="黑体" w:hAnsi="黑体" w:eastAsia="黑体"/>
          <w:b/>
          <w:sz w:val="36"/>
          <w:szCs w:val="36"/>
        </w:rPr>
        <w:t xml:space="preserve">磋商须知</w:t>
      </w:r>
      <w:r>
        <w:rPr>
          <w:rFonts w:hint="eastAsia" w:ascii="黑体" w:hAnsi="黑体" w:eastAsia="黑体" w:cs="黑体"/>
          <w:b/>
          <w:sz w:val="36"/>
          <w:szCs w:val="36"/>
        </w:rPr>
        <w:t xml:space="preserve">前附表</w:t>
      </w:r>
      <w:r/>
    </w:p>
    <w:tbl>
      <w:tblPr>
        <w:tblStyle w:val="846"/>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6672"/>
      </w:tblGrid>
      <w:tr>
        <w:trPr>
          <w:jc w:val="center"/>
          <w:trHeight w:val="416"/>
        </w:trPr>
        <w:tc>
          <w:tcPr>
            <w:tcW w:w="657"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710"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内容</w:t>
            </w:r>
            <w:r/>
          </w:p>
        </w:tc>
        <w:tc>
          <w:tcPr>
            <w:tcW w:w="6672"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规定</w:t>
            </w:r>
            <w:r/>
          </w:p>
        </w:tc>
      </w:tr>
      <w:tr>
        <w:trPr>
          <w:jc w:val="center"/>
          <w:trHeight w:val="425"/>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71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采购名称</w:t>
            </w:r>
            <w:r/>
          </w:p>
        </w:tc>
        <w:tc>
          <w:tcPr>
            <w:tcW w:w="6672"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cs="宋体"/>
                <w:szCs w:val="21"/>
                <w:lang w:eastAsia="zh-CN"/>
              </w:rPr>
              <w:t xml:space="preserve">现役军人、退役军人及优抚对象保险保障</w:t>
            </w:r>
            <w:r/>
          </w:p>
        </w:tc>
      </w:tr>
      <w:tr>
        <w:trPr>
          <w:jc w:val="center"/>
          <w:trHeight w:val="452"/>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71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响应文件有效期</w:t>
            </w:r>
            <w:r/>
          </w:p>
        </w:tc>
        <w:tc>
          <w:tcPr>
            <w:tcW w:w="667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Cs/>
                <w:szCs w:val="21"/>
              </w:rPr>
              <w:t xml:space="preserve">响应文件有效期为60日历天（从提交响应文件截止时间当日起算）</w:t>
            </w:r>
            <w:r/>
          </w:p>
        </w:tc>
      </w:tr>
      <w:tr>
        <w:trPr>
          <w:jc w:val="center"/>
          <w:trHeight w:val="202"/>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71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响应保证金</w:t>
            </w:r>
            <w:r/>
          </w:p>
        </w:tc>
        <w:tc>
          <w:tcPr>
            <w:tcW w:w="667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无（</w:t>
            </w:r>
            <w:r>
              <w:rPr>
                <w:rFonts w:hint="eastAsia" w:ascii="宋体" w:hAnsi="宋体" w:cs="宋体"/>
                <w:szCs w:val="21"/>
                <w:lang w:val="en-US" w:eastAsia="zh-CN"/>
              </w:rPr>
              <w:t xml:space="preserve">采购</w:t>
            </w:r>
            <w:r>
              <w:rPr>
                <w:rFonts w:hint="eastAsia" w:ascii="宋体" w:hAnsi="宋体" w:eastAsia="宋体" w:cs="宋体"/>
                <w:szCs w:val="21"/>
              </w:rPr>
              <w:t xml:space="preserve">文件中提供投标（响应）保证承诺书）</w:t>
            </w:r>
            <w:r/>
          </w:p>
        </w:tc>
      </w:tr>
      <w:tr>
        <w:trPr>
          <w:jc w:val="center"/>
          <w:trHeight w:val="428"/>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71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现场考察</w:t>
            </w:r>
            <w:r/>
          </w:p>
        </w:tc>
        <w:tc>
          <w:tcPr>
            <w:tcW w:w="6672" w:type="dxa"/>
            <w:vAlign w:val="center"/>
            <w:textDirection w:val="lrTb"/>
            <w:noWrap w:val="false"/>
          </w:tcPr>
          <w:p>
            <w:pPr>
              <w:ind w:right="-159"/>
              <w:jc w:val="left"/>
              <w:rPr>
                <w:rFonts w:hint="eastAsia" w:ascii="宋体" w:hAnsi="宋体" w:eastAsia="宋体" w:cs="宋体"/>
                <w:szCs w:val="21"/>
              </w:rPr>
            </w:pPr>
            <w:r>
              <w:rPr>
                <w:rFonts w:hint="eastAsia" w:ascii="宋体" w:hAnsi="宋体" w:eastAsia="宋体" w:cs="宋体"/>
                <w:szCs w:val="21"/>
              </w:rPr>
              <w:t xml:space="preserve">根据自身投标需要，供应商可对有关现场和周围环境自行进行考察，以获取编制响应文件和签署合同所需的信息。现场考察所发生的费用由供应商自己承担。</w:t>
            </w:r>
            <w:r/>
          </w:p>
        </w:tc>
      </w:tr>
      <w:tr>
        <w:trPr>
          <w:jc w:val="center"/>
          <w:trHeight w:val="428"/>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710" w:type="dxa"/>
            <w:vAlign w:val="center"/>
            <w:textDirection w:val="lrTb"/>
            <w:noWrap w:val="false"/>
          </w:tcPr>
          <w:p>
            <w:pPr>
              <w:spacing w:line="360" w:lineRule="auto"/>
              <w:tabs>
                <w:tab w:val="center" w:pos="813" w:leader="none"/>
              </w:tabs>
              <w:rPr>
                <w:rFonts w:hint="eastAsia" w:ascii="宋体" w:hAnsi="宋体" w:eastAsia="宋体" w:cs="宋体"/>
                <w:szCs w:val="21"/>
              </w:rPr>
            </w:pPr>
            <w:r>
              <w:rPr>
                <w:rFonts w:hint="eastAsia" w:ascii="宋体" w:hAnsi="宋体" w:eastAsia="宋体" w:cs="宋体"/>
                <w:szCs w:val="21"/>
              </w:rPr>
              <w:t xml:space="preserve">质疑</w:t>
            </w:r>
            <w:r/>
          </w:p>
        </w:tc>
        <w:tc>
          <w:tcPr>
            <w:tcW w:w="6672" w:type="dxa"/>
            <w:vAlign w:val="center"/>
            <w:textDirection w:val="lrTb"/>
            <w:noWrap w:val="false"/>
          </w:tcPr>
          <w:p>
            <w:pPr>
              <w:ind w:right="-159"/>
              <w:jc w:val="left"/>
              <w:rPr>
                <w:rFonts w:hint="eastAsia" w:ascii="宋体" w:hAnsi="宋体" w:eastAsia="宋体" w:cs="宋体"/>
                <w:szCs w:val="21"/>
              </w:rPr>
            </w:pPr>
            <w:r>
              <w:rPr>
                <w:rFonts w:hint="eastAsia" w:ascii="宋体" w:hAnsi="宋体" w:eastAsia="宋体" w:cs="宋体"/>
                <w:szCs w:val="21"/>
              </w:rPr>
              <w:t xml:space="preserve">投标单位对招标文件如有疑问，请将疑问及“供应商投标确认函”于规定时间前以书面形式递交至</w:t>
            </w:r>
            <w:r>
              <w:rPr>
                <w:rFonts w:hint="eastAsia" w:ascii="宋体" w:hAnsi="宋体" w:cs="宋体"/>
                <w:szCs w:val="21"/>
                <w:lang w:val="en-US" w:eastAsia="zh-CN"/>
              </w:rPr>
              <w:t xml:space="preserve">苏州建龙工程建设咨询有限公司</w:t>
            </w:r>
            <w:r>
              <w:rPr>
                <w:rFonts w:hint="eastAsia" w:ascii="宋体" w:hAnsi="宋体" w:eastAsia="宋体" w:cs="宋体"/>
                <w:szCs w:val="21"/>
              </w:rPr>
              <w:t xml:space="preserve">（联系地址：</w:t>
            </w:r>
            <w:r>
              <w:rPr>
                <w:rFonts w:hint="eastAsia" w:ascii="宋体" w:hAnsi="宋体" w:cs="宋体"/>
                <w:szCs w:val="21"/>
                <w:lang w:val="en-US" w:eastAsia="zh-CN"/>
              </w:rPr>
              <w:t xml:space="preserve">苏州市吴中区世茂石湖湾花园398幢</w:t>
            </w:r>
            <w:r>
              <w:rPr>
                <w:rFonts w:hint="eastAsia" w:ascii="宋体" w:hAnsi="宋体" w:eastAsia="宋体" w:cs="宋体"/>
                <w:szCs w:val="21"/>
              </w:rPr>
              <w:t xml:space="preserve">，联系人：</w:t>
            </w:r>
            <w:r>
              <w:rPr>
                <w:rFonts w:hint="eastAsia" w:ascii="宋体" w:hAnsi="宋体" w:cs="宋体"/>
                <w:szCs w:val="21"/>
                <w:lang w:val="en-US" w:eastAsia="zh-CN"/>
              </w:rPr>
              <w:t xml:space="preserve">夏文静</w:t>
            </w:r>
            <w:r>
              <w:rPr>
                <w:rFonts w:hint="eastAsia" w:ascii="宋体" w:hAnsi="宋体" w:eastAsia="宋体" w:cs="宋体"/>
                <w:szCs w:val="21"/>
              </w:rPr>
              <w:t xml:space="preserve">，联系电话：</w:t>
            </w:r>
            <w:r>
              <w:rPr>
                <w:rFonts w:hint="eastAsia" w:ascii="宋体" w:hAnsi="宋体" w:cs="宋体"/>
                <w:szCs w:val="21"/>
                <w:lang w:val="en-US" w:eastAsia="zh-CN"/>
              </w:rPr>
              <w:t xml:space="preserve">13862134419</w:t>
            </w:r>
            <w:r>
              <w:rPr>
                <w:rFonts w:hint="eastAsia" w:ascii="宋体" w:hAnsi="宋体" w:eastAsia="宋体" w:cs="宋体"/>
                <w:szCs w:val="21"/>
              </w:rPr>
              <w:t xml:space="preserve">）</w:t>
            </w:r>
            <w:r/>
          </w:p>
        </w:tc>
      </w:tr>
      <w:tr>
        <w:trPr>
          <w:jc w:val="center"/>
          <w:trHeight w:val="322"/>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71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磋商响应货币</w:t>
            </w:r>
            <w:r/>
          </w:p>
        </w:tc>
        <w:tc>
          <w:tcPr>
            <w:tcW w:w="667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人民币</w:t>
            </w:r>
            <w:r/>
          </w:p>
        </w:tc>
      </w:tr>
      <w:tr>
        <w:trPr>
          <w:jc w:val="center"/>
          <w:trHeight w:val="499"/>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71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磋商时间和地点</w:t>
            </w:r>
            <w:r/>
          </w:p>
        </w:tc>
        <w:tc>
          <w:tcPr>
            <w:tcW w:w="6672" w:type="dxa"/>
            <w:vAlign w:val="center"/>
            <w:textDirection w:val="lrTb"/>
            <w:noWrap w:val="false"/>
          </w:tcPr>
          <w:p>
            <w:pPr>
              <w:ind w:right="-159"/>
              <w:jc w:val="left"/>
              <w:rPr>
                <w:rFonts w:hint="eastAsia" w:ascii="宋体" w:hAnsi="宋体" w:eastAsia="宋体" w:cs="宋体"/>
                <w:szCs w:val="21"/>
                <w:highlight w:val="none"/>
              </w:rPr>
            </w:pPr>
            <w:r>
              <w:rPr>
                <w:rFonts w:hint="eastAsia" w:ascii="宋体" w:hAnsi="宋体" w:eastAsia="宋体" w:cs="宋体"/>
                <w:szCs w:val="21"/>
                <w:highlight w:val="none"/>
              </w:rPr>
              <w:t xml:space="preserve">时间：2025年11</w:t>
            </w:r>
            <w:r>
              <w:rPr>
                <w:rFonts w:hint="eastAsia" w:ascii="宋体" w:hAnsi="宋体" w:eastAsia="宋体" w:cs="宋体"/>
                <w:szCs w:val="21"/>
                <w:highlight w:val="none"/>
              </w:rPr>
              <w:t xml:space="preserve">月10</w:t>
            </w:r>
            <w:r>
              <w:rPr>
                <w:rFonts w:hint="eastAsia" w:ascii="宋体" w:hAnsi="宋体" w:eastAsia="宋体" w:cs="宋体"/>
                <w:szCs w:val="21"/>
                <w:highlight w:val="none"/>
              </w:rPr>
              <w:t xml:space="preserve">日</w:t>
            </w:r>
            <w:r>
              <w:rPr>
                <w:rFonts w:hint="eastAsia" w:ascii="宋体" w:hAnsi="宋体" w:cs="宋体"/>
                <w:szCs w:val="21"/>
                <w:highlight w:val="none"/>
                <w:lang w:val="en-US" w:eastAsia="zh-CN"/>
              </w:rPr>
              <w:t xml:space="preserve">09</w:t>
            </w:r>
            <w:r>
              <w:rPr>
                <w:rFonts w:hint="eastAsia" w:ascii="宋体" w:hAnsi="宋体" w:eastAsia="宋体" w:cs="宋体"/>
                <w:szCs w:val="21"/>
                <w:highlight w:val="none"/>
              </w:rPr>
              <w:t xml:space="preserve">：30（北京时间）</w:t>
            </w:r>
            <w:r/>
          </w:p>
          <w:p>
            <w:pPr>
              <w:ind w:right="-159"/>
              <w:jc w:val="left"/>
              <w:rPr>
                <w:rFonts w:hint="eastAsia" w:ascii="宋体" w:hAnsi="宋体" w:eastAsia="宋体" w:cs="宋体"/>
                <w:szCs w:val="21"/>
              </w:rPr>
            </w:pPr>
            <w:r>
              <w:rPr>
                <w:rFonts w:hint="eastAsia" w:ascii="宋体" w:hAnsi="宋体" w:eastAsia="宋体" w:cs="宋体"/>
                <w:szCs w:val="21"/>
              </w:rPr>
              <w:t xml:space="preserve">地点：“苏采云”系统（网址：http://jszfcg.jsczt.cn/）</w:t>
            </w:r>
            <w:r/>
          </w:p>
          <w:p>
            <w:pPr>
              <w:ind w:right="-159"/>
              <w:jc w:val="left"/>
              <w:rPr>
                <w:rFonts w:hint="eastAsia" w:ascii="宋体" w:hAnsi="宋体" w:eastAsia="宋体" w:cs="宋体"/>
                <w:szCs w:val="21"/>
              </w:rPr>
            </w:pPr>
            <w:r>
              <w:rPr>
                <w:rFonts w:hint="eastAsia" w:ascii="宋体" w:hAnsi="宋体" w:eastAsia="宋体" w:cs="宋体"/>
                <w:szCs w:val="21"/>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r>
        <w:trPr>
          <w:jc w:val="center"/>
          <w:trHeight w:val="1409"/>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171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成交原则</w:t>
            </w:r>
            <w:r/>
          </w:p>
        </w:tc>
        <w:tc>
          <w:tcPr>
            <w:tcW w:w="6672" w:type="dxa"/>
            <w:vAlign w:val="center"/>
            <w:textDirection w:val="lrTb"/>
            <w:noWrap w:val="false"/>
          </w:tcPr>
          <w:p>
            <w:pPr>
              <w:ind w:right="-159"/>
              <w:jc w:val="left"/>
              <w:rPr>
                <w:rFonts w:hint="eastAsia" w:ascii="宋体" w:hAnsi="宋体" w:eastAsia="宋体" w:cs="宋体"/>
                <w:szCs w:val="21"/>
              </w:rPr>
            </w:pPr>
            <w:r>
              <w:rPr>
                <w:rFonts w:hint="eastAsia" w:ascii="宋体" w:hAnsi="宋体" w:eastAsia="宋体" w:cs="宋体"/>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1565" w:hRule="exact"/>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171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签订合同</w:t>
            </w:r>
            <w:r/>
          </w:p>
        </w:tc>
        <w:tc>
          <w:tcPr>
            <w:tcW w:w="6672" w:type="dxa"/>
            <w:vAlign w:val="center"/>
            <w:textDirection w:val="lrTb"/>
            <w:noWrap w:val="false"/>
          </w:tcPr>
          <w:p>
            <w:pPr>
              <w:ind w:right="-159"/>
              <w:jc w:val="left"/>
              <w:rPr>
                <w:rFonts w:hint="eastAsia" w:ascii="宋体" w:hAnsi="宋体" w:eastAsia="宋体" w:cs="宋体"/>
                <w:szCs w:val="21"/>
              </w:rPr>
            </w:pPr>
            <w:r>
              <w:rPr>
                <w:rFonts w:hint="eastAsia" w:ascii="宋体" w:hAnsi="宋体" w:eastAsia="宋体" w:cs="宋体"/>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jc w:val="center"/>
          <w:trHeight w:val="488" w:hRule="exact"/>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1710"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评审办法</w:t>
            </w:r>
            <w:r/>
          </w:p>
        </w:tc>
        <w:tc>
          <w:tcPr>
            <w:tcW w:w="6672"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bCs/>
                <w:szCs w:val="21"/>
              </w:rPr>
              <w:t xml:space="preserve">详见第三章  评审方法及评分标准</w:t>
            </w:r>
            <w:r/>
          </w:p>
        </w:tc>
      </w:tr>
      <w:tr>
        <w:trPr>
          <w:jc w:val="center"/>
          <w:trHeight w:val="415"/>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11</w:t>
            </w:r>
            <w:r/>
          </w:p>
        </w:tc>
        <w:tc>
          <w:tcPr>
            <w:tcW w:w="17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导致废标</w:t>
            </w:r>
            <w:r/>
          </w:p>
          <w:p>
            <w:pPr>
              <w:jc w:val="center"/>
              <w:rPr>
                <w:rFonts w:hint="eastAsia" w:ascii="宋体" w:hAnsi="宋体" w:eastAsia="宋体" w:cs="宋体"/>
                <w:szCs w:val="21"/>
              </w:rPr>
            </w:pPr>
            <w:r>
              <w:rPr>
                <w:rFonts w:hint="eastAsia" w:ascii="宋体" w:hAnsi="宋体" w:eastAsia="宋体" w:cs="宋体"/>
                <w:szCs w:val="21"/>
              </w:rPr>
              <w:t xml:space="preserve">因素</w:t>
            </w:r>
            <w:r/>
          </w:p>
        </w:tc>
        <w:tc>
          <w:tcPr>
            <w:tcW w:w="6672" w:type="dxa"/>
            <w:vAlign w:val="center"/>
            <w:textDirection w:val="lrTb"/>
            <w:noWrap w:val="false"/>
          </w:tcPr>
          <w:p>
            <w:pPr>
              <w:ind w:right="-159"/>
              <w:jc w:val="left"/>
              <w:rPr>
                <w:rFonts w:hint="eastAsia" w:ascii="宋体" w:hAnsi="宋体" w:eastAsia="宋体" w:cs="宋体"/>
                <w:szCs w:val="21"/>
              </w:rPr>
            </w:pPr>
            <w:r>
              <w:rPr>
                <w:rFonts w:hint="eastAsia" w:ascii="宋体" w:hAnsi="宋体" w:eastAsia="宋体" w:cs="宋体"/>
                <w:szCs w:val="21"/>
              </w:rPr>
              <w:t xml:space="preserve">出现下列情形之一的，为废标： </w:t>
            </w:r>
            <w:r/>
          </w:p>
          <w:p>
            <w:pPr>
              <w:ind w:right="-159"/>
              <w:jc w:val="left"/>
              <w:rPr>
                <w:rFonts w:hint="eastAsia" w:ascii="宋体" w:hAnsi="宋体" w:eastAsia="宋体" w:cs="宋体"/>
                <w:szCs w:val="21"/>
              </w:rPr>
            </w:pPr>
            <w:r>
              <w:rPr>
                <w:rFonts w:hint="eastAsia" w:ascii="宋体" w:hAnsi="宋体" w:eastAsia="宋体" w:cs="宋体"/>
                <w:szCs w:val="21"/>
              </w:rPr>
              <w:t xml:space="preserve">（一）符合专业条件的响应单位或者对招标文件作实质响应的响应单位不足三家的； </w:t>
            </w:r>
            <w:r/>
          </w:p>
          <w:p>
            <w:pPr>
              <w:ind w:right="-159"/>
              <w:jc w:val="left"/>
              <w:rPr>
                <w:rFonts w:hint="eastAsia" w:ascii="宋体" w:hAnsi="宋体" w:eastAsia="宋体" w:cs="宋体"/>
                <w:szCs w:val="21"/>
              </w:rPr>
            </w:pPr>
            <w:r>
              <w:rPr>
                <w:rFonts w:hint="eastAsia" w:ascii="宋体" w:hAnsi="宋体" w:eastAsia="宋体" w:cs="宋体"/>
                <w:szCs w:val="21"/>
              </w:rPr>
              <w:t xml:space="preserve">（二）出现影响采购公正的违法、违规行为的； </w:t>
            </w:r>
            <w:r/>
          </w:p>
          <w:p>
            <w:pPr>
              <w:ind w:right="-159"/>
              <w:jc w:val="left"/>
              <w:rPr>
                <w:rFonts w:hint="eastAsia" w:ascii="宋体" w:hAnsi="宋体" w:eastAsia="宋体" w:cs="宋体"/>
                <w:szCs w:val="21"/>
              </w:rPr>
            </w:pPr>
            <w:r>
              <w:rPr>
                <w:rFonts w:hint="eastAsia" w:ascii="宋体" w:hAnsi="宋体" w:eastAsia="宋体" w:cs="宋体"/>
                <w:szCs w:val="21"/>
              </w:rPr>
              <w:t xml:space="preserve">（三）响应单位的报价均超过了采购预算，采购人不能支付的； </w:t>
            </w:r>
            <w:r/>
          </w:p>
          <w:p>
            <w:pPr>
              <w:ind w:right="-159"/>
              <w:jc w:val="left"/>
              <w:rPr>
                <w:rFonts w:hint="eastAsia" w:ascii="宋体" w:hAnsi="宋体" w:eastAsia="宋体" w:cs="宋体"/>
                <w:szCs w:val="21"/>
              </w:rPr>
            </w:pPr>
            <w:r>
              <w:rPr>
                <w:rFonts w:hint="eastAsia" w:ascii="宋体" w:hAnsi="宋体" w:eastAsia="宋体" w:cs="宋体"/>
                <w:szCs w:val="21"/>
              </w:rPr>
              <w:t xml:space="preserve">（四）因重大变故，采购任务取消的。</w:t>
            </w:r>
            <w:r/>
          </w:p>
        </w:tc>
      </w:tr>
      <w:tr>
        <w:trPr>
          <w:jc w:val="center"/>
          <w:trHeight w:val="415"/>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12</w:t>
            </w:r>
            <w:r/>
          </w:p>
        </w:tc>
        <w:tc>
          <w:tcPr>
            <w:tcW w:w="171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投标无效因素</w:t>
            </w:r>
            <w:r/>
          </w:p>
        </w:tc>
        <w:tc>
          <w:tcPr>
            <w:tcW w:w="6672" w:type="dxa"/>
            <w:vAlign w:val="center"/>
            <w:textDirection w:val="lrTb"/>
            <w:noWrap w:val="false"/>
          </w:tcPr>
          <w:p>
            <w:pPr>
              <w:ind w:right="-159"/>
              <w:jc w:val="left"/>
              <w:rPr>
                <w:rFonts w:hint="eastAsia" w:ascii="宋体" w:hAnsi="宋体" w:eastAsia="宋体" w:cs="宋体"/>
                <w:szCs w:val="21"/>
              </w:rPr>
            </w:pPr>
            <w:r>
              <w:rPr>
                <w:rFonts w:hint="eastAsia" w:ascii="宋体" w:hAnsi="宋体" w:eastAsia="宋体" w:cs="宋体"/>
                <w:szCs w:val="21"/>
              </w:rPr>
              <w:t xml:space="preserve">（一）有下列情形之一的，视为投标人串通投标，其投标无效：</w:t>
            </w:r>
            <w:r/>
          </w:p>
          <w:p>
            <w:pPr>
              <w:ind w:right="-159"/>
              <w:jc w:val="left"/>
              <w:rPr>
                <w:rFonts w:hint="eastAsia" w:ascii="宋体" w:hAnsi="宋体" w:eastAsia="宋体" w:cs="宋体"/>
                <w:szCs w:val="21"/>
              </w:rPr>
            </w:pPr>
            <w:r>
              <w:rPr>
                <w:rFonts w:hint="eastAsia" w:ascii="宋体" w:hAnsi="宋体" w:eastAsia="宋体" w:cs="宋体"/>
                <w:szCs w:val="21"/>
              </w:rPr>
              <w:t xml:space="preserve">1.不同投标人的响应文件由同一单位或者个人编制；</w:t>
            </w:r>
            <w:r/>
          </w:p>
          <w:p>
            <w:pPr>
              <w:ind w:right="-159"/>
              <w:jc w:val="left"/>
              <w:rPr>
                <w:rFonts w:hint="eastAsia" w:ascii="宋体" w:hAnsi="宋体" w:eastAsia="宋体" w:cs="宋体"/>
                <w:szCs w:val="21"/>
              </w:rPr>
            </w:pPr>
            <w:r>
              <w:rPr>
                <w:rFonts w:hint="eastAsia" w:ascii="宋体" w:hAnsi="宋体" w:eastAsia="宋体" w:cs="宋体"/>
                <w:szCs w:val="21"/>
              </w:rPr>
              <w:t xml:space="preserve">2.不同投标人委托同一单位或者个人办理投标事宜；</w:t>
            </w:r>
            <w:r/>
          </w:p>
          <w:p>
            <w:pPr>
              <w:ind w:right="-159"/>
              <w:jc w:val="left"/>
              <w:rPr>
                <w:rFonts w:hint="eastAsia" w:ascii="宋体" w:hAnsi="宋体" w:eastAsia="宋体" w:cs="宋体"/>
                <w:szCs w:val="21"/>
              </w:rPr>
            </w:pPr>
            <w:r>
              <w:rPr>
                <w:rFonts w:hint="eastAsia" w:ascii="宋体" w:hAnsi="宋体" w:eastAsia="宋体" w:cs="宋体"/>
                <w:szCs w:val="21"/>
              </w:rPr>
              <w:t xml:space="preserve">3.不同投标人的响应文件载明的项目管理成员或者联系人员为同一人；</w:t>
            </w:r>
            <w:r/>
          </w:p>
          <w:p>
            <w:pPr>
              <w:ind w:right="-159"/>
              <w:jc w:val="left"/>
              <w:rPr>
                <w:rFonts w:hint="eastAsia" w:ascii="宋体" w:hAnsi="宋体" w:eastAsia="宋体" w:cs="宋体"/>
                <w:szCs w:val="21"/>
              </w:rPr>
            </w:pPr>
            <w:r>
              <w:rPr>
                <w:rFonts w:hint="eastAsia" w:ascii="宋体" w:hAnsi="宋体" w:eastAsia="宋体" w:cs="宋体"/>
                <w:szCs w:val="21"/>
              </w:rPr>
              <w:t xml:space="preserve">4.不同投标人的响应文件异常一致或者投标报价呈规律性差异；</w:t>
            </w:r>
            <w:r/>
          </w:p>
          <w:p>
            <w:pPr>
              <w:ind w:right="-159"/>
              <w:jc w:val="left"/>
              <w:rPr>
                <w:rFonts w:hint="eastAsia" w:ascii="宋体" w:hAnsi="宋体" w:eastAsia="宋体" w:cs="宋体"/>
                <w:szCs w:val="21"/>
              </w:rPr>
            </w:pPr>
            <w:r>
              <w:rPr>
                <w:rFonts w:hint="eastAsia" w:ascii="宋体" w:hAnsi="宋体" w:eastAsia="宋体" w:cs="宋体"/>
                <w:szCs w:val="21"/>
              </w:rPr>
              <w:t xml:space="preserve">5.不同投标人的响应文件相互混装；</w:t>
            </w:r>
            <w:r/>
          </w:p>
          <w:p>
            <w:pPr>
              <w:ind w:right="-159"/>
              <w:jc w:val="left"/>
              <w:rPr>
                <w:rFonts w:hint="eastAsia" w:ascii="宋体" w:hAnsi="宋体" w:eastAsia="宋体" w:cs="宋体"/>
                <w:szCs w:val="21"/>
              </w:rPr>
            </w:pPr>
            <w:r>
              <w:rPr>
                <w:rFonts w:hint="eastAsia" w:ascii="宋体" w:hAnsi="宋体" w:eastAsia="宋体" w:cs="宋体"/>
                <w:szCs w:val="21"/>
              </w:rPr>
              <w:t xml:space="preserve">6.不同投标人的投标保证金从同一单位或者个人的账户转出；</w:t>
            </w:r>
            <w:r/>
          </w:p>
          <w:p>
            <w:pPr>
              <w:ind w:right="-159"/>
              <w:jc w:val="left"/>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b/>
                <w:bCs/>
                <w:szCs w:val="21"/>
              </w:rPr>
              <w:t xml:space="preserve">不同投标（响应）文件制作机器码一致，则投标无效；</w:t>
            </w:r>
            <w:r/>
          </w:p>
          <w:p>
            <w:pPr>
              <w:ind w:right="-159"/>
              <w:jc w:val="left"/>
              <w:rPr>
                <w:rFonts w:hint="eastAsia" w:ascii="宋体" w:hAnsi="宋体" w:eastAsia="宋体" w:cs="宋体"/>
                <w:szCs w:val="21"/>
              </w:rPr>
            </w:pPr>
            <w:r>
              <w:rPr>
                <w:rFonts w:hint="eastAsia" w:ascii="宋体" w:hAnsi="宋体" w:eastAsia="宋体" w:cs="宋体"/>
                <w:szCs w:val="21"/>
              </w:rPr>
              <w:t xml:space="preserve">（二）投标人存在下列情况之一的，投标无效:</w:t>
            </w:r>
            <w:r/>
          </w:p>
          <w:p>
            <w:pPr>
              <w:ind w:right="-159"/>
              <w:jc w:val="left"/>
              <w:rPr>
                <w:rFonts w:hint="eastAsia" w:ascii="宋体" w:hAnsi="宋体" w:eastAsia="宋体" w:cs="宋体"/>
                <w:szCs w:val="21"/>
              </w:rPr>
            </w:pPr>
            <w:r>
              <w:rPr>
                <w:rFonts w:hint="eastAsia" w:ascii="宋体" w:hAnsi="宋体" w:eastAsia="宋体" w:cs="宋体"/>
                <w:szCs w:val="21"/>
              </w:rPr>
              <w:t xml:space="preserve">1.未按照招标文件的规定提交投标保证金的；</w:t>
            </w:r>
            <w:r/>
          </w:p>
          <w:p>
            <w:pPr>
              <w:ind w:right="-159"/>
              <w:jc w:val="left"/>
              <w:rPr>
                <w:rFonts w:hint="eastAsia" w:ascii="宋体" w:hAnsi="宋体" w:eastAsia="宋体" w:cs="宋体"/>
                <w:szCs w:val="21"/>
              </w:rPr>
            </w:pPr>
            <w:r>
              <w:rPr>
                <w:rFonts w:hint="eastAsia" w:ascii="宋体" w:hAnsi="宋体" w:eastAsia="宋体" w:cs="宋体"/>
                <w:szCs w:val="21"/>
              </w:rPr>
              <w:t xml:space="preserve">2.未按照招标文件规定要求签署、盖章；</w:t>
            </w:r>
            <w:r/>
          </w:p>
          <w:p>
            <w:pPr>
              <w:ind w:right="-159"/>
              <w:jc w:val="left"/>
              <w:rPr>
                <w:rFonts w:hint="eastAsia" w:ascii="宋体" w:hAnsi="宋体" w:eastAsia="宋体" w:cs="宋体"/>
                <w:szCs w:val="21"/>
              </w:rPr>
            </w:pPr>
            <w:r>
              <w:rPr>
                <w:rFonts w:hint="eastAsia" w:ascii="宋体" w:hAnsi="宋体" w:eastAsia="宋体" w:cs="宋体"/>
                <w:szCs w:val="21"/>
              </w:rPr>
              <w:t xml:space="preserve">3.不具备招标文件中规定资格要求；</w:t>
            </w:r>
            <w:r/>
          </w:p>
          <w:p>
            <w:pPr>
              <w:ind w:right="-159"/>
              <w:jc w:val="left"/>
              <w:rPr>
                <w:rFonts w:hint="eastAsia" w:ascii="宋体" w:hAnsi="宋体" w:eastAsia="宋体" w:cs="宋体"/>
                <w:szCs w:val="21"/>
              </w:rPr>
            </w:pPr>
            <w:r>
              <w:rPr>
                <w:rFonts w:hint="eastAsia" w:ascii="宋体" w:hAnsi="宋体" w:eastAsia="宋体" w:cs="宋体"/>
                <w:szCs w:val="21"/>
              </w:rPr>
              <w:t xml:space="preserve">4.报价超过招标文件中规定的采购预算金额的；</w:t>
            </w:r>
            <w:r/>
          </w:p>
          <w:p>
            <w:pPr>
              <w:ind w:right="-159"/>
              <w:jc w:val="left"/>
              <w:rPr>
                <w:rFonts w:hint="eastAsia" w:ascii="宋体" w:hAnsi="宋体" w:eastAsia="宋体" w:cs="宋体"/>
                <w:szCs w:val="21"/>
              </w:rPr>
            </w:pPr>
            <w:r>
              <w:rPr>
                <w:rFonts w:hint="eastAsia" w:ascii="宋体" w:hAnsi="宋体" w:eastAsia="宋体" w:cs="宋体"/>
                <w:szCs w:val="21"/>
              </w:rPr>
              <w:t xml:space="preserve">5.响应文件含有采购人不能接受的附加条件的；</w:t>
            </w:r>
            <w:r/>
          </w:p>
          <w:p>
            <w:pPr>
              <w:ind w:right="-159"/>
              <w:jc w:val="left"/>
              <w:rPr>
                <w:rFonts w:hint="eastAsia" w:ascii="宋体" w:hAnsi="宋体" w:eastAsia="宋体" w:cs="宋体"/>
                <w:szCs w:val="21"/>
              </w:rPr>
            </w:pPr>
            <w:r>
              <w:rPr>
                <w:rFonts w:hint="eastAsia" w:ascii="宋体" w:hAnsi="宋体" w:eastAsia="宋体" w:cs="宋体"/>
                <w:szCs w:val="21"/>
              </w:rPr>
              <w:t xml:space="preserve">6.法律、法规和招标文件规定的其他无效情形；</w:t>
            </w:r>
            <w:r/>
          </w:p>
        </w:tc>
      </w:tr>
      <w:tr>
        <w:trPr>
          <w:jc w:val="center"/>
          <w:trHeight w:val="1145"/>
        </w:trPr>
        <w:tc>
          <w:tcPr>
            <w:tcW w:w="65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13</w:t>
            </w:r>
            <w:r/>
          </w:p>
        </w:tc>
        <w:tc>
          <w:tcPr>
            <w:tcW w:w="171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成交服务费</w:t>
            </w:r>
            <w:r/>
          </w:p>
        </w:tc>
        <w:tc>
          <w:tcPr>
            <w:tcW w:w="6672" w:type="dxa"/>
            <w:vAlign w:val="center"/>
            <w:textDirection w:val="lrTb"/>
            <w:noWrap w:val="false"/>
          </w:tcPr>
          <w:p>
            <w:pPr>
              <w:ind w:right="-159"/>
              <w:jc w:val="left"/>
              <w:rPr>
                <w:rFonts w:hint="eastAsia" w:ascii="宋体" w:hAnsi="宋体" w:eastAsia="宋体" w:cs="宋体"/>
                <w:szCs w:val="21"/>
              </w:rPr>
            </w:pPr>
            <w:r>
              <w:rPr>
                <w:rFonts w:hint="eastAsia" w:ascii="宋体" w:hAnsi="宋体" w:eastAsia="宋体" w:cs="宋体"/>
                <w:szCs w:val="21"/>
              </w:rPr>
              <w:t xml:space="preserve">本项目成交服务费由成交单位支付。</w:t>
            </w:r>
            <w:r/>
          </w:p>
          <w:p>
            <w:pPr>
              <w:ind w:right="-159"/>
              <w:jc w:val="left"/>
              <w:rPr>
                <w:rFonts w:hint="eastAsia" w:ascii="宋体" w:hAnsi="宋体" w:eastAsia="宋体" w:cs="宋体"/>
                <w:szCs w:val="21"/>
              </w:rPr>
            </w:pPr>
            <w:r>
              <w:rPr>
                <w:rFonts w:hint="eastAsia" w:ascii="宋体" w:hAnsi="宋体" w:eastAsia="宋体" w:cs="宋体"/>
                <w:szCs w:val="21"/>
              </w:rPr>
              <w:t xml:space="preserve">费用收取按苏财购告[2016]43号公示内容执行。按照采购预算金额的如下比例进行计算：即100万元以内1.5%、100～500万元以1.1%、500~1000万元以0.8%，差额定率累进法计算；</w:t>
            </w:r>
            <w:r/>
          </w:p>
          <w:p>
            <w:pPr>
              <w:ind w:right="-159"/>
              <w:jc w:val="left"/>
              <w:rPr>
                <w:rFonts w:hint="eastAsia" w:ascii="宋体" w:hAnsi="宋体" w:eastAsia="宋体" w:cs="宋体"/>
                <w:szCs w:val="21"/>
                <w:lang w:eastAsia="zh-CN"/>
              </w:rPr>
            </w:pPr>
            <w:r>
              <w:rPr>
                <w:rFonts w:hint="eastAsia" w:ascii="宋体" w:hAnsi="宋体" w:eastAsia="宋体" w:cs="宋体"/>
                <w:szCs w:val="21"/>
              </w:rPr>
              <w:t xml:space="preserve">本项目成交服务费为：</w:t>
            </w:r>
            <w:r>
              <w:rPr>
                <w:rFonts w:hint="eastAsia" w:ascii="宋体" w:hAnsi="宋体" w:cs="宋体"/>
                <w:szCs w:val="21"/>
                <w:lang w:val="en-US" w:eastAsia="zh-CN"/>
              </w:rPr>
              <w:t xml:space="preserve">11783</w:t>
            </w:r>
            <w:r>
              <w:rPr>
                <w:rFonts w:hint="eastAsia" w:ascii="宋体" w:hAnsi="宋体" w:eastAsia="宋体" w:cs="宋体"/>
                <w:szCs w:val="21"/>
              </w:rPr>
              <w:t xml:space="preserve">元</w:t>
            </w:r>
            <w:r>
              <w:rPr>
                <w:rFonts w:hint="eastAsia" w:ascii="宋体" w:hAnsi="宋体" w:cs="宋体"/>
                <w:szCs w:val="21"/>
                <w:lang w:eastAsia="zh-CN"/>
              </w:rPr>
              <w:t xml:space="preserve">。</w:t>
            </w:r>
            <w:r/>
          </w:p>
        </w:tc>
      </w:tr>
    </w:tbl>
    <w:p>
      <w:pPr>
        <w:jc w:val="center"/>
        <w:spacing w:line="360" w:lineRule="auto"/>
        <w:tabs>
          <w:tab w:val="left" w:pos="315" w:leader="none"/>
          <w:tab w:val="center" w:pos="4153" w:leader="none"/>
        </w:tabs>
      </w:pPr>
      <w:r>
        <w:rPr>
          <w:rFonts w:hint="eastAsia" w:ascii="宋体" w:hAnsi="宋体"/>
          <w:b/>
          <w:sz w:val="32"/>
          <w:szCs w:val="32"/>
        </w:rPr>
        <w:br w:type="page" w:clear="all"/>
      </w:r>
      <w:r/>
    </w:p>
    <w:p>
      <w:pPr>
        <w:jc w:val="center"/>
        <w:spacing w:line="360" w:lineRule="auto"/>
        <w:tabs>
          <w:tab w:val="left" w:pos="315" w:leader="none"/>
          <w:tab w:val="center" w:pos="4153" w:leader="none"/>
        </w:tabs>
        <w:rPr>
          <w:rFonts w:ascii="宋体" w:hAnsi="宋体"/>
        </w:rPr>
      </w:pPr>
      <w:r>
        <w:rPr>
          <w:rFonts w:ascii="宋体" w:hAnsi="宋体"/>
        </w:rPr>
      </w:r>
      <w:r/>
    </w:p>
    <w:p>
      <w:pPr>
        <w:jc w:val="center"/>
        <w:spacing w:line="360" w:lineRule="auto"/>
        <w:tabs>
          <w:tab w:val="left" w:pos="315" w:leader="none"/>
          <w:tab w:val="center" w:pos="4153" w:leader="none"/>
        </w:tabs>
        <w:rPr>
          <w:rFonts w:ascii="黑体" w:hAnsi="宋体" w:eastAsia="黑体" w:cs="宋体"/>
          <w:b/>
          <w:sz w:val="44"/>
        </w:rPr>
      </w:pPr>
      <w:r>
        <w:rPr>
          <w:rFonts w:hint="eastAsia" w:ascii="黑体" w:hAnsi="宋体" w:eastAsia="黑体" w:cs="宋体"/>
          <w:b/>
          <w:sz w:val="44"/>
        </w:rPr>
        <w:t xml:space="preserve">总目录</w:t>
      </w:r>
      <w:r/>
    </w:p>
    <w:p>
      <w:pPr>
        <w:jc w:val="center"/>
        <w:spacing w:line="360" w:lineRule="auto"/>
        <w:tabs>
          <w:tab w:val="left" w:pos="315" w:leader="none"/>
          <w:tab w:val="center" w:pos="4153" w:leader="none"/>
        </w:tabs>
        <w:rPr>
          <w:rFonts w:ascii="宋体" w:hAnsi="宋体" w:cs="宋体"/>
          <w:b/>
          <w:sz w:val="24"/>
        </w:rPr>
      </w:pPr>
      <w:r>
        <w:rPr>
          <w:rFonts w:ascii="宋体" w:hAnsi="宋体" w:cs="宋体"/>
          <w:b/>
          <w:sz w:val="24"/>
        </w:rPr>
      </w:r>
      <w:r/>
    </w:p>
    <w:p>
      <w:pPr>
        <w:spacing w:line="360" w:lineRule="auto"/>
        <w:tabs>
          <w:tab w:val="left" w:pos="315" w:leader="none"/>
          <w:tab w:val="center" w:pos="4153" w:leader="none"/>
        </w:tabs>
        <w:rPr>
          <w:rFonts w:eastAsia="黑体"/>
          <w:sz w:val="24"/>
        </w:rPr>
      </w:pPr>
      <w:r>
        <w:rPr>
          <w:rFonts w:eastAsia="黑体"/>
          <w:sz w:val="24"/>
        </w:rPr>
      </w:r>
      <w:r/>
    </w:p>
    <w:p>
      <w:pPr>
        <w:spacing w:line="360" w:lineRule="auto"/>
        <w:tabs>
          <w:tab w:val="left" w:pos="315" w:leader="none"/>
          <w:tab w:val="center" w:pos="4153" w:leader="none"/>
        </w:tabs>
        <w:rPr>
          <w:rFonts w:eastAsia="黑体"/>
          <w:b/>
          <w:sz w:val="24"/>
        </w:rPr>
      </w:pPr>
      <w:r>
        <w:rPr>
          <w:rFonts w:eastAsia="黑体"/>
          <w:b/>
          <w:sz w:val="24"/>
        </w:rPr>
      </w:r>
      <w:r/>
    </w:p>
    <w:p>
      <w:pPr>
        <w:spacing w:line="360" w:lineRule="auto"/>
        <w:tabs>
          <w:tab w:val="left" w:pos="315" w:leader="none"/>
          <w:tab w:val="center" w:pos="4153" w:leader="none"/>
        </w:tabs>
        <w:rPr>
          <w:rFonts w:eastAsia="黑体"/>
          <w:b/>
          <w:sz w:val="24"/>
        </w:rPr>
      </w:pPr>
      <w:r>
        <w:rPr>
          <w:rFonts w:eastAsia="黑体"/>
          <w:b/>
          <w:sz w:val="24"/>
        </w:rPr>
      </w:r>
      <w:r/>
    </w:p>
    <w:p>
      <w:pPr>
        <w:pStyle w:val="875"/>
        <w:spacing w:line="480" w:lineRule="auto"/>
        <w:tabs>
          <w:tab w:val="right" w:pos="8302" w:leader="dot"/>
        </w:tabs>
        <w:rPr>
          <w:rFonts w:eastAsia="宋体"/>
          <w:sz w:val="32"/>
          <w:szCs w:val="22"/>
        </w:rPr>
      </w:pPr>
      <w:r>
        <w:rPr>
          <w:rFonts w:eastAsia="黑体"/>
          <w:sz w:val="240"/>
        </w:rPr>
        <w:fldChar w:fldCharType="begin"/>
      </w:r>
      <w:r>
        <w:rPr>
          <w:rFonts w:eastAsia="黑体"/>
          <w:sz w:val="240"/>
        </w:rPr>
        <w:instrText xml:space="preserve"> TOC \o "1-1" \h \z \u </w:instrText>
      </w:r>
      <w:r>
        <w:rPr>
          <w:rFonts w:eastAsia="黑体"/>
          <w:sz w:val="240"/>
        </w:rPr>
        <w:fldChar w:fldCharType="separate"/>
      </w:r>
      <w:r>
        <w:fldChar w:fldCharType="begin"/>
      </w:r>
      <w:r>
        <w:instrText xml:space="preserve"> HYPERLINK \l "_Toc35852048" </w:instrText>
      </w:r>
      <w:r>
        <w:fldChar w:fldCharType="separate"/>
      </w:r>
      <w:r>
        <w:rPr>
          <w:rStyle w:val="902"/>
          <w:rFonts w:hint="eastAsia" w:ascii="黑体" w:hAnsi="宋体" w:eastAsia="黑体"/>
          <w:color w:val="auto"/>
          <w:sz w:val="40"/>
        </w:rPr>
        <w:t xml:space="preserve">第一章  竞争性磋商公告</w:t>
      </w:r>
      <w:r>
        <w:rPr>
          <w:rFonts w:hint="eastAsia"/>
          <w:sz w:val="40"/>
        </w:rPr>
        <w:tab/>
      </w:r>
      <w:r>
        <w:rPr>
          <w:rFonts w:hint="eastAsia"/>
          <w:sz w:val="40"/>
        </w:rPr>
        <w:fldChar w:fldCharType="begin"/>
      </w:r>
      <w:r>
        <w:rPr>
          <w:rFonts w:hint="eastAsia"/>
          <w:sz w:val="40"/>
        </w:rPr>
        <w:instrText xml:space="preserve"> </w:instrText>
      </w:r>
      <w:r>
        <w:rPr>
          <w:sz w:val="40"/>
        </w:rPr>
        <w:instrText xml:space="preserve">PAGEREF _Toc35852048 \h</w:instrText>
      </w:r>
      <w:r>
        <w:rPr>
          <w:rFonts w:hint="eastAsia"/>
          <w:sz w:val="40"/>
        </w:rPr>
        <w:instrText xml:space="preserve"> </w:instrText>
      </w:r>
      <w:r>
        <w:rPr>
          <w:rFonts w:hint="eastAsia"/>
          <w:sz w:val="40"/>
        </w:rPr>
        <w:fldChar w:fldCharType="separate"/>
      </w:r>
      <w:r>
        <w:rPr>
          <w:sz w:val="40"/>
        </w:rPr>
        <w:t xml:space="preserve">1</w:t>
      </w:r>
      <w:r>
        <w:rPr>
          <w:rFonts w:hint="eastAsia"/>
          <w:sz w:val="40"/>
        </w:rPr>
        <w:fldChar w:fldCharType="end"/>
      </w:r>
      <w:r>
        <w:rPr>
          <w:rFonts w:hint="eastAsia"/>
          <w:sz w:val="40"/>
        </w:rPr>
        <w:fldChar w:fldCharType="end"/>
      </w:r>
      <w:r/>
    </w:p>
    <w:p>
      <w:pPr>
        <w:pStyle w:val="875"/>
        <w:spacing w:line="480" w:lineRule="auto"/>
        <w:tabs>
          <w:tab w:val="right" w:pos="8302" w:leader="dot"/>
        </w:tabs>
        <w:rPr>
          <w:rFonts w:eastAsia="宋体"/>
          <w:sz w:val="32"/>
          <w:szCs w:val="22"/>
        </w:rPr>
      </w:pPr>
      <w:r>
        <w:fldChar w:fldCharType="begin"/>
      </w:r>
      <w:r>
        <w:instrText xml:space="preserve"> HYPERLINK \l "_Toc35852049" </w:instrText>
      </w:r>
      <w:r>
        <w:fldChar w:fldCharType="separate"/>
      </w:r>
      <w:r>
        <w:rPr>
          <w:rStyle w:val="902"/>
          <w:rFonts w:hint="eastAsia" w:ascii="黑体" w:hAnsi="宋体" w:eastAsia="黑体"/>
          <w:color w:val="auto"/>
          <w:sz w:val="40"/>
        </w:rPr>
        <w:t xml:space="preserve">第二章  磋商响应文件格式</w:t>
      </w:r>
      <w:r>
        <w:rPr>
          <w:rFonts w:hint="eastAsia"/>
          <w:sz w:val="40"/>
        </w:rPr>
        <w:tab/>
      </w:r>
      <w:r>
        <w:rPr>
          <w:rFonts w:hint="eastAsia"/>
          <w:sz w:val="40"/>
        </w:rPr>
        <w:fldChar w:fldCharType="begin"/>
      </w:r>
      <w:r>
        <w:rPr>
          <w:rFonts w:hint="eastAsia"/>
          <w:sz w:val="40"/>
        </w:rPr>
        <w:instrText xml:space="preserve"> </w:instrText>
      </w:r>
      <w:r>
        <w:rPr>
          <w:sz w:val="40"/>
        </w:rPr>
        <w:instrText xml:space="preserve">PAGEREF _Toc35852049 \h</w:instrText>
      </w:r>
      <w:r>
        <w:rPr>
          <w:rFonts w:hint="eastAsia"/>
          <w:sz w:val="40"/>
        </w:rPr>
        <w:instrText xml:space="preserve"> </w:instrText>
      </w:r>
      <w:r>
        <w:rPr>
          <w:rFonts w:hint="eastAsia"/>
          <w:sz w:val="40"/>
        </w:rPr>
        <w:fldChar w:fldCharType="separate"/>
      </w:r>
      <w:r>
        <w:rPr>
          <w:sz w:val="40"/>
        </w:rPr>
        <w:t xml:space="preserve">9</w:t>
      </w:r>
      <w:r>
        <w:rPr>
          <w:rFonts w:hint="eastAsia"/>
          <w:sz w:val="40"/>
        </w:rPr>
        <w:fldChar w:fldCharType="end"/>
      </w:r>
      <w:r>
        <w:rPr>
          <w:rFonts w:hint="eastAsia"/>
          <w:sz w:val="40"/>
        </w:rPr>
        <w:fldChar w:fldCharType="end"/>
      </w:r>
      <w:r/>
    </w:p>
    <w:p>
      <w:pPr>
        <w:pStyle w:val="875"/>
        <w:spacing w:line="480" w:lineRule="auto"/>
        <w:tabs>
          <w:tab w:val="right" w:pos="8302" w:leader="dot"/>
        </w:tabs>
        <w:rPr>
          <w:rFonts w:eastAsia="宋体"/>
          <w:sz w:val="32"/>
          <w:szCs w:val="22"/>
        </w:rPr>
      </w:pPr>
      <w:r>
        <w:fldChar w:fldCharType="begin"/>
      </w:r>
      <w:r>
        <w:instrText xml:space="preserve"> HYPERLINK \l "_Toc35852050" </w:instrText>
      </w:r>
      <w:r>
        <w:fldChar w:fldCharType="separate"/>
      </w:r>
      <w:r>
        <w:rPr>
          <w:rStyle w:val="902"/>
          <w:rFonts w:hint="eastAsia" w:ascii="黑体" w:hAnsi="宋体" w:eastAsia="黑体"/>
          <w:color w:val="auto"/>
          <w:sz w:val="40"/>
        </w:rPr>
        <w:t xml:space="preserve">第三章  采购内容</w:t>
      </w:r>
      <w:r>
        <w:rPr>
          <w:rFonts w:hint="eastAsia"/>
          <w:sz w:val="40"/>
        </w:rPr>
        <w:tab/>
      </w:r>
      <w:r>
        <w:rPr>
          <w:rFonts w:hint="eastAsia"/>
          <w:sz w:val="40"/>
        </w:rPr>
        <w:fldChar w:fldCharType="begin"/>
      </w:r>
      <w:r>
        <w:rPr>
          <w:rFonts w:hint="eastAsia"/>
          <w:sz w:val="40"/>
        </w:rPr>
        <w:instrText xml:space="preserve"> </w:instrText>
      </w:r>
      <w:r>
        <w:rPr>
          <w:sz w:val="40"/>
        </w:rPr>
        <w:instrText xml:space="preserve">PAGEREF _Toc35852050 \h</w:instrText>
      </w:r>
      <w:r>
        <w:rPr>
          <w:rFonts w:hint="eastAsia"/>
          <w:sz w:val="40"/>
        </w:rPr>
        <w:instrText xml:space="preserve"> </w:instrText>
      </w:r>
      <w:r>
        <w:rPr>
          <w:rFonts w:hint="eastAsia"/>
          <w:sz w:val="40"/>
        </w:rPr>
        <w:fldChar w:fldCharType="separate"/>
      </w:r>
      <w:r>
        <w:rPr>
          <w:sz w:val="40"/>
        </w:rPr>
        <w:t xml:space="preserve">27</w:t>
      </w:r>
      <w:r>
        <w:rPr>
          <w:rFonts w:hint="eastAsia"/>
          <w:sz w:val="40"/>
        </w:rPr>
        <w:fldChar w:fldCharType="end"/>
      </w:r>
      <w:r>
        <w:rPr>
          <w:rFonts w:hint="eastAsia"/>
          <w:sz w:val="40"/>
        </w:rPr>
        <w:fldChar w:fldCharType="end"/>
      </w:r>
      <w:r/>
    </w:p>
    <w:p>
      <w:pPr>
        <w:pStyle w:val="875"/>
        <w:spacing w:line="480" w:lineRule="auto"/>
        <w:tabs>
          <w:tab w:val="right" w:pos="8302" w:leader="dot"/>
        </w:tabs>
        <w:rPr>
          <w:rFonts w:eastAsia="宋体"/>
          <w:sz w:val="32"/>
          <w:szCs w:val="22"/>
        </w:rPr>
      </w:pPr>
      <w:r>
        <w:fldChar w:fldCharType="begin"/>
      </w:r>
      <w:r>
        <w:instrText xml:space="preserve"> HYPERLINK \l "_Toc35852051" </w:instrText>
      </w:r>
      <w:r>
        <w:fldChar w:fldCharType="separate"/>
      </w:r>
      <w:r>
        <w:rPr>
          <w:rStyle w:val="902"/>
          <w:rFonts w:hint="eastAsia" w:ascii="黑体" w:hAnsi="宋体" w:eastAsia="黑体"/>
          <w:color w:val="auto"/>
          <w:sz w:val="40"/>
        </w:rPr>
        <w:t xml:space="preserve">第四章  合同主要条款</w:t>
      </w:r>
      <w:r>
        <w:rPr>
          <w:rFonts w:hint="eastAsia"/>
          <w:sz w:val="40"/>
        </w:rPr>
        <w:tab/>
      </w:r>
      <w:r>
        <w:rPr>
          <w:rFonts w:hint="eastAsia"/>
          <w:sz w:val="40"/>
        </w:rPr>
        <w:fldChar w:fldCharType="begin"/>
      </w:r>
      <w:r>
        <w:rPr>
          <w:rFonts w:hint="eastAsia"/>
          <w:sz w:val="40"/>
        </w:rPr>
        <w:instrText xml:space="preserve"> </w:instrText>
      </w:r>
      <w:r>
        <w:rPr>
          <w:sz w:val="40"/>
        </w:rPr>
        <w:instrText xml:space="preserve">PAGEREF _Toc35852051 \h</w:instrText>
      </w:r>
      <w:r>
        <w:rPr>
          <w:rFonts w:hint="eastAsia"/>
          <w:sz w:val="40"/>
        </w:rPr>
        <w:instrText xml:space="preserve"> </w:instrText>
      </w:r>
      <w:r>
        <w:rPr>
          <w:rFonts w:hint="eastAsia"/>
          <w:sz w:val="40"/>
        </w:rPr>
        <w:fldChar w:fldCharType="separate"/>
      </w:r>
      <w:r>
        <w:rPr>
          <w:sz w:val="40"/>
        </w:rPr>
        <w:t xml:space="preserve">40</w:t>
      </w:r>
      <w:r>
        <w:rPr>
          <w:rFonts w:hint="eastAsia"/>
          <w:sz w:val="40"/>
        </w:rPr>
        <w:fldChar w:fldCharType="end"/>
      </w:r>
      <w:r>
        <w:rPr>
          <w:rFonts w:hint="eastAsia"/>
          <w:sz w:val="40"/>
        </w:rPr>
        <w:fldChar w:fldCharType="end"/>
      </w:r>
      <w:r/>
    </w:p>
    <w:p>
      <w:pPr>
        <w:pStyle w:val="875"/>
        <w:spacing w:line="480" w:lineRule="auto"/>
        <w:tabs>
          <w:tab w:val="right" w:pos="8302" w:leader="dot"/>
        </w:tabs>
        <w:rPr>
          <w:rFonts w:eastAsia="宋体"/>
          <w:sz w:val="32"/>
          <w:szCs w:val="22"/>
        </w:rPr>
      </w:pPr>
      <w:r>
        <w:fldChar w:fldCharType="begin"/>
      </w:r>
      <w:r>
        <w:instrText xml:space="preserve"> HYPERLINK \l "_Toc35852052" </w:instrText>
      </w:r>
      <w:r>
        <w:fldChar w:fldCharType="separate"/>
      </w:r>
      <w:r>
        <w:rPr>
          <w:rStyle w:val="902"/>
          <w:rFonts w:hint="eastAsia" w:ascii="黑体" w:hAnsi="宋体" w:eastAsia="黑体"/>
          <w:color w:val="auto"/>
          <w:sz w:val="40"/>
        </w:rPr>
        <w:t xml:space="preserve">第五章  评审办法</w:t>
      </w:r>
      <w:r>
        <w:rPr>
          <w:rFonts w:hint="eastAsia"/>
          <w:sz w:val="40"/>
        </w:rPr>
        <w:tab/>
      </w:r>
      <w:r>
        <w:rPr>
          <w:rFonts w:hint="eastAsia"/>
          <w:sz w:val="40"/>
        </w:rPr>
        <w:fldChar w:fldCharType="begin"/>
      </w:r>
      <w:r>
        <w:rPr>
          <w:rFonts w:hint="eastAsia"/>
          <w:sz w:val="40"/>
        </w:rPr>
        <w:instrText xml:space="preserve"> </w:instrText>
      </w:r>
      <w:r>
        <w:rPr>
          <w:sz w:val="40"/>
        </w:rPr>
        <w:instrText xml:space="preserve">PAGEREF _Toc35852052 \h</w:instrText>
      </w:r>
      <w:r>
        <w:rPr>
          <w:rFonts w:hint="eastAsia"/>
          <w:sz w:val="40"/>
        </w:rPr>
        <w:instrText xml:space="preserve"> </w:instrText>
      </w:r>
      <w:r>
        <w:rPr>
          <w:rFonts w:hint="eastAsia"/>
          <w:sz w:val="40"/>
        </w:rPr>
        <w:fldChar w:fldCharType="separate"/>
      </w:r>
      <w:r>
        <w:rPr>
          <w:sz w:val="40"/>
        </w:rPr>
        <w:t xml:space="preserve">41</w:t>
      </w:r>
      <w:r>
        <w:rPr>
          <w:rFonts w:hint="eastAsia"/>
          <w:sz w:val="40"/>
        </w:rPr>
        <w:fldChar w:fldCharType="end"/>
      </w:r>
      <w:r>
        <w:rPr>
          <w:rFonts w:hint="eastAsia"/>
          <w:sz w:val="40"/>
        </w:rPr>
        <w:fldChar w:fldCharType="end"/>
      </w:r>
      <w:r/>
    </w:p>
    <w:p>
      <w:pPr>
        <w:spacing w:line="480" w:lineRule="auto"/>
        <w:tabs>
          <w:tab w:val="left" w:pos="315" w:leader="none"/>
          <w:tab w:val="center" w:pos="4153" w:leader="none"/>
        </w:tabs>
        <w:rPr>
          <w:rFonts w:eastAsia="黑体"/>
          <w:b/>
          <w:sz w:val="24"/>
        </w:rPr>
      </w:pPr>
      <w:r>
        <w:rPr>
          <w:rFonts w:eastAsia="黑体"/>
          <w:sz w:val="240"/>
        </w:rPr>
        <w:fldChar w:fldCharType="end"/>
      </w:r>
      <w:r/>
    </w:p>
    <w:p>
      <w:pPr>
        <w:tabs>
          <w:tab w:val="left" w:pos="315" w:leader="none"/>
          <w:tab w:val="center" w:pos="4153" w:leader="none"/>
        </w:tabs>
        <w:rPr>
          <w:rFonts w:eastAsia="黑体"/>
          <w:b/>
          <w:sz w:val="24"/>
        </w:rPr>
      </w:pPr>
      <w:r>
        <w:rPr>
          <w:rFonts w:eastAsia="黑体"/>
          <w:b/>
          <w:sz w:val="24"/>
        </w:rPr>
      </w:r>
      <w:r/>
    </w:p>
    <w:p>
      <w:pPr>
        <w:tabs>
          <w:tab w:val="left" w:pos="315" w:leader="none"/>
          <w:tab w:val="center" w:pos="4153" w:leader="none"/>
        </w:tabs>
        <w:rPr>
          <w:rFonts w:eastAsia="黑体"/>
          <w:b/>
          <w:sz w:val="24"/>
        </w:rPr>
      </w:pPr>
      <w:r>
        <w:rPr>
          <w:rFonts w:eastAsia="黑体"/>
          <w:b/>
          <w:sz w:val="24"/>
        </w:rPr>
      </w:r>
      <w:r/>
    </w:p>
    <w:p>
      <w:pPr>
        <w:jc w:val="center"/>
        <w:tabs>
          <w:tab w:val="left" w:pos="315" w:leader="none"/>
          <w:tab w:val="center" w:pos="4153" w:leader="none"/>
        </w:tabs>
        <w:rPr>
          <w:rFonts w:eastAsia="黑体"/>
          <w:b/>
          <w:sz w:val="24"/>
        </w:rPr>
        <w:sectPr>
          <w:headerReference w:type="default" r:id="rId9"/>
          <w:headerReference w:type="first" r:id="rId10"/>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eastAsia="黑体"/>
          <w:b/>
          <w:sz w:val="24"/>
        </w:rPr>
      </w:r>
      <w:r/>
    </w:p>
    <w:p>
      <w:pPr>
        <w:rPr>
          <w:rFonts w:ascii="宋体" w:hAnsi="宋体"/>
          <w:b/>
          <w:sz w:val="32"/>
        </w:rPr>
      </w:pPr>
      <w:r>
        <w:rPr>
          <w:rFonts w:ascii="宋体" w:hAnsi="宋体"/>
          <w:b/>
          <w:sz w:val="32"/>
        </w:rPr>
      </w:r>
      <w:r/>
    </w:p>
    <w:p>
      <w:pPr>
        <w:rPr>
          <w:rFonts w:ascii="宋体" w:hAnsi="宋体"/>
          <w:b/>
          <w:sz w:val="32"/>
        </w:rPr>
      </w:pPr>
      <w:r>
        <w:rPr>
          <w:rFonts w:ascii="宋体" w:hAnsi="宋体"/>
          <w:b/>
          <w:sz w:val="32"/>
        </w:rPr>
      </w:r>
      <w:r/>
    </w:p>
    <w:p>
      <w:pPr>
        <w:rPr>
          <w:rFonts w:ascii="宋体" w:hAnsi="宋体"/>
          <w:b/>
          <w:sz w:val="32"/>
        </w:rPr>
      </w:pPr>
      <w:r>
        <w:rPr>
          <w:rFonts w:ascii="宋体" w:hAnsi="宋体"/>
          <w:b/>
          <w:sz w:val="32"/>
        </w:rPr>
      </w:r>
      <w:r/>
    </w:p>
    <w:p>
      <w:pPr>
        <w:rPr>
          <w:rFonts w:ascii="宋体" w:hAnsi="宋体"/>
          <w:b/>
          <w:sz w:val="32"/>
        </w:rPr>
      </w:pPr>
      <w:r>
        <w:rPr>
          <w:rFonts w:ascii="宋体" w:hAnsi="宋体"/>
          <w:b/>
          <w:sz w:val="32"/>
        </w:rPr>
      </w:r>
      <w:r/>
    </w:p>
    <w:p>
      <w:pPr>
        <w:rPr>
          <w:rFonts w:ascii="宋体" w:hAnsi="宋体"/>
          <w:b/>
          <w:sz w:val="32"/>
        </w:rPr>
      </w:pPr>
      <w:r>
        <w:rPr>
          <w:rFonts w:ascii="宋体" w:hAnsi="宋体"/>
          <w:b/>
          <w:sz w:val="32"/>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836"/>
        <w:jc w:val="center"/>
        <w:rPr>
          <w:rFonts w:ascii="黑体" w:hAnsi="宋体" w:eastAsia="黑体"/>
          <w:sz w:val="52"/>
        </w:rPr>
      </w:pPr>
      <w:r/>
      <w:bookmarkStart w:id="0" w:name="_Toc35852048"/>
      <w:r/>
      <w:bookmarkStart w:id="1" w:name="_Toc474491763"/>
      <w:r>
        <w:rPr>
          <w:rFonts w:hint="eastAsia" w:ascii="黑体" w:hAnsi="宋体" w:eastAsia="黑体"/>
          <w:sz w:val="52"/>
        </w:rPr>
        <w:t xml:space="preserve">第一章  </w:t>
      </w:r>
      <w:bookmarkEnd w:id="0"/>
      <w:r/>
      <w:bookmarkEnd w:id="1"/>
      <w:r>
        <w:rPr>
          <w:rFonts w:hint="eastAsia" w:ascii="黑体" w:hAnsi="宋体" w:eastAsia="黑体"/>
          <w:sz w:val="52"/>
        </w:rPr>
        <w:t xml:space="preserve">竞争性磋商公告</w:t>
      </w:r>
      <w:r/>
    </w:p>
    <w:p>
      <w:pPr>
        <w:pStyle w:val="837"/>
        <w:spacing w:line="360" w:lineRule="auto"/>
        <w:rPr>
          <w:rFonts w:hint="eastAsia" w:ascii="宋体" w:hAnsi="宋体" w:eastAsia="宋体" w:cs="宋体"/>
          <w:color w:val="auto"/>
          <w:sz w:val="44"/>
          <w:szCs w:val="44"/>
        </w:rPr>
      </w:pPr>
      <w:r>
        <w:rPr>
          <w:rFonts w:ascii="宋体" w:hAnsi="宋体"/>
        </w:rPr>
        <w:br w:type="page" w:clear="all"/>
      </w:r>
      <w:bookmarkStart w:id="2" w:name="_Toc484503767"/>
      <w:r>
        <w:rPr>
          <w:rFonts w:hint="eastAsia" w:ascii="宋体" w:hAnsi="宋体" w:eastAsia="宋体" w:cs="宋体"/>
          <w:color w:val="auto"/>
          <w:sz w:val="44"/>
          <w:szCs w:val="44"/>
        </w:rPr>
        <w:t xml:space="preserve">竞争性磋商公告</w:t>
      </w:r>
      <w:bookmarkEnd w:id="2"/>
      <w:r/>
      <w:r/>
    </w:p>
    <w:p>
      <w:pPr>
        <w:ind w:firstLine="420"/>
        <w:spacing w:line="360" w:lineRule="auto"/>
        <w:rPr>
          <w:rFonts w:hint="eastAsia" w:ascii="宋体" w:hAnsi="宋体" w:eastAsia="宋体" w:cs="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szCs w:val="21"/>
        </w:rPr>
        <w:t xml:space="preserve">项目概况</w:t>
      </w:r>
      <w:r/>
    </w:p>
    <w:p>
      <w:pPr>
        <w:ind w:firstLine="420"/>
        <w:spacing w:line="360" w:lineRule="auto"/>
        <w:rPr>
          <w:rFonts w:hint="eastAsia" w:ascii="宋体" w:hAnsi="宋体" w:eastAsia="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lang w:eastAsia="zh-CN"/>
        </w:rPr>
        <w:t xml:space="preserve">现役军人、退役军人及优抚对象保险保障</w:t>
      </w:r>
      <w:r>
        <w:rPr>
          <w:rFonts w:hint="eastAsia" w:ascii="宋体" w:hAnsi="宋体" w:eastAsia="宋体" w:cs="宋体"/>
          <w:szCs w:val="21"/>
        </w:rPr>
        <w:t xml:space="preserve">的潜在供应商应在 </w:t>
      </w:r>
      <w:r>
        <w:rPr>
          <w:rFonts w:hint="eastAsia" w:ascii="宋体" w:hAnsi="宋体" w:eastAsia="宋体" w:cs="宋体"/>
          <w:szCs w:val="21"/>
          <w:u w:val="single"/>
        </w:rPr>
        <w:t xml:space="preserve">“苏采云”系统</w:t>
      </w:r>
      <w:r>
        <w:rPr>
          <w:rFonts w:hint="eastAsia" w:ascii="宋体" w:hAnsi="宋体" w:eastAsia="宋体" w:cs="宋体"/>
          <w:szCs w:val="21"/>
        </w:rPr>
        <w:t xml:space="preserve">获取采购文件，并于</w:t>
      </w:r>
      <w:bookmarkStart w:id="3" w:name="XMKBSJ_1"/>
      <w:r>
        <w:rPr>
          <w:rFonts w:hint="eastAsia" w:ascii="宋体" w:hAnsi="宋体" w:eastAsia="宋体" w:cs="宋体"/>
          <w:szCs w:val="21"/>
          <w:highlight w:val="none"/>
          <w:u w:val="single"/>
        </w:rPr>
        <w:t xml:space="preserve">2025年11</w:t>
      </w:r>
      <w:r>
        <w:rPr>
          <w:rFonts w:hint="eastAsia" w:ascii="宋体" w:hAnsi="宋体" w:eastAsia="宋体" w:cs="宋体"/>
          <w:szCs w:val="21"/>
          <w:highlight w:val="none"/>
          <w:u w:val="single"/>
        </w:rPr>
        <w:t xml:space="preserve">月</w:t>
      </w:r>
      <w:r>
        <w:rPr>
          <w:rFonts w:hint="eastAsia" w:ascii="宋体" w:hAnsi="宋体" w:cs="宋体"/>
          <w:szCs w:val="21"/>
          <w:highlight w:val="none"/>
          <w:u w:val="single"/>
          <w:lang w:val="en-US" w:eastAsia="zh-CN"/>
        </w:rPr>
        <w:t xml:space="preserve">10</w:t>
      </w:r>
      <w:r>
        <w:rPr>
          <w:rFonts w:hint="eastAsia" w:ascii="宋体" w:hAnsi="宋体" w:eastAsia="宋体" w:cs="宋体"/>
          <w:szCs w:val="21"/>
          <w:highlight w:val="none"/>
          <w:u w:val="single"/>
        </w:rPr>
        <w:t xml:space="preserve">日09</w:t>
      </w:r>
      <w:r>
        <w:rPr>
          <w:rFonts w:hint="eastAsia" w:ascii="宋体" w:hAnsi="宋体" w:eastAsia="宋体" w:cs="宋体"/>
          <w:szCs w:val="21"/>
          <w:highlight w:val="none"/>
          <w:u w:val="single"/>
        </w:rPr>
        <w:t xml:space="preserve">点30分</w:t>
      </w:r>
      <w:bookmarkEnd w:id="3"/>
      <w:r>
        <w:rPr>
          <w:rFonts w:hint="eastAsia" w:ascii="宋体" w:hAnsi="宋体" w:eastAsia="宋体" w:cs="宋体"/>
          <w:bCs/>
          <w:szCs w:val="21"/>
          <w:highlight w:val="none"/>
        </w:rPr>
        <w:t xml:space="preserve">（</w:t>
      </w:r>
      <w:r>
        <w:rPr>
          <w:rFonts w:hint="eastAsia" w:ascii="宋体" w:hAnsi="宋体" w:eastAsia="宋体" w:cs="宋体"/>
          <w:bCs/>
          <w:szCs w:val="21"/>
        </w:rPr>
        <w:t xml:space="preserve">北京时间）前提交响应文件</w:t>
      </w:r>
      <w:r>
        <w:rPr>
          <w:rFonts w:hint="eastAsia" w:ascii="宋体" w:hAnsi="宋体" w:eastAsia="宋体" w:cs="宋体"/>
          <w:szCs w:val="21"/>
        </w:rPr>
        <w:t xml:space="preserve">。</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一、项目基本情况</w:t>
      </w:r>
      <w:r/>
    </w:p>
    <w:p>
      <w:pPr>
        <w:ind w:firstLine="420"/>
        <w:jc w:val="left"/>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1、项目编号：</w:t>
      </w:r>
      <w:r>
        <w:rPr>
          <w:rFonts w:hint="eastAsia" w:ascii="宋体" w:hAnsi="宋体" w:cs="宋体"/>
          <w:szCs w:val="21"/>
          <w:lang w:eastAsia="zh-CN"/>
        </w:rPr>
        <w:t xml:space="preserve">JSZC-320506-JLDL-C2025-0005</w:t>
      </w:r>
      <w:r/>
    </w:p>
    <w:p>
      <w:pPr>
        <w:ind w:firstLine="420"/>
        <w:jc w:val="left"/>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lang w:eastAsia="zh-CN"/>
        </w:rPr>
        <w:t xml:space="preserve">现役军人、退役军人及优抚对象保险保障</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采购方式：竞争性磋商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预算金额：人民币</w:t>
      </w:r>
      <w:r>
        <w:rPr>
          <w:rFonts w:hint="eastAsia" w:ascii="宋体" w:hAnsi="宋体" w:cs="宋体"/>
          <w:szCs w:val="21"/>
          <w:lang w:eastAsia="zh-CN"/>
        </w:rPr>
        <w:t xml:space="preserve">柒拾捌万伍仟伍佰元整</w:t>
      </w:r>
      <w:r>
        <w:rPr>
          <w:rFonts w:hint="eastAsia" w:ascii="宋体" w:hAnsi="宋体" w:eastAsia="宋体" w:cs="宋体"/>
          <w:szCs w:val="21"/>
        </w:rPr>
        <w:t xml:space="preserve">（￥</w:t>
      </w:r>
      <w:r>
        <w:rPr>
          <w:rFonts w:hint="eastAsia" w:ascii="宋体" w:hAnsi="宋体" w:cs="宋体"/>
          <w:szCs w:val="21"/>
          <w:lang w:eastAsia="zh-CN"/>
        </w:rPr>
        <w:t xml:space="preserve">785500.00</w:t>
      </w:r>
      <w:r>
        <w:rPr>
          <w:rFonts w:hint="eastAsia" w:ascii="宋体" w:hAnsi="宋体" w:eastAsia="宋体" w:cs="宋体"/>
          <w:szCs w:val="21"/>
        </w:rPr>
        <w:t xml:space="preserve">）</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最高限价：人民币</w:t>
      </w:r>
      <w:r>
        <w:rPr>
          <w:rFonts w:hint="eastAsia" w:ascii="宋体" w:hAnsi="宋体" w:cs="宋体"/>
          <w:szCs w:val="21"/>
          <w:lang w:eastAsia="zh-CN"/>
        </w:rPr>
        <w:t xml:space="preserve">柒拾捌万伍仟伍佰元整</w:t>
      </w:r>
      <w:r>
        <w:rPr>
          <w:rFonts w:hint="eastAsia" w:ascii="宋体" w:hAnsi="宋体" w:eastAsia="宋体" w:cs="宋体"/>
          <w:szCs w:val="21"/>
        </w:rPr>
        <w:t xml:space="preserve">（￥</w:t>
      </w:r>
      <w:r>
        <w:rPr>
          <w:rFonts w:hint="eastAsia" w:ascii="宋体" w:hAnsi="宋体" w:cs="宋体"/>
          <w:szCs w:val="21"/>
          <w:lang w:eastAsia="zh-CN"/>
        </w:rPr>
        <w:t xml:space="preserve">785500.00</w:t>
      </w:r>
      <w:r>
        <w:rPr>
          <w:rFonts w:hint="eastAsia" w:ascii="宋体" w:hAnsi="宋体" w:eastAsia="宋体" w:cs="宋体"/>
          <w:szCs w:val="21"/>
        </w:rPr>
        <w:t xml:space="preserve">）</w:t>
      </w:r>
      <w:r/>
    </w:p>
    <w:p>
      <w:pPr>
        <w:ind w:firstLine="420"/>
        <w:jc w:val="left"/>
        <w:spacing w:line="360" w:lineRule="auto"/>
        <w:widowControl/>
        <w:rPr>
          <w:rFonts w:hint="default" w:ascii="宋体" w:hAnsi="宋体" w:eastAsia="宋体" w:cs="宋体"/>
          <w:szCs w:val="21"/>
          <w:lang w:val="en-US" w:eastAsia="zh-CN"/>
        </w:rPr>
      </w:pPr>
      <w:r>
        <w:rPr>
          <w:rFonts w:hint="eastAsia" w:ascii="宋体" w:hAnsi="宋体" w:eastAsia="宋体" w:cs="宋体"/>
          <w:szCs w:val="21"/>
        </w:rPr>
        <w:t xml:space="preserve">采购需求：为</w:t>
      </w:r>
      <w:r>
        <w:rPr>
          <w:rFonts w:hint="eastAsia" w:ascii="宋体" w:hAnsi="宋体" w:cs="宋体"/>
          <w:szCs w:val="21"/>
          <w:lang w:eastAsia="zh-CN"/>
        </w:rPr>
        <w:t xml:space="preserve">退（现）役军人及其他优抚对象</w:t>
      </w:r>
      <w:r>
        <w:rPr>
          <w:rFonts w:hint="eastAsia" w:ascii="宋体" w:hAnsi="宋体" w:eastAsia="宋体" w:cs="宋体"/>
          <w:szCs w:val="21"/>
        </w:rPr>
        <w:t xml:space="preserve">购买</w:t>
      </w:r>
      <w:r>
        <w:rPr>
          <w:rFonts w:hint="eastAsia" w:ascii="宋体" w:hAnsi="宋体" w:cs="宋体"/>
          <w:szCs w:val="21"/>
          <w:lang w:eastAsia="zh-CN"/>
        </w:rPr>
        <w:t xml:space="preserve">意外综合保险，</w:t>
      </w:r>
      <w:r>
        <w:rPr>
          <w:rFonts w:hint="eastAsia" w:ascii="宋体" w:hAnsi="宋体" w:cs="宋体"/>
          <w:szCs w:val="21"/>
          <w:lang w:val="en-US" w:eastAsia="zh-CN"/>
        </w:rPr>
        <w:t xml:space="preserve">具体详见采购文件</w:t>
      </w:r>
      <w:r>
        <w:rPr>
          <w:rFonts w:hint="eastAsia" w:ascii="宋体" w:hAnsi="宋体" w:eastAsia="宋体" w:cs="宋体"/>
          <w:szCs w:val="21"/>
        </w:rPr>
        <w:t xml:space="preserve">。</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服务期限：合同签订生效之日起一年（具体时间按采购方要求）</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项目地点：采购方指定地点</w:t>
      </w:r>
      <w:r/>
    </w:p>
    <w:p>
      <w:pPr>
        <w:ind w:firstLine="420"/>
        <w:spacing w:line="360" w:lineRule="auto"/>
        <w:widowControl/>
        <w:rPr>
          <w:rFonts w:hint="eastAsia" w:ascii="宋体" w:hAnsi="宋体" w:eastAsia="宋体" w:cs="宋体"/>
          <w:bCs/>
          <w:szCs w:val="21"/>
        </w:rPr>
      </w:pPr>
      <w:r>
        <w:rPr>
          <w:rFonts w:hint="eastAsia" w:ascii="宋体" w:hAnsi="宋体" w:eastAsia="宋体" w:cs="宋体"/>
          <w:bCs/>
          <w:szCs w:val="21"/>
        </w:rPr>
        <w:t xml:space="preserve">二、申请人的资格要求：</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1.满足《中华人民共和国政府采购法》第二十二条规定；</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（1）具有独立承担民事责任的能力；</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（2）具有良好的商业信誉和健全的财务会计制度；</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（3）具有履行合同所必需的设备和专业技术能力；</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（4）有依法缴纳税收和社会保障资金的良好记录；</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（5）参加政府采购活动前三年内，在经营活动中没有重大违法记录；</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（6）法律、行政法规规定的其他条件；</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 落实政府采购政策需满足的资格要求：无。</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3.本项目的特定资格要求：</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（1）具有经国家金融监督管理总局（中国（银行）保险监督管理委员会）颁发的有效的《经营保险业务许可证》；</w:t>
      </w:r>
      <w:r>
        <w:rPr>
          <w:rFonts w:hint="eastAsia" w:ascii="宋体" w:hAnsi="宋体" w:eastAsia="宋体" w:cs="宋体"/>
          <w:i w:val="0"/>
          <w:iCs w:val="0"/>
          <w:caps w:val="0"/>
          <w:color w:val="333333"/>
          <w:spacing w:val="0"/>
          <w:sz w:val="21"/>
          <w:szCs w:val="21"/>
        </w:rPr>
        <w:t xml:space="preserve">保险行业的分支机构可参与本次投标，但同一家总公司只能有一家分支机构参与投标，且总公司不能与下属分支机构同时参与投标(分支机构须提供保险总公司的授权）。</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（2）未被“信用中国”网站（www.creditchina.gov.cn）或“中国政府采购网”网站（www.ccgp.gov.cn）列入失信被执行人、重大税收违法案件当事人名单、政府采购严重失信行为记录名单；</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（4）本项目不接受联合体投标。 </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三、报名及获取采购文件：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rPr>
        <w:t xml:space="preserve">1.报名截止时间：</w:t>
      </w:r>
      <w:r>
        <w:rPr>
          <w:rFonts w:hint="eastAsia" w:ascii="宋体" w:hAnsi="宋体" w:eastAsia="宋体" w:cs="宋体"/>
          <w:szCs w:val="21"/>
          <w:highlight w:val="none"/>
        </w:rPr>
        <w:t xml:space="preserve">自公告发布之日起至2025年11</w:t>
      </w:r>
      <w:r>
        <w:rPr>
          <w:rFonts w:hint="eastAsia" w:ascii="宋体" w:hAnsi="宋体" w:eastAsia="宋体" w:cs="宋体"/>
          <w:szCs w:val="21"/>
          <w:highlight w:val="none"/>
        </w:rPr>
        <w:t xml:space="preserve">月</w:t>
      </w:r>
      <w:r>
        <w:rPr>
          <w:rFonts w:hint="eastAsia" w:ascii="宋体" w:hAnsi="宋体" w:cs="宋体"/>
          <w:szCs w:val="21"/>
          <w:highlight w:val="none"/>
          <w:lang w:val="en-US" w:eastAsia="zh-CN"/>
        </w:rPr>
        <w:t xml:space="preserve">04</w:t>
      </w:r>
      <w:r>
        <w:rPr>
          <w:rFonts w:hint="eastAsia" w:ascii="宋体" w:hAnsi="宋体" w:eastAsia="宋体" w:cs="宋体"/>
          <w:szCs w:val="21"/>
          <w:highlight w:val="none"/>
        </w:rPr>
        <w:t xml:space="preserve">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2.地点：“苏采云”系统（网址：http://jszfcg.jsczt.cn/）</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3.报名方式（网上报名）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（1）CA证书办理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供应商</w:t>
      </w:r>
      <w:r>
        <w:rPr>
          <w:rFonts w:hint="eastAsia" w:ascii="宋体" w:hAnsi="宋体" w:eastAsia="宋体" w:cs="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（2）参与采购活动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（3）电子投标准备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 </w:t>
      </w:r>
      <w:r/>
    </w:p>
    <w:p>
      <w:pPr>
        <w:spacing w:line="360" w:lineRule="auto"/>
        <w:rPr>
          <w:rFonts w:hint="eastAsia" w:ascii="宋体" w:hAnsi="宋体" w:eastAsia="宋体" w:cs="宋体"/>
          <w:szCs w:val="21"/>
        </w:rPr>
      </w:pPr>
      <w:r>
        <w:rPr>
          <w:rFonts w:hint="eastAsia" w:ascii="宋体" w:hAnsi="宋体" w:eastAsia="宋体" w:cs="宋体"/>
          <w:szCs w:val="21"/>
        </w:rPr>
        <w:t xml:space="preserve">网址链接https://czju.suzhou.gov.cn/zfcg/html/content/20231220161910031.shtml）。在系统操作过程中如有疑问，请按以下方式联系：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注册咨询：18261002950；</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CA技术咨询电话：400-608-6099；</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签章使用问题：025-83633811、025-83633812、15380932027、15371015030；</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系统使用指导与咨询：联系电话：18261002950；QQ：3048755361、1315179389、895706745。</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4.售价：免费</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四、提交投标文件截止时间、开标时间和地点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1.提交投标文件截止时间：2025年11</w:t>
      </w:r>
      <w:r>
        <w:rPr>
          <w:rFonts w:hint="eastAsia" w:ascii="宋体" w:hAnsi="宋体" w:eastAsia="宋体" w:cs="宋体"/>
          <w:szCs w:val="21"/>
          <w:highlight w:val="none"/>
        </w:rPr>
        <w:t xml:space="preserve">月</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日</w:t>
      </w:r>
      <w:r>
        <w:rPr>
          <w:rFonts w:hint="eastAsia" w:ascii="宋体" w:hAnsi="宋体" w:cs="宋体"/>
          <w:szCs w:val="21"/>
          <w:highlight w:val="none"/>
          <w:lang w:val="en-US" w:eastAsia="zh-CN"/>
        </w:rPr>
        <w:t xml:space="preserve">09 </w:t>
      </w:r>
      <w:r>
        <w:rPr>
          <w:rFonts w:hint="eastAsia" w:ascii="宋体" w:hAnsi="宋体" w:eastAsia="宋体" w:cs="宋体"/>
          <w:szCs w:val="21"/>
          <w:highlight w:val="none"/>
        </w:rPr>
        <w:t xml:space="preserve">：30（北京时间）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2.开标时间：2025年11</w:t>
      </w:r>
      <w:r>
        <w:rPr>
          <w:rFonts w:hint="eastAsia" w:ascii="宋体" w:hAnsi="宋体" w:eastAsia="宋体" w:cs="宋体"/>
          <w:szCs w:val="21"/>
          <w:highlight w:val="none"/>
        </w:rPr>
        <w:t xml:space="preserve">月10</w:t>
      </w:r>
      <w:r>
        <w:rPr>
          <w:rFonts w:hint="eastAsia" w:ascii="宋体" w:hAnsi="宋体" w:eastAsia="宋体" w:cs="宋体"/>
          <w:szCs w:val="21"/>
          <w:highlight w:val="none"/>
        </w:rPr>
        <w:t xml:space="preserve">日</w:t>
      </w:r>
      <w:r>
        <w:rPr>
          <w:rFonts w:hint="eastAsia" w:ascii="宋体" w:hAnsi="宋体" w:cs="宋体"/>
          <w:szCs w:val="21"/>
          <w:highlight w:val="none"/>
          <w:lang w:val="en-US" w:eastAsia="zh-CN"/>
        </w:rPr>
        <w:t xml:space="preserve">09</w:t>
      </w:r>
      <w:r>
        <w:rPr>
          <w:rFonts w:hint="eastAsia" w:ascii="宋体" w:hAnsi="宋体" w:eastAsia="宋体" w:cs="宋体"/>
          <w:szCs w:val="21"/>
          <w:highlight w:val="none"/>
        </w:rPr>
        <w:t xml:space="preserve">：30（北京时间）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3.开标地点：“苏采云”系统（网址：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\o "http://jszfcg.jsczt.cn/" </w:instrText>
      </w:r>
      <w:r>
        <w:rPr>
          <w:rFonts w:hint="eastAsia" w:ascii="宋体" w:hAnsi="宋体" w:eastAsia="宋体" w:cs="宋体"/>
        </w:rPr>
        <w:fldChar w:fldCharType="separate"/>
      </w:r>
      <w:r>
        <w:rPr>
          <w:rStyle w:val="902"/>
          <w:rFonts w:hint="eastAsia" w:ascii="宋体" w:hAnsi="宋体" w:eastAsia="宋体" w:cs="宋体"/>
          <w:color w:val="auto"/>
          <w:szCs w:val="21"/>
        </w:rPr>
        <w:t xml:space="preserve">http://jszfcg.jsczt.cn/</w:t>
      </w:r>
      <w:r>
        <w:rPr>
          <w:rStyle w:val="902"/>
          <w:rFonts w:hint="eastAsia" w:ascii="宋体" w:hAnsi="宋体" w:eastAsia="宋体" w:cs="宋体"/>
          <w:color w:val="auto"/>
          <w:szCs w:val="21"/>
        </w:rPr>
        <w:fldChar w:fldCharType="end"/>
      </w:r>
      <w:r>
        <w:rPr>
          <w:rFonts w:hint="eastAsia" w:ascii="宋体" w:hAnsi="宋体" w:eastAsia="宋体" w:cs="宋体"/>
          <w:szCs w:val="21"/>
        </w:rPr>
        <w:t xml:space="preserve">）。</w:t>
      </w:r>
      <w:r/>
    </w:p>
    <w:p>
      <w:pPr>
        <w:ind w:firstLine="420"/>
        <w:spacing w:line="360" w:lineRule="auto"/>
        <w:rPr>
          <w:rFonts w:hint="eastAsia" w:ascii="宋体" w:hAnsi="宋体" w:eastAsia="宋体" w:cs="宋体"/>
          <w:color w:val="000000"/>
          <w:szCs w:val="21"/>
        </w:rPr>
      </w:pPr>
      <w:r>
        <w:rPr>
          <w:rFonts w:hint="eastAsia" w:ascii="宋体" w:hAnsi="宋体" w:eastAsia="宋体" w:cs="宋体"/>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请供应商确保电脑、系统及其他设备（视频输入输出设备等）无误，且开启直至项目结束始终保持系统在线状态。</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五、公告期限 </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自本公告发布之日起</w:t>
      </w:r>
      <w:r>
        <w:rPr>
          <w:rFonts w:hint="eastAsia" w:ascii="宋体" w:hAnsi="宋体" w:cs="宋体"/>
          <w:szCs w:val="21"/>
          <w:lang w:val="en-US" w:eastAsia="zh-CN"/>
        </w:rPr>
        <w:t xml:space="preserve">5</w:t>
      </w:r>
      <w:r>
        <w:rPr>
          <w:rFonts w:hint="eastAsia" w:ascii="宋体" w:hAnsi="宋体" w:eastAsia="宋体" w:cs="宋体"/>
          <w:szCs w:val="21"/>
        </w:rPr>
        <w:t xml:space="preserve">个工作日。 </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六、其他补充事宜 </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1、本次采购的有关信息同时刊登在苏州市政府采购网、江苏政府采购网，敬请留意。 </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rPr>
        <w:t xml:space="preserve">投标保证金：本项目无需提交响应保证金</w:t>
      </w:r>
      <w:r>
        <w:rPr>
          <w:rFonts w:hint="eastAsia" w:ascii="宋体" w:hAnsi="宋体" w:eastAsia="宋体" w:cs="宋体"/>
          <w:szCs w:val="21"/>
        </w:rPr>
        <w:t xml:space="preserve">。 </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3、苏州市吴中区政府采购管理监督电话：0512-66565142。 </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4、本项目获取采购文件截止日期之后仍可以下载采购文件，但截止日期之后下载的采购文件，视为非有效方式且不作为供应商权益受到损害的证明材料和依据。 </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七、联系方式 </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1.采购人信息</w:t>
      </w:r>
      <w:r/>
    </w:p>
    <w:p>
      <w:pPr>
        <w:ind w:firstLine="420"/>
        <w:jc w:val="left"/>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名 称：</w:t>
      </w:r>
      <w:r>
        <w:rPr>
          <w:rFonts w:hint="eastAsia" w:ascii="宋体" w:hAnsi="宋体" w:cs="宋体"/>
          <w:szCs w:val="21"/>
          <w:lang w:eastAsia="zh-CN"/>
        </w:rPr>
        <w:t xml:space="preserve">苏州市吴中区退役军人事务局</w:t>
      </w:r>
      <w:r/>
    </w:p>
    <w:p>
      <w:pPr>
        <w:ind w:firstLine="420"/>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地 址：江苏省苏州市吴中区吴中大道1173号</w:t>
      </w:r>
      <w:r/>
    </w:p>
    <w:p>
      <w:pPr>
        <w:ind w:firstLine="420"/>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联系人：</w:t>
      </w:r>
      <w:r>
        <w:rPr>
          <w:rFonts w:hint="eastAsia" w:ascii="宋体" w:hAnsi="宋体" w:cs="宋体"/>
          <w:bCs/>
          <w:szCs w:val="21"/>
          <w:highlight w:val="none"/>
          <w:lang w:val="en-US" w:eastAsia="zh-CN"/>
        </w:rPr>
        <w:t xml:space="preserve">王主任 </w:t>
      </w:r>
      <w:r>
        <w:rPr>
          <w:rFonts w:hint="eastAsia" w:ascii="宋体" w:hAnsi="宋体" w:cs="宋体"/>
          <w:szCs w:val="21"/>
          <w:highlight w:val="none"/>
          <w:lang w:val="en-US" w:eastAsia="zh-CN"/>
        </w:rPr>
        <w:t xml:space="preserve"> </w:t>
      </w:r>
      <w:r/>
    </w:p>
    <w:p>
      <w:pPr>
        <w:ind w:firstLine="420"/>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电 话：</w:t>
      </w:r>
      <w:r>
        <w:rPr>
          <w:rFonts w:hint="eastAsia" w:ascii="宋体" w:hAnsi="宋体" w:cs="宋体"/>
          <w:bCs/>
          <w:szCs w:val="21"/>
          <w:highlight w:val="none"/>
          <w:lang w:val="en-US" w:eastAsia="zh-CN"/>
        </w:rPr>
        <w:t xml:space="preserve"> 0512-</w:t>
      </w:r>
      <w:r>
        <w:rPr>
          <w:rFonts w:hint="eastAsia" w:ascii="宋体" w:hAnsi="宋体" w:eastAsia="宋体" w:cs="宋体"/>
          <w:bCs/>
          <w:szCs w:val="21"/>
          <w:highlight w:val="none"/>
        </w:rPr>
        <w:t xml:space="preserve">67339097</w:t>
      </w:r>
      <w:r>
        <w:rPr>
          <w:rFonts w:hint="eastAsia" w:ascii="宋体" w:hAnsi="宋体" w:cs="宋体"/>
          <w:bCs/>
          <w:szCs w:val="21"/>
          <w:highlight w:val="none"/>
          <w:lang w:val="en-US" w:eastAsia="zh-CN"/>
        </w:rPr>
        <w:t xml:space="preserve">  </w:t>
      </w:r>
      <w:r/>
    </w:p>
    <w:p>
      <w:pPr>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2.采购代理机构信息</w:t>
      </w:r>
      <w:r/>
    </w:p>
    <w:p>
      <w:pPr>
        <w:ind w:firstLine="420"/>
        <w:jc w:val="left"/>
        <w:spacing w:line="360" w:lineRule="auto"/>
        <w:widowControl/>
        <w:rPr>
          <w:rFonts w:hint="default" w:ascii="宋体" w:hAnsi="宋体" w:eastAsia="宋体" w:cs="宋体"/>
          <w:szCs w:val="21"/>
          <w:lang w:val="en-US" w:eastAsia="zh-CN"/>
        </w:rPr>
      </w:pPr>
      <w:r>
        <w:rPr>
          <w:rFonts w:hint="eastAsia" w:ascii="宋体" w:hAnsi="宋体" w:eastAsia="宋体" w:cs="宋体"/>
          <w:szCs w:val="21"/>
        </w:rPr>
        <w:t xml:space="preserve">名  称：</w:t>
      </w:r>
      <w:r>
        <w:rPr>
          <w:rFonts w:hint="eastAsia" w:ascii="宋体" w:hAnsi="宋体" w:cs="宋体"/>
          <w:szCs w:val="21"/>
          <w:lang w:val="en-US" w:eastAsia="zh-CN"/>
        </w:rPr>
        <w:t xml:space="preserve">苏州建龙工程建设咨询有限公司</w:t>
      </w:r>
      <w:r/>
    </w:p>
    <w:p>
      <w:pPr>
        <w:ind w:firstLine="420"/>
        <w:jc w:val="left"/>
        <w:spacing w:line="360" w:lineRule="auto"/>
        <w:widowControl/>
        <w:rPr>
          <w:rFonts w:hint="default" w:ascii="宋体" w:hAnsi="宋体" w:eastAsia="宋体" w:cs="宋体"/>
          <w:szCs w:val="21"/>
          <w:lang w:val="en-US" w:eastAsia="zh-CN"/>
        </w:rPr>
      </w:pPr>
      <w:r>
        <w:rPr>
          <w:rFonts w:hint="eastAsia" w:ascii="宋体" w:hAnsi="宋体" w:eastAsia="宋体" w:cs="宋体"/>
          <w:szCs w:val="21"/>
        </w:rPr>
        <w:t xml:space="preserve">地 址：苏州市吴中区</w:t>
      </w:r>
      <w:r>
        <w:rPr>
          <w:rFonts w:hint="eastAsia" w:ascii="宋体" w:hAnsi="宋体" w:cs="宋体"/>
          <w:szCs w:val="21"/>
          <w:lang w:val="en-US" w:eastAsia="zh-CN"/>
        </w:rPr>
        <w:t xml:space="preserve">世茂石湖湾花园398幢</w:t>
      </w:r>
      <w:r/>
    </w:p>
    <w:p>
      <w:pPr>
        <w:ind w:firstLine="420"/>
        <w:jc w:val="left"/>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联系人：</w:t>
      </w:r>
      <w:r>
        <w:rPr>
          <w:rFonts w:hint="eastAsia" w:ascii="宋体" w:hAnsi="宋体" w:cs="宋体"/>
          <w:szCs w:val="21"/>
          <w:lang w:val="en-US" w:eastAsia="zh-CN"/>
        </w:rPr>
        <w:t xml:space="preserve">夏文静</w:t>
      </w:r>
      <w:r/>
    </w:p>
    <w:p>
      <w:pPr>
        <w:ind w:firstLine="420"/>
        <w:jc w:val="left"/>
        <w:spacing w:line="360" w:lineRule="auto"/>
        <w:widowControl/>
        <w:rPr>
          <w:rFonts w:hint="default" w:ascii="宋体" w:hAnsi="宋体" w:eastAsia="宋体" w:cs="宋体"/>
          <w:szCs w:val="21"/>
          <w:lang w:val="en-US" w:eastAsia="zh-CN"/>
        </w:rPr>
      </w:pPr>
      <w:r>
        <w:rPr>
          <w:rFonts w:hint="eastAsia" w:ascii="宋体" w:hAnsi="宋体" w:eastAsia="宋体" w:cs="宋体"/>
          <w:szCs w:val="21"/>
        </w:rPr>
        <w:t xml:space="preserve">电 话：</w:t>
      </w:r>
      <w:r>
        <w:rPr>
          <w:rFonts w:hint="eastAsia" w:ascii="宋体" w:hAnsi="宋体" w:cs="宋体"/>
          <w:szCs w:val="21"/>
          <w:lang w:val="en-US" w:eastAsia="zh-CN"/>
        </w:rPr>
        <w:t xml:space="preserve">13862134419</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3、项目联系方式 </w:t>
      </w:r>
      <w:r/>
    </w:p>
    <w:p>
      <w:pPr>
        <w:ind w:firstLine="420"/>
        <w:spacing w:line="360" w:lineRule="auto"/>
        <w:rPr>
          <w:rFonts w:hint="eastAsia" w:ascii="宋体" w:hAnsi="宋体" w:eastAsia="宋体" w:cs="宋体"/>
          <w:b/>
          <w:sz w:val="24"/>
        </w:rPr>
      </w:pPr>
      <w:r>
        <w:rPr>
          <w:rFonts w:hint="eastAsia" w:ascii="宋体" w:hAnsi="宋体" w:eastAsia="宋体" w:cs="宋体"/>
          <w:szCs w:val="21"/>
        </w:rPr>
        <w:t xml:space="preserve">项目联系人：</w:t>
      </w:r>
      <w:r>
        <w:rPr>
          <w:rFonts w:hint="eastAsia" w:ascii="宋体" w:hAnsi="宋体" w:cs="宋体"/>
          <w:szCs w:val="21"/>
          <w:lang w:val="en-US" w:eastAsia="zh-CN"/>
        </w:rPr>
        <w:t xml:space="preserve">夏文静 </w:t>
      </w:r>
      <w:r>
        <w:rPr>
          <w:rFonts w:hint="eastAsia" w:ascii="宋体" w:hAnsi="宋体" w:eastAsia="宋体" w:cs="宋体"/>
          <w:szCs w:val="21"/>
        </w:rPr>
        <w:t xml:space="preserve">电 话：</w:t>
      </w:r>
      <w:r>
        <w:rPr>
          <w:rFonts w:hint="eastAsia" w:ascii="宋体" w:hAnsi="宋体" w:cs="宋体"/>
          <w:szCs w:val="21"/>
          <w:lang w:val="en-US" w:eastAsia="zh-CN"/>
        </w:rPr>
        <w:t xml:space="preserve">13862134419</w:t>
      </w:r>
      <w:r/>
    </w:p>
    <w:p>
      <w:pPr>
        <w:rPr>
          <w:rFonts w:hint="eastAsia" w:ascii="宋体" w:hAnsi="宋体" w:eastAsia="宋体" w:cs="宋体"/>
        </w:rPr>
      </w:pPr>
      <w:r>
        <w:rPr>
          <w:rFonts w:hint="eastAsia" w:ascii="宋体" w:hAnsi="宋体" w:eastAsia="宋体" w:cs="宋体"/>
          <w:sz w:val="24"/>
        </w:rPr>
        <w:br w:type="page" w:clear="all"/>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836"/>
        <w:jc w:val="center"/>
        <w:rPr>
          <w:rFonts w:ascii="黑体" w:hAnsi="宋体" w:eastAsia="黑体"/>
          <w:sz w:val="52"/>
        </w:rPr>
      </w:pPr>
      <w:r/>
      <w:bookmarkStart w:id="4" w:name="_Toc474491764"/>
      <w:r/>
      <w:bookmarkStart w:id="5" w:name="_Toc35852049"/>
      <w:r>
        <w:rPr>
          <w:rFonts w:hint="eastAsia" w:ascii="黑体" w:hAnsi="宋体" w:eastAsia="黑体"/>
          <w:sz w:val="52"/>
        </w:rPr>
        <w:t xml:space="preserve">第二章</w:t>
      </w:r>
      <w:r>
        <w:rPr>
          <w:rFonts w:ascii="黑体" w:hAnsi="宋体" w:eastAsia="黑体"/>
          <w:sz w:val="52"/>
        </w:rPr>
        <w:t xml:space="preserve"> </w:t>
      </w:r>
      <w:r>
        <w:rPr>
          <w:rFonts w:hint="eastAsia" w:ascii="黑体" w:hAnsi="宋体" w:eastAsia="黑体"/>
          <w:sz w:val="52"/>
        </w:rPr>
        <w:t xml:space="preserve"> 磋商响应文件格式</w:t>
      </w:r>
      <w:bookmarkEnd w:id="4"/>
      <w:r/>
      <w:bookmarkEnd w:id="5"/>
      <w:r/>
      <w:r/>
    </w:p>
    <w:p>
      <w:pPr>
        <w:pStyle w:val="836"/>
        <w:jc w:val="center"/>
        <w:spacing w:line="276" w:lineRule="auto"/>
        <w:rPr>
          <w:rFonts w:hint="eastAsia" w:ascii="宋体" w:hAnsi="宋体" w:eastAsia="宋体" w:cs="Times New Roman"/>
          <w:b/>
          <w:bCs w:val="0"/>
          <w:sz w:val="24"/>
          <w:szCs w:val="24"/>
          <w:lang w:val="en-US" w:eastAsia="zh-CN" w:bidi="ar-SA"/>
        </w:rPr>
      </w:pPr>
      <w:r>
        <w:rPr>
          <w:rFonts w:hint="eastAsia" w:ascii="宋体" w:hAnsi="宋体" w:eastAsia="宋体" w:cs="Times New Roman"/>
          <w:b/>
          <w:bCs w:val="0"/>
          <w:sz w:val="24"/>
          <w:szCs w:val="24"/>
          <w:lang w:val="en-US" w:eastAsia="zh-CN" w:bidi="ar-SA"/>
        </w:rPr>
        <w:t xml:space="preserve">（如与系统内格式不一致，以系统内格式为准）</w:t>
      </w:r>
      <w:r/>
    </w:p>
    <w:p>
      <w:pPr>
        <w:pStyle w:val="852"/>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852"/>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852"/>
        <w:ind w:firstLine="0"/>
        <w:spacing w:line="360" w:lineRule="auto"/>
        <w:rPr>
          <w:rFonts w:ascii="宋体" w:hAnsi="宋体" w:eastAsia="宋体"/>
          <w:b w:val="0"/>
          <w:bCs/>
          <w:sz w:val="21"/>
          <w:szCs w:val="21"/>
        </w:rPr>
      </w:pPr>
      <w:r>
        <w:rPr>
          <w:rFonts w:hint="eastAsia" w:ascii="宋体" w:hAnsi="宋体" w:eastAsia="宋体"/>
          <w:b w:val="0"/>
          <w:bCs/>
          <w:sz w:val="21"/>
          <w:szCs w:val="21"/>
        </w:rPr>
        <w:t xml:space="preserve">说明：</w:t>
      </w:r>
      <w:r/>
    </w:p>
    <w:p>
      <w:pPr>
        <w:pStyle w:val="852"/>
        <w:ind w:firstLine="420"/>
        <w:spacing w:line="360" w:lineRule="auto"/>
        <w:rPr>
          <w:rFonts w:ascii="宋体" w:hAnsi="宋体" w:eastAsia="宋体"/>
          <w:b w:val="0"/>
          <w:bCs/>
          <w:sz w:val="21"/>
          <w:szCs w:val="21"/>
        </w:rPr>
      </w:pPr>
      <w:r>
        <w:rPr>
          <w:rFonts w:hint="eastAsia" w:ascii="宋体" w:hAnsi="宋体" w:eastAsia="宋体"/>
          <w:b w:val="0"/>
          <w:bCs/>
          <w:sz w:val="21"/>
          <w:szCs w:val="21"/>
        </w:rPr>
        <w:t xml:space="preserve">对本章所有的格式，磋商供应商可根据自身情况进行补充和修改，但补充和修改不得造成与本格式内容有实质性的违背。</w:t>
      </w:r>
      <w:r/>
    </w:p>
    <w:p>
      <w:pPr>
        <w:rPr>
          <w:rFonts w:hint="eastAsia" w:ascii="宋体" w:hAnsi="宋体" w:eastAsia="宋体" w:cs="宋体"/>
          <w:b/>
          <w:color w:val="000000"/>
          <w:szCs w:val="21"/>
        </w:rPr>
      </w:pPr>
      <w:r>
        <w:rPr>
          <w:rFonts w:ascii="宋体" w:hAnsi="宋体" w:eastAsia="宋体"/>
          <w:b/>
          <w:sz w:val="21"/>
          <w:szCs w:val="21"/>
        </w:rPr>
        <w:br w:type="page" w:clear="all"/>
      </w:r>
      <w:r>
        <w:rPr>
          <w:rFonts w:hint="eastAsia" w:ascii="宋体" w:hAnsi="宋体" w:eastAsia="宋体" w:cs="宋体"/>
          <w:b/>
          <w:color w:val="000000"/>
          <w:szCs w:val="21"/>
        </w:rPr>
        <w:t xml:space="preserve">1、（投标人）法定代表人授权委托书</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法定代表人授权委托书</w:t>
      </w:r>
      <w:r/>
    </w:p>
    <w:p>
      <w:pPr>
        <w:jc w:val="lef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本授权委托书声明：我</w:t>
      </w:r>
      <w:r>
        <w:rPr>
          <w:rFonts w:hint="eastAsia" w:ascii="宋体" w:hAnsi="宋体" w:eastAsia="宋体" w:cs="宋体"/>
          <w:szCs w:val="21"/>
          <w:u w:val="single"/>
        </w:rPr>
        <w:t xml:space="preserve">    </w:t>
      </w:r>
      <w:r>
        <w:rPr>
          <w:rFonts w:hint="eastAsia" w:ascii="宋体" w:hAnsi="宋体" w:eastAsia="宋体" w:cs="宋体"/>
          <w:szCs w:val="21"/>
        </w:rPr>
        <w:t xml:space="preserve">（姓名）系  </w:t>
      </w:r>
      <w:r>
        <w:rPr>
          <w:rFonts w:hint="eastAsia" w:ascii="宋体" w:hAnsi="宋体" w:eastAsia="宋体" w:cs="宋体"/>
          <w:szCs w:val="21"/>
          <w:u w:val="single"/>
        </w:rPr>
        <w:t xml:space="preserve">  （</w:t>
      </w:r>
      <w:r>
        <w:rPr>
          <w:rFonts w:hint="eastAsia" w:ascii="宋体" w:hAnsi="宋体" w:eastAsia="宋体" w:cs="宋体"/>
          <w:szCs w:val="21"/>
        </w:rPr>
        <w:t xml:space="preserve">供应商名称）的法定代表人，现授权委托（姓名）为我公司授权代表（即代理人），以本公司的名义参加</w:t>
      </w:r>
      <w:r>
        <w:rPr>
          <w:rFonts w:hint="eastAsia" w:ascii="宋体" w:hAnsi="宋体" w:cs="宋体"/>
          <w:szCs w:val="21"/>
          <w:u w:val="single"/>
          <w:lang w:val="en-US" w:eastAsia="zh-CN"/>
        </w:rPr>
        <w:t xml:space="preserve">苏州建龙工程建设咨询有限公司</w:t>
      </w:r>
      <w:r>
        <w:rPr>
          <w:rFonts w:hint="eastAsia" w:ascii="宋体" w:hAnsi="宋体" w:eastAsia="宋体" w:cs="宋体"/>
          <w:szCs w:val="21"/>
        </w:rPr>
        <w:t xml:space="preserve">组织实施的编号为</w:t>
      </w:r>
      <w:r>
        <w:rPr>
          <w:rFonts w:hint="eastAsia" w:ascii="宋体" w:hAnsi="宋体" w:eastAsia="宋体" w:cs="宋体"/>
          <w:szCs w:val="21"/>
          <w:u w:val="single"/>
        </w:rPr>
        <w:t xml:space="preserve">       </w:t>
      </w:r>
      <w:r>
        <w:rPr>
          <w:rFonts w:hint="eastAsia" w:ascii="宋体" w:hAnsi="宋体" w:eastAsia="宋体" w:cs="宋体"/>
          <w:szCs w:val="21"/>
        </w:rPr>
        <w:t xml:space="preserve">号（项目编号）的竞争性磋商活动。代理人在磋商活动过程中所签署的一切文件和处理与这有关的一切事务，我均予以承认。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代理人在授权委托书有效期内签署的所有文件不因授权委托的撤销而失效，除非有撤销授权委托的书面通知，本授权委托书自磋商活动开始至合同履行完毕止。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代理人无转委托权。特此委托。</w:t>
      </w:r>
      <w:r/>
    </w:p>
    <w:p>
      <w:pPr>
        <w:jc w:val="left"/>
        <w:spacing w:line="440" w:lineRule="exact"/>
        <w:rPr>
          <w:rFonts w:hint="eastAsia" w:ascii="宋体" w:hAnsi="宋体" w:eastAsia="宋体" w:cs="宋体"/>
          <w:szCs w:val="21"/>
          <w:lang w:val="zh-CN"/>
        </w:rPr>
      </w:pPr>
      <w:r>
        <w:rPr>
          <w:rFonts w:hint="eastAsia" w:ascii="宋体" w:hAnsi="宋体" w:eastAsia="宋体" w:cs="宋体"/>
          <w:szCs w:val="21"/>
          <w:lang w:val="zh-CN"/>
        </w:rPr>
      </w:r>
      <w:r/>
    </w:p>
    <w:p>
      <w:pPr>
        <w:spacing w:line="440" w:lineRule="exact"/>
        <w:rPr>
          <w:rFonts w:hint="eastAsia" w:ascii="宋体" w:hAnsi="宋体" w:eastAsia="宋体" w:cs="宋体"/>
          <w:szCs w:val="21"/>
          <w:lang w:val="zh-CN"/>
        </w:rPr>
      </w:pPr>
      <w:r>
        <w:rPr>
          <w:rFonts w:hint="eastAsia" w:ascii="宋体" w:hAnsi="宋体" w:eastAsia="宋体" w:cs="宋体"/>
          <w:szCs w:val="21"/>
          <w:lang w:val="zh-CN"/>
        </w:rPr>
        <w:t xml:space="preserve">磋商供应商：（单位公章） </w:t>
      </w:r>
      <w:r/>
    </w:p>
    <w:p>
      <w:pPr>
        <w:spacing w:line="440" w:lineRule="exact"/>
        <w:rPr>
          <w:rFonts w:hint="eastAsia" w:ascii="宋体" w:hAnsi="宋体" w:eastAsia="宋体" w:cs="宋体"/>
          <w:szCs w:val="21"/>
          <w:lang w:val="zh-CN"/>
        </w:rPr>
      </w:pPr>
      <w:r>
        <w:rPr>
          <w:rFonts w:hint="eastAsia" w:ascii="宋体" w:hAnsi="宋体" w:eastAsia="宋体" w:cs="宋体"/>
          <w:szCs w:val="21"/>
          <w:lang w:val="zh-CN"/>
        </w:rPr>
        <w:t xml:space="preserve">法定代表人：（签字或盖章）</w:t>
      </w:r>
      <w:r/>
    </w:p>
    <w:p>
      <w:pPr>
        <w:spacing w:line="440" w:lineRule="exact"/>
        <w:rPr>
          <w:rFonts w:hint="eastAsia" w:ascii="宋体" w:hAnsi="宋体" w:eastAsia="宋体" w:cs="宋体"/>
          <w:szCs w:val="21"/>
          <w:lang w:val="zh-CN"/>
        </w:rPr>
      </w:pPr>
      <w:r>
        <w:rPr>
          <w:rFonts w:hint="eastAsia" w:ascii="宋体" w:hAnsi="宋体" w:eastAsia="宋体" w:cs="宋体"/>
          <w:szCs w:val="21"/>
          <w:lang w:val="zh-CN"/>
        </w:rPr>
        <w:t xml:space="preserve">被授权人：（签字或盖章）</w:t>
      </w:r>
      <w:r/>
    </w:p>
    <w:p>
      <w:pPr>
        <w:spacing w:line="440" w:lineRule="exact"/>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p>
    <w:p>
      <w:pPr>
        <w:jc w:val="left"/>
        <w:rPr>
          <w:rFonts w:hint="eastAsia" w:ascii="宋体" w:hAnsi="宋体" w:eastAsia="宋体" w:cs="宋体"/>
          <w:color w:val="000000"/>
          <w:szCs w:val="21"/>
        </w:rPr>
      </w:pPr>
      <w:r>
        <w:rPr>
          <w:rFonts w:hint="eastAsia" w:ascii="宋体" w:hAnsi="宋体" w:eastAsia="宋体" w:cs="宋体"/>
          <w:color w:val="000000"/>
          <w:szCs w:val="21"/>
        </w:rPr>
      </w:r>
      <w:r/>
    </w:p>
    <w:p>
      <w:pPr>
        <w:jc w:val="lef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br w:type="page" w:clear="all"/>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t xml:space="preserve">2、</w:t>
      </w:r>
      <w:r>
        <w:rPr>
          <w:rFonts w:hint="eastAsia" w:ascii="宋体" w:hAnsi="宋体" w:eastAsia="宋体" w:cs="宋体"/>
          <w:b/>
          <w:color w:val="000000"/>
          <w:szCs w:val="21"/>
        </w:rPr>
        <w:tab/>
      </w:r>
      <w:r>
        <w:rPr>
          <w:rFonts w:hint="eastAsia" w:ascii="宋体" w:hAnsi="宋体" w:eastAsia="宋体" w:cs="宋体"/>
          <w:b/>
          <w:color w:val="000000"/>
          <w:szCs w:val="21"/>
        </w:rPr>
        <w:t xml:space="preserve">磋商响应函</w:t>
      </w:r>
      <w:r/>
    </w:p>
    <w:p>
      <w:pPr>
        <w:pStyle w:val="1036"/>
        <w:jc w:val="center"/>
        <w:rPr>
          <w:rFonts w:hint="eastAsia" w:ascii="宋体" w:hAnsi="宋体" w:eastAsia="宋体" w:cs="宋体"/>
        </w:rPr>
      </w:pPr>
      <w:r>
        <w:rPr>
          <w:rFonts w:hint="eastAsia" w:ascii="宋体" w:hAnsi="宋体" w:eastAsia="宋体" w:cs="宋体"/>
          <w:b/>
          <w:bCs/>
          <w:color w:val="000000"/>
          <w:sz w:val="24"/>
        </w:rPr>
        <w:t xml:space="preserve">磋商响应函</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spacing w:line="360" w:lineRule="auto"/>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致：</w:t>
      </w:r>
      <w:r>
        <w:rPr>
          <w:rFonts w:hint="eastAsia" w:ascii="宋体" w:hAnsi="宋体" w:cs="宋体"/>
          <w:color w:val="000000"/>
          <w:szCs w:val="21"/>
          <w:lang w:val="en-US" w:eastAsia="zh-CN"/>
        </w:rPr>
        <w:t xml:space="preserve">苏州建龙工程建设咨询有限公司</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我们收到贵单位</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（采购编号）的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（采购项目名称）的采购文件，经仔细阅读和研究，我们决定参加磋商活动。</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1、我方愿意按照采购文件的一切要求，提供本项目的所有内容，我方的报价包括完成本项工作所需的一切应有费用。</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2、如果我方的磋商响应文件被接受，我方将严格履行采购文件中规定的每一项要求，严格履行合同的责任和义务，保证按期、按质履行合同，完成合同所规定的全部内容。</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3、我方已详细审查并同意采购文件及更正文件（若有）中的规定。我方完全理解并同意放弃对这方面有不明及误解的权利。</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4、本磋商响应文件的有效期限为响应文件接收截止时间之日起60天。</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5、我方保证所提交的响应文件中所有资料均是真实的、准确的。若与真实情况不符，我方愿意承担由此而产生的一切后果。</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6、我方承诺磋商响应文件在磋商开始后的全过程中保持有效，不作任何更改和变动。</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7、我方承诺满足《中华人民共和国政府采购法》第二十二条规定的所有条件。</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8、与本磋商相应文件有关的通讯地址：</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单   位：                                              联 系 人： </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地   址：                                              邮政编码： </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联系电话：                                             电子邮箱：</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磋商供应商：（单位公章） </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法定代表人或被授权人：（签字或盖章）</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    期：     年     月    日</w:t>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right="480"/>
        <w:spacing w:line="360" w:lineRule="auto"/>
        <w:rPr>
          <w:rFonts w:hint="eastAsia" w:ascii="宋体" w:hAnsi="宋体" w:eastAsia="宋体" w:cs="宋体"/>
          <w:b/>
          <w:bCs/>
          <w:szCs w:val="21"/>
        </w:rPr>
      </w:pPr>
      <w:r>
        <w:rPr>
          <w:rFonts w:hint="eastAsia" w:ascii="宋体" w:hAnsi="宋体" w:eastAsia="宋体" w:cs="宋体"/>
          <w:b/>
          <w:bCs/>
          <w:szCs w:val="21"/>
        </w:rPr>
        <w:t xml:space="preserve">3、磋商响应报价表</w:t>
      </w:r>
      <w:r/>
    </w:p>
    <w:p>
      <w:pPr>
        <w:pStyle w:val="1023"/>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磋商响应报价表</w:t>
      </w:r>
      <w:r/>
    </w:p>
    <w:p>
      <w:pPr>
        <w:pStyle w:val="1023"/>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（第一次报价）</w:t>
      </w:r>
      <w:r/>
    </w:p>
    <w:p>
      <w:pPr>
        <w:pStyle w:val="1023"/>
        <w:spacing w:line="360" w:lineRule="auto"/>
        <w:tabs>
          <w:tab w:val="left" w:pos="284" w:leader="none"/>
        </w:tabs>
        <w:rPr>
          <w:rFonts w:hint="eastAsia" w:ascii="宋体" w:hAnsi="宋体" w:eastAsia="宋体" w:cs="宋体"/>
          <w:b/>
          <w:sz w:val="21"/>
          <w:szCs w:val="21"/>
        </w:rPr>
      </w:pPr>
      <w:r>
        <w:rPr>
          <w:rFonts w:hint="eastAsia" w:ascii="宋体" w:hAnsi="宋体" w:eastAsia="宋体" w:cs="宋体"/>
          <w:color w:val="000000"/>
          <w:sz w:val="24"/>
          <w:szCs w:val="24"/>
        </w:rPr>
        <w:t xml:space="preserve">                                                   </w:t>
      </w:r>
      <w:r>
        <w:rPr>
          <w:rFonts w:hint="eastAsia" w:ascii="宋体" w:hAnsi="宋体" w:eastAsia="宋体" w:cs="宋体"/>
          <w:color w:val="000000"/>
          <w:sz w:val="21"/>
          <w:szCs w:val="21"/>
        </w:rPr>
        <w:t xml:space="preserve">  采购编号： </w:t>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1"/>
        <w:gridCol w:w="3116"/>
      </w:tblGrid>
      <w:tr>
        <w:trPr>
          <w:cantSplit/>
          <w:trHeight w:val="567"/>
        </w:trPr>
        <w:tc>
          <w:tcPr>
            <w:tcW w:w="617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W w:w="3116"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投标总报价(小写)</w:t>
            </w:r>
            <w:r/>
          </w:p>
        </w:tc>
      </w:tr>
      <w:tr>
        <w:trPr>
          <w:cantSplit/>
          <w:trHeight w:val="895"/>
        </w:trPr>
        <w:tc>
          <w:tcPr>
            <w:tcW w:w="6171" w:type="dxa"/>
            <w:vAlign w:val="center"/>
            <w:textDirection w:val="lrTb"/>
            <w:noWrap w:val="false"/>
          </w:tcPr>
          <w:p>
            <w:pPr>
              <w:jc w:val="center"/>
              <w:spacing w:line="400" w:lineRule="exact"/>
              <w:rPr>
                <w:rFonts w:hint="eastAsia" w:ascii="宋体" w:hAnsi="宋体" w:cs="宋体"/>
                <w:bCs/>
                <w:szCs w:val="21"/>
                <w:highlight w:val="none"/>
              </w:rPr>
            </w:pPr>
            <w:r/>
            <w:bookmarkStart w:id="6" w:name="XMMC"/>
            <w:r/>
            <w:bookmarkEnd w:id="6"/>
            <w:r/>
            <w:r/>
          </w:p>
        </w:tc>
        <w:tc>
          <w:tcPr>
            <w:tcW w:w="3116" w:type="dxa"/>
            <w:vAlign w:val="center"/>
            <w:textDirection w:val="lrTb"/>
            <w:noWrap w:val="false"/>
          </w:tcPr>
          <w:p>
            <w:pPr>
              <w:rPr>
                <w:rFonts w:hint="eastAsia" w:ascii="宋体" w:hAnsi="宋体" w:cs="宋体"/>
                <w:b/>
                <w:szCs w:val="21"/>
                <w:highlight w:val="none"/>
              </w:rPr>
            </w:pPr>
            <w:r/>
            <w:bookmarkStart w:id="7" w:name="JEXX"/>
            <w:r/>
            <w:bookmarkEnd w:id="7"/>
            <w:r/>
            <w:r/>
          </w:p>
        </w:tc>
      </w:tr>
      <w:tr>
        <w:trPr>
          <w:cantSplit/>
          <w:trHeight w:val="780"/>
        </w:trPr>
        <w:tc>
          <w:tcPr>
            <w:gridSpan w:val="2"/>
            <w:tcW w:w="9287" w:type="dxa"/>
            <w:vAlign w:val="center"/>
            <w:textDirection w:val="lrTb"/>
            <w:noWrap w:val="false"/>
          </w:tcPr>
          <w:p>
            <w:pPr>
              <w:rPr>
                <w:rFonts w:hint="eastAsia" w:ascii="宋体" w:hAnsi="宋体" w:cs="宋体"/>
                <w:bCs/>
                <w:szCs w:val="21"/>
                <w:highlight w:val="none"/>
              </w:rPr>
            </w:pPr>
            <w:r>
              <w:rPr>
                <w:rFonts w:hint="eastAsia" w:ascii="宋体" w:hAnsi="宋体" w:cs="宋体"/>
                <w:b/>
                <w:bCs/>
                <w:szCs w:val="21"/>
                <w:highlight w:val="none"/>
              </w:rPr>
              <w:t xml:space="preserve">投标总报价（大写）：</w:t>
            </w:r>
            <w:bookmarkStart w:id="8" w:name="JEDX"/>
            <w:r/>
            <w:bookmarkEnd w:id="8"/>
            <w:r/>
            <w:r/>
          </w:p>
        </w:tc>
      </w:tr>
    </w:tbl>
    <w:p>
      <w:pPr>
        <w:spacing w:line="360" w:lineRule="auto"/>
        <w:rPr>
          <w:rFonts w:hint="eastAsia" w:ascii="宋体" w:hAnsi="宋体" w:eastAsia="宋体" w:cs="宋体"/>
          <w:color w:val="000000"/>
          <w:szCs w:val="21"/>
          <w:lang w:val="zh-CN"/>
        </w:rPr>
        <w:outlineLvl w:val="0"/>
      </w:pPr>
      <w:r>
        <w:rPr>
          <w:rFonts w:hint="eastAsia" w:ascii="宋体" w:hAnsi="宋体" w:eastAsia="宋体" w:cs="宋体"/>
          <w:color w:val="000000"/>
          <w:szCs w:val="21"/>
          <w:lang w:val="zh-CN"/>
        </w:rPr>
      </w:r>
      <w:r/>
    </w:p>
    <w:p>
      <w:pPr>
        <w:spacing w:line="360" w:lineRule="auto"/>
        <w:rPr>
          <w:rFonts w:ascii="宋体" w:hAnsi="宋体"/>
          <w:highlight w:val="none"/>
          <w:u w:val="none"/>
        </w:rPr>
        <w:outlineLvl w:val="0"/>
      </w:pPr>
      <w:r>
        <w:rPr>
          <w:rFonts w:hint="eastAsia" w:ascii="宋体" w:hAnsi="宋体" w:eastAsia="宋体" w:cs="宋体"/>
          <w:color w:val="000000"/>
          <w:szCs w:val="21"/>
          <w:lang w:val="zh-CN"/>
        </w:rPr>
        <w:t xml:space="preserve">注：</w:t>
      </w:r>
      <w:r>
        <w:rPr>
          <w:rFonts w:hint="eastAsia" w:ascii="宋体" w:hAnsi="宋体" w:cs="宋体"/>
          <w:szCs w:val="21"/>
          <w:highlight w:val="none"/>
          <w:u w:val="none"/>
        </w:rPr>
        <w:t xml:space="preserve">上述报价包括服务</w:t>
      </w:r>
      <w:r>
        <w:rPr>
          <w:rFonts w:hint="eastAsia" w:ascii="宋体" w:hAnsi="宋体"/>
          <w:highlight w:val="none"/>
          <w:u w:val="none"/>
        </w:rPr>
        <w:t xml:space="preserve">需要的管理内容、耗材、通讯、服装、胸卡、办公设备、各种税费、人工、保险、劳保、维护、利润、</w:t>
      </w:r>
      <w:r>
        <w:rPr>
          <w:rFonts w:hint="eastAsia" w:ascii="宋体" w:hAnsi="宋体"/>
          <w:highlight w:val="none"/>
          <w:u w:val="none"/>
          <w:lang w:val="en-US" w:eastAsia="zh-CN"/>
        </w:rPr>
        <w:t xml:space="preserve">成交</w:t>
      </w:r>
      <w:r>
        <w:rPr>
          <w:rFonts w:hint="eastAsia" w:ascii="宋体" w:hAnsi="宋体"/>
          <w:highlight w:val="none"/>
          <w:u w:val="none"/>
        </w:rPr>
        <w:t xml:space="preserve">服务费、税金、政策性文件规定及合同包含的所有风险、责任等各项应有费用。</w:t>
      </w:r>
      <w:r/>
    </w:p>
    <w:p>
      <w:pPr>
        <w:pStyle w:val="852"/>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firstLine="480"/>
        <w:spacing w:line="360" w:lineRule="auto"/>
        <w:rPr>
          <w:rFonts w:hint="eastAsia" w:ascii="宋体" w:hAnsi="宋体" w:eastAsia="宋体" w:cs="宋体"/>
          <w:color w:val="000000"/>
          <w:szCs w:val="21"/>
        </w:rPr>
        <w:outlineLvl w:val="0"/>
      </w:pPr>
      <w:r>
        <w:rPr>
          <w:rFonts w:hint="eastAsia" w:ascii="宋体" w:hAnsi="宋体" w:eastAsia="宋体" w:cs="宋体"/>
          <w:color w:val="000000"/>
          <w:szCs w:val="21"/>
        </w:rPr>
      </w:r>
      <w:r/>
    </w:p>
    <w:p>
      <w:pPr>
        <w:spacing w:line="360" w:lineRule="auto"/>
        <w:rPr>
          <w:rFonts w:hint="eastAsia" w:ascii="宋体" w:hAnsi="宋体" w:eastAsia="宋体" w:cs="宋体"/>
          <w:color w:val="000000"/>
          <w:szCs w:val="21"/>
          <w:lang w:val="zh-CN"/>
        </w:rPr>
        <w:outlineLvl w:val="0"/>
      </w:pPr>
      <w:r>
        <w:rPr>
          <w:rFonts w:hint="eastAsia" w:ascii="宋体" w:hAnsi="宋体" w:eastAsia="宋体" w:cs="宋体"/>
          <w:color w:val="000000"/>
          <w:szCs w:val="21"/>
          <w:lang w:val="zh-CN"/>
        </w:rPr>
      </w:r>
      <w:r/>
    </w:p>
    <w:p>
      <w:pPr>
        <w:ind w:firstLine="124"/>
        <w:spacing w:line="360" w:lineRule="auto"/>
        <w:rPr>
          <w:rFonts w:hint="eastAsia" w:ascii="宋体" w:hAnsi="宋体" w:eastAsia="宋体" w:cs="宋体"/>
          <w:color w:val="000000"/>
          <w:szCs w:val="21"/>
          <w:lang w:val="zh-CN"/>
        </w:rPr>
        <w:outlineLvl w:val="0"/>
      </w:pPr>
      <w:r>
        <w:rPr>
          <w:rFonts w:hint="eastAsia" w:ascii="宋体" w:hAnsi="宋体" w:eastAsia="宋体" w:cs="宋体"/>
          <w:color w:val="000000"/>
          <w:szCs w:val="21"/>
          <w:lang w:val="zh-CN"/>
        </w:rPr>
        <w:t xml:space="preserve">供应商：（单位盖章）</w:t>
      </w:r>
      <w:r/>
    </w:p>
    <w:p>
      <w:pPr>
        <w:ind w:firstLine="105"/>
        <w:spacing w:line="360" w:lineRule="auto"/>
        <w:rPr>
          <w:rFonts w:hint="eastAsia" w:ascii="宋体" w:hAnsi="宋体" w:eastAsia="宋体" w:cs="宋体"/>
          <w:color w:val="000000"/>
          <w:szCs w:val="21"/>
          <w:lang w:val="zh-CN"/>
        </w:rPr>
        <w:outlineLvl w:val="0"/>
      </w:pPr>
      <w:r>
        <w:rPr>
          <w:rFonts w:hint="eastAsia" w:ascii="宋体" w:hAnsi="宋体" w:eastAsia="宋体" w:cs="宋体"/>
          <w:color w:val="000000"/>
          <w:szCs w:val="21"/>
          <w:lang w:val="zh-CN"/>
        </w:rPr>
        <w:t xml:space="preserve">法定代表人或代理人：（签字或盖章）</w:t>
      </w:r>
      <w:r/>
    </w:p>
    <w:p>
      <w:pPr>
        <w:spacing w:line="360" w:lineRule="auto"/>
        <w:rPr>
          <w:rFonts w:hint="eastAsia" w:ascii="宋体" w:hAnsi="宋体" w:eastAsia="宋体" w:cs="宋体"/>
          <w:color w:val="000000"/>
          <w:szCs w:val="21"/>
          <w:lang w:val="zh-CN"/>
        </w:rPr>
        <w:outlineLvl w:val="0"/>
      </w:pPr>
      <w:r>
        <w:rPr>
          <w:rFonts w:hint="eastAsia" w:ascii="宋体" w:hAnsi="宋体" w:eastAsia="宋体" w:cs="宋体"/>
          <w:color w:val="000000"/>
          <w:szCs w:val="21"/>
          <w:lang w:val="zh-CN"/>
        </w:rPr>
        <w:t xml:space="preserve"> 日期：     年    月   日</w:t>
      </w:r>
      <w:r/>
    </w:p>
    <w:p>
      <w:pPr>
        <w:ind w:firstLine="420"/>
        <w:jc w:val="left"/>
        <w:spacing w:line="440" w:lineRule="exact"/>
        <w:rPr>
          <w:rFonts w:hint="eastAsia" w:ascii="宋体" w:hAnsi="宋体" w:eastAsia="宋体" w:cs="宋体"/>
          <w:szCs w:val="21"/>
        </w:rPr>
      </w:pPr>
      <w:r>
        <w:rPr>
          <w:rFonts w:hint="eastAsia" w:ascii="宋体" w:hAnsi="宋体" w:eastAsia="宋体" w:cs="宋体"/>
          <w:szCs w:val="21"/>
        </w:rPr>
      </w:r>
      <w:r/>
    </w:p>
    <w:p>
      <w:pPr>
        <w:ind w:right="48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ind w:right="48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br w:type="page" w:clear="all"/>
      </w:r>
      <w:r/>
    </w:p>
    <w:p>
      <w:pPr>
        <w:ind w:right="480"/>
        <w:spacing w:line="360" w:lineRule="auto"/>
        <w:rPr>
          <w:rFonts w:hint="eastAsia" w:ascii="宋体" w:hAnsi="宋体" w:eastAsia="宋体" w:cs="宋体"/>
          <w:b/>
          <w:bCs/>
          <w:szCs w:val="21"/>
        </w:rPr>
      </w:pPr>
      <w:r>
        <w:rPr>
          <w:rFonts w:hint="eastAsia" w:ascii="宋体" w:hAnsi="宋体" w:eastAsia="宋体" w:cs="宋体"/>
          <w:b/>
          <w:bCs/>
          <w:szCs w:val="21"/>
        </w:rPr>
        <w:t xml:space="preserve">4、报价明细表</w:t>
      </w:r>
      <w:r/>
    </w:p>
    <w:p>
      <w:pPr>
        <w:pStyle w:val="1036"/>
        <w:numPr>
          <w:ilvl w:val="0"/>
          <w:numId w:val="1"/>
        </w:numPr>
        <w:jc w:val="center"/>
        <w:rPr>
          <w:rFonts w:hint="eastAsia" w:ascii="宋体" w:hAnsi="宋体" w:eastAsia="宋体" w:cs="宋体"/>
          <w:sz w:val="32"/>
          <w:szCs w:val="32"/>
        </w:rPr>
      </w:pPr>
      <w:r>
        <w:rPr>
          <w:rFonts w:hint="eastAsia" w:ascii="宋体" w:hAnsi="宋体" w:eastAsia="宋体" w:cs="宋体"/>
          <w:b/>
          <w:sz w:val="24"/>
        </w:rPr>
        <w:t xml:space="preserve">报价明细表</w:t>
      </w:r>
      <w:r/>
    </w:p>
    <w:p>
      <w:pPr>
        <w:pStyle w:val="1036"/>
        <w:numPr>
          <w:ilvl w:val="0"/>
          <w:numId w:val="1"/>
        </w:numPr>
        <w:rPr>
          <w:rFonts w:hint="eastAsia" w:ascii="宋体" w:hAnsi="宋体" w:eastAsia="宋体" w:cs="宋体"/>
        </w:rPr>
      </w:pPr>
      <w:r>
        <w:rPr>
          <w:rFonts w:hint="eastAsia" w:ascii="宋体" w:hAnsi="宋体" w:eastAsia="宋体" w:cs="宋体"/>
        </w:rPr>
        <w:t xml:space="preserve">项目名称：                                         采购编号：</w:t>
      </w:r>
      <w:r/>
    </w:p>
    <w:tbl>
      <w:tblPr>
        <w:tblStyle w:val="846"/>
        <w:tblW w:w="11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0" w:type="dxa"/>
          <w:top w:w="0" w:type="dxa"/>
          <w:right w:w="30" w:type="dxa"/>
          <w:bottom w:w="0" w:type="dxa"/>
        </w:tblCellMar>
        <w:tblLook w:val="04A0" w:firstRow="1" w:lastRow="0" w:firstColumn="1" w:lastColumn="0" w:noHBand="0" w:noVBand="1"/>
      </w:tblPr>
      <w:tblGrid>
        <w:gridCol w:w="751"/>
        <w:gridCol w:w="1993"/>
        <w:gridCol w:w="2115"/>
        <w:gridCol w:w="1617"/>
        <w:gridCol w:w="1672"/>
        <w:gridCol w:w="1554"/>
        <w:gridCol w:w="1554"/>
      </w:tblGrid>
      <w:tr>
        <w:trPr>
          <w:jc w:val="center"/>
          <w:trHeight w:val="549"/>
        </w:trPr>
        <w:tc>
          <w:tcPr>
            <w:tcW w:w="751" w:type="dxa"/>
            <w:vAlign w:val="center"/>
            <w:textDirection w:val="lrTb"/>
            <w:noWrap w:val="false"/>
          </w:tcPr>
          <w:p>
            <w:pPr>
              <w:jc w:val="center"/>
              <w:rPr>
                <w:rFonts w:hint="eastAsia" w:ascii="宋体" w:hAnsi="宋体" w:eastAsia="宋体"/>
                <w:b/>
                <w:bCs/>
                <w:sz w:val="22"/>
                <w:szCs w:val="22"/>
              </w:rPr>
            </w:pPr>
            <w:r/>
            <w:bookmarkStart w:id="9" w:name="gpcItem_price_Horizontal"/>
            <w:r>
              <w:rPr>
                <w:rFonts w:hint="eastAsia" w:ascii="宋体" w:hAnsi="宋体" w:eastAsia="宋体"/>
                <w:b/>
                <w:bCs/>
                <w:sz w:val="22"/>
                <w:szCs w:val="22"/>
              </w:rPr>
              <w:t xml:space="preserve">序号</w:t>
            </w:r>
            <w:r/>
          </w:p>
        </w:tc>
        <w:tc>
          <w:tcPr>
            <w:tcW w:w="1993" w:type="dxa"/>
            <w:vAlign w:val="center"/>
            <w:textDirection w:val="lrTb"/>
            <w:noWrap w:val="false"/>
          </w:tcPr>
          <w:p>
            <w:pPr>
              <w:jc w:val="center"/>
              <w:rPr>
                <w:rFonts w:hint="eastAsia" w:ascii="宋体" w:hAnsi="宋体" w:eastAsia="宋体"/>
                <w:b/>
                <w:bCs/>
                <w:sz w:val="22"/>
                <w:szCs w:val="22"/>
              </w:rPr>
            </w:pPr>
            <w:r>
              <w:rPr>
                <w:rFonts w:hint="eastAsia" w:ascii="宋体" w:hAnsi="宋体" w:eastAsia="宋体"/>
                <w:b/>
                <w:bCs/>
                <w:sz w:val="22"/>
                <w:szCs w:val="22"/>
              </w:rPr>
              <w:t xml:space="preserve">项目内容</w:t>
            </w:r>
            <w:r/>
          </w:p>
        </w:tc>
        <w:tc>
          <w:tcPr>
            <w:tcW w:w="2115" w:type="dxa"/>
            <w:vAlign w:val="center"/>
            <w:textDirection w:val="lrTb"/>
            <w:noWrap w:val="false"/>
          </w:tcPr>
          <w:p>
            <w:pPr>
              <w:jc w:val="center"/>
              <w:rPr>
                <w:rFonts w:ascii="宋体" w:hAnsi="宋体" w:eastAsia="宋体"/>
                <w:b/>
                <w:bCs/>
                <w:sz w:val="22"/>
                <w:szCs w:val="22"/>
              </w:rPr>
            </w:pPr>
            <w:r>
              <w:rPr>
                <w:rFonts w:hint="eastAsia" w:ascii="宋体" w:hAnsi="宋体" w:eastAsia="宋体"/>
                <w:b/>
                <w:bCs/>
                <w:sz w:val="22"/>
                <w:szCs w:val="22"/>
              </w:rPr>
              <w:t xml:space="preserve">服务期限</w:t>
            </w:r>
            <w:r/>
          </w:p>
        </w:tc>
        <w:tc>
          <w:tcPr>
            <w:tcW w:w="1617" w:type="dxa"/>
            <w:vAlign w:val="center"/>
            <w:textDirection w:val="lrTb"/>
            <w:noWrap w:val="false"/>
          </w:tcPr>
          <w:p>
            <w:pPr>
              <w:jc w:val="center"/>
              <w:rPr>
                <w:rFonts w:hint="eastAsia" w:ascii="宋体" w:hAnsi="宋体" w:eastAsia="宋体"/>
                <w:b/>
                <w:bCs/>
                <w:sz w:val="22"/>
                <w:szCs w:val="22"/>
              </w:rPr>
            </w:pPr>
            <w:r>
              <w:rPr>
                <w:rFonts w:hint="eastAsia" w:ascii="宋体" w:hAnsi="宋体" w:eastAsia="宋体"/>
                <w:b/>
                <w:bCs/>
                <w:sz w:val="22"/>
                <w:szCs w:val="22"/>
              </w:rPr>
              <w:t xml:space="preserve">预估人数</w:t>
            </w:r>
            <w:r/>
          </w:p>
        </w:tc>
        <w:tc>
          <w:tcPr>
            <w:tcW w:w="1672" w:type="dxa"/>
            <w:vAlign w:val="center"/>
            <w:textDirection w:val="lrTb"/>
            <w:noWrap w:val="false"/>
          </w:tcPr>
          <w:p>
            <w:pPr>
              <w:jc w:val="center"/>
              <w:rPr>
                <w:rFonts w:hint="eastAsia" w:ascii="宋体" w:hAnsi="宋体" w:eastAsia="宋体"/>
                <w:b/>
                <w:bCs/>
                <w:sz w:val="22"/>
                <w:szCs w:val="22"/>
              </w:rPr>
            </w:pPr>
            <w:r>
              <w:rPr>
                <w:rFonts w:hint="eastAsia" w:ascii="宋体" w:hAnsi="宋体" w:eastAsia="宋体"/>
                <w:b/>
                <w:bCs/>
                <w:sz w:val="22"/>
                <w:szCs w:val="22"/>
              </w:rPr>
              <w:t xml:space="preserve">单价（元/人·年）</w:t>
            </w:r>
            <w:r/>
          </w:p>
        </w:tc>
        <w:tc>
          <w:tcPr>
            <w:tcW w:w="1554" w:type="dxa"/>
            <w:vAlign w:val="center"/>
            <w:textDirection w:val="lrTb"/>
            <w:noWrap w:val="false"/>
          </w:tcPr>
          <w:p>
            <w:pPr>
              <w:jc w:val="center"/>
              <w:rPr>
                <w:rFonts w:hint="eastAsia" w:ascii="宋体" w:hAnsi="宋体" w:eastAsia="宋体"/>
                <w:b/>
                <w:bCs/>
                <w:sz w:val="22"/>
                <w:szCs w:val="22"/>
              </w:rPr>
            </w:pPr>
            <w:r>
              <w:rPr>
                <w:rFonts w:hint="eastAsia" w:ascii="宋体" w:hAnsi="宋体"/>
                <w:b/>
                <w:bCs/>
                <w:sz w:val="22"/>
                <w:szCs w:val="22"/>
                <w:lang w:val="en-US" w:eastAsia="zh-CN"/>
              </w:rPr>
              <w:t xml:space="preserve">总</w:t>
            </w:r>
            <w:r>
              <w:rPr>
                <w:rFonts w:hint="eastAsia" w:ascii="宋体" w:hAnsi="宋体" w:eastAsia="宋体"/>
                <w:b/>
                <w:bCs/>
                <w:sz w:val="22"/>
                <w:szCs w:val="22"/>
              </w:rPr>
              <w:t xml:space="preserve">价（元/人·年）</w:t>
            </w:r>
            <w:r/>
          </w:p>
        </w:tc>
        <w:tc>
          <w:tcPr>
            <w:tcW w:w="1554" w:type="dxa"/>
            <w:vAlign w:val="center"/>
            <w:textDirection w:val="lrTb"/>
            <w:noWrap w:val="false"/>
          </w:tcPr>
          <w:p>
            <w:pPr>
              <w:jc w:val="center"/>
              <w:rPr>
                <w:rFonts w:hint="eastAsia" w:ascii="宋体" w:hAnsi="宋体" w:eastAsia="宋体"/>
                <w:b/>
                <w:bCs/>
                <w:sz w:val="22"/>
                <w:szCs w:val="22"/>
              </w:rPr>
            </w:pPr>
            <w:r>
              <w:rPr>
                <w:rFonts w:hint="eastAsia" w:ascii="宋体" w:hAnsi="宋体" w:eastAsia="宋体"/>
                <w:b/>
                <w:bCs/>
                <w:sz w:val="22"/>
                <w:szCs w:val="22"/>
              </w:rPr>
              <w:t xml:space="preserve">备注</w:t>
            </w:r>
            <w:r/>
          </w:p>
        </w:tc>
      </w:tr>
      <w:tr>
        <w:trPr>
          <w:jc w:val="center"/>
          <w:trHeight w:val="886"/>
        </w:trPr>
        <w:tc>
          <w:tcPr>
            <w:tcW w:w="751" w:type="dxa"/>
            <w:vAlign w:val="center"/>
            <w:textDirection w:val="lrTb"/>
            <w:noWrap w:val="false"/>
          </w:tcPr>
          <w:p>
            <w:pPr>
              <w:jc w:val="center"/>
              <w:rPr>
                <w:rFonts w:hint="eastAsia" w:ascii="宋体" w:hAnsi="宋体" w:eastAsia="宋体"/>
                <w:sz w:val="22"/>
                <w:szCs w:val="22"/>
              </w:rPr>
            </w:pPr>
            <w:r>
              <w:rPr>
                <w:rFonts w:hint="eastAsia" w:ascii="宋体" w:hAnsi="宋体" w:eastAsia="宋体"/>
                <w:sz w:val="22"/>
                <w:szCs w:val="22"/>
              </w:rPr>
              <w:t xml:space="preserve">1</w:t>
            </w:r>
            <w:r/>
          </w:p>
        </w:tc>
        <w:tc>
          <w:tcPr>
            <w:tcW w:w="1993" w:type="dxa"/>
            <w:vAlign w:val="center"/>
            <w:textDirection w:val="lrTb"/>
            <w:noWrap w:val="false"/>
          </w:tcPr>
          <w:p>
            <w:pPr>
              <w:jc w:val="center"/>
              <w:rPr>
                <w:rFonts w:hint="eastAsia" w:ascii="宋体" w:hAnsi="宋体" w:eastAsia="宋体"/>
                <w:sz w:val="22"/>
                <w:szCs w:val="22"/>
                <w:lang w:val="zh-CN"/>
              </w:rPr>
            </w:pPr>
            <w:r>
              <w:rPr>
                <w:rFonts w:hint="eastAsia" w:ascii="宋体" w:hAnsi="宋体" w:eastAsia="宋体"/>
                <w:sz w:val="22"/>
                <w:szCs w:val="22"/>
              </w:rPr>
              <w:t xml:space="preserve">退役军人</w:t>
            </w:r>
            <w:r/>
          </w:p>
        </w:tc>
        <w:tc>
          <w:tcPr>
            <w:tcW w:w="2115" w:type="dxa"/>
            <w:vAlign w:val="center"/>
            <w:textDirection w:val="lrTb"/>
            <w:noWrap w:val="false"/>
          </w:tcPr>
          <w:p>
            <w:pPr>
              <w:jc w:val="center"/>
              <w:rPr>
                <w:rFonts w:hint="eastAsia" w:ascii="宋体" w:hAnsi="宋体" w:eastAsia="宋体"/>
                <w:sz w:val="22"/>
                <w:szCs w:val="22"/>
              </w:rPr>
            </w:pPr>
            <w:r>
              <w:rPr>
                <w:rFonts w:hint="eastAsia" w:ascii="宋体" w:hAnsi="宋体" w:eastAsia="宋体" w:cs="宋体"/>
                <w:bCs/>
                <w:sz w:val="22"/>
                <w:szCs w:val="22"/>
                <w:lang w:val="en-US" w:eastAsia="zh-CN"/>
              </w:rPr>
              <w:t xml:space="preserve">1</w:t>
            </w:r>
            <w:r>
              <w:rPr>
                <w:rFonts w:hint="eastAsia" w:ascii="宋体" w:hAnsi="宋体" w:eastAsia="宋体" w:cs="宋体"/>
                <w:bCs/>
                <w:sz w:val="22"/>
                <w:szCs w:val="22"/>
              </w:rPr>
              <w:t xml:space="preserve">年，具体保险期间以保单所载为准</w:t>
            </w:r>
            <w:r/>
          </w:p>
        </w:tc>
        <w:tc>
          <w:tcPr>
            <w:tcW w:w="1617" w:type="dxa"/>
            <w:vAlign w:val="center"/>
            <w:textDirection w:val="lrTb"/>
            <w:noWrap w:val="false"/>
          </w:tcPr>
          <w:p>
            <w:pPr>
              <w:jc w:val="center"/>
              <w:widowControl/>
              <w:rPr>
                <w:rFonts w:hint="default" w:ascii="宋体" w:hAnsi="宋体" w:eastAsia="宋体"/>
                <w:sz w:val="22"/>
                <w:szCs w:val="22"/>
                <w:lang w:val="en-US" w:eastAsia="zh-CN"/>
              </w:rPr>
            </w:pPr>
            <w:r>
              <w:rPr>
                <w:rFonts w:hint="eastAsia" w:ascii="宋体" w:hAnsi="宋体"/>
                <w:sz w:val="22"/>
                <w:szCs w:val="22"/>
                <w:lang w:val="en-US" w:eastAsia="zh-CN"/>
              </w:rPr>
              <w:t xml:space="preserve">20000</w:t>
            </w:r>
            <w:r/>
          </w:p>
        </w:tc>
        <w:tc>
          <w:tcPr>
            <w:tcW w:w="1672" w:type="dxa"/>
            <w:vAlign w:val="center"/>
            <w:textDirection w:val="lrTb"/>
            <w:noWrap w:val="false"/>
          </w:tcPr>
          <w:p>
            <w:pPr>
              <w:jc w:val="center"/>
              <w:widowControl/>
              <w:rPr>
                <w:rFonts w:ascii="宋体" w:hAnsi="宋体" w:eastAsia="宋体"/>
                <w:sz w:val="22"/>
                <w:szCs w:val="22"/>
              </w:rPr>
            </w:pPr>
            <w:r>
              <w:rPr>
                <w:rFonts w:ascii="宋体" w:hAnsi="宋体" w:eastAsia="宋体"/>
                <w:sz w:val="22"/>
                <w:szCs w:val="22"/>
              </w:rPr>
            </w:r>
            <w:r/>
          </w:p>
        </w:tc>
        <w:tc>
          <w:tcPr>
            <w:tcW w:w="1554" w:type="dxa"/>
            <w:vAlign w:val="center"/>
            <w:textDirection w:val="lrTb"/>
            <w:noWrap w:val="false"/>
          </w:tcPr>
          <w:p>
            <w:pPr>
              <w:jc w:val="center"/>
              <w:widowControl/>
              <w:rPr>
                <w:rFonts w:hint="eastAsia" w:ascii="宋体" w:hAnsi="宋体" w:eastAsia="宋体"/>
                <w:sz w:val="22"/>
                <w:szCs w:val="22"/>
              </w:rPr>
            </w:pPr>
            <w:r>
              <w:rPr>
                <w:rFonts w:hint="eastAsia" w:ascii="宋体" w:hAnsi="宋体" w:eastAsia="宋体"/>
                <w:sz w:val="22"/>
                <w:szCs w:val="22"/>
              </w:rPr>
            </w:r>
            <w:r/>
          </w:p>
        </w:tc>
        <w:tc>
          <w:tcPr>
            <w:tcW w:w="1554" w:type="dxa"/>
            <w:vAlign w:val="center"/>
            <w:textDirection w:val="lrTb"/>
            <w:noWrap w:val="false"/>
          </w:tcPr>
          <w:p>
            <w:pPr>
              <w:jc w:val="center"/>
              <w:rPr>
                <w:rFonts w:hint="eastAsia" w:ascii="宋体" w:hAnsi="宋体" w:eastAsia="宋体"/>
                <w:sz w:val="22"/>
                <w:szCs w:val="22"/>
              </w:rPr>
            </w:pPr>
            <w:r>
              <w:rPr>
                <w:rFonts w:hint="eastAsia" w:ascii="宋体" w:hAnsi="宋体" w:eastAsia="宋体"/>
                <w:sz w:val="22"/>
                <w:szCs w:val="22"/>
              </w:rPr>
              <w:t xml:space="preserve">按实际缴纳人数结算</w:t>
            </w:r>
            <w:r/>
          </w:p>
        </w:tc>
      </w:tr>
      <w:tr>
        <w:trPr>
          <w:jc w:val="center"/>
          <w:trHeight w:val="881"/>
        </w:trPr>
        <w:tc>
          <w:tcPr>
            <w:tcW w:w="751" w:type="dxa"/>
            <w:vAlign w:val="center"/>
            <w:textDirection w:val="lrTb"/>
            <w:noWrap w:val="false"/>
          </w:tcPr>
          <w:p>
            <w:pPr>
              <w:jc w:val="center"/>
              <w:rPr>
                <w:rFonts w:hint="eastAsia" w:ascii="宋体" w:hAnsi="宋体" w:eastAsia="宋体"/>
                <w:sz w:val="22"/>
                <w:szCs w:val="22"/>
              </w:rPr>
            </w:pPr>
            <w:r>
              <w:rPr>
                <w:rFonts w:hint="eastAsia" w:ascii="宋体" w:hAnsi="宋体" w:eastAsia="宋体"/>
                <w:sz w:val="22"/>
                <w:szCs w:val="22"/>
              </w:rPr>
              <w:t xml:space="preserve">2</w:t>
            </w:r>
            <w:r/>
          </w:p>
        </w:tc>
        <w:tc>
          <w:tcPr>
            <w:tcW w:w="1993" w:type="dxa"/>
            <w:vAlign w:val="center"/>
            <w:textDirection w:val="lrTb"/>
            <w:noWrap w:val="false"/>
          </w:tcPr>
          <w:p>
            <w:pPr>
              <w:jc w:val="center"/>
              <w:rPr>
                <w:rFonts w:hint="eastAsia" w:ascii="宋体" w:hAnsi="宋体" w:eastAsia="宋体"/>
                <w:sz w:val="22"/>
                <w:szCs w:val="22"/>
              </w:rPr>
            </w:pPr>
            <w:r>
              <w:rPr>
                <w:rFonts w:hint="eastAsia" w:ascii="宋体" w:hAnsi="宋体" w:eastAsia="宋体"/>
                <w:sz w:val="22"/>
                <w:szCs w:val="22"/>
              </w:rPr>
              <w:t xml:space="preserve">现役军人</w:t>
            </w:r>
            <w:r/>
          </w:p>
        </w:tc>
        <w:tc>
          <w:tcPr>
            <w:tcW w:w="2115" w:type="dxa"/>
            <w:vAlign w:val="center"/>
            <w:textDirection w:val="lrTb"/>
            <w:noWrap w:val="false"/>
          </w:tcPr>
          <w:p>
            <w:pPr>
              <w:jc w:val="center"/>
              <w:rPr>
                <w:rFonts w:hint="eastAsia" w:ascii="宋体" w:hAnsi="宋体" w:eastAsia="宋体"/>
                <w:sz w:val="22"/>
                <w:szCs w:val="22"/>
              </w:rPr>
            </w:pPr>
            <w:r>
              <w:rPr>
                <w:rFonts w:hint="eastAsia" w:ascii="宋体" w:hAnsi="宋体" w:eastAsia="宋体" w:cs="宋体"/>
                <w:bCs/>
                <w:sz w:val="22"/>
                <w:szCs w:val="22"/>
                <w:lang w:val="en-US" w:eastAsia="zh-CN"/>
              </w:rPr>
              <w:t xml:space="preserve">1</w:t>
            </w:r>
            <w:r>
              <w:rPr>
                <w:rFonts w:hint="eastAsia" w:ascii="宋体" w:hAnsi="宋体" w:eastAsia="宋体" w:cs="宋体"/>
                <w:bCs/>
                <w:sz w:val="22"/>
                <w:szCs w:val="22"/>
              </w:rPr>
              <w:t xml:space="preserve">年，具体保险期间以保单所载为准</w:t>
            </w:r>
            <w:r/>
          </w:p>
        </w:tc>
        <w:tc>
          <w:tcPr>
            <w:tcW w:w="1617"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sz w:val="22"/>
                <w:szCs w:val="22"/>
              </w:rPr>
              <w:t xml:space="preserve">500</w:t>
            </w:r>
            <w:r/>
          </w:p>
        </w:tc>
        <w:tc>
          <w:tcPr>
            <w:tcW w:w="1672" w:type="dxa"/>
            <w:vAlign w:val="center"/>
            <w:textDirection w:val="lrTb"/>
            <w:noWrap w:val="false"/>
          </w:tcPr>
          <w:p>
            <w:pPr>
              <w:jc w:val="center"/>
              <w:widowControl/>
              <w:rPr>
                <w:rFonts w:ascii="宋体" w:hAnsi="宋体" w:eastAsia="宋体"/>
                <w:sz w:val="22"/>
                <w:szCs w:val="22"/>
              </w:rPr>
            </w:pPr>
            <w:r>
              <w:rPr>
                <w:rFonts w:ascii="宋体" w:hAnsi="宋体" w:eastAsia="宋体"/>
                <w:sz w:val="22"/>
                <w:szCs w:val="22"/>
              </w:rPr>
            </w:r>
            <w:r/>
          </w:p>
        </w:tc>
        <w:tc>
          <w:tcPr>
            <w:tcW w:w="1554" w:type="dxa"/>
            <w:vAlign w:val="center"/>
            <w:textDirection w:val="lrTb"/>
            <w:noWrap w:val="false"/>
          </w:tcPr>
          <w:p>
            <w:pPr>
              <w:jc w:val="center"/>
              <w:widowControl/>
              <w:rPr>
                <w:rFonts w:hint="eastAsia" w:ascii="宋体" w:hAnsi="宋体" w:eastAsia="宋体"/>
                <w:sz w:val="22"/>
                <w:szCs w:val="22"/>
              </w:rPr>
            </w:pPr>
            <w:r>
              <w:rPr>
                <w:rFonts w:hint="eastAsia" w:ascii="宋体" w:hAnsi="宋体" w:eastAsia="宋体"/>
                <w:sz w:val="22"/>
                <w:szCs w:val="22"/>
              </w:rPr>
            </w:r>
            <w:r/>
          </w:p>
        </w:tc>
        <w:tc>
          <w:tcPr>
            <w:tcW w:w="1554" w:type="dxa"/>
            <w:vAlign w:val="center"/>
            <w:textDirection w:val="lrTb"/>
            <w:noWrap w:val="false"/>
          </w:tcPr>
          <w:p>
            <w:pPr>
              <w:jc w:val="center"/>
              <w:rPr>
                <w:rFonts w:hint="eastAsia" w:ascii="宋体" w:hAnsi="宋体" w:eastAsia="宋体"/>
                <w:sz w:val="22"/>
                <w:szCs w:val="22"/>
              </w:rPr>
            </w:pPr>
            <w:r>
              <w:rPr>
                <w:rFonts w:hint="eastAsia" w:ascii="宋体" w:hAnsi="宋体" w:eastAsia="宋体"/>
                <w:sz w:val="22"/>
                <w:szCs w:val="22"/>
              </w:rPr>
              <w:t xml:space="preserve">按实际缴纳人数结算</w:t>
            </w:r>
            <w:r/>
          </w:p>
        </w:tc>
      </w:tr>
      <w:tr>
        <w:trPr>
          <w:jc w:val="center"/>
          <w:trHeight w:val="881"/>
        </w:trPr>
        <w:tc>
          <w:tcPr>
            <w:tcW w:w="751" w:type="dxa"/>
            <w:vAlign w:val="center"/>
            <w:textDirection w:val="lrTb"/>
            <w:noWrap w:val="false"/>
          </w:tcPr>
          <w:p>
            <w:pPr>
              <w:jc w:val="center"/>
              <w:rPr>
                <w:rFonts w:hint="eastAsia" w:ascii="宋体" w:hAnsi="宋体" w:eastAsia="宋体"/>
                <w:sz w:val="22"/>
                <w:szCs w:val="22"/>
              </w:rPr>
            </w:pPr>
            <w:r>
              <w:rPr>
                <w:rFonts w:hint="eastAsia" w:ascii="宋体" w:hAnsi="宋体" w:eastAsia="宋体"/>
                <w:sz w:val="22"/>
                <w:szCs w:val="22"/>
              </w:rPr>
              <w:t xml:space="preserve">3</w:t>
            </w:r>
            <w:r/>
          </w:p>
        </w:tc>
        <w:tc>
          <w:tcPr>
            <w:tcW w:w="1993" w:type="dxa"/>
            <w:vAlign w:val="center"/>
            <w:textDirection w:val="lrTb"/>
            <w:noWrap w:val="false"/>
          </w:tcPr>
          <w:p>
            <w:pPr>
              <w:jc w:val="center"/>
              <w:rPr>
                <w:rFonts w:hint="eastAsia" w:ascii="宋体" w:hAnsi="宋体" w:eastAsia="宋体"/>
                <w:sz w:val="22"/>
                <w:szCs w:val="22"/>
              </w:rPr>
            </w:pPr>
            <w:r>
              <w:rPr>
                <w:rFonts w:hint="eastAsia" w:ascii="宋体" w:hAnsi="宋体" w:eastAsia="宋体"/>
                <w:sz w:val="22"/>
                <w:szCs w:val="22"/>
              </w:rPr>
              <w:t xml:space="preserve">现役军人家属</w:t>
            </w:r>
            <w:r/>
          </w:p>
        </w:tc>
        <w:tc>
          <w:tcPr>
            <w:tcW w:w="2115" w:type="dxa"/>
            <w:vAlign w:val="center"/>
            <w:textDirection w:val="lrTb"/>
            <w:noWrap w:val="false"/>
          </w:tcPr>
          <w:p>
            <w:pPr>
              <w:jc w:val="center"/>
              <w:rPr>
                <w:rFonts w:hint="eastAsia" w:ascii="宋体" w:hAnsi="宋体" w:eastAsia="宋体"/>
                <w:sz w:val="22"/>
                <w:szCs w:val="22"/>
              </w:rPr>
            </w:pPr>
            <w:r>
              <w:rPr>
                <w:rFonts w:hint="eastAsia" w:ascii="宋体" w:hAnsi="宋体" w:eastAsia="宋体" w:cs="宋体"/>
                <w:bCs/>
                <w:sz w:val="22"/>
                <w:szCs w:val="22"/>
                <w:lang w:val="en-US" w:eastAsia="zh-CN"/>
              </w:rPr>
              <w:t xml:space="preserve">1</w:t>
            </w:r>
            <w:r>
              <w:rPr>
                <w:rFonts w:hint="eastAsia" w:ascii="宋体" w:hAnsi="宋体" w:eastAsia="宋体" w:cs="宋体"/>
                <w:bCs/>
                <w:sz w:val="22"/>
                <w:szCs w:val="22"/>
              </w:rPr>
              <w:t xml:space="preserve">年，具体保险期间以保单所载为准</w:t>
            </w:r>
            <w:r/>
          </w:p>
        </w:tc>
        <w:tc>
          <w:tcPr>
            <w:tcW w:w="1617" w:type="dxa"/>
            <w:vAlign w:val="center"/>
            <w:textDirection w:val="lrTb"/>
            <w:noWrap w:val="false"/>
          </w:tcPr>
          <w:p>
            <w:pPr>
              <w:jc w:val="center"/>
              <w:widowControl/>
              <w:rPr>
                <w:rFonts w:hint="default" w:ascii="宋体" w:hAnsi="宋体" w:eastAsia="宋体" w:cs="宋体"/>
                <w:sz w:val="22"/>
                <w:szCs w:val="22"/>
                <w:lang w:val="en-US" w:eastAsia="zh-CN"/>
              </w:rPr>
            </w:pPr>
            <w:r>
              <w:rPr>
                <w:rFonts w:hint="eastAsia" w:ascii="宋体" w:hAnsi="宋体"/>
                <w:sz w:val="22"/>
                <w:szCs w:val="22"/>
                <w:lang w:val="en-US" w:eastAsia="zh-CN"/>
              </w:rPr>
              <w:t xml:space="preserve">1500</w:t>
            </w:r>
            <w:r/>
          </w:p>
        </w:tc>
        <w:tc>
          <w:tcPr>
            <w:tcW w:w="1672" w:type="dxa"/>
            <w:vAlign w:val="center"/>
            <w:textDirection w:val="lrTb"/>
            <w:noWrap w:val="false"/>
          </w:tcPr>
          <w:p>
            <w:pPr>
              <w:jc w:val="center"/>
              <w:widowControl/>
              <w:rPr>
                <w:rFonts w:ascii="宋体" w:hAnsi="宋体" w:eastAsia="宋体"/>
                <w:sz w:val="22"/>
                <w:szCs w:val="22"/>
              </w:rPr>
            </w:pPr>
            <w:r>
              <w:rPr>
                <w:rFonts w:ascii="宋体" w:hAnsi="宋体" w:eastAsia="宋体"/>
                <w:sz w:val="22"/>
                <w:szCs w:val="22"/>
              </w:rPr>
            </w:r>
            <w:r/>
          </w:p>
        </w:tc>
        <w:tc>
          <w:tcPr>
            <w:tcW w:w="1554" w:type="dxa"/>
            <w:vAlign w:val="center"/>
            <w:textDirection w:val="lrTb"/>
            <w:noWrap w:val="false"/>
          </w:tcPr>
          <w:p>
            <w:pPr>
              <w:jc w:val="center"/>
              <w:widowControl/>
              <w:rPr>
                <w:rFonts w:hint="eastAsia" w:ascii="宋体" w:hAnsi="宋体" w:eastAsia="宋体"/>
                <w:sz w:val="22"/>
                <w:szCs w:val="22"/>
              </w:rPr>
            </w:pPr>
            <w:r>
              <w:rPr>
                <w:rFonts w:hint="eastAsia" w:ascii="宋体" w:hAnsi="宋体" w:eastAsia="宋体"/>
                <w:sz w:val="22"/>
                <w:szCs w:val="22"/>
              </w:rPr>
            </w:r>
            <w:r/>
          </w:p>
        </w:tc>
        <w:tc>
          <w:tcPr>
            <w:tcW w:w="1554" w:type="dxa"/>
            <w:vAlign w:val="center"/>
            <w:textDirection w:val="lrTb"/>
            <w:noWrap w:val="false"/>
          </w:tcPr>
          <w:p>
            <w:pPr>
              <w:jc w:val="center"/>
              <w:rPr>
                <w:rFonts w:hint="eastAsia" w:ascii="宋体" w:hAnsi="宋体" w:eastAsia="宋体"/>
                <w:sz w:val="22"/>
                <w:szCs w:val="22"/>
              </w:rPr>
            </w:pPr>
            <w:r>
              <w:rPr>
                <w:rFonts w:hint="eastAsia" w:ascii="宋体" w:hAnsi="宋体" w:eastAsia="宋体"/>
                <w:sz w:val="22"/>
                <w:szCs w:val="22"/>
              </w:rPr>
              <w:t xml:space="preserve">按实际缴纳人数结算</w:t>
            </w:r>
            <w:r/>
          </w:p>
        </w:tc>
      </w:tr>
      <w:tr>
        <w:trPr>
          <w:jc w:val="center"/>
          <w:trHeight w:val="881"/>
        </w:trPr>
        <w:tc>
          <w:tcPr>
            <w:gridSpan w:val="5"/>
            <w:tcW w:w="8148" w:type="dxa"/>
            <w:vAlign w:val="center"/>
            <w:textDirection w:val="lrTb"/>
            <w:noWrap w:val="false"/>
          </w:tcPr>
          <w:p>
            <w:pPr>
              <w:rPr>
                <w:rFonts w:hint="eastAsia"/>
                <w:lang w:val="en-US" w:eastAsia="zh-CN"/>
              </w:rPr>
            </w:pPr>
            <w:r>
              <w:rPr>
                <w:rFonts w:hint="eastAsia"/>
                <w:lang w:val="en-US" w:eastAsia="zh-CN"/>
              </w:rPr>
              <w:t xml:space="preserve">合计</w:t>
            </w:r>
            <w:r/>
          </w:p>
        </w:tc>
        <w:tc>
          <w:tcPr>
            <w:tcW w:w="1554" w:type="dxa"/>
            <w:vAlign w:val="center"/>
            <w:textDirection w:val="lrTb"/>
            <w:noWrap w:val="false"/>
          </w:tcPr>
          <w:p>
            <w:pPr>
              <w:jc w:val="center"/>
              <w:widowControl/>
              <w:rPr>
                <w:rFonts w:hint="eastAsia" w:ascii="宋体" w:hAnsi="宋体" w:eastAsia="宋体"/>
                <w:sz w:val="22"/>
                <w:szCs w:val="22"/>
              </w:rPr>
            </w:pPr>
            <w:r>
              <w:rPr>
                <w:rFonts w:hint="eastAsia" w:ascii="宋体" w:hAnsi="宋体" w:eastAsia="宋体"/>
                <w:sz w:val="22"/>
                <w:szCs w:val="22"/>
              </w:rPr>
            </w:r>
            <w:r/>
          </w:p>
        </w:tc>
        <w:tc>
          <w:tcPr>
            <w:tcW w:w="1554" w:type="dxa"/>
            <w:vAlign w:val="center"/>
            <w:textDirection w:val="lrTb"/>
            <w:noWrap w:val="false"/>
          </w:tcPr>
          <w:p>
            <w:pPr>
              <w:jc w:val="center"/>
              <w:rPr>
                <w:rFonts w:hint="eastAsia" w:ascii="宋体" w:hAnsi="宋体" w:eastAsia="宋体"/>
                <w:sz w:val="22"/>
                <w:szCs w:val="22"/>
              </w:rPr>
            </w:pPr>
            <w:r>
              <w:rPr>
                <w:rFonts w:hint="eastAsia" w:ascii="宋体" w:hAnsi="宋体" w:eastAsia="宋体"/>
                <w:sz w:val="22"/>
                <w:szCs w:val="22"/>
              </w:rPr>
            </w:r>
            <w:bookmarkEnd w:id="9"/>
            <w:r/>
            <w:r/>
          </w:p>
        </w:tc>
      </w:tr>
    </w:tbl>
    <w:p>
      <w:pPr>
        <w:pStyle w:val="1036"/>
        <w:numPr>
          <w:ilvl w:val="0"/>
          <w:numId w:val="0"/>
        </w:numPr>
        <w:jc w:val="both"/>
        <w:spacing w:before="120" w:line="360" w:lineRule="auto"/>
        <w:widowControl w:val="off"/>
        <w:tabs>
          <w:tab w:val="left" w:pos="360" w:leader="none"/>
        </w:tabs>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89"/>
        <w:rPr>
          <w:rFonts w:hint="eastAsia"/>
        </w:rPr>
      </w:pPr>
      <w:r>
        <w:rPr>
          <w:rFonts w:hint="eastAsia"/>
        </w:rPr>
      </w:r>
      <w:r/>
    </w:p>
    <w:p>
      <w:pPr>
        <w:pStyle w:val="1036"/>
        <w:numPr>
          <w:ilvl w:val="0"/>
          <w:numId w:val="1"/>
        </w:numPr>
        <w:rPr>
          <w:rFonts w:hint="eastAsia" w:ascii="宋体" w:hAnsi="宋体" w:eastAsia="宋体" w:cs="宋体"/>
        </w:rPr>
      </w:pPr>
      <w:r>
        <w:rPr>
          <w:rFonts w:hint="eastAsia" w:ascii="宋体" w:hAnsi="宋体" w:eastAsia="宋体" w:cs="宋体"/>
        </w:rPr>
        <w:t xml:space="preserve">供应商：（公章）</w:t>
      </w:r>
      <w:r/>
    </w:p>
    <w:p>
      <w:pPr>
        <w:pStyle w:val="1036"/>
        <w:numPr>
          <w:ilvl w:val="0"/>
          <w:numId w:val="1"/>
        </w:numPr>
        <w:rPr>
          <w:rFonts w:hint="eastAsia" w:ascii="宋体" w:hAnsi="宋体" w:eastAsia="宋体" w:cs="宋体"/>
        </w:rPr>
      </w:pPr>
      <w:r>
        <w:rPr>
          <w:rFonts w:hint="eastAsia" w:ascii="宋体" w:hAnsi="宋体" w:eastAsia="宋体" w:cs="宋体"/>
        </w:rPr>
        <w:t xml:space="preserve">法定代表人或代理人：（签字或盖章）</w:t>
      </w:r>
      <w:r/>
    </w:p>
    <w:p>
      <w:pPr>
        <w:pStyle w:val="1036"/>
        <w:numPr>
          <w:ilvl w:val="0"/>
          <w:numId w:val="1"/>
        </w:numPr>
        <w:rPr>
          <w:rFonts w:hint="eastAsia" w:ascii="宋体" w:hAnsi="宋体" w:eastAsia="宋体" w:cs="宋体"/>
        </w:rPr>
      </w:pPr>
      <w:r>
        <w:rPr>
          <w:rFonts w:hint="eastAsia" w:ascii="宋体" w:hAnsi="宋体" w:eastAsia="宋体" w:cs="宋体"/>
        </w:rPr>
        <w:t xml:space="preserve">日期：　　　　　　　年　　月　　日</w:t>
      </w:r>
      <w:r/>
    </w:p>
    <w:p>
      <w:pPr>
        <w:spacing w:line="360" w:lineRule="exact"/>
        <w:rPr>
          <w:rFonts w:hint="eastAsia" w:ascii="宋体" w:hAnsi="宋体" w:eastAsia="宋体" w:cs="宋体"/>
          <w:b/>
          <w:color w:val="000000"/>
          <w:szCs w:val="21"/>
        </w:rPr>
      </w:pPr>
      <w:r>
        <w:rPr>
          <w:rFonts w:hint="eastAsia" w:ascii="宋体" w:hAnsi="宋体" w:eastAsia="宋体" w:cs="宋体"/>
          <w:b/>
          <w:color w:val="000000"/>
          <w:szCs w:val="21"/>
        </w:rPr>
        <w:br w:type="page" w:clear="all"/>
      </w:r>
      <w:r/>
    </w:p>
    <w:p>
      <w:pPr>
        <w:spacing w:line="360" w:lineRule="exact"/>
        <w:rPr>
          <w:rFonts w:hint="eastAsia" w:ascii="宋体" w:hAnsi="宋体" w:eastAsia="宋体" w:cs="宋体"/>
          <w:b/>
          <w:color w:val="000000"/>
          <w:szCs w:val="21"/>
        </w:rPr>
      </w:pPr>
      <w:r>
        <w:rPr>
          <w:rFonts w:hint="eastAsia" w:ascii="宋体" w:hAnsi="宋体" w:eastAsia="宋体" w:cs="宋体"/>
          <w:b/>
          <w:color w:val="000000"/>
          <w:szCs w:val="21"/>
        </w:rPr>
      </w:r>
      <w:r/>
    </w:p>
    <w:p>
      <w:pPr>
        <w:spacing w:line="360" w:lineRule="exact"/>
        <w:rPr>
          <w:rFonts w:hint="eastAsia" w:ascii="宋体" w:hAnsi="宋体" w:eastAsia="宋体" w:cs="宋体"/>
          <w:b/>
          <w:szCs w:val="21"/>
        </w:rPr>
      </w:pPr>
      <w:r>
        <w:rPr>
          <w:rFonts w:hint="eastAsia" w:ascii="宋体" w:hAnsi="宋体" w:eastAsia="宋体" w:cs="宋体"/>
          <w:b/>
          <w:bCs/>
          <w:szCs w:val="21"/>
        </w:rPr>
        <w:t xml:space="preserve">5、关于资格文件的声明函</w:t>
      </w:r>
      <w:r/>
    </w:p>
    <w:p>
      <w:pPr>
        <w:ind w:firstLine="420"/>
        <w:jc w:val="center"/>
        <w:rPr>
          <w:rFonts w:hint="eastAsia" w:ascii="宋体" w:hAnsi="宋体" w:eastAsia="宋体" w:cs="宋体"/>
          <w:b/>
          <w:szCs w:val="21"/>
        </w:rPr>
      </w:pPr>
      <w:r>
        <w:rPr>
          <w:rFonts w:hint="eastAsia" w:ascii="宋体" w:hAnsi="宋体" w:eastAsia="宋体" w:cs="宋体"/>
          <w:b/>
          <w:szCs w:val="21"/>
        </w:rPr>
      </w:r>
      <w:r/>
    </w:p>
    <w:p>
      <w:pPr>
        <w:ind w:firstLine="420"/>
        <w:jc w:val="center"/>
        <w:rPr>
          <w:rFonts w:hint="eastAsia" w:ascii="宋体" w:hAnsi="宋体" w:eastAsia="宋体" w:cs="宋体"/>
          <w:b/>
          <w:sz w:val="24"/>
          <w:szCs w:val="24"/>
        </w:rPr>
      </w:pPr>
      <w:r>
        <w:rPr>
          <w:rFonts w:hint="eastAsia" w:ascii="宋体" w:hAnsi="宋体" w:eastAsia="宋体" w:cs="宋体"/>
          <w:b/>
          <w:sz w:val="24"/>
          <w:szCs w:val="24"/>
        </w:rPr>
        <w:t xml:space="preserve">关于资格文件的声明函</w:t>
      </w:r>
      <w:r/>
    </w:p>
    <w:p>
      <w:pPr>
        <w:ind w:firstLine="420"/>
        <w:jc w:val="center"/>
        <w:rPr>
          <w:rFonts w:hint="eastAsia" w:ascii="宋体" w:hAnsi="宋体" w:eastAsia="宋体" w:cs="宋体"/>
          <w:szCs w:val="21"/>
        </w:rPr>
      </w:pPr>
      <w:r>
        <w:rPr>
          <w:rFonts w:hint="eastAsia" w:ascii="宋体" w:hAnsi="宋体" w:eastAsia="宋体" w:cs="宋体"/>
          <w:szCs w:val="21"/>
        </w:rPr>
      </w:r>
      <w:r/>
    </w:p>
    <w:p>
      <w:pPr>
        <w:jc w:val="left"/>
        <w:spacing w:line="360" w:lineRule="auto"/>
        <w:rPr>
          <w:rFonts w:hint="eastAsia" w:ascii="宋体" w:hAnsi="宋体" w:eastAsia="宋体" w:cs="宋体"/>
          <w:szCs w:val="21"/>
        </w:rPr>
      </w:pPr>
      <w:r>
        <w:rPr>
          <w:rFonts w:hint="eastAsia" w:ascii="宋体" w:hAnsi="宋体" w:cs="宋体"/>
          <w:szCs w:val="21"/>
          <w:u w:val="single"/>
          <w:lang w:eastAsia="zh-CN"/>
        </w:rPr>
        <w:t xml:space="preserve">苏州建龙工程建设咨询有限公司</w:t>
      </w:r>
      <w:r>
        <w:rPr>
          <w:rFonts w:hint="eastAsia" w:ascii="宋体" w:hAnsi="宋体" w:eastAsia="宋体" w:cs="宋体"/>
          <w:szCs w:val="21"/>
        </w:rPr>
        <w:t xml:space="preserve">：</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本公司愿就由贵公司组织实施的编号为</w:t>
      </w:r>
      <w:r>
        <w:rPr>
          <w:rFonts w:hint="eastAsia" w:ascii="宋体" w:hAnsi="宋体" w:eastAsia="宋体" w:cs="宋体"/>
          <w:szCs w:val="21"/>
          <w:u w:val="single"/>
        </w:rPr>
        <w:t xml:space="preserve">     </w:t>
      </w:r>
      <w:r>
        <w:rPr>
          <w:rFonts w:hint="eastAsia" w:ascii="宋体" w:hAnsi="宋体" w:eastAsia="宋体" w:cs="宋体"/>
          <w:szCs w:val="21"/>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磋商供应商：（单位公章） </w:t>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法定代表人或被授权人：（签字或盖章）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日    期：     年     月    日</w:t>
      </w:r>
      <w:r/>
    </w:p>
    <w:p>
      <w:pPr>
        <w:jc w:val="left"/>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color w:val="000000"/>
          <w:szCs w:val="21"/>
        </w:rPr>
        <w:br w:type="page" w:clear="all"/>
      </w:r>
      <w:r>
        <w:rPr>
          <w:rFonts w:hint="eastAsia" w:ascii="宋体" w:hAnsi="宋体" w:eastAsia="宋体" w:cs="宋体"/>
          <w:b/>
          <w:color w:val="000000"/>
          <w:szCs w:val="21"/>
        </w:rPr>
        <w:t xml:space="preserve">6、磋商响应单位基本情况表</w:t>
      </w:r>
      <w:r/>
    </w:p>
    <w:p>
      <w:pPr>
        <w:jc w:val="center"/>
        <w:rPr>
          <w:rFonts w:hint="eastAsia" w:ascii="宋体" w:hAnsi="宋体" w:eastAsia="宋体" w:cs="宋体"/>
          <w:b/>
          <w:sz w:val="24"/>
          <w:szCs w:val="24"/>
        </w:rPr>
        <w:outlineLvl w:val="0"/>
      </w:pPr>
      <w:r>
        <w:rPr>
          <w:rFonts w:hint="eastAsia" w:ascii="宋体" w:hAnsi="宋体" w:eastAsia="宋体" w:cs="宋体"/>
          <w:b/>
          <w:sz w:val="24"/>
          <w:szCs w:val="24"/>
        </w:rPr>
        <w:t xml:space="preserve">磋商响应单位基本情况表</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lang w:eastAsia="zh-CN"/>
        </w:rPr>
        <w:t xml:space="preserve">现役军人、退役军人及优抚对象保险保障</w:t>
      </w:r>
      <w:r/>
    </w:p>
    <w:p>
      <w:pPr>
        <w:rPr>
          <w:rFonts w:hint="eastAsia" w:ascii="宋体" w:hAnsi="宋体" w:eastAsia="宋体" w:cs="宋体"/>
          <w:lang w:eastAsia="zh-CN"/>
        </w:rPr>
      </w:pPr>
      <w:r>
        <w:rPr>
          <w:rFonts w:hint="eastAsia" w:ascii="宋体" w:hAnsi="宋体" w:eastAsia="宋体" w:cs="宋体"/>
          <w:szCs w:val="21"/>
        </w:rPr>
        <w:t xml:space="preserve">采购编号：</w:t>
      </w:r>
      <w:r>
        <w:rPr>
          <w:rFonts w:hint="eastAsia" w:ascii="宋体" w:hAnsi="宋体" w:cs="宋体"/>
          <w:szCs w:val="21"/>
          <w:lang w:eastAsia="zh-CN"/>
        </w:rPr>
        <w:t xml:space="preserve">JSZC-320506-JLDL-C2025-0005</w:t>
      </w:r>
      <w:r/>
    </w:p>
    <w:tbl>
      <w:tblPr>
        <w:tblStyle w:val="846"/>
        <w:tblW w:w="8998" w:type="dxa"/>
        <w:jc w:val="center"/>
        <w:tblLayout w:type="fixed"/>
        <w:tblCellMar>
          <w:left w:w="0" w:type="dxa"/>
          <w:top w:w="0" w:type="dxa"/>
          <w:right w:w="0" w:type="dxa"/>
          <w:bottom w:w="0" w:type="dxa"/>
        </w:tblCellMar>
        <w:tblLook w:val="04A0" w:firstRow="1" w:lastRow="0" w:firstColumn="1" w:lastColumn="0" w:noHBand="0" w:noVBand="1"/>
      </w:tblPr>
      <w:tblGrid>
        <w:gridCol w:w="2531"/>
        <w:gridCol w:w="2249"/>
        <w:gridCol w:w="1406"/>
        <w:gridCol w:w="2812"/>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4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1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4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11" w:type="dxa"/>
            <w:vAlign w:val="center"/>
            <w:textDirection w:val="lrTb"/>
            <w:noWrap w:val="false"/>
          </w:tcPr>
          <w:p>
            <w:pPr>
              <w:ind w:firstLine="2160"/>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4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1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4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11" w:type="dxa"/>
            <w:vAlign w:val="center"/>
            <w:textDirection w:val="lrTb"/>
            <w:noWrap w:val="false"/>
          </w:tcPr>
          <w:p>
            <w:pPr>
              <w:ind w:firstLine="420"/>
              <w:spacing w:line="360" w:lineRule="auto"/>
              <w:rPr>
                <w:rFonts w:hint="eastAsia" w:ascii="宋体" w:hAnsi="宋体" w:eastAsia="宋体" w:cs="宋体"/>
              </w:rPr>
            </w:pPr>
            <w:r>
              <w:rPr>
                <w:rFonts w:hint="eastAsia" w:ascii="宋体" w:hAnsi="宋体" w:eastAsia="宋体" w:cs="宋体"/>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r>
    </w:tbl>
    <w:p>
      <w:pPr>
        <w:jc w:val="left"/>
        <w:spacing w:line="360" w:lineRule="auto"/>
        <w:rPr>
          <w:rFonts w:hint="eastAsia" w:ascii="宋体" w:hAnsi="宋体" w:eastAsia="宋体" w:cs="宋体"/>
        </w:rPr>
      </w:pPr>
      <w:r>
        <w:rPr>
          <w:rFonts w:hint="eastAsia" w:ascii="宋体" w:hAnsi="宋体" w:eastAsia="宋体" w:cs="宋体"/>
        </w:rPr>
        <w:t xml:space="preserve">注：若事项较多，供应商可根据实际情况另纸说明。</w:t>
      </w:r>
      <w:r/>
    </w:p>
    <w:p>
      <w:pPr>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供应商名称：（公章） </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法定代表人或被授权人：（签字或盖章）</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日    期：     年     月    日</w:t>
      </w:r>
      <w:r/>
    </w:p>
    <w:p>
      <w:pPr>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r>
      <w:r/>
    </w:p>
    <w:p>
      <w:pPr>
        <w:rPr>
          <w:rFonts w:hint="eastAsia" w:ascii="宋体" w:hAnsi="宋体" w:eastAsia="宋体" w:cs="宋体"/>
          <w:b/>
        </w:rPr>
      </w:pPr>
      <w:r>
        <w:rPr>
          <w:rFonts w:hint="eastAsia" w:ascii="宋体" w:hAnsi="宋体" w:eastAsia="宋体" w:cs="宋体"/>
          <w:b/>
        </w:rPr>
        <w:t xml:space="preserve">7、</w:t>
      </w:r>
      <w:r>
        <w:rPr>
          <w:rFonts w:hint="eastAsia" w:ascii="宋体" w:hAnsi="宋体" w:eastAsia="宋体" w:cs="宋体"/>
          <w:b/>
        </w:rPr>
        <w:tab/>
      </w:r>
      <w:r>
        <w:rPr>
          <w:rFonts w:hint="eastAsia" w:ascii="宋体" w:hAnsi="宋体" w:eastAsia="宋体" w:cs="宋体"/>
          <w:b/>
        </w:rPr>
        <w:t xml:space="preserve">中小企业声明函</w:t>
      </w:r>
      <w:r/>
    </w:p>
    <w:p>
      <w:pPr>
        <w:pStyle w:val="1036"/>
        <w:jc w:val="center"/>
        <w:rPr>
          <w:rFonts w:hint="eastAsia" w:ascii="宋体" w:hAnsi="宋体" w:eastAsia="宋体" w:cs="宋体"/>
          <w:b/>
          <w:sz w:val="24"/>
        </w:rPr>
      </w:pPr>
      <w:r>
        <w:rPr>
          <w:rFonts w:hint="eastAsia" w:ascii="宋体" w:hAnsi="宋体" w:eastAsia="宋体" w:cs="宋体"/>
          <w:b/>
          <w:sz w:val="24"/>
        </w:rPr>
        <w:t xml:space="preserve">中小企业声明函</w:t>
      </w:r>
      <w:r/>
    </w:p>
    <w:p>
      <w:pPr>
        <w:jc w:val="left"/>
        <w:spacing w:line="360" w:lineRule="auto"/>
        <w:rPr>
          <w:rFonts w:hint="eastAsia" w:ascii="宋体" w:hAnsi="宋体" w:eastAsia="宋体" w:cs="宋体"/>
        </w:rPr>
      </w:pPr>
      <w:r>
        <w:rPr>
          <w:rFonts w:hint="eastAsia" w:ascii="宋体" w:hAnsi="宋体" w:cs="宋体"/>
          <w:u w:val="single"/>
          <w:lang w:eastAsia="zh-CN"/>
        </w:rPr>
        <w:t xml:space="preserve">苏州建龙工程建设咨询有限公司</w:t>
      </w:r>
      <w:r>
        <w:rPr>
          <w:rFonts w:hint="eastAsia" w:ascii="宋体" w:hAnsi="宋体" w:eastAsia="宋体" w:cs="宋体"/>
        </w:rPr>
        <w:t xml:space="preserve">：</w:t>
      </w:r>
      <w:r/>
    </w:p>
    <w:p>
      <w:pPr>
        <w:ind w:firstLine="42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本公司（</w:t>
      </w:r>
      <w:r>
        <w:rPr>
          <w:rFonts w:hint="eastAsia" w:ascii="宋体" w:hAnsi="宋体" w:eastAsia="宋体" w:cs="宋体"/>
          <w:color w:val="000000"/>
          <w:szCs w:val="21"/>
        </w:rPr>
        <w:t xml:space="preserve">联合体</w:t>
      </w:r>
      <w:r>
        <w:rPr>
          <w:rFonts w:hint="eastAsia" w:ascii="宋体" w:hAnsi="宋体" w:eastAsia="宋体" w:cs="宋体"/>
          <w:color w:val="000000"/>
          <w:szCs w:val="21"/>
          <w:lang w:val="zh-CN"/>
        </w:rPr>
        <w:t xml:space="preserve">）郑重声明，根据《政府采购促进中小企业发展管理办法》（财库﹝2020﹞46 号）的规定，本公司参加</w:t>
      </w:r>
      <w:r>
        <w:rPr>
          <w:rFonts w:hint="eastAsia" w:ascii="宋体" w:hAnsi="宋体" w:eastAsia="宋体" w:cs="宋体"/>
          <w:color w:val="000000"/>
          <w:szCs w:val="21"/>
          <w:u w:val="single"/>
          <w:lang w:val="zh-CN"/>
        </w:rPr>
        <w:t xml:space="preserve">（单位名称）</w:t>
      </w:r>
      <w:r>
        <w:rPr>
          <w:rFonts w:hint="eastAsia" w:ascii="宋体" w:hAnsi="宋体" w:eastAsia="宋体" w:cs="宋体"/>
          <w:color w:val="000000"/>
          <w:szCs w:val="21"/>
          <w:lang w:val="zh-CN"/>
        </w:rPr>
        <w:t xml:space="preserve">的</w:t>
      </w:r>
      <w:r>
        <w:rPr>
          <w:rFonts w:hint="eastAsia" w:ascii="宋体" w:hAnsi="宋体" w:eastAsia="宋体" w:cs="宋体"/>
          <w:color w:val="000000"/>
          <w:szCs w:val="21"/>
          <w:u w:val="single"/>
          <w:lang w:val="zh-CN"/>
        </w:rPr>
        <w:t xml:space="preserve">（项目名称）</w:t>
      </w:r>
      <w:r>
        <w:rPr>
          <w:rFonts w:hint="eastAsia" w:ascii="宋体" w:hAnsi="宋体" w:eastAsia="宋体" w:cs="宋体"/>
          <w:color w:val="000000"/>
          <w:szCs w:val="21"/>
          <w:lang w:val="zh-CN"/>
        </w:rPr>
        <w:t xml:space="preserve">采购活动，服务全部由符合政策要求的中小企业承接。相关企业（含联合体中的中小企业、签订分包意向协议的中小企业）的具体情况如下：</w:t>
      </w:r>
      <w:r/>
    </w:p>
    <w:p>
      <w:pPr>
        <w:numPr>
          <w:ilvl w:val="0"/>
          <w:numId w:val="2"/>
        </w:numPr>
        <w:ind w:firstLine="42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u w:val="single"/>
          <w:lang w:val="zh-CN"/>
        </w:rPr>
        <w:t xml:space="preserve">（标的名称） </w:t>
      </w:r>
      <w:r>
        <w:rPr>
          <w:rFonts w:hint="eastAsia" w:ascii="宋体" w:hAnsi="宋体" w:eastAsia="宋体" w:cs="宋体"/>
          <w:color w:val="000000"/>
          <w:szCs w:val="21"/>
          <w:lang w:val="zh-CN"/>
        </w:rPr>
        <w:t xml:space="preserve">，属于</w:t>
      </w:r>
      <w:r>
        <w:rPr>
          <w:rFonts w:hint="eastAsia" w:ascii="宋体" w:hAnsi="宋体" w:eastAsia="宋体" w:cs="宋体"/>
          <w:color w:val="000000"/>
          <w:szCs w:val="21"/>
          <w:u w:val="single"/>
          <w:lang w:val="zh-CN"/>
        </w:rPr>
        <w:t xml:space="preserve">（招标文件中明确的所属行业：餐饮业）</w:t>
      </w:r>
      <w:r>
        <w:rPr>
          <w:rFonts w:hint="eastAsia" w:ascii="宋体" w:hAnsi="宋体" w:eastAsia="宋体" w:cs="宋体"/>
          <w:color w:val="000000"/>
          <w:szCs w:val="21"/>
          <w:lang w:val="zh-CN"/>
        </w:rPr>
        <w:t xml:space="preserve">；承建（承接）企业为</w:t>
      </w:r>
      <w:r>
        <w:rPr>
          <w:rFonts w:hint="eastAsia" w:ascii="宋体" w:hAnsi="宋体" w:eastAsia="宋体" w:cs="宋体"/>
          <w:color w:val="000000"/>
          <w:szCs w:val="21"/>
          <w:u w:val="single"/>
          <w:lang w:val="zh-CN"/>
        </w:rPr>
        <w:t xml:space="preserve">（企业名称）</w:t>
      </w:r>
      <w:r>
        <w:rPr>
          <w:rFonts w:hint="eastAsia" w:ascii="宋体" w:hAnsi="宋体" w:eastAsia="宋体" w:cs="宋体"/>
          <w:color w:val="000000"/>
          <w:szCs w:val="21"/>
          <w:lang w:val="zh-CN"/>
        </w:rPr>
        <w:t xml:space="preserve">，从业人员</w:t>
      </w:r>
      <w:r>
        <w:rPr>
          <w:rFonts w:hint="eastAsia" w:ascii="宋体" w:hAnsi="宋体" w:eastAsia="宋体" w:cs="宋体"/>
          <w:color w:val="000000"/>
          <w:szCs w:val="21"/>
          <w:u w:val="single"/>
        </w:rPr>
        <w:t xml:space="preserve">   </w:t>
      </w:r>
      <w:r>
        <w:rPr>
          <w:rFonts w:hint="eastAsia" w:ascii="宋体" w:hAnsi="宋体" w:eastAsia="宋体" w:cs="宋体"/>
          <w:color w:val="000000"/>
          <w:szCs w:val="21"/>
          <w:lang w:val="zh-CN"/>
        </w:rPr>
        <w:t xml:space="preserve">人，营业收入为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lang w:val="zh-CN"/>
        </w:rPr>
        <w:t xml:space="preserve">万元，资产总额为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lang w:val="zh-CN"/>
        </w:rPr>
        <w:t xml:space="preserve">万元，属于</w:t>
      </w:r>
      <w:r>
        <w:rPr>
          <w:rFonts w:hint="eastAsia" w:ascii="宋体" w:hAnsi="宋体" w:eastAsia="宋体" w:cs="宋体"/>
          <w:color w:val="000000"/>
          <w:szCs w:val="21"/>
          <w:u w:val="single"/>
          <w:lang w:val="zh-CN"/>
        </w:rPr>
        <w:t xml:space="preserve">（中型企业、小型企业、微型企业）</w:t>
      </w:r>
      <w:r>
        <w:rPr>
          <w:rFonts w:hint="eastAsia" w:ascii="宋体" w:hAnsi="宋体" w:eastAsia="宋体" w:cs="宋体"/>
          <w:color w:val="000000"/>
          <w:szCs w:val="21"/>
          <w:lang w:val="zh-CN"/>
        </w:rPr>
        <w:t xml:space="preserve">；</w:t>
      </w:r>
      <w:r/>
    </w:p>
    <w:p>
      <w:pPr>
        <w:numPr>
          <w:ilvl w:val="0"/>
          <w:numId w:val="2"/>
        </w:numPr>
        <w:ind w:firstLine="42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u w:val="single"/>
          <w:lang w:val="zh-CN"/>
        </w:rPr>
        <w:t xml:space="preserve">（标的名称） </w:t>
      </w:r>
      <w:r>
        <w:rPr>
          <w:rFonts w:hint="eastAsia" w:ascii="宋体" w:hAnsi="宋体" w:eastAsia="宋体" w:cs="宋体"/>
          <w:color w:val="000000"/>
          <w:szCs w:val="21"/>
          <w:lang w:val="zh-CN"/>
        </w:rPr>
        <w:t xml:space="preserve">，属于</w:t>
      </w:r>
      <w:r>
        <w:rPr>
          <w:rFonts w:hint="eastAsia" w:ascii="宋体" w:hAnsi="宋体" w:eastAsia="宋体" w:cs="宋体"/>
          <w:color w:val="000000"/>
          <w:szCs w:val="21"/>
          <w:u w:val="single"/>
          <w:lang w:val="zh-CN"/>
        </w:rPr>
        <w:t xml:space="preserve">（招标文件中明确的所属行业：餐饮业）</w:t>
      </w:r>
      <w:r>
        <w:rPr>
          <w:rFonts w:hint="eastAsia" w:ascii="宋体" w:hAnsi="宋体" w:eastAsia="宋体" w:cs="宋体"/>
          <w:color w:val="000000"/>
          <w:szCs w:val="21"/>
          <w:lang w:val="zh-CN"/>
        </w:rPr>
        <w:t xml:space="preserve">；承建（承接）企业为</w:t>
      </w:r>
      <w:r>
        <w:rPr>
          <w:rFonts w:hint="eastAsia" w:ascii="宋体" w:hAnsi="宋体" w:eastAsia="宋体" w:cs="宋体"/>
          <w:color w:val="000000"/>
          <w:szCs w:val="21"/>
          <w:u w:val="single"/>
          <w:lang w:val="zh-CN"/>
        </w:rPr>
        <w:t xml:space="preserve">（企业名称）</w:t>
      </w:r>
      <w:r>
        <w:rPr>
          <w:rFonts w:hint="eastAsia" w:ascii="宋体" w:hAnsi="宋体" w:eastAsia="宋体" w:cs="宋体"/>
          <w:color w:val="000000"/>
          <w:szCs w:val="21"/>
          <w:lang w:val="zh-CN"/>
        </w:rPr>
        <w:t xml:space="preserve">，从业人员</w:t>
      </w:r>
      <w:r>
        <w:rPr>
          <w:rFonts w:hint="eastAsia" w:ascii="宋体" w:hAnsi="宋体" w:eastAsia="宋体" w:cs="宋体"/>
          <w:color w:val="000000"/>
          <w:szCs w:val="21"/>
          <w:u w:val="single"/>
        </w:rPr>
        <w:t xml:space="preserve">   </w:t>
      </w:r>
      <w:r>
        <w:rPr>
          <w:rFonts w:hint="eastAsia" w:ascii="宋体" w:hAnsi="宋体" w:eastAsia="宋体" w:cs="宋体"/>
          <w:color w:val="000000"/>
          <w:szCs w:val="21"/>
          <w:lang w:val="zh-CN"/>
        </w:rPr>
        <w:t xml:space="preserve">人，营业收入为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lang w:val="zh-CN"/>
        </w:rPr>
        <w:t xml:space="preserve">万元，资产总额为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lang w:val="zh-CN"/>
        </w:rPr>
        <w:t xml:space="preserve">万元，属于</w:t>
      </w:r>
      <w:r>
        <w:rPr>
          <w:rFonts w:hint="eastAsia" w:ascii="宋体" w:hAnsi="宋体" w:eastAsia="宋体" w:cs="宋体"/>
          <w:color w:val="000000"/>
          <w:szCs w:val="21"/>
          <w:u w:val="single"/>
          <w:lang w:val="zh-CN"/>
        </w:rPr>
        <w:t xml:space="preserve">（中型企业、小型企业、微型企业）</w:t>
      </w:r>
      <w:r>
        <w:rPr>
          <w:rFonts w:hint="eastAsia" w:ascii="宋体" w:hAnsi="宋体" w:eastAsia="宋体" w:cs="宋体"/>
          <w:color w:val="000000"/>
          <w:szCs w:val="21"/>
          <w:lang w:val="zh-CN"/>
        </w:rPr>
        <w:t xml:space="preserve">；</w:t>
      </w:r>
      <w:r/>
    </w:p>
    <w:p>
      <w:pPr>
        <w:ind w:left="42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p>
    <w:p>
      <w:pPr>
        <w:jc w:val="left"/>
        <w:spacing w:line="360" w:lineRule="auto"/>
        <w:rPr>
          <w:rFonts w:hint="eastAsia" w:ascii="宋体" w:hAnsi="宋体" w:eastAsia="宋体" w:cs="宋体"/>
        </w:rPr>
      </w:pPr>
      <w:r>
        <w:rPr>
          <w:rFonts w:hint="eastAsia" w:ascii="宋体" w:hAnsi="宋体" w:eastAsia="宋体" w:cs="宋体"/>
          <w:color w:val="000000"/>
          <w:szCs w:val="21"/>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jc w:val="left"/>
        <w:spacing w:line="360" w:lineRule="auto"/>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rPr>
      </w:pPr>
      <w:r>
        <w:rPr>
          <w:rFonts w:hint="eastAsia" w:ascii="宋体" w:hAnsi="宋体" w:eastAsia="宋体" w:cs="宋体"/>
        </w:rPr>
        <w:t xml:space="preserve">供应商名称：（公章） </w:t>
      </w:r>
      <w:r/>
    </w:p>
    <w:p>
      <w:pPr>
        <w:jc w:val="left"/>
        <w:spacing w:line="360" w:lineRule="auto"/>
        <w:rPr>
          <w:rFonts w:hint="eastAsia" w:ascii="宋体" w:hAnsi="宋体" w:eastAsia="宋体" w:cs="宋体"/>
        </w:rPr>
      </w:pPr>
      <w:r>
        <w:rPr>
          <w:rFonts w:hint="eastAsia" w:ascii="宋体" w:hAnsi="宋体" w:eastAsia="宋体" w:cs="宋体"/>
        </w:rPr>
        <w:t xml:space="preserve">日    期：     年     月    日</w:t>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rPr>
        <w:t xml:space="preserve">8、残疾人福利性单位声明函</w:t>
      </w:r>
      <w:r/>
    </w:p>
    <w:p>
      <w:pPr>
        <w:ind w:firstLine="493"/>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93"/>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供应商名称：（公章） </w:t>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法定代表人或被授权人：（签字或盖章）</w:t>
      </w:r>
      <w:r/>
    </w:p>
    <w:p>
      <w:pPr>
        <w:spacing w:line="360" w:lineRule="auto"/>
        <w:rPr>
          <w:rFonts w:hint="eastAsia" w:ascii="宋体" w:hAnsi="宋体" w:eastAsia="宋体" w:cs="宋体"/>
          <w:szCs w:val="21"/>
        </w:rPr>
      </w:pPr>
      <w:r>
        <w:rPr>
          <w:rFonts w:hint="eastAsia" w:ascii="宋体" w:hAnsi="宋体" w:eastAsia="宋体" w:cs="宋体"/>
          <w:szCs w:val="21"/>
        </w:rPr>
        <w:t xml:space="preserve">日    期：     年     月    日</w:t>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r>
      <w:r/>
    </w:p>
    <w:p>
      <w:pPr>
        <w:jc w:val="left"/>
        <w:spacing w:line="360" w:lineRule="auto"/>
        <w:rPr>
          <w:rFonts w:hint="eastAsia" w:ascii="宋体" w:hAnsi="宋体" w:eastAsia="宋体" w:cs="宋体"/>
          <w:color w:val="000000"/>
          <w:szCs w:val="21"/>
        </w:rPr>
        <w:outlineLvl w:val="1"/>
      </w:pPr>
      <w:r>
        <w:rPr>
          <w:rFonts w:hint="eastAsia" w:ascii="宋体" w:hAnsi="宋体" w:eastAsia="宋体" w:cs="宋体"/>
          <w:b/>
          <w:color w:val="000000"/>
          <w:szCs w:val="21"/>
        </w:rPr>
        <w:t xml:space="preserve">9、偏离表（服务要求、商务条款）</w:t>
      </w:r>
      <w:r/>
    </w:p>
    <w:p>
      <w:pPr>
        <w:jc w:val="center"/>
        <w:spacing w:line="480" w:lineRule="exact"/>
        <w:rPr>
          <w:rFonts w:hint="eastAsia" w:ascii="宋体" w:hAnsi="宋体" w:eastAsia="宋体" w:cs="宋体"/>
          <w:sz w:val="28"/>
          <w:szCs w:val="28"/>
        </w:rPr>
      </w:pPr>
      <w:r>
        <w:rPr>
          <w:rFonts w:hint="eastAsia" w:ascii="宋体" w:hAnsi="宋体" w:eastAsia="宋体" w:cs="宋体"/>
          <w:b/>
          <w:sz w:val="28"/>
          <w:szCs w:val="28"/>
        </w:rPr>
        <w:t xml:space="preserve">服务要求偏离表</w:t>
      </w:r>
      <w:r/>
    </w:p>
    <w:p>
      <w:pPr>
        <w:pStyle w:val="894"/>
        <w:ind w:left="0" w:firstLine="0"/>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现役军人、退役军人及优抚对象保险保障</w:t>
      </w:r>
      <w:r>
        <w:rPr>
          <w:rFonts w:hint="eastAsia" w:ascii="宋体" w:hAnsi="宋体" w:eastAsia="宋体" w:cs="宋体"/>
          <w:sz w:val="21"/>
          <w:szCs w:val="21"/>
        </w:rPr>
        <w:t xml:space="preserve">      </w:t>
      </w:r>
      <w:r/>
    </w:p>
    <w:p>
      <w:pPr>
        <w:pStyle w:val="894"/>
        <w:ind w:left="0" w:firstLine="0"/>
        <w:rPr>
          <w:rFonts w:hint="eastAsia" w:ascii="宋体" w:hAnsi="宋体" w:eastAsia="宋体" w:cs="宋体"/>
          <w:sz w:val="21"/>
          <w:szCs w:val="21"/>
        </w:rPr>
      </w:pPr>
      <w:r>
        <w:rPr>
          <w:rFonts w:hint="eastAsia" w:ascii="宋体" w:hAnsi="宋体" w:eastAsia="宋体" w:cs="宋体"/>
          <w:sz w:val="21"/>
          <w:szCs w:val="21"/>
        </w:rPr>
        <w:t xml:space="preserve">采购编号：</w:t>
      </w:r>
      <w:r>
        <w:rPr>
          <w:rFonts w:hint="eastAsia" w:ascii="宋体" w:hAnsi="宋体" w:eastAsia="宋体" w:cs="宋体"/>
          <w:sz w:val="21"/>
          <w:szCs w:val="21"/>
          <w:lang w:eastAsia="zh-CN"/>
        </w:rPr>
        <w:t xml:space="preserve">JSZC-320506-JLDL-C2025-0005</w:t>
      </w:r>
      <w:r>
        <w:rPr>
          <w:rFonts w:hint="eastAsia" w:ascii="宋体" w:hAnsi="宋体" w:eastAsia="宋体" w:cs="宋体"/>
          <w:sz w:val="21"/>
          <w:szCs w:val="21"/>
        </w:rPr>
        <w:t xml:space="preserve">  </w:t>
      </w:r>
      <w:r/>
    </w:p>
    <w:tbl>
      <w:tblPr>
        <w:tblStyle w:val="846"/>
        <w:tblW w:w="8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4"/>
        <w:gridCol w:w="2108"/>
        <w:gridCol w:w="1476"/>
        <w:gridCol w:w="1512"/>
        <w:gridCol w:w="1562"/>
        <w:gridCol w:w="1050"/>
      </w:tblGrid>
      <w:tr>
        <w:trPr>
          <w:jc w:val="center"/>
          <w:trHeight w:val="713"/>
        </w:trPr>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采购内容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采购要求</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响应要求</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偏离/响应</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rPr>
      </w:pPr>
      <w:r>
        <w:rPr>
          <w:rFonts w:hint="eastAsia" w:ascii="宋体" w:hAnsi="宋体" w:eastAsia="宋体" w:cs="宋体"/>
        </w:rPr>
        <w:t xml:space="preserve">注：1、供应商应对照采购文件中服务要求等，所投标的物与采购文件的规定有偏离的，应在此表中申明与技术要求条文的偏差和例外。</w:t>
      </w:r>
      <w:r/>
    </w:p>
    <w:p>
      <w:pPr>
        <w:ind w:firstLine="420"/>
        <w:spacing w:line="360" w:lineRule="auto"/>
        <w:rPr>
          <w:rFonts w:hint="eastAsia" w:ascii="宋体" w:hAnsi="宋体" w:eastAsia="宋体" w:cs="宋体"/>
        </w:rPr>
      </w:pPr>
      <w:r>
        <w:rPr>
          <w:rFonts w:hint="eastAsia" w:ascii="宋体" w:hAnsi="宋体" w:eastAsia="宋体" w:cs="宋体"/>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pStyle w:val="1036"/>
        <w:numPr>
          <w:ilvl w:val="0"/>
          <w:numId w:val="0"/>
        </w:numPr>
        <w:ind w:left="360" w:hanging="360"/>
        <w:rPr>
          <w:rFonts w:hint="eastAsia" w:ascii="宋体" w:hAnsi="宋体" w:eastAsia="宋体" w:cs="宋体"/>
          <w:szCs w:val="21"/>
        </w:rPr>
      </w:pPr>
      <w:r>
        <w:rPr>
          <w:rFonts w:hint="eastAsia" w:ascii="宋体" w:hAnsi="宋体" w:eastAsia="宋体" w:cs="宋体"/>
          <w:szCs w:val="21"/>
        </w:rPr>
      </w:r>
      <w:r/>
    </w:p>
    <w:p>
      <w:pPr>
        <w:pStyle w:val="1036"/>
        <w:numPr>
          <w:ilvl w:val="0"/>
          <w:numId w:val="0"/>
        </w:numPr>
        <w:ind w:left="360" w:hanging="360"/>
        <w:rPr>
          <w:rFonts w:hint="eastAsia" w:ascii="宋体" w:hAnsi="宋体" w:eastAsia="宋体" w:cs="宋体"/>
          <w:szCs w:val="21"/>
        </w:rPr>
      </w:pPr>
      <w:r>
        <w:rPr>
          <w:rFonts w:hint="eastAsia" w:ascii="宋体" w:hAnsi="宋体" w:eastAsia="宋体" w:cs="宋体"/>
          <w:szCs w:val="21"/>
        </w:rPr>
        <w:t xml:space="preserve">磋商供应商：（单位公章） </w:t>
      </w:r>
      <w:r/>
    </w:p>
    <w:p>
      <w:pPr>
        <w:pStyle w:val="1036"/>
        <w:numPr>
          <w:ilvl w:val="0"/>
          <w:numId w:val="0"/>
        </w:numPr>
        <w:ind w:left="360" w:hanging="360"/>
        <w:rPr>
          <w:rFonts w:hint="eastAsia" w:ascii="宋体" w:hAnsi="宋体" w:eastAsia="宋体" w:cs="宋体"/>
          <w:szCs w:val="21"/>
        </w:rPr>
      </w:pPr>
      <w:r>
        <w:rPr>
          <w:rFonts w:hint="eastAsia" w:ascii="宋体" w:hAnsi="宋体" w:eastAsia="宋体" w:cs="宋体"/>
          <w:szCs w:val="21"/>
        </w:rPr>
        <w:t xml:space="preserve">法定代表人或被授权人：（签字或盖章）</w:t>
      </w:r>
      <w:r/>
    </w:p>
    <w:p>
      <w:pPr>
        <w:pStyle w:val="1036"/>
        <w:numPr>
          <w:ilvl w:val="0"/>
          <w:numId w:val="0"/>
        </w:numPr>
        <w:ind w:left="360" w:hanging="360"/>
        <w:rPr>
          <w:rFonts w:hint="eastAsia" w:ascii="宋体" w:hAnsi="宋体" w:eastAsia="宋体" w:cs="宋体"/>
          <w:szCs w:val="21"/>
        </w:rPr>
      </w:pPr>
      <w:r>
        <w:rPr>
          <w:rFonts w:hint="eastAsia" w:ascii="宋体" w:hAnsi="宋体" w:eastAsia="宋体" w:cs="宋体"/>
          <w:szCs w:val="21"/>
        </w:rPr>
        <w:t xml:space="preserve">日期：     年    月   日</w:t>
      </w:r>
      <w:r/>
    </w:p>
    <w:p>
      <w:pPr>
        <w:pStyle w:val="894"/>
        <w:ind w:left="0" w:firstLine="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numPr>
          <w:ilvl w:val="0"/>
          <w:numId w:val="1"/>
        </w:numPr>
        <w:jc w:val="center"/>
        <w:rPr>
          <w:rFonts w:hint="eastAsia" w:ascii="宋体" w:hAnsi="宋体" w:eastAsia="宋体" w:cs="宋体"/>
          <w:b/>
          <w:sz w:val="28"/>
          <w:szCs w:val="28"/>
        </w:rPr>
      </w:pPr>
      <w:r>
        <w:rPr>
          <w:rFonts w:hint="eastAsia" w:ascii="宋体" w:hAnsi="宋体" w:eastAsia="宋体" w:cs="宋体"/>
          <w:b/>
          <w:sz w:val="28"/>
          <w:szCs w:val="28"/>
        </w:rPr>
        <w:t xml:space="preserve">商务条款偏离表</w:t>
      </w:r>
      <w:r/>
    </w:p>
    <w:p>
      <w:pPr>
        <w:rPr>
          <w:rFonts w:hint="eastAsia" w:ascii="宋体" w:hAnsi="宋体" w:eastAsia="宋体" w:cs="宋体"/>
        </w:rPr>
      </w:pPr>
      <w:r>
        <w:rPr>
          <w:rFonts w:hint="eastAsia" w:ascii="宋体" w:hAnsi="宋体" w:eastAsia="宋体" w:cs="宋体"/>
        </w:rPr>
      </w:r>
      <w:r/>
    </w:p>
    <w:p>
      <w:pPr>
        <w:pStyle w:val="1036"/>
        <w:numPr>
          <w:ilvl w:val="0"/>
          <w:numId w:val="0"/>
        </w:numPr>
        <w:ind w:firstLine="210"/>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cs="宋体"/>
          <w:szCs w:val="21"/>
          <w:lang w:eastAsia="zh-CN"/>
        </w:rPr>
        <w:t xml:space="preserve">现役军人、退役军人及优抚对象保险保障</w:t>
      </w:r>
      <w:r/>
    </w:p>
    <w:p>
      <w:pPr>
        <w:pStyle w:val="1036"/>
        <w:numPr>
          <w:ilvl w:val="0"/>
          <w:numId w:val="0"/>
        </w:numPr>
        <w:ind w:firstLine="210"/>
        <w:rPr>
          <w:rFonts w:hint="eastAsia" w:ascii="宋体" w:hAnsi="宋体" w:eastAsia="宋体" w:cs="宋体"/>
          <w:color w:val="000000"/>
          <w:szCs w:val="21"/>
          <w:lang w:eastAsia="zh-CN"/>
        </w:rPr>
      </w:pPr>
      <w:r>
        <w:rPr>
          <w:rFonts w:hint="eastAsia" w:ascii="宋体" w:hAnsi="宋体" w:eastAsia="宋体" w:cs="宋体"/>
          <w:szCs w:val="21"/>
        </w:rPr>
        <w:t xml:space="preserve">采购编号：</w:t>
      </w:r>
      <w:r>
        <w:rPr>
          <w:rFonts w:hint="eastAsia" w:cs="宋体"/>
          <w:szCs w:val="21"/>
          <w:lang w:eastAsia="zh-CN"/>
        </w:rPr>
        <w:t xml:space="preserve">JSZC-320506-JLDL-C2025-0005</w:t>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704"/>
        <w:gridCol w:w="1797"/>
        <w:gridCol w:w="1689"/>
        <w:gridCol w:w="1447"/>
      </w:tblGrid>
      <w:tr>
        <w:trPr>
          <w:cantSplit/>
          <w:jc w:val="center"/>
          <w:trHeight w:val="86"/>
          <w:tblHeader/>
        </w:trPr>
        <w:tc>
          <w:tcPr>
            <w:tcW w:w="669" w:type="dxa"/>
            <w:vAlign w:val="center"/>
            <w:textDirection w:val="lrTb"/>
            <w:noWrap w:val="false"/>
          </w:tcPr>
          <w:p>
            <w:pPr>
              <w:jc w:val="cente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序号</w:t>
            </w:r>
            <w:r/>
          </w:p>
        </w:tc>
        <w:tc>
          <w:tcPr>
            <w:tcW w:w="2704" w:type="dxa"/>
            <w:vAlign w:val="center"/>
            <w:textDirection w:val="lrTb"/>
            <w:noWrap w:val="false"/>
          </w:tcPr>
          <w:p>
            <w:pPr>
              <w:jc w:val="cente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采购要求</w:t>
            </w:r>
            <w:r/>
          </w:p>
        </w:tc>
        <w:tc>
          <w:tcPr>
            <w:tcW w:w="1797" w:type="dxa"/>
            <w:vAlign w:val="center"/>
            <w:textDirection w:val="lrTb"/>
            <w:noWrap w:val="false"/>
          </w:tcPr>
          <w:p>
            <w:pPr>
              <w:jc w:val="cente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响应情况</w:t>
            </w:r>
            <w:r/>
          </w:p>
        </w:tc>
        <w:tc>
          <w:tcPr>
            <w:tcW w:w="1689" w:type="dxa"/>
            <w:vAlign w:val="center"/>
            <w:textDirection w:val="lrTb"/>
            <w:noWrap w:val="false"/>
          </w:tcPr>
          <w:p>
            <w:pPr>
              <w:jc w:val="cente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偏离说明</w:t>
            </w:r>
            <w:r/>
          </w:p>
        </w:tc>
        <w:tc>
          <w:tcPr>
            <w:tcW w:w="1447" w:type="dxa"/>
            <w:vAlign w:val="center"/>
            <w:textDirection w:val="lrTb"/>
            <w:noWrap w:val="false"/>
          </w:tcPr>
          <w:p>
            <w:pPr>
              <w:jc w:val="cente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备注</w:t>
            </w:r>
            <w:r/>
          </w:p>
        </w:tc>
      </w:tr>
      <w:tr>
        <w:trPr>
          <w:cantSplit/>
          <w:jc w:val="center"/>
          <w:trHeight w:val="86"/>
        </w:trPr>
        <w:tc>
          <w:tcPr>
            <w:tcBorders>
              <w:top w:val="single" w:color="auto" w:sz="8" w:space="0"/>
              <w:left w:val="single" w:color="auto" w:sz="8" w:space="0"/>
              <w:bottom w:val="single" w:color="auto" w:sz="8" w:space="0"/>
              <w:right w:val="single" w:color="auto" w:sz="8" w:space="0"/>
            </w:tcBorders>
            <w:tcW w:w="669" w:type="dxa"/>
            <w:textDirection w:val="lrTb"/>
            <w:noWrap w:val="false"/>
          </w:tcPr>
          <w:p>
            <w:pPr>
              <w:jc w:val="cente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w:t>
            </w:r>
            <w:r/>
          </w:p>
        </w:tc>
        <w:tc>
          <w:tcPr>
            <w:tcBorders>
              <w:top w:val="single" w:color="auto" w:sz="8" w:space="0"/>
              <w:left w:val="single" w:color="auto" w:sz="8" w:space="0"/>
              <w:bottom w:val="single" w:color="auto" w:sz="8" w:space="0"/>
              <w:right w:val="single" w:color="auto" w:sz="8" w:space="0"/>
            </w:tcBorders>
            <w:tcW w:w="2704" w:type="dxa"/>
            <w:textDirection w:val="lrTb"/>
            <w:noWrap w:val="false"/>
          </w:tcPr>
          <w:p>
            <w:pP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付款步骤</w:t>
            </w:r>
            <w:r/>
          </w:p>
        </w:tc>
        <w:tc>
          <w:tcPr>
            <w:tcW w:w="1797"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689"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447"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86"/>
        </w:trPr>
        <w:tc>
          <w:tcPr>
            <w:tcBorders>
              <w:top w:val="single" w:color="auto" w:sz="8" w:space="0"/>
              <w:left w:val="single" w:color="auto" w:sz="8" w:space="0"/>
              <w:bottom w:val="single" w:color="auto" w:sz="8" w:space="0"/>
              <w:right w:val="single" w:color="auto" w:sz="8" w:space="0"/>
            </w:tcBorders>
            <w:tcW w:w="669" w:type="dxa"/>
            <w:textDirection w:val="lrTb"/>
            <w:noWrap w:val="false"/>
          </w:tcPr>
          <w:p>
            <w:pPr>
              <w:jc w:val="cente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w:t>
            </w:r>
            <w:r/>
          </w:p>
        </w:tc>
        <w:tc>
          <w:tcPr>
            <w:tcBorders>
              <w:top w:val="single" w:color="auto" w:sz="8" w:space="0"/>
              <w:left w:val="single" w:color="auto" w:sz="8" w:space="0"/>
              <w:bottom w:val="single" w:color="auto" w:sz="8" w:space="0"/>
              <w:right w:val="single" w:color="auto" w:sz="8" w:space="0"/>
            </w:tcBorders>
            <w:tcW w:w="2704" w:type="dxa"/>
            <w:textDirection w:val="lrTb"/>
            <w:noWrap w:val="false"/>
          </w:tcPr>
          <w:p>
            <w:pP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服务承诺</w:t>
            </w:r>
            <w:r/>
          </w:p>
        </w:tc>
        <w:tc>
          <w:tcPr>
            <w:tcW w:w="1797"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689"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447"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86"/>
        </w:trPr>
        <w:tc>
          <w:tcPr>
            <w:tcBorders>
              <w:top w:val="single" w:color="auto" w:sz="8" w:space="0"/>
              <w:left w:val="single" w:color="auto" w:sz="8" w:space="0"/>
              <w:bottom w:val="single" w:color="auto" w:sz="8" w:space="0"/>
              <w:right w:val="single" w:color="auto" w:sz="8" w:space="0"/>
            </w:tcBorders>
            <w:tcW w:w="669" w:type="dxa"/>
            <w:textDirection w:val="lrTb"/>
            <w:noWrap w:val="false"/>
          </w:tcPr>
          <w:p>
            <w:pPr>
              <w:jc w:val="cente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w:t>
            </w:r>
            <w:r/>
          </w:p>
        </w:tc>
        <w:tc>
          <w:tcPr>
            <w:tcBorders>
              <w:top w:val="single" w:color="auto" w:sz="8" w:space="0"/>
              <w:left w:val="single" w:color="auto" w:sz="8" w:space="0"/>
              <w:bottom w:val="single" w:color="auto" w:sz="8" w:space="0"/>
              <w:right w:val="single" w:color="auto" w:sz="8" w:space="0"/>
            </w:tcBorders>
            <w:tcW w:w="2704" w:type="dxa"/>
            <w:textDirection w:val="lrTb"/>
            <w:noWrap w:val="false"/>
          </w:tcPr>
          <w:p>
            <w:pP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质量保证</w:t>
            </w:r>
            <w:r/>
          </w:p>
        </w:tc>
        <w:tc>
          <w:tcPr>
            <w:tcW w:w="1797"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689"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447"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86"/>
        </w:trPr>
        <w:tc>
          <w:tcPr>
            <w:tcBorders>
              <w:top w:val="single" w:color="auto" w:sz="8" w:space="0"/>
              <w:left w:val="single" w:color="auto" w:sz="8" w:space="0"/>
              <w:bottom w:val="single" w:color="auto" w:sz="8" w:space="0"/>
              <w:right w:val="single" w:color="auto" w:sz="8" w:space="0"/>
            </w:tcBorders>
            <w:tcW w:w="669" w:type="dxa"/>
            <w:textDirection w:val="lrTb"/>
            <w:noWrap w:val="false"/>
          </w:tcPr>
          <w:p>
            <w:pPr>
              <w:jc w:val="cente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w:t>
            </w:r>
            <w:r/>
          </w:p>
        </w:tc>
        <w:tc>
          <w:tcPr>
            <w:tcBorders>
              <w:top w:val="single" w:color="auto" w:sz="8" w:space="0"/>
              <w:left w:val="single" w:color="auto" w:sz="8" w:space="0"/>
              <w:bottom w:val="single" w:color="auto" w:sz="8" w:space="0"/>
              <w:right w:val="single" w:color="auto" w:sz="8" w:space="0"/>
            </w:tcBorders>
            <w:tcW w:w="2704" w:type="dxa"/>
            <w:textDirection w:val="lrTb"/>
            <w:noWrap w:val="false"/>
          </w:tcPr>
          <w:p>
            <w:pP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其他商务要求</w:t>
            </w:r>
            <w:r/>
          </w:p>
        </w:tc>
        <w:tc>
          <w:tcPr>
            <w:tcW w:w="1797"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689"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447"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86"/>
        </w:trPr>
        <w:tc>
          <w:tcPr>
            <w:tcW w:w="669" w:type="dxa"/>
            <w:textDirection w:val="lrTb"/>
            <w:noWrap w:val="false"/>
          </w:tcPr>
          <w:p>
            <w:pPr>
              <w:jc w:val="center"/>
              <w:spacing w:line="6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5</w:t>
            </w:r>
            <w:r/>
          </w:p>
        </w:tc>
        <w:tc>
          <w:tcPr>
            <w:tcW w:w="2704" w:type="dxa"/>
            <w:textDirection w:val="lrTb"/>
            <w:noWrap w:val="false"/>
          </w:tcPr>
          <w:p>
            <w:pPr>
              <w:spacing w:line="600" w:lineRule="exact"/>
              <w:rPr>
                <w:rFonts w:hint="default" w:ascii="宋体" w:hAnsi="宋体" w:eastAsia="宋体" w:cs="宋体"/>
                <w:bCs/>
                <w:color w:val="000000"/>
                <w:szCs w:val="21"/>
                <w:lang w:val="en-US" w:eastAsia="zh-CN"/>
              </w:rPr>
            </w:pPr>
            <w:r>
              <w:rPr>
                <w:rFonts w:hint="eastAsia" w:ascii="宋体" w:hAnsi="宋体" w:cs="宋体"/>
                <w:bCs/>
                <w:color w:val="000000"/>
                <w:szCs w:val="21"/>
                <w:lang w:val="en-US" w:eastAsia="zh-CN"/>
              </w:rPr>
              <w:t xml:space="preserve">...</w:t>
            </w:r>
            <w:r/>
          </w:p>
        </w:tc>
        <w:tc>
          <w:tcPr>
            <w:tcW w:w="1797"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689"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W w:w="1447" w:type="dxa"/>
            <w:textDirection w:val="lrTb"/>
            <w:noWrap w:val="false"/>
          </w:tcPr>
          <w:p>
            <w:pPr>
              <w:spacing w:line="600" w:lineRule="exact"/>
              <w:rPr>
                <w:rFonts w:hint="eastAsia" w:ascii="宋体" w:hAnsi="宋体" w:eastAsia="宋体" w:cs="宋体"/>
                <w:color w:val="000000"/>
                <w:szCs w:val="21"/>
              </w:rPr>
            </w:pPr>
            <w:r>
              <w:rPr>
                <w:rFonts w:hint="eastAsia" w:ascii="宋体" w:hAnsi="宋体" w:eastAsia="宋体" w:cs="宋体"/>
                <w:color w:val="000000"/>
                <w:szCs w:val="21"/>
              </w:rPr>
            </w:r>
            <w:r/>
          </w:p>
        </w:tc>
      </w:tr>
    </w:tbl>
    <w:p>
      <w:pPr>
        <w:ind w:firstLine="630"/>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1036"/>
        <w:numPr>
          <w:ilvl w:val="0"/>
          <w:numId w:val="1"/>
        </w:numPr>
        <w:rPr>
          <w:rFonts w:hint="eastAsia" w:ascii="宋体" w:hAnsi="宋体" w:eastAsia="宋体" w:cs="宋体"/>
          <w:szCs w:val="21"/>
        </w:rPr>
      </w:pPr>
      <w:r>
        <w:rPr>
          <w:rFonts w:hint="eastAsia" w:ascii="宋体" w:hAnsi="宋体" w:eastAsia="宋体" w:cs="宋体"/>
          <w:szCs w:val="21"/>
        </w:rPr>
        <w:t xml:space="preserve">磋商供应商：（单位公章） </w:t>
      </w:r>
      <w:r/>
    </w:p>
    <w:p>
      <w:pPr>
        <w:pStyle w:val="1036"/>
        <w:numPr>
          <w:ilvl w:val="0"/>
          <w:numId w:val="1"/>
        </w:numPr>
        <w:rPr>
          <w:rFonts w:hint="eastAsia" w:ascii="宋体" w:hAnsi="宋体" w:eastAsia="宋体" w:cs="宋体"/>
          <w:szCs w:val="21"/>
        </w:rPr>
      </w:pPr>
      <w:r>
        <w:rPr>
          <w:rFonts w:hint="eastAsia" w:ascii="宋体" w:hAnsi="宋体" w:eastAsia="宋体" w:cs="宋体"/>
          <w:szCs w:val="21"/>
        </w:rPr>
        <w:t xml:space="preserve">法定代表人或被授权人：（签字或盖章）</w:t>
      </w:r>
      <w:r/>
    </w:p>
    <w:p>
      <w:pPr>
        <w:pStyle w:val="1036"/>
        <w:numPr>
          <w:ilvl w:val="0"/>
          <w:numId w:val="1"/>
        </w:numPr>
        <w:rPr>
          <w:rFonts w:hint="eastAsia" w:ascii="宋体" w:hAnsi="宋体" w:eastAsia="宋体" w:cs="宋体"/>
          <w:szCs w:val="21"/>
        </w:rPr>
      </w:pPr>
      <w:r>
        <w:rPr>
          <w:rFonts w:hint="eastAsia" w:ascii="宋体" w:hAnsi="宋体" w:eastAsia="宋体" w:cs="宋体"/>
          <w:szCs w:val="21"/>
        </w:rPr>
        <w:t xml:space="preserve">日期：  年   月   日</w:t>
      </w:r>
      <w:r/>
    </w:p>
    <w:p>
      <w:pPr>
        <w:pStyle w:val="1036"/>
        <w:numPr>
          <w:ilvl w:val="0"/>
          <w:numId w:val="1"/>
        </w:numPr>
        <w:rPr>
          <w:rFonts w:hint="eastAsia" w:ascii="宋体" w:hAnsi="宋体" w:eastAsia="宋体" w:cs="宋体"/>
          <w:szCs w:val="21"/>
          <w:lang w:val="zh-CN"/>
        </w:rPr>
      </w:pPr>
      <w:r>
        <w:rPr>
          <w:rFonts w:hint="eastAsia" w:ascii="宋体" w:hAnsi="宋体" w:eastAsia="宋体" w:cs="宋体"/>
          <w:szCs w:val="21"/>
          <w:lang w:val="zh-CN"/>
        </w:rPr>
      </w:r>
      <w:r/>
    </w:p>
    <w:p>
      <w:pPr>
        <w:pStyle w:val="1036"/>
        <w:numPr>
          <w:ilvl w:val="0"/>
          <w:numId w:val="1"/>
        </w:numPr>
        <w:rPr>
          <w:rFonts w:hint="eastAsia" w:ascii="宋体" w:hAnsi="宋体" w:eastAsia="宋体" w:cs="宋体"/>
          <w:szCs w:val="21"/>
        </w:rPr>
      </w:pPr>
      <w:r>
        <w:rPr>
          <w:rFonts w:hint="eastAsia" w:ascii="宋体" w:hAnsi="宋体" w:eastAsia="宋体" w:cs="宋体"/>
          <w:szCs w:val="21"/>
        </w:rPr>
        <w:t xml:space="preserve">注：供应商提供的响应文件（除技术条款）与竞争性磋商采购文件规定的有偏离的，应在此表中说明。未在上表中说明的，如在响应文件其他内容中已有文字说明的，则以已有文字说明为准，否则，将被认为完全响应采购文件的规定。但该表不作为供应商对所响应标的物关于商务条款等详细描述和说明的替代。</w:t>
      </w:r>
      <w:r/>
    </w:p>
    <w:p>
      <w:pPr>
        <w:ind w:firstLine="420"/>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360" w:lineRule="auto"/>
        <w:rPr>
          <w:rFonts w:hint="eastAsia" w:ascii="宋体" w:hAnsi="宋体" w:eastAsia="宋体" w:cs="宋体"/>
          <w:color w:val="000000"/>
          <w:szCs w:val="21"/>
        </w:rPr>
        <w:outlineLvl w:val="1"/>
      </w:pPr>
      <w:r>
        <w:rPr>
          <w:rFonts w:hint="eastAsia" w:ascii="宋体" w:hAnsi="宋体" w:eastAsia="宋体" w:cs="宋体"/>
          <w:color w:val="000000"/>
          <w:szCs w:val="21"/>
        </w:rPr>
        <w:br w:type="page" w:clear="all"/>
      </w:r>
      <w:r/>
    </w:p>
    <w:p>
      <w:pPr>
        <w:pStyle w:val="1036"/>
        <w:numPr>
          <w:ilvl w:val="0"/>
          <w:numId w:val="0"/>
        </w:numPr>
        <w:ind w:left="360" w:hanging="360"/>
        <w:rPr>
          <w:rFonts w:hint="eastAsia" w:ascii="宋体" w:hAnsi="宋体" w:eastAsia="宋体" w:cs="宋体"/>
          <w:b/>
        </w:rPr>
      </w:pPr>
      <w:r>
        <w:rPr>
          <w:rFonts w:hint="eastAsia" w:ascii="宋体" w:hAnsi="宋体" w:eastAsia="宋体" w:cs="宋体"/>
          <w:b/>
          <w:color w:val="000000"/>
          <w:szCs w:val="21"/>
        </w:rPr>
        <w:t xml:space="preserve">10、拟投入项目人员汇总表</w:t>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28"/>
          <w:szCs w:val="28"/>
        </w:rPr>
      </w:pPr>
      <w:r>
        <w:rPr>
          <w:rFonts w:hint="eastAsia" w:ascii="宋体" w:hAnsi="宋体" w:eastAsia="宋体" w:cs="宋体"/>
          <w:b/>
          <w:sz w:val="28"/>
          <w:szCs w:val="28"/>
        </w:rPr>
        <w:t xml:space="preserve">拟投入项目人员汇总表</w:t>
      </w:r>
      <w:r/>
    </w:p>
    <w:p>
      <w:pPr>
        <w:pStyle w:val="894"/>
        <w:ind w:left="0" w:firstLine="210"/>
        <w:rPr>
          <w:rFonts w:hint="eastAsia" w:ascii="宋体" w:hAnsi="宋体" w:eastAsia="宋体" w:cs="宋体"/>
        </w:rPr>
      </w:pPr>
      <w:r>
        <w:rPr>
          <w:rFonts w:hint="eastAsia" w:ascii="宋体" w:hAnsi="宋体" w:eastAsia="宋体" w:cs="宋体"/>
        </w:rPr>
      </w:r>
      <w:r/>
    </w:p>
    <w:p>
      <w:pPr>
        <w:pStyle w:val="894"/>
        <w:ind w:left="0" w:firstLine="0"/>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现役军人、退役军人及优抚对象保险保障</w:t>
      </w:r>
      <w:r>
        <w:rPr>
          <w:rFonts w:hint="eastAsia" w:ascii="宋体" w:hAnsi="宋体" w:eastAsia="宋体" w:cs="宋体"/>
          <w:sz w:val="21"/>
          <w:szCs w:val="21"/>
        </w:rPr>
        <w:t xml:space="preserve"> </w:t>
      </w:r>
      <w:r/>
    </w:p>
    <w:p>
      <w:pPr>
        <w:pStyle w:val="894"/>
        <w:ind w:left="0" w:firstLine="0"/>
        <w:rPr>
          <w:rFonts w:hint="eastAsia" w:ascii="宋体" w:hAnsi="宋体" w:eastAsia="宋体" w:cs="宋体"/>
          <w:b/>
          <w:bCs/>
          <w:sz w:val="21"/>
          <w:szCs w:val="21"/>
          <w:lang w:eastAsia="zh-CN"/>
        </w:rPr>
      </w:pPr>
      <w:r>
        <w:rPr>
          <w:rFonts w:hint="eastAsia" w:ascii="宋体" w:hAnsi="宋体" w:eastAsia="宋体" w:cs="宋体"/>
          <w:sz w:val="21"/>
          <w:szCs w:val="21"/>
        </w:rPr>
        <w:t xml:space="preserve">采购编号：</w:t>
      </w:r>
      <w:r>
        <w:rPr>
          <w:rFonts w:hint="eastAsia" w:ascii="宋体" w:hAnsi="宋体" w:eastAsia="宋体" w:cs="宋体"/>
          <w:sz w:val="21"/>
          <w:szCs w:val="21"/>
          <w:lang w:eastAsia="zh-CN"/>
        </w:rPr>
        <w:t xml:space="preserve">JSZC-320506-JLDL-C2025-0005</w:t>
      </w:r>
      <w:r/>
    </w:p>
    <w:tbl>
      <w:tblPr>
        <w:tblStyle w:val="84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4"/>
        <w:gridCol w:w="1063"/>
        <w:gridCol w:w="955"/>
        <w:gridCol w:w="680"/>
        <w:gridCol w:w="721"/>
        <w:gridCol w:w="682"/>
        <w:gridCol w:w="1251"/>
        <w:gridCol w:w="1127"/>
        <w:gridCol w:w="1350"/>
      </w:tblGrid>
      <w:tr>
        <w:trPr>
          <w:jc w:val="center"/>
          <w:trHeight w:val="838"/>
        </w:trPr>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pStyle w:val="852"/>
              <w:ind w:firstLine="210"/>
              <w:rPr>
                <w:rFonts w:hint="eastAsia" w:ascii="宋体" w:hAnsi="宋体" w:eastAsia="宋体" w:cs="宋体"/>
                <w:bCs/>
                <w:sz w:val="21"/>
                <w:szCs w:val="21"/>
              </w:rPr>
              <w:outlineLvl w:val="1"/>
            </w:pPr>
            <w:r>
              <w:rPr>
                <w:rFonts w:hint="eastAsia" w:ascii="宋体" w:hAnsi="宋体" w:eastAsia="宋体" w:cs="宋体"/>
                <w:bCs/>
                <w:sz w:val="21"/>
                <w:szCs w:val="21"/>
              </w:rPr>
              <w:t xml:space="preserve">姓名</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性别</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年龄</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岗位</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学历</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专业/资格</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典型业务</w:t>
            </w:r>
            <w:r/>
          </w:p>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与技术专长</w:t>
            </w:r>
            <w:r/>
          </w:p>
        </w:tc>
      </w:tr>
      <w:tr>
        <w:trPr>
          <w:jc w:val="center"/>
          <w:trHeight w:val="558"/>
        </w:trPr>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1</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2</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3</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4</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5</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pStyle w:val="852"/>
              <w:ind w:firstLine="0"/>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6</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t xml:space="preserve">…</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pStyle w:val="852"/>
              <w:jc w:val="center"/>
              <w:rPr>
                <w:rFonts w:hint="eastAsia" w:ascii="宋体" w:hAnsi="宋体" w:eastAsia="宋体" w:cs="宋体"/>
                <w:bCs/>
                <w:sz w:val="21"/>
                <w:szCs w:val="21"/>
              </w:rPr>
              <w:outlineLvl w:val="1"/>
            </w:pPr>
            <w:r>
              <w:rPr>
                <w:rFonts w:hint="eastAsia" w:ascii="宋体" w:hAnsi="宋体" w:eastAsia="宋体" w:cs="宋体"/>
                <w:bCs/>
                <w:sz w:val="21"/>
                <w:szCs w:val="21"/>
              </w:rPr>
            </w:r>
            <w:r/>
          </w:p>
        </w:tc>
      </w:tr>
    </w:tbl>
    <w:p>
      <w:pPr>
        <w:ind w:firstLine="210"/>
        <w:jc w:val="left"/>
        <w:spacing w:line="360" w:lineRule="auto"/>
        <w:rPr>
          <w:rFonts w:hint="eastAsia" w:ascii="宋体" w:hAnsi="宋体" w:eastAsia="宋体" w:cs="宋体"/>
        </w:rPr>
      </w:pPr>
      <w:r>
        <w:rPr>
          <w:rFonts w:hint="eastAsia" w:ascii="宋体" w:hAnsi="宋体" w:eastAsia="宋体" w:cs="宋体"/>
          <w:szCs w:val="21"/>
        </w:rPr>
        <w:t xml:space="preserve">注：1.</w:t>
      </w:r>
      <w:r>
        <w:rPr>
          <w:rFonts w:hint="eastAsia" w:ascii="宋体" w:hAnsi="宋体" w:eastAsia="宋体" w:cs="宋体"/>
        </w:rPr>
        <w:t xml:space="preserve">若事项较多，供应商可根据实际情况另纸说明。</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2.请将相关证明材料复印件加盖公章后附在本表后面上。</w:t>
      </w:r>
      <w:r/>
    </w:p>
    <w:p>
      <w:pPr>
        <w:pStyle w:val="1036"/>
        <w:numPr>
          <w:ilvl w:val="0"/>
          <w:numId w:val="1"/>
        </w:numPr>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sz w:val="24"/>
          <w:szCs w:val="24"/>
        </w:rPr>
      </w:pPr>
      <w:r>
        <w:rPr>
          <w:rFonts w:hint="eastAsia" w:ascii="宋体" w:hAnsi="宋体" w:eastAsia="宋体" w:cs="宋体"/>
        </w:rPr>
        <w:t xml:space="preserve">磋商供应商：（单位公章） </w:t>
      </w:r>
      <w:r/>
    </w:p>
    <w:p>
      <w:pPr>
        <w:jc w:val="left"/>
        <w:spacing w:line="360" w:lineRule="auto"/>
        <w:rPr>
          <w:rFonts w:hint="eastAsia" w:ascii="宋体" w:hAnsi="宋体" w:eastAsia="宋体" w:cs="宋体"/>
        </w:rPr>
      </w:pPr>
      <w:r>
        <w:rPr>
          <w:rFonts w:hint="eastAsia" w:ascii="宋体" w:hAnsi="宋体" w:eastAsia="宋体" w:cs="宋体"/>
        </w:rPr>
        <w:t xml:space="preserve">法定代表人或被授权人：（签字或盖章）</w:t>
      </w:r>
      <w:r/>
    </w:p>
    <w:p>
      <w:pPr>
        <w:jc w:val="left"/>
        <w:spacing w:line="360" w:lineRule="auto"/>
        <w:rPr>
          <w:rFonts w:hint="eastAsia" w:ascii="宋体" w:hAnsi="宋体" w:eastAsia="宋体" w:cs="宋体"/>
        </w:rPr>
      </w:pPr>
      <w:r>
        <w:rPr>
          <w:rFonts w:hint="eastAsia" w:ascii="宋体" w:hAnsi="宋体" w:eastAsia="宋体" w:cs="宋体"/>
        </w:rPr>
        <w:t xml:space="preserve">日    期：     年     月    日</w:t>
      </w:r>
      <w:r/>
    </w:p>
    <w:p>
      <w:pPr>
        <w:jc w:val="left"/>
        <w:spacing w:line="360" w:lineRule="auto"/>
        <w:rPr>
          <w:rFonts w:hint="eastAsia" w:ascii="宋体" w:hAnsi="宋体" w:eastAsia="宋体" w:cs="宋体"/>
          <w:color w:val="000000"/>
          <w:szCs w:val="21"/>
        </w:rPr>
        <w:outlineLvl w:val="1"/>
      </w:pPr>
      <w:r>
        <w:rPr>
          <w:rFonts w:hint="eastAsia" w:ascii="宋体" w:hAnsi="宋体" w:eastAsia="宋体" w:cs="宋体"/>
          <w:szCs w:val="21"/>
        </w:rPr>
        <w:br w:type="page" w:clear="all"/>
      </w:r>
      <w:r/>
    </w:p>
    <w:p>
      <w:pPr>
        <w:jc w:val="left"/>
        <w:spacing w:line="360" w:lineRule="auto"/>
        <w:rPr>
          <w:rFonts w:hint="eastAsia" w:ascii="宋体" w:hAnsi="宋体" w:eastAsia="宋体" w:cs="宋体"/>
          <w:b/>
          <w:color w:val="000000"/>
          <w:szCs w:val="21"/>
        </w:rPr>
        <w:outlineLvl w:val="1"/>
      </w:pPr>
      <w:r>
        <w:rPr>
          <w:rFonts w:hint="eastAsia" w:ascii="宋体" w:hAnsi="宋体" w:eastAsia="宋体" w:cs="宋体"/>
          <w:b/>
          <w:color w:val="000000"/>
          <w:szCs w:val="21"/>
        </w:rPr>
        <w:t xml:space="preserve">11、类似项目一览表</w:t>
      </w:r>
      <w:r/>
    </w:p>
    <w:p>
      <w:pPr>
        <w:jc w:val="center"/>
        <w:rPr>
          <w:rFonts w:hint="eastAsia" w:ascii="宋体" w:hAnsi="宋体" w:eastAsia="宋体" w:cs="宋体"/>
          <w:b/>
          <w:bCs/>
          <w:sz w:val="28"/>
          <w:szCs w:val="28"/>
        </w:rPr>
      </w:pPr>
      <w:r>
        <w:rPr>
          <w:rFonts w:hint="eastAsia" w:ascii="宋体" w:hAnsi="宋体" w:eastAsia="宋体" w:cs="宋体"/>
          <w:b/>
          <w:sz w:val="28"/>
          <w:szCs w:val="28"/>
        </w:rPr>
        <w:t xml:space="preserve">类似项目一览表</w:t>
      </w:r>
      <w:r/>
    </w:p>
    <w:p>
      <w:pPr>
        <w:pStyle w:val="1036"/>
        <w:numPr>
          <w:ilvl w:val="0"/>
          <w:numId w:val="1"/>
        </w:numPr>
        <w:rPr>
          <w:rFonts w:hint="eastAsia" w:ascii="宋体" w:hAnsi="宋体" w:eastAsia="宋体" w:cs="宋体"/>
          <w:szCs w:val="21"/>
        </w:rPr>
      </w:pPr>
      <w:r>
        <w:rPr>
          <w:rFonts w:hint="eastAsia" w:ascii="宋体" w:hAnsi="宋体" w:eastAsia="宋体" w:cs="宋体"/>
          <w:szCs w:val="21"/>
        </w:rPr>
        <w:t xml:space="preserve">项目名称：</w:t>
      </w:r>
      <w:r>
        <w:rPr>
          <w:rFonts w:hint="eastAsia" w:cs="宋体"/>
          <w:szCs w:val="21"/>
          <w:lang w:eastAsia="zh-CN"/>
        </w:rPr>
        <w:t xml:space="preserve">现役军人、退役军人及优抚对象保险保障</w:t>
      </w:r>
      <w:r/>
    </w:p>
    <w:p>
      <w:pPr>
        <w:pStyle w:val="1036"/>
        <w:numPr>
          <w:ilvl w:val="0"/>
          <w:numId w:val="1"/>
        </w:numPr>
        <w:rPr>
          <w:rFonts w:hint="eastAsia" w:ascii="宋体" w:hAnsi="宋体" w:eastAsia="宋体" w:cs="宋体"/>
          <w:szCs w:val="21"/>
        </w:rPr>
      </w:pPr>
      <w:r>
        <w:rPr>
          <w:rFonts w:hint="eastAsia" w:ascii="宋体" w:hAnsi="宋体" w:eastAsia="宋体" w:cs="宋体"/>
          <w:szCs w:val="21"/>
        </w:rPr>
        <w:t xml:space="preserve">采购编号：</w:t>
      </w:r>
      <w:r>
        <w:rPr>
          <w:rFonts w:hint="eastAsia" w:cs="宋体"/>
          <w:szCs w:val="21"/>
          <w:lang w:eastAsia="zh-CN"/>
        </w:rPr>
        <w:t xml:space="preserve">JSZC-320506-JLDL-C2025-0005</w:t>
      </w:r>
      <w:r/>
    </w:p>
    <w:tbl>
      <w:tblPr>
        <w:tblStyle w:val="846"/>
        <w:tblW w:w="8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7"/>
        <w:gridCol w:w="1325"/>
        <w:gridCol w:w="1266"/>
        <w:gridCol w:w="1445"/>
        <w:gridCol w:w="1716"/>
        <w:gridCol w:w="1666"/>
      </w:tblGrid>
      <w:tr>
        <w:trPr>
          <w:jc w:val="center"/>
          <w:trHeight w:val="1175"/>
        </w:trPr>
        <w:tc>
          <w:tcPr>
            <w:tcW w:w="5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W w:w="13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项目名称</w:t>
            </w:r>
            <w:r/>
          </w:p>
        </w:tc>
        <w:tc>
          <w:tcPr>
            <w:tcW w:w="1266" w:type="dxa"/>
            <w:vAlign w:val="center"/>
            <w:textDirection w:val="lrTb"/>
            <w:noWrap w:val="false"/>
          </w:tcPr>
          <w:p>
            <w:pPr>
              <w:jc w:val="center"/>
              <w:spacing w:line="360" w:lineRule="auto"/>
              <w:tabs>
                <w:tab w:val="left" w:pos="6252" w:leader="none"/>
              </w:tabs>
              <w:rPr>
                <w:rFonts w:hint="eastAsia" w:ascii="宋体" w:hAnsi="宋体" w:eastAsia="宋体" w:cs="宋体"/>
                <w:szCs w:val="21"/>
              </w:rPr>
            </w:pPr>
            <w:r>
              <w:rPr>
                <w:rFonts w:hint="eastAsia" w:ascii="宋体" w:hAnsi="宋体" w:eastAsia="宋体" w:cs="宋体"/>
                <w:szCs w:val="21"/>
              </w:rPr>
              <w:t xml:space="preserve">业主单位</w:t>
            </w:r>
            <w:r/>
          </w:p>
        </w:tc>
        <w:tc>
          <w:tcPr>
            <w:tcW w:w="1445" w:type="dxa"/>
            <w:vAlign w:val="center"/>
            <w:textDirection w:val="lrTb"/>
            <w:noWrap w:val="false"/>
          </w:tcPr>
          <w:p>
            <w:pPr>
              <w:jc w:val="center"/>
              <w:spacing w:line="360" w:lineRule="auto"/>
              <w:tabs>
                <w:tab w:val="left" w:pos="6252" w:leader="none"/>
              </w:tabs>
              <w:rPr>
                <w:rFonts w:hint="eastAsia" w:ascii="宋体" w:hAnsi="宋体" w:eastAsia="宋体" w:cs="宋体"/>
                <w:szCs w:val="21"/>
              </w:rPr>
            </w:pPr>
            <w:r>
              <w:rPr>
                <w:rFonts w:hint="eastAsia" w:ascii="宋体" w:hAnsi="宋体" w:eastAsia="宋体" w:cs="宋体"/>
                <w:szCs w:val="21"/>
              </w:rPr>
              <w:t xml:space="preserve">合同金额</w:t>
            </w:r>
            <w:r/>
          </w:p>
          <w:p>
            <w:pPr>
              <w:jc w:val="center"/>
              <w:spacing w:line="360" w:lineRule="auto"/>
              <w:tabs>
                <w:tab w:val="left" w:pos="6252" w:leader="none"/>
              </w:tabs>
              <w:rPr>
                <w:rFonts w:hint="eastAsia" w:ascii="宋体" w:hAnsi="宋体" w:eastAsia="宋体" w:cs="宋体"/>
                <w:szCs w:val="21"/>
              </w:rPr>
            </w:pPr>
            <w:r>
              <w:rPr>
                <w:rFonts w:hint="eastAsia" w:ascii="宋体" w:hAnsi="宋体" w:eastAsia="宋体" w:cs="宋体"/>
                <w:szCs w:val="21"/>
              </w:rPr>
              <w:t xml:space="preserve">（人民币）</w:t>
            </w:r>
            <w:r/>
          </w:p>
        </w:tc>
        <w:tc>
          <w:tcPr>
            <w:tcW w:w="1716" w:type="dxa"/>
            <w:vAlign w:val="center"/>
            <w:textDirection w:val="lrTb"/>
            <w:noWrap w:val="false"/>
          </w:tcPr>
          <w:p>
            <w:pPr>
              <w:jc w:val="center"/>
              <w:spacing w:line="360" w:lineRule="auto"/>
              <w:tabs>
                <w:tab w:val="left" w:pos="6252" w:leader="none"/>
              </w:tabs>
              <w:rPr>
                <w:rFonts w:hint="eastAsia" w:ascii="宋体" w:hAnsi="宋体" w:eastAsia="宋体" w:cs="宋体"/>
                <w:szCs w:val="21"/>
              </w:rPr>
            </w:pPr>
            <w:r>
              <w:rPr>
                <w:rFonts w:hint="eastAsia" w:ascii="宋体" w:hAnsi="宋体" w:eastAsia="宋体" w:cs="宋体"/>
                <w:szCs w:val="21"/>
              </w:rPr>
              <w:t xml:space="preserve">完成时间</w:t>
            </w:r>
            <w:r/>
          </w:p>
        </w:tc>
        <w:tc>
          <w:tcPr>
            <w:tcW w:w="16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398"/>
        </w:trPr>
        <w:tc>
          <w:tcPr>
            <w:tcW w:w="5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W w:w="13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6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379"/>
        </w:trPr>
        <w:tc>
          <w:tcPr>
            <w:tcW w:w="5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13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6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379"/>
        </w:trPr>
        <w:tc>
          <w:tcPr>
            <w:tcW w:w="5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13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6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398"/>
        </w:trPr>
        <w:tc>
          <w:tcPr>
            <w:tcW w:w="5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13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6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379"/>
        </w:trPr>
        <w:tc>
          <w:tcPr>
            <w:tcW w:w="5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13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6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398"/>
        </w:trPr>
        <w:tc>
          <w:tcPr>
            <w:tcW w:w="5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W w:w="13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6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379"/>
        </w:trPr>
        <w:tc>
          <w:tcPr>
            <w:tcW w:w="5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3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6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398"/>
        </w:trPr>
        <w:tc>
          <w:tcPr>
            <w:tcW w:w="5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3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6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398"/>
        </w:trPr>
        <w:tc>
          <w:tcPr>
            <w:tcW w:w="5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3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2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66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注：</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1.若事项较多，供应商可根据实际情况另纸说明。</w:t>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磋商供应商：（单位公章） </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法定代表人或被授权人：（签字或盖章）</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日    期：     年     月    日</w:t>
      </w:r>
      <w:r/>
    </w:p>
    <w:p>
      <w:pPr>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r>
      <w:r/>
    </w:p>
    <w:p>
      <w:pPr>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r>
      <w:r/>
    </w:p>
    <w:p>
      <w:pPr>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r>
      <w:r/>
    </w:p>
    <w:p>
      <w:pPr>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b/>
          <w:szCs w:val="21"/>
        </w:rPr>
      </w:pPr>
      <w:r>
        <w:rPr>
          <w:rFonts w:hint="eastAsia" w:ascii="宋体" w:hAnsi="宋体" w:eastAsia="宋体" w:cs="宋体"/>
          <w:b/>
          <w:szCs w:val="21"/>
        </w:rPr>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12、投标（响应）保证承诺书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56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投标（响应）保证承诺书</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致：</w:t>
      </w:r>
      <w:r>
        <w:rPr>
          <w:rFonts w:hint="eastAsia" w:ascii="宋体" w:hAnsi="宋体" w:cs="宋体"/>
          <w:szCs w:val="21"/>
          <w:lang w:eastAsia="zh-CN"/>
        </w:rPr>
        <w:t xml:space="preserve">苏州建龙工程建设咨询有限公司</w:t>
      </w:r>
      <w:r>
        <w:rPr>
          <w:rFonts w:hint="eastAsia" w:ascii="宋体" w:hAnsi="宋体" w:eastAsia="宋体" w:cs="宋体"/>
          <w:szCs w:val="21"/>
        </w:rPr>
        <w:t xml:space="preserve">         </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我</w:t>
      </w:r>
      <w:r>
        <w:rPr>
          <w:rFonts w:hint="eastAsia" w:ascii="宋体" w:hAnsi="宋体" w:eastAsia="宋体" w:cs="宋体"/>
          <w:szCs w:val="21"/>
          <w:u w:val="single"/>
        </w:rPr>
        <w:t xml:space="preserve">     </w:t>
      </w:r>
      <w:r>
        <w:rPr>
          <w:rFonts w:hint="eastAsia" w:ascii="宋体" w:hAnsi="宋体" w:eastAsia="宋体" w:cs="宋体"/>
          <w:szCs w:val="21"/>
        </w:rPr>
        <w:t xml:space="preserve">（单位/本人，以下统称我单位）自愿参加 </w:t>
      </w:r>
      <w:r>
        <w:rPr>
          <w:rFonts w:hint="eastAsia" w:ascii="宋体" w:hAnsi="宋体" w:eastAsia="宋体" w:cs="宋体"/>
          <w:szCs w:val="21"/>
          <w:u w:val="single"/>
        </w:rPr>
        <w:t xml:space="preserve">     </w:t>
      </w:r>
      <w:r>
        <w:rPr>
          <w:rFonts w:hint="eastAsia" w:ascii="宋体" w:hAnsi="宋体" w:eastAsia="宋体" w:cs="宋体"/>
          <w:szCs w:val="21"/>
        </w:rPr>
        <w:t xml:space="preserve">（项目名称和采购编号）的响应,并做出如下承诺：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1.自响应截止时间至本项目发布成交公告为止，撤销响应；</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2.成交后不依法与采购人签订合同；</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3.成交后不按本采购文件规定向采购人提交履约保证金；</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4.成交后不按本采购文件规定向贵方缴纳采购代理费。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二、我单位知晓上述行为的法律后果，承认本承诺书作为贵方（或采购人）要求我单位履行违约赔偿义务的依据作用。</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磋商供应商：（单位公章）</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法定代表人或代理人：（签字或签章）</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r>
      <w:r/>
    </w:p>
    <w:p>
      <w:pPr>
        <w:pStyle w:val="1036"/>
        <w:rPr>
          <w:rFonts w:hint="eastAsia" w:ascii="宋体" w:hAnsi="宋体" w:eastAsia="宋体" w:cs="宋体"/>
        </w:rPr>
      </w:pPr>
      <w:r>
        <w:rPr>
          <w:rFonts w:hint="eastAsia" w:ascii="宋体" w:hAnsi="宋体" w:eastAsia="宋体" w:cs="宋体"/>
        </w:rPr>
        <w:br w:type="page" w:clear="all"/>
      </w:r>
      <w:r/>
    </w:p>
    <w:p>
      <w:pPr>
        <w:pStyle w:val="1036"/>
        <w:numPr>
          <w:ilvl w:val="0"/>
          <w:numId w:val="0"/>
        </w:numPr>
        <w:rPr>
          <w:rFonts w:hint="eastAsia" w:ascii="宋体" w:hAnsi="宋体" w:eastAsia="宋体" w:cs="宋体"/>
          <w:bCs/>
        </w:rPr>
      </w:pPr>
      <w:r>
        <w:rPr>
          <w:rFonts w:hint="eastAsia" w:ascii="宋体" w:hAnsi="宋体" w:eastAsia="宋体" w:cs="宋体"/>
          <w:b/>
          <w:szCs w:val="21"/>
        </w:rPr>
        <w:t xml:space="preserve">13、安全责任承诺书</w:t>
      </w:r>
      <w:r/>
    </w:p>
    <w:p>
      <w:pPr>
        <w:pStyle w:val="1036"/>
        <w:rPr>
          <w:rFonts w:hint="eastAsia" w:ascii="宋体" w:hAnsi="宋体" w:eastAsia="宋体" w:cs="宋体"/>
        </w:rPr>
      </w:pPr>
      <w:r>
        <w:rPr>
          <w:rFonts w:hint="eastAsia" w:ascii="宋体" w:hAnsi="宋体" w:eastAsia="宋体" w:cs="宋体"/>
        </w:rPr>
      </w:r>
      <w:r/>
    </w:p>
    <w:p>
      <w:pPr>
        <w:pStyle w:val="1036"/>
        <w:jc w:val="center"/>
        <w:rPr>
          <w:rFonts w:hint="eastAsia" w:ascii="宋体" w:hAnsi="宋体" w:eastAsia="宋体" w:cs="宋体"/>
          <w:b/>
          <w:sz w:val="28"/>
          <w:szCs w:val="28"/>
        </w:rPr>
      </w:pPr>
      <w:r>
        <w:rPr>
          <w:rFonts w:hint="eastAsia" w:ascii="宋体" w:hAnsi="宋体" w:eastAsia="宋体" w:cs="宋体"/>
          <w:b/>
          <w:sz w:val="28"/>
          <w:szCs w:val="28"/>
        </w:rPr>
        <w:t xml:space="preserve">安全责任承诺书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如我方为成交单位，我方将认真履行本次采购的所有承诺，我方愿意负责承担</w:t>
      </w:r>
      <w:r>
        <w:rPr>
          <w:rFonts w:hint="eastAsia" w:ascii="宋体" w:hAnsi="宋体" w:cs="宋体"/>
          <w:szCs w:val="21"/>
          <w:u w:val="single"/>
          <w:lang w:eastAsia="zh-CN"/>
        </w:rPr>
        <w:t xml:space="preserve">现役军人、退役军人及优抚对象保险保障</w:t>
      </w:r>
      <w:r>
        <w:rPr>
          <w:rFonts w:hint="eastAsia" w:ascii="宋体" w:hAnsi="宋体" w:eastAsia="宋体" w:cs="宋体"/>
          <w:szCs w:val="21"/>
        </w:rPr>
        <w:t xml:space="preserve">过程中全部服务人员的人身安全及车辆设施设备安全的全部责任，在合同履行过程中发生的一切安全问题，由我方全权负责。</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磋商供应商：（单位公章）</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法定代表人或代理人：（签字或签章）</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36"/>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rPr>
          <w:rFonts w:hint="eastAsia" w:ascii="宋体" w:hAnsi="宋体" w:eastAsia="宋体" w:cs="宋体"/>
        </w:rPr>
      </w:pPr>
      <w:r>
        <w:rPr>
          <w:rFonts w:hint="eastAsia" w:ascii="宋体" w:hAnsi="宋体" w:eastAsia="宋体" w:cs="宋体"/>
        </w:rPr>
      </w:r>
      <w:r/>
    </w:p>
    <w:p>
      <w:pPr>
        <w:rPr>
          <w:rFonts w:ascii="宋体" w:hAnsi="宋体" w:cs="宋体"/>
          <w:b/>
          <w:bCs/>
          <w:sz w:val="21"/>
          <w:szCs w:val="21"/>
          <w:lang w:val="zh-CN"/>
        </w:rPr>
      </w:pPr>
      <w:r>
        <w:rPr>
          <w:rFonts w:hint="eastAsia" w:ascii="宋体" w:hAnsi="宋体"/>
          <w:b/>
          <w:sz w:val="21"/>
          <w:szCs w:val="21"/>
          <w:lang w:val="en-US" w:eastAsia="zh-CN"/>
        </w:rPr>
        <w:t xml:space="preserve">14</w:t>
      </w:r>
      <w:r>
        <w:rPr>
          <w:rFonts w:hint="eastAsia" w:ascii="宋体" w:hAnsi="宋体"/>
          <w:b/>
          <w:sz w:val="21"/>
          <w:szCs w:val="21"/>
        </w:rPr>
        <w:t xml:space="preserve">、</w:t>
      </w:r>
      <w:r>
        <w:rPr>
          <w:rFonts w:hint="eastAsia" w:ascii="宋体" w:hAnsi="宋体" w:cs="宋体"/>
          <w:b/>
          <w:bCs/>
          <w:sz w:val="21"/>
          <w:szCs w:val="21"/>
          <w:lang w:val="zh-CN"/>
        </w:rPr>
        <w:t xml:space="preserve">响应人资格承诺</w:t>
      </w:r>
      <w:r/>
    </w:p>
    <w:p>
      <w:pPr>
        <w:rPr>
          <w:rFonts w:ascii="宋体" w:hAnsi="宋体" w:cs="宋体"/>
          <w:sz w:val="24"/>
          <w:lang w:val="zh-CN"/>
        </w:rPr>
      </w:pPr>
      <w:r>
        <w:rPr>
          <w:rFonts w:ascii="宋体" w:hAnsi="宋体" w:cs="宋体"/>
          <w:sz w:val="24"/>
          <w:lang w:val="zh-CN"/>
        </w:rPr>
      </w:r>
      <w:r/>
    </w:p>
    <w:p>
      <w:pPr>
        <w:rPr>
          <w:rFonts w:ascii="宋体" w:hAnsi="宋体" w:cs="宋体"/>
          <w:sz w:val="24"/>
          <w:lang w:val="zh-CN"/>
        </w:rPr>
      </w:pPr>
      <w:r>
        <w:rPr>
          <w:rFonts w:ascii="宋体" w:hAnsi="宋体" w:cs="宋体"/>
          <w:sz w:val="24"/>
          <w:lang w:val="zh-CN"/>
        </w:rPr>
      </w:r>
      <w:r/>
    </w:p>
    <w:p>
      <w:pPr>
        <w:rPr>
          <w:rFonts w:ascii="宋体" w:hAnsi="宋体" w:cs="宋体"/>
          <w:sz w:val="24"/>
          <w:lang w:val="zh-CN"/>
        </w:rPr>
      </w:pPr>
      <w:r>
        <w:rPr>
          <w:rFonts w:ascii="宋体" w:hAnsi="宋体" w:cs="宋体"/>
          <w:sz w:val="24"/>
          <w:lang w:val="zh-CN"/>
        </w:rPr>
      </w:r>
      <w:r/>
    </w:p>
    <w:p>
      <w:pPr>
        <w:rPr>
          <w:rFonts w:ascii="宋体" w:hAnsi="宋体" w:cs="宋体"/>
          <w:sz w:val="24"/>
          <w:lang w:val="zh-CN"/>
        </w:rPr>
      </w:pPr>
      <w:r>
        <w:rPr>
          <w:rFonts w:ascii="宋体" w:hAnsi="宋体" w:cs="宋体"/>
          <w:sz w:val="24"/>
          <w:lang w:val="zh-CN"/>
        </w:rPr>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磋商响应人资格承诺书</w:t>
      </w:r>
      <w:r/>
    </w:p>
    <w:p>
      <w:pPr>
        <w:ind w:firstLine="315"/>
        <w:rPr>
          <w:rFonts w:ascii="宋体" w:hAnsi="宋体" w:cs="宋体"/>
          <w:b/>
          <w:szCs w:val="21"/>
          <w:lang w:val="zh-CN"/>
        </w:rPr>
      </w:pPr>
      <w:r>
        <w:rPr>
          <w:rFonts w:hint="eastAsia" w:ascii="宋体" w:hAnsi="宋体" w:cs="宋体"/>
          <w:szCs w:val="21"/>
        </w:rPr>
        <w:t xml:space="preserve">采购</w:t>
      </w:r>
      <w:r>
        <w:rPr>
          <w:rFonts w:hint="eastAsia" w:ascii="宋体" w:hAnsi="宋体" w:cs="宋体"/>
          <w:szCs w:val="21"/>
          <w:lang w:val="zh-CN"/>
        </w:rPr>
        <w:t xml:space="preserve">编号：</w:t>
      </w:r>
      <w:r/>
    </w:p>
    <w:tbl>
      <w:tblPr>
        <w:tblStyle w:val="8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5886"/>
        <w:gridCol w:w="1975"/>
      </w:tblGrid>
      <w:tr>
        <w:trPr>
          <w:trHeight w:val="722"/>
        </w:trPr>
        <w:tc>
          <w:tcPr>
            <w:tcW w:w="667"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序号</w:t>
            </w:r>
            <w:r/>
          </w:p>
        </w:tc>
        <w:tc>
          <w:tcPr>
            <w:tcW w:w="5886"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响应单位部分资格要求</w:t>
            </w:r>
            <w:r/>
          </w:p>
        </w:tc>
        <w:tc>
          <w:tcPr>
            <w:tcW w:w="1975"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是否完全响应</w:t>
            </w:r>
            <w:r/>
          </w:p>
        </w:tc>
      </w:tr>
      <w:tr>
        <w:trPr>
          <w:trHeight w:val="615"/>
        </w:trPr>
        <w:tc>
          <w:tcPr>
            <w:tcW w:w="667"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p>
        </w:tc>
        <w:tc>
          <w:tcPr>
            <w:tcW w:w="5886" w:type="dxa"/>
            <w:vAlign w:val="center"/>
            <w:textDirection w:val="lrTb"/>
            <w:noWrap w:val="false"/>
          </w:tcPr>
          <w:p>
            <w:pPr>
              <w:rPr>
                <w:rFonts w:hint="eastAsia" w:ascii="宋体" w:hAnsi="宋体" w:eastAsia="宋体" w:cs="宋体"/>
                <w:sz w:val="21"/>
                <w:szCs w:val="21"/>
                <w:lang w:val="zh-CN"/>
              </w:rPr>
            </w:pPr>
            <w:r>
              <w:rPr>
                <w:rFonts w:hint="eastAsia" w:ascii="宋体" w:hAnsi="宋体" w:eastAsia="宋体" w:cs="宋体"/>
                <w:sz w:val="21"/>
                <w:szCs w:val="21"/>
              </w:rPr>
              <w:t xml:space="preserve">具有独立承担民事责任的能力</w:t>
            </w:r>
            <w:r/>
          </w:p>
        </w:tc>
        <w:tc>
          <w:tcPr>
            <w:tcW w:w="1975"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r>
            <w:r/>
          </w:p>
        </w:tc>
      </w:tr>
      <w:tr>
        <w:trPr>
          <w:trHeight w:val="615"/>
        </w:trPr>
        <w:tc>
          <w:tcPr>
            <w:tcW w:w="667"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p>
        </w:tc>
        <w:tc>
          <w:tcPr>
            <w:tcW w:w="5886" w:type="dxa"/>
            <w:vAlign w:val="center"/>
            <w:textDirection w:val="lrTb"/>
            <w:noWrap w:val="false"/>
          </w:tcPr>
          <w:p>
            <w:pPr>
              <w:rPr>
                <w:rFonts w:hint="eastAsia" w:ascii="宋体" w:hAnsi="宋体" w:eastAsia="宋体" w:cs="宋体"/>
                <w:sz w:val="21"/>
                <w:szCs w:val="21"/>
                <w:lang w:val="zh-CN"/>
              </w:rPr>
            </w:pPr>
            <w:r>
              <w:rPr>
                <w:rFonts w:hint="eastAsia" w:ascii="宋体" w:hAnsi="宋体" w:eastAsia="宋体" w:cs="宋体"/>
                <w:sz w:val="21"/>
                <w:szCs w:val="21"/>
              </w:rPr>
              <w:t xml:space="preserve">具有良好的商业信誉和健全的财务会计制度</w:t>
            </w:r>
            <w:r/>
          </w:p>
        </w:tc>
        <w:tc>
          <w:tcPr>
            <w:tcW w:w="1975"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r>
            <w:r/>
          </w:p>
        </w:tc>
      </w:tr>
      <w:tr>
        <w:trPr>
          <w:trHeight w:val="615"/>
        </w:trPr>
        <w:tc>
          <w:tcPr>
            <w:tcW w:w="667"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3</w:t>
            </w:r>
            <w:r/>
          </w:p>
        </w:tc>
        <w:tc>
          <w:tcPr>
            <w:tcW w:w="5886" w:type="dxa"/>
            <w:vAlign w:val="center"/>
            <w:textDirection w:val="lrTb"/>
            <w:noWrap w:val="false"/>
          </w:tcPr>
          <w:p>
            <w:pPr>
              <w:rPr>
                <w:rFonts w:hint="eastAsia" w:ascii="宋体" w:hAnsi="宋体" w:eastAsia="宋体" w:cs="宋体"/>
                <w:sz w:val="21"/>
                <w:szCs w:val="21"/>
                <w:lang w:val="zh-CN"/>
              </w:rPr>
            </w:pPr>
            <w:r>
              <w:rPr>
                <w:rFonts w:hint="eastAsia" w:ascii="宋体" w:hAnsi="宋体" w:eastAsia="宋体" w:cs="宋体"/>
                <w:sz w:val="21"/>
                <w:szCs w:val="21"/>
              </w:rPr>
              <w:t xml:space="preserve">具有履行合同所必需的设备和专业技术能力</w:t>
            </w:r>
            <w:r/>
          </w:p>
        </w:tc>
        <w:tc>
          <w:tcPr>
            <w:tcW w:w="1975"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r>
            <w:r/>
          </w:p>
        </w:tc>
      </w:tr>
      <w:tr>
        <w:trPr>
          <w:trHeight w:val="615"/>
        </w:trPr>
        <w:tc>
          <w:tcPr>
            <w:tcW w:w="667"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4</w:t>
            </w:r>
            <w:r/>
          </w:p>
        </w:tc>
        <w:tc>
          <w:tcPr>
            <w:tcW w:w="5886" w:type="dxa"/>
            <w:vAlign w:val="center"/>
            <w:textDirection w:val="lrTb"/>
            <w:noWrap w:val="false"/>
          </w:tcPr>
          <w:p>
            <w:pPr>
              <w:rPr>
                <w:rFonts w:hint="eastAsia" w:ascii="宋体" w:hAnsi="宋体" w:eastAsia="宋体" w:cs="宋体"/>
                <w:sz w:val="21"/>
                <w:szCs w:val="21"/>
                <w:lang w:val="zh-CN"/>
              </w:rPr>
            </w:pPr>
            <w:r>
              <w:rPr>
                <w:rFonts w:hint="eastAsia" w:ascii="宋体" w:hAnsi="宋体" w:eastAsia="宋体" w:cs="宋体"/>
                <w:sz w:val="21"/>
                <w:szCs w:val="21"/>
              </w:rPr>
              <w:t xml:space="preserve">有依法缴纳税收和社会保障资金的良好记录</w:t>
            </w:r>
            <w:r/>
          </w:p>
        </w:tc>
        <w:tc>
          <w:tcPr>
            <w:tcW w:w="1975"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r>
            <w:r/>
          </w:p>
        </w:tc>
      </w:tr>
      <w:tr>
        <w:trPr>
          <w:trHeight w:val="743"/>
        </w:trPr>
        <w:tc>
          <w:tcPr>
            <w:tcW w:w="667"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5</w:t>
            </w:r>
            <w:r/>
          </w:p>
        </w:tc>
        <w:tc>
          <w:tcPr>
            <w:tcW w:w="5886" w:type="dxa"/>
            <w:vAlign w:val="center"/>
            <w:textDirection w:val="lrTb"/>
            <w:noWrap w:val="false"/>
          </w:tcPr>
          <w:p>
            <w:pPr>
              <w:rPr>
                <w:rFonts w:hint="eastAsia" w:ascii="宋体" w:hAnsi="宋体" w:eastAsia="宋体" w:cs="宋体"/>
                <w:sz w:val="21"/>
                <w:szCs w:val="21"/>
                <w:lang w:val="zh-CN"/>
              </w:rPr>
            </w:pPr>
            <w:r>
              <w:rPr>
                <w:rFonts w:hint="eastAsia" w:ascii="宋体" w:hAnsi="宋体" w:eastAsia="宋体" w:cs="宋体"/>
                <w:sz w:val="21"/>
                <w:szCs w:val="21"/>
              </w:rPr>
              <w:t xml:space="preserve">参加政府采购活动前三年内，在经营活动中没有重大违法记录</w:t>
            </w:r>
            <w:r/>
          </w:p>
        </w:tc>
        <w:tc>
          <w:tcPr>
            <w:tcW w:w="1975"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r>
            <w:r/>
          </w:p>
        </w:tc>
      </w:tr>
      <w:tr>
        <w:trPr>
          <w:trHeight w:val="743"/>
        </w:trPr>
        <w:tc>
          <w:tcPr>
            <w:tcW w:w="667"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p>
        </w:tc>
        <w:tc>
          <w:tcPr>
            <w:tcW w:w="588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Cs w:val="21"/>
              </w:rPr>
              <w:t xml:space="preserve">法律、行政法规规定的其他条件</w:t>
            </w:r>
            <w:r/>
          </w:p>
        </w:tc>
        <w:tc>
          <w:tcPr>
            <w:tcW w:w="1975"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r>
            <w:r/>
          </w:p>
        </w:tc>
      </w:tr>
    </w:tbl>
    <w:p>
      <w:pPr>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日期：    年    月    日</w:t>
      </w:r>
      <w:r/>
    </w:p>
    <w:p>
      <w:pPr>
        <w:pStyle w:val="1036"/>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jc w:val="left"/>
        <w:spacing w:line="360" w:lineRule="auto"/>
        <w:rPr>
          <w:rFonts w:ascii="宋体" w:hAnsi="宋体"/>
          <w:b/>
          <w:sz w:val="24"/>
        </w:rPr>
      </w:pPr>
      <w:r>
        <w:rPr>
          <w:rFonts w:hint="eastAsia" w:ascii="宋体" w:hAnsi="宋体"/>
          <w:b/>
          <w:sz w:val="24"/>
          <w:lang w:val="en-US" w:eastAsia="zh-CN"/>
        </w:rPr>
        <w:t xml:space="preserve">15、</w:t>
      </w:r>
      <w:r>
        <w:rPr>
          <w:rFonts w:hint="eastAsia" w:ascii="宋体" w:hAnsi="宋体"/>
          <w:b/>
          <w:sz w:val="24"/>
        </w:rPr>
        <w:t xml:space="preserve">磋商供应商与其他单位存在控股、管理关系情况表</w:t>
      </w:r>
      <w:r/>
    </w:p>
    <w:p>
      <w:pPr>
        <w:jc w:val="center"/>
        <w:spacing w:line="300" w:lineRule="auto"/>
        <w:widowControl/>
        <w:rPr>
          <w:rFonts w:hint="eastAsia" w:ascii="宋体" w:hAnsi="宋体"/>
          <w:b/>
          <w:bCs/>
          <w:sz w:val="24"/>
        </w:rPr>
      </w:pPr>
      <w:r>
        <w:rPr>
          <w:rFonts w:hint="eastAsia" w:ascii="宋体" w:hAnsi="宋体"/>
          <w:b/>
          <w:bCs/>
          <w:sz w:val="24"/>
        </w:rPr>
      </w:r>
      <w:r/>
    </w:p>
    <w:p>
      <w:pPr>
        <w:jc w:val="center"/>
        <w:spacing w:line="300" w:lineRule="auto"/>
        <w:widowControl/>
        <w:rPr>
          <w:rFonts w:hint="eastAsia" w:ascii="宋体" w:hAnsi="宋体"/>
          <w:b/>
          <w:bCs/>
          <w:sz w:val="24"/>
        </w:rPr>
      </w:pPr>
      <w:r>
        <w:rPr>
          <w:rFonts w:hint="eastAsia" w:ascii="宋体" w:hAnsi="宋体"/>
          <w:b/>
          <w:bCs/>
          <w:sz w:val="24"/>
        </w:rPr>
      </w:r>
      <w:r/>
    </w:p>
    <w:p>
      <w:pPr>
        <w:jc w:val="center"/>
        <w:spacing w:line="300" w:lineRule="auto"/>
        <w:widowControl/>
        <w:rPr>
          <w:rFonts w:ascii="宋体" w:hAnsi="宋体"/>
          <w:b/>
          <w:bCs/>
          <w:sz w:val="21"/>
          <w:szCs w:val="21"/>
        </w:rPr>
      </w:pPr>
      <w:r>
        <w:rPr>
          <w:rFonts w:hint="eastAsia" w:ascii="宋体" w:hAnsi="宋体"/>
          <w:b/>
          <w:bCs/>
          <w:sz w:val="21"/>
          <w:szCs w:val="21"/>
        </w:rPr>
        <w:t xml:space="preserve">磋商供应商</w:t>
      </w:r>
      <w:r>
        <w:rPr>
          <w:rFonts w:ascii="宋体" w:hAnsi="宋体"/>
          <w:b/>
          <w:bCs/>
          <w:sz w:val="21"/>
          <w:szCs w:val="21"/>
        </w:rPr>
        <w:t xml:space="preserve">与其他单位存在控股、管理关系情况表</w:t>
      </w:r>
      <w:r/>
    </w:p>
    <w:p>
      <w:pPr>
        <w:jc w:val="left"/>
        <w:spacing w:line="300" w:lineRule="auto"/>
        <w:widowControl/>
        <w:rPr>
          <w:rFonts w:ascii="宋体" w:hAnsi="宋体"/>
          <w:b/>
          <w:bCs/>
          <w:sz w:val="21"/>
          <w:szCs w:val="21"/>
        </w:rPr>
      </w:pPr>
      <w:r>
        <w:rPr>
          <w:rFonts w:ascii="宋体" w:hAnsi="宋体"/>
          <w:b/>
          <w:bCs/>
          <w:sz w:val="21"/>
          <w:szCs w:val="21"/>
        </w:rPr>
      </w:r>
      <w:r/>
    </w:p>
    <w:tbl>
      <w:tblPr>
        <w:tblStyle w:val="84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931"/>
        <w:gridCol w:w="3597"/>
      </w:tblGrid>
      <w:tr>
        <w:trPr>
          <w:trHeight w:val="637"/>
        </w:trPr>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t xml:space="preserve">与</w:t>
            </w:r>
            <w:r>
              <w:rPr>
                <w:rFonts w:hint="eastAsia" w:ascii="宋体" w:hAnsi="宋体"/>
                <w:b/>
                <w:bCs/>
                <w:sz w:val="21"/>
                <w:szCs w:val="21"/>
              </w:rPr>
              <w:t xml:space="preserve">磋商供应商</w:t>
            </w:r>
            <w:r>
              <w:rPr>
                <w:rFonts w:ascii="宋体" w:hAnsi="宋体"/>
                <w:b/>
                <w:bCs/>
                <w:sz w:val="21"/>
                <w:szCs w:val="21"/>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597"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r>
            <w:r/>
          </w:p>
        </w:tc>
        <w:tc>
          <w:tcPr>
            <w:tcBorders>
              <w:top w:val="single" w:color="000000" w:sz="4" w:space="0"/>
              <w:left w:val="none" w:color="000000" w:sz="4" w:space="0"/>
              <w:bottom w:val="single" w:color="000000" w:sz="4" w:space="0"/>
              <w:right w:val="single" w:color="000000" w:sz="4" w:space="0"/>
            </w:tcBorders>
            <w:tcW w:w="3597"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r>
            <w:r/>
          </w:p>
        </w:tc>
        <w:tc>
          <w:tcPr>
            <w:tcBorders>
              <w:top w:val="single" w:color="000000" w:sz="4" w:space="0"/>
              <w:left w:val="none" w:color="000000" w:sz="4" w:space="0"/>
              <w:bottom w:val="single" w:color="000000" w:sz="4" w:space="0"/>
              <w:right w:val="single" w:color="000000" w:sz="4" w:space="0"/>
            </w:tcBorders>
            <w:tcW w:w="3597"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r>
            <w:r/>
          </w:p>
        </w:tc>
        <w:tc>
          <w:tcPr>
            <w:tcBorders>
              <w:top w:val="single" w:color="000000" w:sz="4" w:space="0"/>
              <w:left w:val="none" w:color="000000" w:sz="4" w:space="0"/>
              <w:bottom w:val="single" w:color="000000" w:sz="4" w:space="0"/>
              <w:right w:val="single" w:color="000000" w:sz="4" w:space="0"/>
            </w:tcBorders>
            <w:tcW w:w="3597"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r>
            <w:r/>
          </w:p>
        </w:tc>
        <w:tc>
          <w:tcPr>
            <w:tcBorders>
              <w:top w:val="single" w:color="000000" w:sz="4" w:space="0"/>
              <w:left w:val="none" w:color="000000" w:sz="4" w:space="0"/>
              <w:bottom w:val="single" w:color="000000" w:sz="4" w:space="0"/>
              <w:right w:val="single" w:color="000000" w:sz="4" w:space="0"/>
            </w:tcBorders>
            <w:tcW w:w="3597"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r>
            <w:r/>
          </w:p>
        </w:tc>
        <w:tc>
          <w:tcPr>
            <w:tcBorders>
              <w:top w:val="single" w:color="000000" w:sz="4" w:space="0"/>
              <w:left w:val="none" w:color="000000" w:sz="4" w:space="0"/>
              <w:bottom w:val="single" w:color="000000" w:sz="4" w:space="0"/>
              <w:right w:val="single" w:color="000000" w:sz="4" w:space="0"/>
            </w:tcBorders>
            <w:tcW w:w="3597"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31"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r>
            <w:r/>
          </w:p>
        </w:tc>
        <w:tc>
          <w:tcPr>
            <w:tcBorders>
              <w:top w:val="single" w:color="000000" w:sz="4" w:space="0"/>
              <w:left w:val="none" w:color="000000" w:sz="4" w:space="0"/>
              <w:bottom w:val="single" w:color="000000" w:sz="4" w:space="0"/>
              <w:right w:val="single" w:color="000000" w:sz="4" w:space="0"/>
            </w:tcBorders>
            <w:tcW w:w="3597" w:type="dxa"/>
            <w:vAlign w:val="center"/>
            <w:textDirection w:val="lrTb"/>
            <w:noWrap w:val="false"/>
          </w:tcPr>
          <w:p>
            <w:pPr>
              <w:jc w:val="center"/>
              <w:spacing w:line="300" w:lineRule="auto"/>
              <w:widowControl/>
              <w:rPr>
                <w:rFonts w:ascii="宋体" w:hAnsi="宋体"/>
                <w:b/>
                <w:bCs/>
                <w:sz w:val="21"/>
                <w:szCs w:val="21"/>
              </w:rPr>
            </w:pPr>
            <w:r>
              <w:rPr>
                <w:rFonts w:ascii="宋体" w:hAnsi="宋体"/>
                <w:b/>
                <w:bCs/>
                <w:sz w:val="21"/>
                <w:szCs w:val="21"/>
              </w:rPr>
            </w:r>
            <w:r/>
          </w:p>
        </w:tc>
      </w:tr>
    </w:tbl>
    <w:p>
      <w:pPr>
        <w:jc w:val="left"/>
        <w:spacing w:line="300" w:lineRule="auto"/>
        <w:widowControl/>
        <w:rPr>
          <w:rFonts w:ascii="宋体" w:hAnsi="宋体"/>
          <w:b/>
          <w:bCs/>
          <w:sz w:val="21"/>
          <w:szCs w:val="21"/>
        </w:rPr>
      </w:pPr>
      <w:r>
        <w:rPr>
          <w:rFonts w:ascii="宋体" w:hAnsi="宋体"/>
          <w:b/>
          <w:bCs/>
          <w:sz w:val="21"/>
          <w:szCs w:val="21"/>
        </w:rPr>
        <w:t xml:space="preserve">注：</w:t>
      </w:r>
      <w:r>
        <w:rPr>
          <w:rFonts w:hint="eastAsia" w:ascii="宋体" w:hAnsi="宋体"/>
          <w:b/>
          <w:bCs/>
          <w:sz w:val="21"/>
          <w:szCs w:val="21"/>
        </w:rPr>
        <w:t xml:space="preserve">响应</w:t>
      </w:r>
      <w:r>
        <w:rPr>
          <w:rFonts w:ascii="宋体" w:hAnsi="宋体"/>
          <w:b/>
          <w:bCs/>
          <w:sz w:val="21"/>
          <w:szCs w:val="21"/>
        </w:rPr>
        <w:t xml:space="preserve">单位应当按实填写所有与之有控股、管理关系的情况</w:t>
      </w:r>
      <w:r/>
    </w:p>
    <w:p>
      <w:pPr>
        <w:jc w:val="left"/>
        <w:spacing w:line="300" w:lineRule="auto"/>
        <w:widowControl/>
        <w:rPr>
          <w:rFonts w:ascii="宋体" w:hAnsi="宋体"/>
          <w:b/>
          <w:bCs/>
          <w:sz w:val="21"/>
          <w:szCs w:val="21"/>
        </w:rPr>
      </w:pPr>
      <w:r>
        <w:rPr>
          <w:rFonts w:ascii="宋体" w:hAnsi="宋体"/>
          <w:b/>
          <w:bCs/>
          <w:sz w:val="21"/>
          <w:szCs w:val="21"/>
        </w:rPr>
      </w:r>
      <w:r/>
    </w:p>
    <w:p>
      <w:pPr>
        <w:jc w:val="left"/>
        <w:spacing w:line="300" w:lineRule="auto"/>
        <w:rPr>
          <w:rFonts w:ascii="宋体" w:hAnsi="宋体"/>
          <w:sz w:val="21"/>
          <w:szCs w:val="21"/>
        </w:rPr>
      </w:pPr>
      <w:r>
        <w:rPr>
          <w:rFonts w:ascii="宋体" w:hAnsi="宋体"/>
          <w:sz w:val="21"/>
          <w:szCs w:val="21"/>
        </w:rPr>
        <w:t xml:space="preserve">磋商响应单位：（单位盖章）</w:t>
      </w:r>
      <w:r/>
    </w:p>
    <w:p>
      <w:pPr>
        <w:jc w:val="left"/>
        <w:spacing w:line="300" w:lineRule="auto"/>
        <w:rPr>
          <w:rFonts w:ascii="宋体" w:hAnsi="宋体"/>
          <w:sz w:val="21"/>
          <w:szCs w:val="21"/>
        </w:rPr>
      </w:pPr>
      <w:r>
        <w:rPr>
          <w:rFonts w:ascii="宋体" w:hAnsi="宋体"/>
          <w:sz w:val="21"/>
          <w:szCs w:val="21"/>
        </w:rPr>
        <w:t xml:space="preserve">法定代表人或代理人：（签字或盖章）</w:t>
      </w:r>
      <w:r/>
    </w:p>
    <w:p>
      <w:pPr>
        <w:pStyle w:val="1089"/>
        <w:rPr>
          <w:rFonts w:hint="eastAsia" w:ascii="宋体" w:hAnsi="宋体" w:eastAsia="宋体" w:cs="宋体"/>
          <w:sz w:val="21"/>
          <w:szCs w:val="21"/>
        </w:rPr>
      </w:pPr>
      <w:r>
        <w:rPr>
          <w:rFonts w:ascii="宋体" w:hAnsi="宋体"/>
          <w:sz w:val="21"/>
          <w:szCs w:val="21"/>
        </w:rPr>
        <w:t xml:space="preserve">日期：    年  月  日</w:t>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pStyle w:val="1089"/>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b/>
          <w:color w:val="000000"/>
          <w:szCs w:val="21"/>
        </w:rPr>
        <w:outlineLvl w:val="1"/>
      </w:pPr>
      <w:r>
        <w:rPr>
          <w:rFonts w:hint="eastAsia" w:ascii="宋体" w:hAnsi="宋体" w:cs="宋体"/>
          <w:b/>
          <w:color w:val="000000"/>
          <w:szCs w:val="21"/>
          <w:lang w:val="en-US" w:eastAsia="zh-CN"/>
        </w:rPr>
        <w:t xml:space="preserve">16</w:t>
      </w:r>
      <w:r>
        <w:rPr>
          <w:rFonts w:hint="eastAsia" w:ascii="宋体" w:hAnsi="宋体" w:eastAsia="宋体" w:cs="宋体"/>
          <w:b/>
          <w:color w:val="000000"/>
          <w:szCs w:val="21"/>
        </w:rPr>
        <w:t xml:space="preserve">、实施方案</w:t>
      </w:r>
      <w:r/>
    </w:p>
    <w:p>
      <w:pPr>
        <w:jc w:val="center"/>
        <w:spacing w:before="25" w:after="25" w:line="360" w:lineRule="auto"/>
        <w:rPr>
          <w:rFonts w:hint="eastAsia" w:ascii="宋体" w:hAnsi="宋体" w:eastAsia="宋体" w:cs="宋体"/>
          <w:b/>
          <w:sz w:val="28"/>
          <w:szCs w:val="28"/>
        </w:rPr>
      </w:pPr>
      <w:r>
        <w:rPr>
          <w:rFonts w:hint="eastAsia" w:ascii="宋体" w:hAnsi="宋体" w:eastAsia="宋体" w:cs="宋体"/>
          <w:b/>
          <w:sz w:val="28"/>
          <w:szCs w:val="28"/>
        </w:rPr>
        <w:t xml:space="preserve">实施方案</w:t>
      </w:r>
      <w:r/>
    </w:p>
    <w:tbl>
      <w:tblPr>
        <w:tblStyle w:val="846"/>
        <w:tblW w:w="9495" w:type="dxa"/>
        <w:tblInd w:w="-5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495"/>
      </w:tblGrid>
      <w:tr>
        <w:trPr>
          <w:trHeight w:val="1101"/>
        </w:trPr>
        <w:tc>
          <w:tcPr>
            <w:tcBorders>
              <w:top w:val="single" w:color="auto" w:sz="4" w:space="0"/>
              <w:left w:val="single" w:color="auto" w:sz="4" w:space="0"/>
              <w:bottom w:val="single" w:color="auto" w:sz="4" w:space="0"/>
              <w:right w:val="single" w:color="auto" w:sz="4" w:space="0"/>
            </w:tcBorders>
            <w:tcW w:w="9495" w:type="dxa"/>
            <w:textDirection w:val="lrTb"/>
            <w:noWrap w:val="false"/>
          </w:tcPr>
          <w:p>
            <w:pPr>
              <w:jc w:val="left"/>
              <w:rPr>
                <w:rFonts w:hint="eastAsia" w:ascii="宋体" w:hAnsi="宋体" w:eastAsia="宋体" w:cs="宋体"/>
                <w:bCs/>
                <w:color w:val="000000"/>
                <w:szCs w:val="21"/>
              </w:rPr>
            </w:pPr>
            <w:r>
              <w:rPr>
                <w:rFonts w:hint="eastAsia" w:ascii="宋体" w:hAnsi="宋体" w:eastAsia="宋体" w:cs="宋体"/>
                <w:bCs/>
                <w:color w:val="000000"/>
                <w:szCs w:val="21"/>
              </w:rPr>
              <w:t xml:space="preserve">提示：</w:t>
            </w:r>
            <w:r/>
          </w:p>
          <w:p>
            <w:pPr>
              <w:jc w:val="left"/>
              <w:rPr>
                <w:rFonts w:hint="eastAsia" w:ascii="宋体" w:hAnsi="宋体" w:eastAsia="宋体" w:cs="宋体"/>
                <w:color w:val="000000"/>
                <w:szCs w:val="21"/>
              </w:rPr>
            </w:pPr>
            <w:r>
              <w:rPr>
                <w:rFonts w:hint="eastAsia" w:ascii="宋体" w:hAnsi="宋体" w:eastAsia="宋体" w:cs="宋体"/>
                <w:color w:val="000000"/>
                <w:szCs w:val="21"/>
              </w:rPr>
              <w:t xml:space="preserve">1、投标人应根据本次招标项目要求，对所投服务进行详细的说明与描述。</w:t>
            </w:r>
            <w:r/>
          </w:p>
        </w:tc>
      </w:tr>
      <w:tr>
        <w:trPr>
          <w:trHeight w:val="7246"/>
        </w:trPr>
        <w:tc>
          <w:tcPr>
            <w:tcBorders>
              <w:top w:val="single" w:color="auto" w:sz="4" w:space="0"/>
              <w:left w:val="single" w:color="auto" w:sz="4" w:space="0"/>
              <w:bottom w:val="single" w:color="auto" w:sz="4" w:space="0"/>
              <w:right w:val="single" w:color="auto" w:sz="4" w:space="0"/>
            </w:tcBorders>
            <w:tcW w:w="9495" w:type="dxa"/>
            <w:vAlign w:val="bottom"/>
            <w:textDirection w:val="lrTb"/>
            <w:noWrap w:val="false"/>
          </w:tcPr>
          <w:p>
            <w:pPr>
              <w:spacing w:line="360" w:lineRule="auto"/>
              <w:tabs>
                <w:tab w:val="left" w:pos="1320" w:leader="none"/>
              </w:tabs>
              <w:rPr>
                <w:rFonts w:hint="eastAsia" w:ascii="宋体" w:hAnsi="宋体" w:eastAsia="宋体" w:cs="宋体"/>
                <w:color w:val="000000"/>
                <w:szCs w:val="21"/>
                <w:u w:val="single"/>
              </w:rPr>
            </w:pPr>
            <w:r>
              <w:rPr>
                <w:rFonts w:hint="eastAsia" w:ascii="宋体" w:hAnsi="宋体" w:eastAsia="宋体" w:cs="宋体"/>
                <w:color w:val="000000"/>
                <w:szCs w:val="21"/>
                <w:u w:val="single"/>
              </w:rPr>
            </w:r>
            <w:r/>
          </w:p>
        </w:tc>
      </w:tr>
    </w:tbl>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投标人：（盖章）</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法定代表人或代理人：（签字或盖章）</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p>
    <w:p>
      <w:pPr>
        <w:pStyle w:val="1036"/>
        <w:rPr>
          <w:rFonts w:hint="eastAsia" w:ascii="宋体" w:hAnsi="宋体" w:eastAsia="宋体" w:cs="宋体"/>
        </w:rPr>
      </w:pPr>
      <w:r>
        <w:rPr>
          <w:rFonts w:hint="eastAsia" w:ascii="宋体" w:hAnsi="宋体" w:eastAsia="宋体" w:cs="宋体"/>
        </w:rPr>
      </w:r>
      <w:r/>
    </w:p>
    <w:p>
      <w:pPr>
        <w:spacing w:line="360" w:lineRule="auto"/>
        <w:rPr>
          <w:rFonts w:ascii="宋体" w:hAnsi="宋体" w:cs="宋体"/>
          <w:b/>
          <w:sz w:val="24"/>
        </w:rPr>
      </w:pPr>
      <w:r>
        <w:rPr>
          <w:rFonts w:ascii="宋体" w:hAnsi="宋体" w:cs="宋体"/>
          <w:b/>
          <w:sz w:val="24"/>
        </w:rPr>
      </w:r>
      <w:r/>
    </w:p>
    <w:p>
      <w:pPr>
        <w:jc w:val="center"/>
        <w:spacing w:line="312" w:lineRule="auto"/>
        <w:rPr>
          <w:rFonts w:ascii="宋体" w:hAnsi="宋体"/>
        </w:rPr>
      </w:pPr>
      <w:r>
        <w:rPr>
          <w:rFonts w:ascii="宋体" w:hAnsi="宋体"/>
        </w:rPr>
        <w:br w:type="page" w:clear="all"/>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836"/>
        <w:jc w:val="center"/>
        <w:rPr>
          <w:rFonts w:ascii="黑体" w:hAnsi="宋体" w:eastAsia="黑体"/>
          <w:sz w:val="52"/>
        </w:rPr>
      </w:pPr>
      <w:r/>
      <w:bookmarkStart w:id="10" w:name="_Toc13642115"/>
      <w:r/>
      <w:bookmarkStart w:id="11" w:name="_Toc35852050"/>
      <w:r/>
      <w:bookmarkStart w:id="12" w:name="_Toc474491765"/>
      <w:r>
        <w:rPr>
          <w:rFonts w:hint="eastAsia" w:ascii="黑体" w:hAnsi="宋体" w:eastAsia="黑体"/>
          <w:sz w:val="52"/>
        </w:rPr>
        <w:t xml:space="preserve">第三章 </w:t>
      </w:r>
      <w:bookmarkEnd w:id="10"/>
      <w:r>
        <w:rPr>
          <w:rFonts w:hint="eastAsia" w:ascii="黑体" w:hAnsi="宋体" w:eastAsia="黑体"/>
          <w:sz w:val="52"/>
        </w:rPr>
        <w:t xml:space="preserve"> 采购内容</w:t>
      </w:r>
      <w:bookmarkEnd w:id="11"/>
      <w:r/>
      <w:bookmarkEnd w:id="12"/>
      <w:r/>
      <w:r/>
    </w:p>
    <w:p>
      <w:pPr>
        <w:rPr>
          <w:rFonts w:ascii="宋体" w:hAnsi="宋体"/>
        </w:rPr>
      </w:pPr>
      <w:r>
        <w:rPr>
          <w:rFonts w:hint="eastAsia" w:ascii="宋体" w:hAnsi="宋体"/>
        </w:rPr>
        <w:t xml:space="preserve">     </w:t>
      </w:r>
      <w:bookmarkStart w:id="13" w:name="_Toc13543212"/>
      <w:r/>
      <w:r/>
    </w:p>
    <w:p>
      <w:pPr>
        <w:rPr>
          <w:rFonts w:ascii="宋体" w:hAnsi="宋体"/>
        </w:rPr>
      </w:pPr>
      <w:r>
        <w:rPr>
          <w:rFonts w:ascii="宋体" w:hAnsi="宋体"/>
        </w:rPr>
      </w:r>
      <w:r/>
    </w:p>
    <w:p>
      <w:pPr>
        <w:rPr>
          <w:rFonts w:ascii="宋体" w:hAnsi="宋体"/>
        </w:rPr>
      </w:pPr>
      <w:r>
        <w:rPr>
          <w:rFonts w:ascii="宋体" w:hAnsi="宋体"/>
        </w:rPr>
      </w:r>
      <w:r/>
    </w:p>
    <w:p>
      <w:pPr>
        <w:jc w:val="center"/>
        <w:spacing w:line="360" w:lineRule="auto"/>
        <w:rPr>
          <w:rFonts w:ascii="宋体" w:hAnsi="宋体"/>
          <w:b/>
          <w:sz w:val="32"/>
          <w:szCs w:val="32"/>
        </w:rPr>
      </w:pPr>
      <w:r>
        <w:rPr>
          <w:rFonts w:ascii="宋体" w:hAnsi="宋体"/>
        </w:rPr>
        <w:br w:type="page" w:clear="all"/>
      </w:r>
      <w:bookmarkEnd w:id="13"/>
      <w:r/>
      <w:r/>
    </w:p>
    <w:p>
      <w:pPr>
        <w:pStyle w:val="875"/>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苏州建龙工程建设咨询有限公司受</w:t>
      </w:r>
      <w:r>
        <w:rPr>
          <w:rFonts w:hint="eastAsia" w:ascii="宋体" w:hAnsi="宋体" w:eastAsia="宋体" w:cs="宋体"/>
          <w:sz w:val="21"/>
          <w:szCs w:val="21"/>
          <w:lang w:eastAsia="zh-CN"/>
        </w:rPr>
        <w:t xml:space="preserve">苏州市吴中区退役军人事务局</w:t>
      </w:r>
      <w:r>
        <w:rPr>
          <w:rFonts w:hint="eastAsia" w:ascii="宋体" w:hAnsi="宋体" w:eastAsia="宋体" w:cs="宋体"/>
          <w:sz w:val="21"/>
          <w:szCs w:val="21"/>
        </w:rPr>
        <w:t xml:space="preserve">的委托，就其所需</w:t>
      </w:r>
      <w:r>
        <w:rPr>
          <w:rFonts w:hint="eastAsia" w:ascii="宋体" w:hAnsi="宋体" w:eastAsia="宋体"/>
          <w:sz w:val="21"/>
          <w:szCs w:val="21"/>
          <w:lang w:eastAsia="zh-CN"/>
        </w:rPr>
        <w:t xml:space="preserve">现役军人、退役军人及优抚对象保险保障</w:t>
      </w:r>
      <w:r>
        <w:rPr>
          <w:rFonts w:hint="eastAsia" w:ascii="宋体" w:hAnsi="宋体" w:eastAsia="宋体"/>
          <w:sz w:val="21"/>
          <w:szCs w:val="21"/>
        </w:rPr>
        <w:t xml:space="preserve"> </w:t>
      </w:r>
      <w:r>
        <w:rPr>
          <w:rFonts w:hint="eastAsia" w:ascii="宋体" w:hAnsi="宋体" w:eastAsia="宋体" w:cs="宋体"/>
          <w:sz w:val="21"/>
          <w:szCs w:val="21"/>
        </w:rPr>
        <w:t xml:space="preserve">采用竞争性磋商方式进行采购，欢迎有资格的供应商前来参加本次磋商采购活动。</w:t>
      </w:r>
      <w:r/>
    </w:p>
    <w:p>
      <w:pPr>
        <w:ind w:firstLine="422"/>
        <w:spacing w:line="360" w:lineRule="auto"/>
        <w:rPr>
          <w:rFonts w:hint="eastAsia" w:ascii="宋体" w:hAnsi="宋体" w:eastAsia="宋体"/>
          <w:sz w:val="21"/>
          <w:szCs w:val="21"/>
          <w:lang w:eastAsia="zh-CN"/>
        </w:rPr>
      </w:pPr>
      <w:r>
        <w:rPr>
          <w:rFonts w:hint="eastAsia" w:ascii="宋体" w:hAnsi="宋体"/>
          <w:b/>
          <w:sz w:val="21"/>
          <w:szCs w:val="21"/>
        </w:rPr>
        <w:t xml:space="preserve">一、采购编号：</w:t>
      </w:r>
      <w:r>
        <w:rPr>
          <w:rFonts w:hint="eastAsia" w:ascii="宋体" w:hAnsi="宋体"/>
          <w:sz w:val="21"/>
          <w:szCs w:val="21"/>
          <w:lang w:eastAsia="zh-CN"/>
        </w:rPr>
        <w:t xml:space="preserve">JSZC-320506-JLDL-C2025-0005</w:t>
      </w:r>
      <w:r/>
    </w:p>
    <w:p>
      <w:pPr>
        <w:ind w:firstLine="422"/>
        <w:spacing w:line="360" w:lineRule="auto"/>
        <w:rPr>
          <w:rFonts w:ascii="宋体" w:hAnsi="宋体"/>
          <w:b/>
          <w:sz w:val="21"/>
          <w:szCs w:val="21"/>
        </w:rPr>
      </w:pPr>
      <w:r>
        <w:rPr>
          <w:rFonts w:hint="eastAsia" w:ascii="宋体" w:hAnsi="宋体"/>
          <w:b/>
          <w:sz w:val="21"/>
          <w:szCs w:val="21"/>
        </w:rPr>
        <w:t xml:space="preserve">二、采购内容</w:t>
      </w:r>
      <w:r>
        <w:rPr>
          <w:rFonts w:ascii="宋体" w:hAnsi="宋体"/>
          <w:b/>
          <w:sz w:val="21"/>
          <w:szCs w:val="21"/>
        </w:rPr>
        <w:t xml:space="preserve"> </w:t>
      </w:r>
      <w:r/>
    </w:p>
    <w:p>
      <w:pPr>
        <w:ind w:firstLine="420"/>
        <w:spacing w:line="360" w:lineRule="auto"/>
        <w:rPr>
          <w:rFonts w:ascii="宋体" w:hAnsi="宋体" w:cs="宋体"/>
          <w:sz w:val="21"/>
          <w:szCs w:val="21"/>
        </w:rPr>
      </w:pPr>
      <w:r>
        <w:rPr>
          <w:rFonts w:hint="eastAsia" w:ascii="宋体" w:hAnsi="宋体" w:cs="宋体"/>
          <w:sz w:val="21"/>
          <w:szCs w:val="21"/>
          <w:lang w:val="en-US" w:eastAsia="zh-CN"/>
        </w:rPr>
        <w:t xml:space="preserve">项目</w:t>
      </w:r>
      <w:r>
        <w:rPr>
          <w:rFonts w:hint="eastAsia" w:ascii="宋体" w:hAnsi="宋体" w:cs="宋体"/>
          <w:sz w:val="21"/>
          <w:szCs w:val="21"/>
        </w:rPr>
        <w:t xml:space="preserve">名称：</w:t>
      </w:r>
      <w:r>
        <w:rPr>
          <w:rFonts w:hint="eastAsia" w:ascii="宋体" w:hAnsi="宋体" w:cs="宋体"/>
          <w:sz w:val="21"/>
          <w:szCs w:val="21"/>
          <w:lang w:eastAsia="zh-CN"/>
        </w:rPr>
        <w:t xml:space="preserve">现役军人、退役军人及优抚对象保险保障</w:t>
      </w:r>
      <w:r>
        <w:rPr>
          <w:rFonts w:hint="eastAsia" w:ascii="宋体" w:hAnsi="宋体" w:cs="宋体"/>
          <w:sz w:val="21"/>
          <w:szCs w:val="21"/>
        </w:rPr>
        <w:t xml:space="preserve"> </w:t>
      </w:r>
      <w:r/>
    </w:p>
    <w:p>
      <w:pPr>
        <w:ind w:firstLine="420"/>
        <w:spacing w:line="360" w:lineRule="auto"/>
        <w:rPr>
          <w:rFonts w:ascii="宋体" w:hAnsi="宋体"/>
          <w:sz w:val="21"/>
          <w:szCs w:val="21"/>
          <w:highlight w:val="none"/>
        </w:rPr>
      </w:pPr>
      <w:r>
        <w:rPr>
          <w:rFonts w:hint="eastAsia" w:ascii="宋体" w:hAnsi="宋体" w:cs="宋体"/>
          <w:sz w:val="21"/>
          <w:szCs w:val="21"/>
          <w:highlight w:val="none"/>
        </w:rPr>
        <w:t xml:space="preserve">服务期限：</w:t>
      </w:r>
      <w:r>
        <w:rPr>
          <w:rFonts w:hint="eastAsia" w:ascii="宋体" w:hAnsi="宋体" w:eastAsia="宋体" w:cs="宋体"/>
          <w:szCs w:val="21"/>
          <w:highlight w:val="none"/>
        </w:rPr>
        <w:t xml:space="preserve">合同签订生效之日起一年（具体时间按采购方要求）</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服务地点：</w:t>
      </w:r>
      <w:r>
        <w:rPr>
          <w:rFonts w:hint="eastAsia" w:ascii="宋体" w:hAnsi="宋体" w:eastAsia="宋体" w:cs="宋体"/>
          <w:szCs w:val="21"/>
        </w:rPr>
        <w:t xml:space="preserve">采购方指定地点</w:t>
      </w:r>
      <w:r/>
    </w:p>
    <w:p>
      <w:pPr>
        <w:ind w:firstLine="422"/>
        <w:spacing w:line="360" w:lineRule="auto"/>
        <w:rPr>
          <w:rFonts w:ascii="宋体" w:hAnsi="宋体"/>
          <w:b/>
          <w:sz w:val="21"/>
          <w:szCs w:val="21"/>
          <w:highlight w:val="none"/>
        </w:rPr>
      </w:pPr>
      <w:r>
        <w:rPr>
          <w:rFonts w:hint="eastAsia" w:ascii="宋体" w:hAnsi="宋体"/>
          <w:b/>
          <w:sz w:val="21"/>
          <w:szCs w:val="21"/>
          <w:highlight w:val="none"/>
        </w:rPr>
        <w:t xml:space="preserve">三、采购需求</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（一）保障方案</w:t>
      </w:r>
      <w:r/>
    </w:p>
    <w:tbl>
      <w:tblPr>
        <w:tblStyle w:val="846"/>
        <w:tblW w:w="10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33"/>
        <w:gridCol w:w="4782"/>
        <w:gridCol w:w="1260"/>
        <w:gridCol w:w="1365"/>
        <w:gridCol w:w="1362"/>
      </w:tblGrid>
      <w:tr>
        <w:trPr>
          <w:jc w:val="center"/>
          <w:trHeight w:val="1043"/>
        </w:trPr>
        <w:tc>
          <w:tcPr>
            <w:gridSpan w:val="5"/>
            <w:shd w:val="clear" w:color="auto" w:fill="auto"/>
            <w:tcW w:w="1000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36"/>
                <w:szCs w:val="36"/>
                <w:highlight w:val="none"/>
                <w:u w:val="none"/>
              </w:rPr>
              <w:suppressLineNumbers w:val="0"/>
            </w:pPr>
            <w:r>
              <w:rPr>
                <w:rFonts w:hint="eastAsia" w:ascii="宋体" w:hAnsi="宋体" w:eastAsia="宋体" w:cs="宋体"/>
                <w:b w:val="0"/>
                <w:bCs w:val="0"/>
                <w:i w:val="0"/>
                <w:iCs w:val="0"/>
                <w:color w:val="000000"/>
                <w:sz w:val="28"/>
                <w:szCs w:val="28"/>
                <w:highlight w:val="none"/>
                <w:u w:val="none"/>
                <w:lang w:val="en-US" w:eastAsia="zh-CN" w:bidi="ar"/>
              </w:rPr>
              <w:t xml:space="preserve">吴中区退役、现役军人及现役军人家属</w:t>
            </w:r>
            <w:r>
              <w:rPr>
                <w:rFonts w:hint="eastAsia" w:ascii="宋体" w:hAnsi="宋体" w:eastAsia="宋体" w:cs="宋体"/>
                <w:b w:val="0"/>
                <w:bCs w:val="0"/>
                <w:i w:val="0"/>
                <w:iCs w:val="0"/>
                <w:color w:val="000000"/>
                <w:sz w:val="28"/>
                <w:szCs w:val="28"/>
                <w:highlight w:val="none"/>
                <w:u w:val="none"/>
                <w:lang w:val="en-US" w:eastAsia="zh-CN" w:bidi="ar"/>
              </w:rPr>
              <w:br/>
            </w:r>
            <w:r>
              <w:rPr>
                <w:rFonts w:hint="eastAsia" w:ascii="宋体" w:hAnsi="宋体" w:eastAsia="宋体" w:cs="宋体"/>
                <w:b w:val="0"/>
                <w:bCs w:val="0"/>
                <w:i w:val="0"/>
                <w:iCs w:val="0"/>
                <w:color w:val="000000"/>
                <w:sz w:val="28"/>
                <w:szCs w:val="28"/>
                <w:highlight w:val="none"/>
                <w:u w:val="none"/>
                <w:lang w:val="en-US" w:eastAsia="zh-CN" w:bidi="ar"/>
              </w:rPr>
              <w:t xml:space="preserve">综合保障方案一览表</w:t>
            </w:r>
            <w:r/>
          </w:p>
        </w:tc>
      </w:tr>
      <w:tr>
        <w:trPr>
          <w:jc w:val="center"/>
          <w:trHeight w:val="800"/>
        </w:trPr>
        <w:tc>
          <w:tcPr>
            <w:shd w:val="clear" w:color="auto" w:fill="auto"/>
            <w:tcW w:w="123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保险责任</w:t>
            </w:r>
            <w:r/>
          </w:p>
        </w:tc>
        <w:tc>
          <w:tcPr>
            <w:shd w:val="clear" w:color="auto" w:fill="auto"/>
            <w:tcW w:w="478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保险责任及赔付比例</w:t>
            </w:r>
            <w:r/>
          </w:p>
        </w:tc>
        <w:tc>
          <w:tcPr>
            <w:gridSpan w:val="3"/>
            <w:shd w:val="clear" w:color="auto" w:fill="auto"/>
            <w:tcW w:w="39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每人保险金额/赔偿限额（元）</w:t>
            </w:r>
            <w:r/>
          </w:p>
        </w:tc>
      </w:tr>
      <w:tr>
        <w:trPr>
          <w:jc w:val="center"/>
          <w:trHeight w:val="800"/>
        </w:trPr>
        <w:tc>
          <w:tcPr>
            <w:shd w:val="clear" w:color="auto" w:fill="auto"/>
            <w:tcW w:w="1233"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shd w:val="clear" w:color="auto" w:fill="auto"/>
            <w:tcW w:w="4782"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shd w:val="clear" w:color="auto" w:fill="auto"/>
            <w:tcW w:w="126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退役军人</w:t>
            </w:r>
            <w:r/>
          </w:p>
        </w:tc>
        <w:tc>
          <w:tcPr>
            <w:shd w:val="clear" w:color="auto" w:fill="auto"/>
            <w:tcW w:w="136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现役军人</w:t>
            </w:r>
            <w:r/>
          </w:p>
        </w:tc>
        <w:tc>
          <w:tcPr>
            <w:shd w:val="clear" w:color="auto" w:fill="auto"/>
            <w:tcW w:w="136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现役军人家属</w:t>
            </w:r>
            <w:r/>
          </w:p>
        </w:tc>
      </w:tr>
      <w:tr>
        <w:trPr>
          <w:jc w:val="center"/>
          <w:trHeight w:val="620"/>
        </w:trPr>
        <w:tc>
          <w:tcPr>
            <w:shd w:val="clear" w:color="auto" w:fill="auto"/>
            <w:tcW w:w="1233"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意外身故</w:t>
            </w:r>
            <w:r/>
          </w:p>
        </w:tc>
        <w:tc>
          <w:tcPr>
            <w:shd w:val="clear" w:color="auto" w:fill="auto"/>
            <w:tcW w:w="47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因意外伤害导致身故且评定为烈士</w:t>
            </w:r>
            <w:r/>
          </w:p>
        </w:tc>
        <w:tc>
          <w:tcPr>
            <w:shd w:val="clear" w:color="auto" w:fill="auto"/>
            <w:tcW w:w="12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10万</w:t>
            </w:r>
            <w:r/>
          </w:p>
        </w:tc>
        <w:tc>
          <w:tcPr>
            <w:shd w:val="clear" w:color="auto" w:fill="auto"/>
            <w:tcW w:w="136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10万</w:t>
            </w:r>
            <w:r/>
          </w:p>
        </w:tc>
        <w:tc>
          <w:tcPr>
            <w:shd w:val="clear" w:color="auto" w:fill="auto"/>
            <w:tcW w:w="13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w:t>
            </w:r>
            <w:r/>
          </w:p>
        </w:tc>
      </w:tr>
      <w:tr>
        <w:trPr>
          <w:jc w:val="center"/>
          <w:trHeight w:val="620"/>
        </w:trPr>
        <w:tc>
          <w:tcPr>
            <w:shd w:val="clear" w:color="auto" w:fill="auto"/>
            <w:tcW w:w="1233"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因公牺牲</w:t>
            </w:r>
            <w:r/>
          </w:p>
        </w:tc>
        <w:tc>
          <w:tcPr>
            <w:shd w:val="clear" w:color="auto" w:fill="auto"/>
            <w:tcW w:w="12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8万</w:t>
            </w:r>
            <w:r/>
          </w:p>
        </w:tc>
        <w:tc>
          <w:tcPr>
            <w:shd w:val="clear" w:color="auto" w:fill="auto"/>
            <w:tcW w:w="136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8万</w:t>
            </w:r>
            <w:r/>
          </w:p>
        </w:tc>
        <w:tc>
          <w:tcPr>
            <w:shd w:val="clear" w:color="auto" w:fill="auto"/>
            <w:tcW w:w="13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w:t>
            </w:r>
            <w:r/>
          </w:p>
        </w:tc>
      </w:tr>
      <w:tr>
        <w:trPr>
          <w:jc w:val="center"/>
          <w:trHeight w:val="620"/>
        </w:trPr>
        <w:tc>
          <w:tcPr>
            <w:shd w:val="clear" w:color="auto" w:fill="auto"/>
            <w:tcW w:w="1233" w:type="dxa"/>
            <w:vAlign w:val="center"/>
            <w:vMerge w:val="continue"/>
            <w:textDirection w:val="lrTb"/>
            <w:noWrap w:val="false"/>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因意外伤害导致身故</w:t>
            </w:r>
            <w:r/>
          </w:p>
        </w:tc>
        <w:tc>
          <w:tcPr>
            <w:shd w:val="clear" w:color="auto" w:fill="auto"/>
            <w:tcW w:w="12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5万</w:t>
            </w:r>
            <w:r/>
          </w:p>
        </w:tc>
        <w:tc>
          <w:tcPr>
            <w:shd w:val="clear" w:color="auto" w:fill="auto"/>
            <w:tcW w:w="136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5万</w:t>
            </w:r>
            <w:r/>
          </w:p>
        </w:tc>
        <w:tc>
          <w:tcPr>
            <w:shd w:val="clear" w:color="auto" w:fill="auto"/>
            <w:tcW w:w="13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w:t>
            </w:r>
            <w:r/>
          </w:p>
        </w:tc>
      </w:tr>
      <w:tr>
        <w:trPr>
          <w:jc w:val="center"/>
          <w:trHeight w:val="1140"/>
        </w:trPr>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意外残疾</w:t>
            </w:r>
            <w:r/>
          </w:p>
        </w:tc>
        <w:tc>
          <w:tcPr>
            <w:shd w:val="clear" w:color="auto" w:fill="auto"/>
            <w:tcW w:w="47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因意外导致残疾，根据《人身保险伤残评定标准（行业标准）》按比例赔付，既往伤残除外。</w:t>
            </w:r>
            <w:r/>
          </w:p>
        </w:tc>
        <w:tc>
          <w:tcPr>
            <w:shd w:val="clear" w:color="auto" w:fill="auto"/>
            <w:tcW w:w="12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5万</w:t>
            </w:r>
            <w:r/>
          </w:p>
        </w:tc>
        <w:tc>
          <w:tcPr>
            <w:shd w:val="clear" w:color="auto" w:fill="auto"/>
            <w:tcW w:w="136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w:t>
            </w:r>
            <w:r/>
          </w:p>
        </w:tc>
        <w:tc>
          <w:tcPr>
            <w:shd w:val="clear" w:color="auto" w:fill="auto"/>
            <w:tcW w:w="13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w:t>
            </w:r>
            <w:r/>
          </w:p>
        </w:tc>
      </w:tr>
      <w:tr>
        <w:trPr>
          <w:jc w:val="center"/>
          <w:trHeight w:val="1320"/>
        </w:trPr>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意外医疗</w:t>
            </w:r>
            <w:r/>
          </w:p>
        </w:tc>
        <w:tc>
          <w:tcPr>
            <w:shd w:val="clear" w:color="auto" w:fill="auto"/>
            <w:tcW w:w="47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因意外伤害产生的医疗费（限医保用药），在获得社保等医疗费用补偿后，保单赔偿其余额部分。</w:t>
            </w:r>
            <w:r/>
          </w:p>
        </w:tc>
        <w:tc>
          <w:tcPr>
            <w:shd w:val="clear" w:color="auto" w:fill="auto"/>
            <w:tcW w:w="12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2万</w:t>
            </w:r>
            <w:r/>
          </w:p>
        </w:tc>
        <w:tc>
          <w:tcPr>
            <w:shd w:val="clear" w:color="auto" w:fill="auto"/>
            <w:tcW w:w="136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w:t>
            </w:r>
            <w:r/>
          </w:p>
        </w:tc>
        <w:tc>
          <w:tcPr>
            <w:shd w:val="clear" w:color="auto" w:fill="auto"/>
            <w:tcW w:w="13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w:t>
            </w:r>
            <w:r/>
          </w:p>
        </w:tc>
      </w:tr>
      <w:tr>
        <w:trPr>
          <w:jc w:val="center"/>
          <w:trHeight w:val="700"/>
        </w:trPr>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定期寿险</w:t>
            </w:r>
            <w:r/>
          </w:p>
        </w:tc>
        <w:tc>
          <w:tcPr>
            <w:shd w:val="clear" w:color="auto" w:fill="auto"/>
            <w:tcW w:w="47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因疾病身故（含既往症）给付保险金</w:t>
            </w:r>
            <w:r/>
          </w:p>
        </w:tc>
        <w:tc>
          <w:tcPr>
            <w:shd w:val="clear" w:color="auto" w:fill="auto"/>
            <w:tcW w:w="12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 </w:t>
            </w:r>
            <w:r/>
          </w:p>
        </w:tc>
        <w:tc>
          <w:tcPr>
            <w:shd w:val="clear" w:color="auto" w:fill="auto"/>
            <w:tcW w:w="136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w:t>
            </w:r>
            <w:r/>
          </w:p>
        </w:tc>
        <w:tc>
          <w:tcPr>
            <w:shd w:val="clear" w:color="auto" w:fill="auto"/>
            <w:tcW w:w="13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w:t>
            </w:r>
            <w:r/>
          </w:p>
        </w:tc>
      </w:tr>
      <w:tr>
        <w:trPr>
          <w:jc w:val="center"/>
          <w:trHeight w:val="1600"/>
        </w:trPr>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重大疾病</w:t>
            </w:r>
            <w:r/>
          </w:p>
        </w:tc>
        <w:tc>
          <w:tcPr>
            <w:shd w:val="clear" w:color="auto" w:fill="auto"/>
            <w:tcW w:w="4782"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被保险人在本合同期内被确诊初次患本合同约定的重大疾病（无论一种或多种）</w:t>
            </w:r>
            <w:r>
              <w:rPr>
                <w:rFonts w:hint="eastAsia" w:ascii="宋体" w:hAnsi="宋体" w:cs="宋体"/>
                <w:b w:val="0"/>
                <w:bCs w:val="0"/>
                <w:i w:val="0"/>
                <w:iCs w:val="0"/>
                <w:color w:val="000000"/>
                <w:sz w:val="21"/>
                <w:szCs w:val="21"/>
                <w:highlight w:val="none"/>
                <w:u w:val="none"/>
                <w:lang w:val="en-US" w:eastAsia="zh-CN" w:bidi="ar"/>
              </w:rPr>
              <w:t xml:space="preserve">和</w:t>
            </w:r>
            <w:r>
              <w:rPr>
                <w:rFonts w:hint="eastAsia" w:ascii="宋体" w:hAnsi="宋体" w:eastAsia="宋体" w:cs="宋体"/>
                <w:b w:val="0"/>
                <w:bCs w:val="0"/>
                <w:i w:val="0"/>
                <w:iCs w:val="0"/>
                <w:color w:val="000000"/>
                <w:sz w:val="21"/>
                <w:szCs w:val="21"/>
                <w:highlight w:val="none"/>
                <w:u w:val="none"/>
                <w:lang w:val="en-US" w:eastAsia="zh-CN" w:bidi="ar"/>
              </w:rPr>
              <w:t xml:space="preserve">强性脊柱炎</w:t>
            </w:r>
            <w:r>
              <w:rPr>
                <w:rFonts w:hint="eastAsia" w:ascii="宋体" w:hAnsi="宋体" w:cs="宋体"/>
                <w:b w:val="0"/>
                <w:bCs w:val="0"/>
                <w:i w:val="0"/>
                <w:iCs w:val="0"/>
                <w:color w:val="000000"/>
                <w:sz w:val="21"/>
                <w:szCs w:val="21"/>
                <w:highlight w:val="none"/>
                <w:u w:val="none"/>
                <w:lang w:val="en-US" w:eastAsia="zh-CN" w:bidi="ar"/>
              </w:rPr>
              <w:t xml:space="preserve">（含既往症）</w:t>
            </w:r>
            <w:r>
              <w:rPr>
                <w:rFonts w:hint="eastAsia" w:ascii="宋体" w:hAnsi="宋体" w:eastAsia="宋体" w:cs="宋体"/>
                <w:b w:val="0"/>
                <w:bCs w:val="0"/>
                <w:i w:val="0"/>
                <w:iCs w:val="0"/>
                <w:color w:val="000000"/>
                <w:sz w:val="21"/>
                <w:szCs w:val="21"/>
                <w:highlight w:val="none"/>
                <w:u w:val="none"/>
                <w:lang w:val="en-US" w:eastAsia="zh-CN" w:bidi="ar"/>
              </w:rPr>
              <w:t xml:space="preserve">，本公司按该被保险人对应的保险金额给付重大疾病保险金</w:t>
            </w:r>
            <w:r>
              <w:rPr>
                <w:rFonts w:hint="eastAsia" w:ascii="宋体" w:hAnsi="宋体" w:cs="宋体"/>
                <w:b w:val="0"/>
                <w:bCs w:val="0"/>
                <w:i w:val="0"/>
                <w:iCs w:val="0"/>
                <w:color w:val="000000"/>
                <w:sz w:val="21"/>
                <w:szCs w:val="21"/>
                <w:highlight w:val="none"/>
                <w:u w:val="none"/>
                <w:lang w:val="en-US" w:eastAsia="zh-CN" w:bidi="ar"/>
              </w:rPr>
              <w:t xml:space="preserve">。</w:t>
            </w:r>
            <w:r/>
          </w:p>
        </w:tc>
        <w:tc>
          <w:tcPr>
            <w:shd w:val="clear" w:color="auto" w:fill="auto"/>
            <w:tcW w:w="12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 </w:t>
            </w:r>
            <w:r/>
          </w:p>
        </w:tc>
        <w:tc>
          <w:tcPr>
            <w:shd w:val="clear" w:color="auto" w:fill="auto"/>
            <w:tcW w:w="136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w:t>
            </w:r>
            <w:r/>
          </w:p>
        </w:tc>
        <w:tc>
          <w:tcPr>
            <w:shd w:val="clear" w:color="auto" w:fill="auto"/>
            <w:tcW w:w="13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p>
        </w:tc>
      </w:tr>
      <w:tr>
        <w:trPr>
          <w:jc w:val="center"/>
          <w:trHeight w:val="1440"/>
        </w:trPr>
        <w:tc>
          <w:tcPr>
            <w:shd w:val="clear" w:color="auto" w:fill="auto"/>
            <w:tcW w:w="123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疾病住院</w:t>
            </w:r>
            <w:r/>
          </w:p>
        </w:tc>
        <w:tc>
          <w:tcPr>
            <w:shd w:val="clear" w:color="auto" w:fill="auto"/>
            <w:tcW w:w="47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p>
            <w:pPr>
              <w:jc w:val="left"/>
              <w:keepLines w:val="0"/>
              <w:keepNext w:val="0"/>
              <w:widowControl/>
              <w:rPr>
                <w:rFonts w:hint="eastAsia" w:ascii="宋体" w:hAnsi="宋体" w:cs="宋体"/>
                <w:b w:val="0"/>
                <w:bCs w:val="0"/>
                <w:i w:val="0"/>
                <w:iCs w:val="0"/>
                <w:color w:val="000000"/>
                <w:sz w:val="21"/>
                <w:szCs w:val="21"/>
                <w:highlight w:val="none"/>
                <w:u w:val="none"/>
                <w:lang w:val="en-US" w:eastAsia="zh-CN" w:bidi="ar"/>
              </w:rPr>
              <w:suppressLineNumbers w:val="0"/>
            </w:pPr>
            <w:r>
              <w:rPr>
                <w:rFonts w:hint="eastAsia" w:ascii="宋体" w:hAnsi="宋体" w:cs="宋体"/>
                <w:b w:val="0"/>
                <w:bCs w:val="0"/>
                <w:i w:val="0"/>
                <w:iCs w:val="0"/>
                <w:color w:val="000000"/>
                <w:sz w:val="21"/>
                <w:szCs w:val="21"/>
                <w:highlight w:val="none"/>
                <w:u w:val="none"/>
                <w:lang w:val="en-US" w:eastAsia="zh-CN" w:bidi="ar"/>
              </w:rPr>
              <w:t xml:space="preserve">1.对享受国家抚恤补助的优抚对象、企业退休参战人员，因疾病（不含既往症）住院，社保统筹结算后社保范围内用药部分。</w:t>
            </w:r>
            <w:r/>
          </w:p>
          <w:p>
            <w:pPr>
              <w:pStyle w:val="847"/>
              <w:ind w:left="0" w:firstLine="0"/>
              <w:jc w:val="left"/>
              <w:rPr>
                <w:rFonts w:hint="eastAsia" w:eastAsia="宋体"/>
                <w:highlight w:val="none"/>
                <w:lang w:eastAsia="zh-CN"/>
              </w:rPr>
            </w:pPr>
            <w:r>
              <w:rPr>
                <w:rFonts w:hint="eastAsia"/>
                <w:highlight w:val="none"/>
                <w:lang w:val="en-US" w:eastAsia="zh-CN"/>
              </w:rPr>
              <w:t xml:space="preserve">2.</w:t>
            </w:r>
            <w:r>
              <w:rPr>
                <w:rFonts w:hint="eastAsia"/>
                <w:highlight w:val="none"/>
              </w:rPr>
              <w:t xml:space="preserve">针对低保和边缘重病困难退役军人因疾病(含既往症)住院产生的医疗费，包含自费费用，扩展医保</w:t>
            </w:r>
            <w:r>
              <w:rPr>
                <w:rFonts w:hint="eastAsia"/>
                <w:highlight w:val="none"/>
                <w:lang w:eastAsia="zh-CN"/>
              </w:rPr>
              <w:t xml:space="preserve">定点</w:t>
            </w:r>
            <w:r>
              <w:rPr>
                <w:rFonts w:hint="eastAsia"/>
                <w:highlight w:val="none"/>
              </w:rPr>
              <w:t xml:space="preserve">医疗机构</w:t>
            </w:r>
            <w:r>
              <w:rPr>
                <w:rFonts w:hint="eastAsia"/>
                <w:highlight w:val="none"/>
                <w:lang w:eastAsia="zh-CN"/>
              </w:rPr>
              <w:t xml:space="preserve">。</w:t>
            </w:r>
            <w:r/>
          </w:p>
        </w:tc>
        <w:tc>
          <w:tcPr>
            <w:shd w:val="clear" w:color="auto" w:fill="auto"/>
            <w:tcW w:w="12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p>
        </w:tc>
        <w:tc>
          <w:tcPr>
            <w:shd w:val="clear" w:color="auto" w:fill="auto"/>
            <w:tcW w:w="1365" w:type="dxa"/>
            <w:vAlign w:val="center"/>
            <w:textDirection w:val="lrTb"/>
            <w:noWrap/>
          </w:tcPr>
          <w:p>
            <w:pPr>
              <w:jc w:val="center"/>
              <w:rPr>
                <w:rFonts w:hint="eastAsia" w:ascii="宋体" w:hAnsi="宋体" w:eastAsia="宋体" w:cs="宋体"/>
                <w:b w:val="0"/>
                <w:bCs w:val="0"/>
                <w:i w:val="0"/>
                <w:iCs w:val="0"/>
                <w:color w:val="000000"/>
                <w:sz w:val="22"/>
                <w:szCs w:val="22"/>
                <w:highlight w:val="none"/>
                <w:u w:val="none"/>
              </w:rPr>
            </w:pPr>
            <w:r>
              <w:rPr>
                <w:rFonts w:hint="eastAsia" w:ascii="宋体" w:hAnsi="宋体" w:eastAsia="宋体" w:cs="宋体"/>
                <w:b w:val="0"/>
                <w:bCs w:val="0"/>
                <w:i w:val="0"/>
                <w:iCs w:val="0"/>
                <w:color w:val="000000"/>
                <w:sz w:val="22"/>
                <w:szCs w:val="22"/>
                <w:highlight w:val="none"/>
                <w:u w:val="none"/>
              </w:rPr>
            </w:r>
            <w:r/>
          </w:p>
        </w:tc>
        <w:tc>
          <w:tcPr>
            <w:shd w:val="clear" w:color="auto" w:fill="auto"/>
            <w:tcW w:w="13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w:t>
            </w:r>
            <w:r/>
          </w:p>
        </w:tc>
      </w:tr>
      <w:tr>
        <w:trPr>
          <w:jc w:val="center"/>
          <w:trHeight w:val="640"/>
        </w:trPr>
        <w:tc>
          <w:tcPr>
            <w:gridSpan w:val="2"/>
            <w:shd w:val="clear" w:color="auto" w:fill="auto"/>
            <w:tcW w:w="601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人数</w:t>
            </w:r>
            <w:r/>
          </w:p>
        </w:tc>
        <w:tc>
          <w:tcPr>
            <w:shd w:val="clear" w:color="auto" w:fill="auto"/>
            <w:tcW w:w="12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20,000 </w:t>
            </w:r>
            <w:r/>
          </w:p>
        </w:tc>
        <w:tc>
          <w:tcPr>
            <w:shd w:val="clear" w:color="auto" w:fill="auto"/>
            <w:tcW w:w="136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p>
        </w:tc>
        <w:tc>
          <w:tcPr>
            <w:shd w:val="clear" w:color="auto" w:fill="auto"/>
            <w:tcW w:w="136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w:t>
            </w:r>
            <w:r/>
          </w:p>
        </w:tc>
      </w:tr>
      <w:tr>
        <w:trPr>
          <w:jc w:val="center"/>
          <w:trHeight w:val="1998"/>
        </w:trPr>
        <w:tc>
          <w:tcPr>
            <w:gridSpan w:val="5"/>
            <w:shd w:val="clear" w:color="auto" w:fill="auto"/>
            <w:tcW w:w="10002"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备注：1、吴中区低保及低保边缘退役军人，理赔时需提供苏州市民政局网站上打印的相关身份证明。</w:t>
            </w:r>
            <w:r/>
          </w:p>
          <w:p>
            <w:pPr>
              <w:jc w:val="left"/>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      2、退役军人因服役期间的疾病或伤害导致需要继续住院治疗的，社保统筹结算后社保范围内的部分，我司承担赔偿责任，以3000元为限。索赔时需提供相应医嘱和退役军人事务局的相关证明。</w:t>
            </w:r>
            <w:r/>
          </w:p>
          <w:p>
            <w:pPr>
              <w:pStyle w:val="847"/>
              <w:ind w:firstLine="660"/>
              <w:rPr>
                <w:rFonts w:hint="default"/>
                <w:highlight w:val="none"/>
                <w:lang w:val="en-US"/>
              </w:rPr>
            </w:pPr>
            <w:r>
              <w:rPr>
                <w:rFonts w:hint="eastAsia" w:ascii="宋体" w:hAnsi="宋体" w:cs="宋体"/>
                <w:b w:val="0"/>
                <w:bCs w:val="0"/>
                <w:i w:val="0"/>
                <w:iCs w:val="0"/>
                <w:color w:val="000000"/>
                <w:sz w:val="22"/>
                <w:szCs w:val="22"/>
                <w:highlight w:val="none"/>
                <w:u w:val="none"/>
                <w:lang w:val="en-US" w:eastAsia="zh-CN" w:bidi="ar"/>
              </w:rPr>
              <w:t xml:space="preserve">3、现役军人家属指：由吴中区征集入伍的现役军人家属（包含其父母、配偶、子女且其家属户籍地在吴中区的人员）</w:t>
            </w:r>
            <w:r>
              <w:rPr>
                <w:rFonts w:hint="eastAsia" w:hAnsi="宋体" w:cs="宋体"/>
                <w:b w:val="0"/>
                <w:bCs w:val="0"/>
                <w:i w:val="0"/>
                <w:iCs w:val="0"/>
                <w:color w:val="000000"/>
                <w:sz w:val="22"/>
                <w:szCs w:val="22"/>
                <w:highlight w:val="none"/>
                <w:u w:val="none"/>
                <w:lang w:val="en-US" w:eastAsia="zh-CN" w:bidi="ar"/>
              </w:rPr>
              <w:t xml:space="preserve">。</w:t>
            </w:r>
            <w:r/>
          </w:p>
        </w:tc>
      </w:tr>
    </w:tbl>
    <w:p>
      <w:pPr>
        <w:spacing w:line="360" w:lineRule="auto"/>
        <w:tabs>
          <w:tab w:val="left" w:pos="753" w:leader="none"/>
          <w:tab w:val="left" w:pos="6255"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（二）保险责任介绍</w:t>
      </w:r>
      <w:r>
        <w:rPr>
          <w:rFonts w:ascii="宋体" w:hAnsi="宋体" w:eastAsia="宋体"/>
          <w:bCs/>
          <w:sz w:val="22"/>
          <w:szCs w:val="22"/>
          <w:highlight w:val="none"/>
        </w:rPr>
        <w:tab/>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1、意外身故保障</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在保险期间内,若被保险人遭受意外伤害事故，并因本次意外伤害直接导致被保险人在该意外伤害事故发生之日起180日内身故，保险公司按该被保险人对应的保险金额给付意外身故保险金。</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ascii="宋体" w:hAnsi="宋体" w:eastAsia="宋体"/>
          <w:bCs/>
          <w:sz w:val="22"/>
          <w:szCs w:val="22"/>
          <w:highlight w:val="none"/>
        </w:rPr>
        <w:t xml:space="preserve">2</w:t>
      </w:r>
      <w:r>
        <w:rPr>
          <w:rFonts w:hint="eastAsia" w:ascii="宋体" w:hAnsi="宋体" w:eastAsia="宋体"/>
          <w:bCs/>
          <w:sz w:val="22"/>
          <w:szCs w:val="22"/>
          <w:highlight w:val="none"/>
        </w:rPr>
        <w:t xml:space="preserve">、意外残疾保障</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在保险期间内,若被保险人遭受意外伤害事故，并因本次意外伤害直</w:t>
      </w:r>
      <w:r>
        <w:rPr>
          <w:rFonts w:hint="eastAsia" w:ascii="宋体" w:hAnsi="宋体" w:eastAsia="宋体"/>
          <w:bCs/>
          <w:sz w:val="22"/>
          <w:szCs w:val="22"/>
          <w:highlight w:val="none"/>
        </w:rPr>
        <w:t xml:space="preserve">接导致被保险人在该意外伤害事故发生之日起180日内发生《人身保险伤残评定标准（行业标准）》（中保协发〔2013〕88号）中所列的伤残条目，保险公司依照该标准规定的评定原则进行评定，并按评定结果所对应该标准规定的给付比例乘以该被保险人对应的保险金额给付残疾保险金。最低为10级伤残，给付比例为10%，伤残等级每上升一级，赔付比例提高10%，以此类推，一级伤残给付保险金额比例为100%。如自意外伤害事故发生之日起180日治疗仍未结束的，则按事故发生之日起第180日的身体情况进行伤残鉴定，并据此给付意外残疾保险金。</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ascii="宋体" w:hAnsi="宋体" w:eastAsia="宋体"/>
          <w:bCs/>
          <w:sz w:val="22"/>
          <w:szCs w:val="22"/>
          <w:highlight w:val="none"/>
        </w:rPr>
        <w:t xml:space="preserve">3</w:t>
      </w:r>
      <w:r>
        <w:rPr>
          <w:rFonts w:hint="eastAsia" w:ascii="宋体" w:hAnsi="宋体" w:eastAsia="宋体"/>
          <w:bCs/>
          <w:sz w:val="22"/>
          <w:szCs w:val="22"/>
          <w:highlight w:val="none"/>
        </w:rPr>
        <w:t xml:space="preserve">、意外医疗保障</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在保险期间内，若被保险人因遭受意外伤害所引起的医疗费用，保险公司对被保险人因该次意外伤害的治疗而发生的符合本附加险合同保单签发地政府基本医疗保险管理规定范围内合理且必要的医疗费用，按投保时双方约定的免赔额及给付比例予以补偿。</w:t>
      </w:r>
      <w:r/>
    </w:p>
    <w:p>
      <w:pPr>
        <w:ind w:firstLine="440"/>
        <w:spacing w:line="360" w:lineRule="auto"/>
        <w:tabs>
          <w:tab w:val="left" w:pos="753" w:leader="none"/>
        </w:tabs>
        <w:rPr>
          <w:rFonts w:hint="eastAsia" w:ascii="宋体" w:hAnsi="宋体" w:eastAsia="宋体" w:cs="宋体"/>
          <w:bCs/>
          <w:sz w:val="22"/>
          <w:szCs w:val="22"/>
          <w:highlight w:val="none"/>
        </w:rPr>
        <w:outlineLvl w:val="1"/>
      </w:pPr>
      <w:r>
        <w:rPr>
          <w:rFonts w:hint="eastAsia" w:ascii="宋体" w:hAnsi="宋体" w:eastAsia="宋体" w:cs="宋体"/>
          <w:bCs/>
          <w:sz w:val="22"/>
          <w:szCs w:val="22"/>
          <w:highlight w:val="none"/>
        </w:rPr>
        <w:t xml:space="preserve">4、定期寿险保障</w:t>
      </w:r>
      <w:r/>
    </w:p>
    <w:p>
      <w:pPr>
        <w:ind w:firstLine="440"/>
        <w:spacing w:line="360" w:lineRule="auto"/>
        <w:tabs>
          <w:tab w:val="left" w:pos="753" w:leader="none"/>
        </w:tabs>
        <w:rPr>
          <w:rFonts w:hint="eastAsia" w:ascii="宋体" w:hAnsi="宋体" w:eastAsia="宋体" w:cs="宋体"/>
          <w:sz w:val="20"/>
          <w:szCs w:val="22"/>
          <w:highlight w:val="none"/>
        </w:rPr>
        <w:outlineLvl w:val="1"/>
      </w:pPr>
      <w:r>
        <w:rPr>
          <w:rFonts w:hint="eastAsia" w:ascii="宋体" w:hAnsi="宋体" w:eastAsia="宋体" w:cs="宋体"/>
          <w:bCs/>
          <w:sz w:val="22"/>
          <w:szCs w:val="22"/>
          <w:highlight w:val="none"/>
        </w:rPr>
        <w:t xml:space="preserve">在保险期间内，若被保险人因疾病导致身故，保险公司按该被保险人对应的保险金额给付身故保险金。</w:t>
      </w:r>
      <w:r/>
    </w:p>
    <w:p>
      <w:pPr>
        <w:pStyle w:val="894"/>
        <w:ind w:left="0" w:firstLine="44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5、疾病住院保障</w:t>
      </w:r>
      <w:r/>
    </w:p>
    <w:p>
      <w:pPr>
        <w:pStyle w:val="894"/>
        <w:ind w:left="0" w:firstLine="44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在保险期间内，若被保险人因疾病（不含严重既往症）住院要直接用于治疗的符合基本医疗保险管理规定的费用，保险公司按社保统筹结算后社保范围内用药100%赔付。</w:t>
      </w:r>
      <w:r/>
    </w:p>
    <w:p>
      <w:pPr>
        <w:ind w:firstLine="440"/>
        <w:spacing w:line="360" w:lineRule="auto"/>
        <w:tabs>
          <w:tab w:val="left" w:pos="753" w:leader="none"/>
        </w:tabs>
        <w:rPr>
          <w:rFonts w:hint="eastAsia" w:ascii="宋体" w:hAnsi="宋体" w:eastAsia="宋体" w:cs="宋体"/>
          <w:bCs/>
          <w:sz w:val="22"/>
          <w:szCs w:val="22"/>
          <w:highlight w:val="none"/>
        </w:rPr>
        <w:outlineLvl w:val="1"/>
      </w:pPr>
      <w:r>
        <w:rPr>
          <w:rFonts w:hint="eastAsia" w:ascii="宋体" w:hAnsi="宋体" w:eastAsia="宋体" w:cs="宋体"/>
          <w:bCs/>
          <w:sz w:val="22"/>
          <w:szCs w:val="22"/>
          <w:highlight w:val="none"/>
        </w:rPr>
        <w:t xml:space="preserve">（三）服务要求</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1、承保服务</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（1）采用纸质和电脑数据相结合的建档方式，按区域建立健全客户档案资料库，供相关部门参阅。</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（2）指定专门的客服人员，接受各方咨询，解释相关保险内容。</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（3）定期走访项目专员，听取相关意见和建议，不断提高服务水平。</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（4）如有需要每季度按时向吴中区退役军人事务局相关部门汇报上季度的理赔情况。</w:t>
      </w:r>
      <w:r/>
    </w:p>
    <w:p>
      <w:pPr>
        <w:ind w:firstLine="440"/>
        <w:spacing w:line="360" w:lineRule="auto"/>
        <w:tabs>
          <w:tab w:val="left" w:pos="753" w:leader="none"/>
        </w:tabs>
        <w:rPr>
          <w:rFonts w:hint="default" w:ascii="宋体" w:hAnsi="宋体" w:eastAsia="宋体"/>
          <w:bCs/>
          <w:sz w:val="22"/>
          <w:szCs w:val="22"/>
          <w:highlight w:val="none"/>
          <w:lang w:val="en-US" w:eastAsia="zh-CN"/>
        </w:rPr>
        <w:outlineLvl w:val="1"/>
      </w:pPr>
      <w:r>
        <w:rPr>
          <w:rFonts w:hint="eastAsia" w:ascii="宋体" w:hAnsi="宋体"/>
          <w:bCs/>
          <w:sz w:val="22"/>
          <w:szCs w:val="22"/>
          <w:highlight w:val="none"/>
          <w:lang w:val="en-US" w:eastAsia="zh-CN"/>
        </w:rPr>
        <w:t xml:space="preserve">2、成交单位须配合采购人进行后期宣传，包括但不限于结合春节慰问信的发放，一起制作下发宣传海报，宣传海报正面为退役军人慰问信和日历，反面为公司的保险产品介绍和联系方式，约22000份。请响应单位在报价时综合考虑。</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bCs/>
          <w:sz w:val="22"/>
          <w:szCs w:val="22"/>
          <w:highlight w:val="none"/>
          <w:lang w:val="en-US" w:eastAsia="zh-CN"/>
        </w:rPr>
        <w:t xml:space="preserve">3</w:t>
      </w:r>
      <w:r>
        <w:rPr>
          <w:rFonts w:hint="eastAsia" w:ascii="宋体" w:hAnsi="宋体" w:eastAsia="宋体"/>
          <w:bCs/>
          <w:sz w:val="22"/>
          <w:szCs w:val="22"/>
          <w:highlight w:val="none"/>
        </w:rPr>
        <w:t xml:space="preserve">、人员配备</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1）保险公司对本采购项目须设立专项小组。其中项目经理1名，负责按照本次保险的有关要求为各被保险人提供承保、理赔及其他各类保险服务，包括必要的组织与协调工作；并指定专人负责该项目的日常服务工作，客户服务专员：至少配备2名，其中有1名应为项目专职承保人员，1名应为项目专职理赔人员，协助项目经理提供保险服务（提供专项小组名单）。</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（2）根据相应文件内容，配合投保人完成核保与出单事宜，并在收到投保单和保费五个工作日内将保单正本和保费发票派专人送达投保人。</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3、理赔服务</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（1）保险服务基础标准：</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①统一实行24小时接报案；</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②统一实行24小时查勘；</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③统一实行24小时救援；</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④统一实行8小时全年无休理赔工作；</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⑤统一实行24小时投诉服务；</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⑥设立24小时保险服务专线电话，电脑录音系统和查勘调度系统保证畅通无误，及时准确。全年365天随时接受被保险人的出险报案，并立即通知保险公司本项目客户服务专员。</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（2）设立专人专门窗口负责受理赔款案件，实行一站式服务，确保理赔、财务、信息技术等环节的高效畅通。</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（3）接到报案后应详细的告知被保险人注意事项、承保范围、保障内容及理赔时需要准备的材料等，不得欺骗、误导被保险人。</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（4）配合被保险人了解、熟悉理赔流程，指定专人上门收取索赔单证，并在约定的时间内上门收取，不得以任何理由拒绝上门服务。</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5）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（6）在收到理赔材料后，简化理赔手续，应在规定时间内告知被保险人赔偿金额，除外金额或不予赔偿的理由，超过规定时间的，视为同意赔偿。</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（7）接到被保险人报案后，对于属于保险责任的事故，资料齐全后10工作日内确定赔偿金额。</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（8）对于不属于保险责任的，同意在接到被保险人赔偿请求后5个工作日内向其发出《拒赔通知书》。</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（9）对于不属于保险责任的，保险公司在接到被保险人赔偿请求后没有按规定时间向其发出《拒赔通知书》，则按保险责任处理。</w:t>
      </w:r>
      <w:r/>
    </w:p>
    <w:p>
      <w:pPr>
        <w:ind w:firstLine="440"/>
        <w:spacing w:line="360" w:lineRule="auto"/>
        <w:tabs>
          <w:tab w:val="left" w:pos="753" w:leader="none"/>
        </w:tabs>
        <w:rPr>
          <w:rFonts w:hint="eastAsia" w:ascii="宋体" w:hAnsi="宋体" w:eastAsia="宋体"/>
          <w:bCs/>
          <w:sz w:val="22"/>
          <w:szCs w:val="22"/>
          <w:highlight w:val="none"/>
        </w:rPr>
        <w:outlineLvl w:val="1"/>
      </w:pPr>
      <w:r>
        <w:rPr>
          <w:rFonts w:hint="eastAsia" w:ascii="宋体" w:hAnsi="宋体" w:eastAsia="宋体"/>
          <w:bCs/>
          <w:sz w:val="22"/>
          <w:szCs w:val="22"/>
          <w:highlight w:val="none"/>
        </w:rPr>
        <w:t xml:space="preserve">（10）每半年度向吴中区退役军人事务局相关部门提交《保险服务报告》，年终向吴中区退役军人事务局相关部门提交《年度服务综合报告》。</w:t>
      </w:r>
      <w:r/>
    </w:p>
    <w:p>
      <w:pPr>
        <w:ind w:firstLine="440"/>
        <w:spacing w:line="360" w:lineRule="auto"/>
        <w:rPr>
          <w:rFonts w:hint="eastAsia" w:ascii="宋体" w:hAnsi="宋体" w:eastAsia="宋体" w:cs="宋体"/>
          <w:sz w:val="20"/>
          <w:szCs w:val="20"/>
          <w:highlight w:val="none"/>
          <w:lang w:val="en-US" w:eastAsia="zh-CN"/>
        </w:rPr>
      </w:pPr>
      <w:r>
        <w:rPr>
          <w:rFonts w:hint="eastAsia" w:ascii="宋体" w:hAnsi="宋体" w:eastAsia="宋体"/>
          <w:bCs/>
          <w:sz w:val="22"/>
          <w:szCs w:val="22"/>
          <w:highlight w:val="none"/>
        </w:rPr>
        <w:t xml:space="preserve">（四）根据《政府采购促进中小企业发展管理办法》（财库〔2020〕46号）及《中小企业划型标准规定》（工信部联企业〔2011〕300号），本采购标的对应的中小企业划分标准所属行业为：其他未列明行业。</w:t>
      </w:r>
      <w:r/>
    </w:p>
    <w:p>
      <w:pPr>
        <w:pStyle w:val="875"/>
        <w:ind w:firstLine="422"/>
        <w:jc w:val="both"/>
        <w:spacing w:line="360" w:lineRule="auto"/>
        <w:rPr>
          <w:rFonts w:ascii="宋体" w:hAnsi="宋体" w:eastAsia="宋体" w:cs="宋体"/>
          <w:b/>
          <w:sz w:val="21"/>
          <w:szCs w:val="21"/>
        </w:rPr>
        <w:outlineLvl w:val="1"/>
      </w:pPr>
      <w:r>
        <w:rPr>
          <w:rFonts w:hint="eastAsia" w:ascii="宋体" w:hAnsi="宋体" w:eastAsia="宋体" w:cs="宋体"/>
          <w:b/>
          <w:sz w:val="21"/>
          <w:szCs w:val="21"/>
        </w:rPr>
        <w:t xml:space="preserve">四</w:t>
      </w:r>
      <w:r>
        <w:rPr>
          <w:rFonts w:ascii="宋体" w:hAnsi="宋体" w:eastAsia="宋体" w:cs="宋体"/>
          <w:b/>
          <w:sz w:val="21"/>
          <w:szCs w:val="21"/>
        </w:rPr>
        <w:t xml:space="preserve">、响应文件的组成及要求</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（一）本项目实质性响应要求、资格性审查资料</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1、封面；</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2、磋商响应报价表（格式见附件）；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3、报价明细表（格式见附件）； </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4、资格审查响应文件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4.1磋商响应单位基本情况表（格式见附件）；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4.2响应单位法定代表人身份证扫描件；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4.3法定代表人授权委托书（如有授权）；</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4.4授权委托代理人身份证扫描件（如有授权）；</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4.5供应商满足条件的资格证明文件：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①具有独立承担民事责任的能力证明。（包括法人或者其他组织的营业执照等证明文件，自然人的身份证明）</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③具备履行合同所必需的设备和专业技术能力的证明材料（具备履行合同的相关设备、人员等证明材料）；</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⑤参加政府采购活动前三年内，在经营活动中没有重大违法记录的声明（格式自拟）；</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⑥有效的《经营保险业务许可证》；</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5.符合性证明材料；</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（1）关于资格文件的声明函；</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（2）磋商响应函（格式附后）；</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（3）投标（响应）保证承诺书；</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（4）偏离表（服务要求、商务条款）（格式见附件）；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注：响应单位所提交的资料文件的完整与否，将直接影响对响应单位是否实质性响应采购文件要求的评判。</w:t>
      </w:r>
      <w:r/>
    </w:p>
    <w:p>
      <w:pPr>
        <w:ind w:firstLine="480"/>
        <w:spacing w:line="360" w:lineRule="auto"/>
        <w:rPr>
          <w:rFonts w:hint="eastAsia" w:ascii="宋体" w:hAnsi="宋体" w:eastAsia="宋体" w:cs="宋体"/>
          <w:szCs w:val="21"/>
          <w:lang w:val="zh-CN"/>
        </w:rPr>
      </w:pPr>
      <w:r>
        <w:rPr>
          <w:rFonts w:hint="eastAsia" w:ascii="宋体" w:hAnsi="宋体" w:eastAsia="宋体" w:cs="宋体"/>
          <w:szCs w:val="21"/>
        </w:rPr>
        <w:t xml:space="preserve">（二）</w:t>
      </w:r>
      <w:r>
        <w:rPr>
          <w:rFonts w:hint="eastAsia" w:ascii="宋体" w:hAnsi="宋体" w:eastAsia="宋体" w:cs="宋体"/>
          <w:szCs w:val="21"/>
          <w:lang w:val="zh-CN"/>
        </w:rPr>
        <w:t xml:space="preserve">综合评审响应文件</w:t>
      </w:r>
      <w:r/>
    </w:p>
    <w:p>
      <w:pPr>
        <w:ind w:firstLine="420"/>
        <w:spacing w:line="457" w:lineRule="exact"/>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bCs/>
          <w:szCs w:val="21"/>
          <w:lang w:val="zh-CN"/>
        </w:rPr>
        <w:t xml:space="preserve">《中小企业声明函》或《残疾人福利性单位声明函》或由省级以上监狱管理局、戒毒管理局（含新疆生产建设兵团）出具的属于监狱企业的证明文件（如属）</w:t>
      </w:r>
      <w:r>
        <w:rPr>
          <w:rFonts w:hint="eastAsia" w:ascii="宋体" w:hAnsi="宋体" w:eastAsia="宋体" w:cs="宋体"/>
          <w:b/>
          <w:szCs w:val="21"/>
          <w:lang w:val="zh-CN"/>
        </w:rPr>
        <w:t xml:space="preserve">（《中小企业声明函》、《残疾人福利性单位声明函》、监狱企业的证明文件，上传资料须加盖响应单位公章，否则视为无效声明函）；</w:t>
      </w:r>
      <w:r/>
    </w:p>
    <w:p>
      <w:pPr>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7、类似项目一览表（格式见附件）</w:t>
      </w:r>
      <w:r>
        <w:rPr>
          <w:rFonts w:hint="eastAsia" w:ascii="宋体" w:hAnsi="宋体" w:eastAsia="宋体" w:cs="宋体"/>
          <w:color w:val="000000"/>
          <w:szCs w:val="21"/>
          <w:lang w:val="zh-CN"/>
        </w:rPr>
        <w:t xml:space="preserve">；</w:t>
      </w:r>
      <w:r/>
    </w:p>
    <w:p>
      <w:pPr>
        <w:ind w:firstLine="420"/>
        <w:spacing w:line="457" w:lineRule="exact"/>
        <w:rPr>
          <w:rFonts w:hint="eastAsia" w:ascii="宋体" w:hAnsi="宋体" w:eastAsia="宋体" w:cs="宋体"/>
          <w:color w:val="000000"/>
          <w:szCs w:val="21"/>
        </w:rPr>
      </w:pPr>
      <w:r>
        <w:rPr>
          <w:rFonts w:hint="eastAsia" w:ascii="宋体" w:hAnsi="宋体" w:eastAsia="宋体" w:cs="宋体"/>
          <w:color w:val="000000"/>
          <w:szCs w:val="21"/>
        </w:rPr>
        <w:t xml:space="preserve">8、响应单位针对本项目的实施方案</w:t>
      </w:r>
      <w:r>
        <w:rPr>
          <w:rFonts w:hint="eastAsia" w:ascii="宋体" w:hAnsi="宋体" w:eastAsia="宋体" w:cs="宋体"/>
          <w:color w:val="000000"/>
          <w:szCs w:val="21"/>
          <w:lang w:val="zh-CN"/>
        </w:rPr>
        <w:t xml:space="preserve">（自拟）；</w:t>
      </w:r>
      <w:r/>
    </w:p>
    <w:p>
      <w:pPr>
        <w:ind w:firstLine="420"/>
        <w:spacing w:line="457" w:lineRule="exact"/>
        <w:rPr>
          <w:rFonts w:hint="eastAsia" w:ascii="宋体" w:hAnsi="宋体" w:eastAsia="宋体" w:cs="宋体"/>
          <w:color w:val="000000"/>
          <w:szCs w:val="21"/>
          <w:lang w:val="zh-CN"/>
        </w:rPr>
      </w:pPr>
      <w:r>
        <w:rPr>
          <w:rFonts w:hint="eastAsia" w:ascii="宋体" w:hAnsi="宋体" w:eastAsia="宋体" w:cs="宋体"/>
          <w:color w:val="000000"/>
          <w:szCs w:val="21"/>
        </w:rPr>
        <w:t xml:space="preserve">9、</w:t>
      </w:r>
      <w:r>
        <w:rPr>
          <w:rFonts w:hint="eastAsia" w:ascii="宋体" w:hAnsi="宋体" w:eastAsia="宋体" w:cs="宋体"/>
          <w:color w:val="000000"/>
          <w:szCs w:val="21"/>
          <w:lang w:val="zh-CN"/>
        </w:rPr>
        <w:t xml:space="preserve">其他可以证明响应供应商资信、资质和货物、服务质量的证书、文件、推荐信等资料。</w:t>
      </w:r>
      <w:r/>
    </w:p>
    <w:p>
      <w:pPr>
        <w:ind w:firstLine="420"/>
        <w:spacing w:line="457" w:lineRule="exact"/>
        <w:rPr>
          <w:rFonts w:hint="eastAsia" w:ascii="宋体" w:hAnsi="宋体" w:eastAsia="宋体" w:cs="宋体"/>
          <w:color w:val="000000"/>
          <w:szCs w:val="21"/>
        </w:rPr>
      </w:pPr>
      <w:r>
        <w:rPr>
          <w:rFonts w:hint="eastAsia" w:ascii="宋体" w:hAnsi="宋体" w:eastAsia="宋体" w:cs="宋体"/>
          <w:color w:val="000000"/>
          <w:szCs w:val="21"/>
        </w:rPr>
        <w:t xml:space="preserve">10、采购文件中采购需求、附件格式及评分标准中所涉及到的其他材料如人员证书、获奖文件、荣誉证书等与本项目有关的其它资料。</w:t>
      </w:r>
      <w:r/>
    </w:p>
    <w:p>
      <w:pPr>
        <w:spacing w:line="457" w:lineRule="exact"/>
        <w:rPr>
          <w:rFonts w:hint="eastAsia" w:ascii="宋体" w:hAnsi="宋体" w:eastAsia="宋体" w:cs="宋体"/>
          <w:b/>
          <w:bCs/>
          <w:szCs w:val="21"/>
          <w:lang w:val="zh-CN"/>
        </w:rPr>
      </w:pPr>
      <w:r>
        <w:rPr>
          <w:rFonts w:hint="eastAsia" w:ascii="宋体" w:hAnsi="宋体" w:eastAsia="宋体" w:cs="宋体"/>
          <w:b/>
          <w:color w:val="000000"/>
          <w:szCs w:val="21"/>
        </w:rPr>
        <w:t xml:space="preserve">注：</w:t>
      </w:r>
      <w:r>
        <w:rPr>
          <w:rFonts w:hint="eastAsia" w:ascii="宋体" w:hAnsi="宋体" w:eastAsia="宋体" w:cs="宋体"/>
          <w:b/>
          <w:bCs/>
          <w:szCs w:val="21"/>
          <w:lang w:val="zh-CN"/>
        </w:rPr>
        <w:t xml:space="preserve">（1）以上序号1-4为资格审查要求提供的材料，是作为对供应商资格审查、质疑身份认定的依据，响应供应商必须提供并加盖电子公章。否则，响应文件将被认定为不符合资格审查要求。</w:t>
      </w:r>
      <w:r/>
    </w:p>
    <w:p>
      <w:pPr>
        <w:ind w:firstLine="422"/>
        <w:spacing w:line="457" w:lineRule="exact"/>
        <w:rPr>
          <w:rFonts w:hint="eastAsia" w:ascii="宋体" w:hAnsi="宋体" w:eastAsia="宋体" w:cs="宋体"/>
          <w:b/>
          <w:bCs/>
          <w:szCs w:val="21"/>
          <w:lang w:val="zh-CN"/>
        </w:rPr>
      </w:pPr>
      <w:r>
        <w:rPr>
          <w:rFonts w:hint="eastAsia" w:ascii="宋体" w:hAnsi="宋体" w:eastAsia="宋体" w:cs="宋体"/>
          <w:b/>
          <w:bCs/>
          <w:szCs w:val="21"/>
          <w:lang w:val="zh-CN"/>
        </w:rPr>
        <w:t xml:space="preserve">（2）以上序号5为符合性审查须提供的资料，响应供应商必须提供并加盖电子公章。否则，响应文件将被认定为未实质性响应。</w:t>
      </w:r>
      <w:r/>
    </w:p>
    <w:p>
      <w:pPr>
        <w:ind w:firstLine="422"/>
        <w:spacing w:line="420" w:lineRule="exact"/>
        <w:rPr>
          <w:rFonts w:hint="eastAsia" w:ascii="宋体" w:hAnsi="宋体" w:eastAsia="宋体" w:cs="宋体"/>
          <w:b/>
          <w:sz w:val="21"/>
          <w:szCs w:val="21"/>
        </w:rPr>
      </w:pPr>
      <w:r>
        <w:rPr>
          <w:rFonts w:hint="eastAsia" w:ascii="宋体" w:hAnsi="宋体" w:eastAsia="宋体" w:cs="宋体"/>
          <w:b/>
          <w:color w:val="000000"/>
          <w:szCs w:val="21"/>
        </w:rPr>
        <w:t xml:space="preserve">（3）</w:t>
      </w:r>
      <w:r>
        <w:rPr>
          <w:rFonts w:hint="eastAsia" w:ascii="宋体" w:hAnsi="宋体" w:eastAsia="宋体" w:cs="宋体"/>
          <w:b/>
          <w:bCs/>
          <w:color w:val="000000"/>
          <w:szCs w:val="21"/>
          <w:lang w:val="zh-CN"/>
        </w:rPr>
        <w:t xml:space="preserve">响应单位所提交的其它资料文件的完整与否，将直接影响应供应商的评分。</w:t>
      </w:r>
      <w:r/>
    </w:p>
    <w:p>
      <w:pPr>
        <w:pStyle w:val="1058"/>
        <w:ind w:firstLine="316"/>
        <w:spacing w:line="420" w:lineRule="exact"/>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rPr>
        <w:t xml:space="preserve">）报价（编制）要求的说明：</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除非合同中另有规定，供应商对全部服务的报价应包括完成本项工作所需的人工费、通讯费、交通费、资料费、办公设备、器材、各种税费、保险、劳保、利润、税金和政策性文件规定及合同包含的所有风险、责任、代理服务费等各项应有费用。其他均不再另行计费。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t xml:space="preserve">本项目采用线上二次报价：</w:t>
      </w:r>
      <w:r/>
    </w:p>
    <w:p>
      <w:pPr>
        <w:ind w:firstLine="408"/>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1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原则上第二次报价不得高于第一次报价，特殊情况由磋商小组确定。</w:t>
      </w:r>
      <w:r/>
    </w:p>
    <w:p>
      <w:pPr>
        <w:ind w:firstLine="41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进入项目评审流程后，建议各供应商法定代表人或授权委托人始终保持通讯顺畅，时刻关注不见面开标大厅，不离开不见面开标大厅。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总价。</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3.一项内容只允许一个报价，采购单位不接受任何有选择性的报价。</w:t>
      </w:r>
      <w:r/>
    </w:p>
    <w:p>
      <w:pPr>
        <w:pStyle w:val="1058"/>
        <w:ind w:firstLine="315"/>
        <w:spacing w:line="420" w:lineRule="exact"/>
        <w:rPr>
          <w:rFonts w:hint="eastAsia" w:ascii="宋体" w:hAnsi="宋体" w:eastAsia="宋体" w:cs="宋体"/>
          <w:sz w:val="21"/>
          <w:szCs w:val="21"/>
        </w:rPr>
      </w:pPr>
      <w:r>
        <w:rPr>
          <w:rFonts w:hint="eastAsia" w:ascii="宋体" w:hAnsi="宋体" w:eastAsia="宋体" w:cs="宋体"/>
          <w:sz w:val="21"/>
          <w:szCs w:val="21"/>
        </w:rPr>
        <w:t xml:space="preserve">4.磋商响应文件报价中的单价和总价全部采用人民币表示，除非合同的特殊条款另有规定。</w:t>
      </w:r>
      <w:r/>
    </w:p>
    <w:p>
      <w:pPr>
        <w:pStyle w:val="1058"/>
        <w:ind w:firstLine="316"/>
        <w:spacing w:line="420" w:lineRule="exact"/>
        <w:rPr>
          <w:rFonts w:ascii="Times New Roman" w:hAnsi="Times New Roman" w:eastAsia="宋体"/>
          <w:b/>
          <w:bCs/>
          <w:sz w:val="21"/>
          <w:szCs w:val="21"/>
        </w:rPr>
      </w:pPr>
      <w:r>
        <w:rPr>
          <w:rFonts w:hint="eastAsia" w:ascii="Times New Roman" w:hAnsi="Times New Roman" w:eastAsia="宋体"/>
          <w:b/>
          <w:bCs/>
          <w:sz w:val="21"/>
          <w:szCs w:val="21"/>
        </w:rPr>
        <w:t xml:space="preserve">五</w:t>
      </w:r>
      <w:r>
        <w:rPr>
          <w:rFonts w:ascii="Times New Roman" w:hAnsi="Times New Roman" w:eastAsia="宋体"/>
          <w:b/>
          <w:bCs/>
          <w:sz w:val="21"/>
          <w:szCs w:val="21"/>
        </w:rPr>
        <w:t xml:space="preserve">、磋商采购程序</w:t>
      </w:r>
      <w:r/>
    </w:p>
    <w:p>
      <w:pPr>
        <w:ind w:firstLine="480"/>
        <w:spacing w:line="360" w:lineRule="auto"/>
        <w:rPr>
          <w:rFonts w:ascii="宋体" w:hAnsi="宋体" w:cs="宋体"/>
          <w:szCs w:val="21"/>
        </w:rPr>
      </w:pPr>
      <w:r>
        <w:rPr>
          <w:rFonts w:hint="eastAsia" w:ascii="宋体" w:hAnsi="宋体" w:cs="宋体"/>
          <w:szCs w:val="21"/>
        </w:rPr>
        <w:t xml:space="preserve">1.采购代理机构按本须知规定的时间、地点主持磋商采购活动。</w:t>
      </w:r>
      <w:r/>
    </w:p>
    <w:p>
      <w:pPr>
        <w:ind w:firstLine="480"/>
        <w:spacing w:line="360" w:lineRule="auto"/>
        <w:rPr>
          <w:rFonts w:ascii="宋体" w:hAnsi="宋体" w:cs="宋体"/>
          <w:szCs w:val="21"/>
        </w:rPr>
      </w:pPr>
      <w:r>
        <w:rPr>
          <w:rFonts w:hint="eastAsia" w:ascii="宋体" w:hAnsi="宋体" w:cs="宋体"/>
          <w:szCs w:val="21"/>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rPr>
          <w:rFonts w:ascii="宋体" w:hAnsi="宋体" w:cs="宋体"/>
          <w:szCs w:val="21"/>
        </w:rPr>
      </w:pPr>
      <w:r>
        <w:rPr>
          <w:rFonts w:hint="eastAsia" w:ascii="宋体" w:hAnsi="宋体" w:cs="宋体"/>
          <w:szCs w:val="21"/>
        </w:rPr>
        <w:t xml:space="preserve">3.由磋商小组审查供应商解密的响应文件。</w:t>
      </w:r>
      <w:r/>
    </w:p>
    <w:p>
      <w:pPr>
        <w:ind w:firstLine="480"/>
        <w:spacing w:line="360" w:lineRule="auto"/>
        <w:rPr>
          <w:rFonts w:ascii="宋体" w:hAnsi="宋体" w:cs="宋体"/>
          <w:szCs w:val="21"/>
        </w:rPr>
      </w:pPr>
      <w:r>
        <w:rPr>
          <w:rFonts w:hint="eastAsia" w:ascii="宋体" w:hAnsi="宋体" w:cs="宋体"/>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Cs w:val="21"/>
        </w:rPr>
      </w:pPr>
      <w:r>
        <w:rPr>
          <w:rFonts w:hint="eastAsia" w:ascii="宋体" w:hAnsi="宋体" w:cs="宋体"/>
          <w:szCs w:val="21"/>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rPr>
          <w:rFonts w:ascii="宋体" w:hAnsi="宋体" w:cs="宋体"/>
          <w:szCs w:val="21"/>
        </w:rPr>
      </w:pPr>
      <w:r>
        <w:rPr>
          <w:rFonts w:hint="eastAsia" w:ascii="宋体" w:hAnsi="宋体" w:cs="宋体"/>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szCs w:val="21"/>
        </w:rPr>
      </w:pPr>
      <w:r>
        <w:rPr>
          <w:rFonts w:hint="eastAsia" w:ascii="宋体" w:hAnsi="宋体" w:cs="宋体"/>
          <w:szCs w:val="21"/>
        </w:rPr>
        <w:t xml:space="preserve">6.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宋体" w:hAnsi="宋体" w:cs="宋体"/>
          <w:szCs w:val="21"/>
        </w:rPr>
      </w:pPr>
      <w:r>
        <w:rPr>
          <w:rFonts w:hint="eastAsia" w:ascii="宋体" w:hAnsi="宋体" w:cs="宋体"/>
          <w:szCs w:val="21"/>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Cs w:val="21"/>
        </w:rPr>
      </w:pPr>
      <w:r>
        <w:rPr>
          <w:rFonts w:hint="eastAsia" w:ascii="宋体" w:hAnsi="宋体" w:cs="宋体"/>
          <w:szCs w:val="21"/>
        </w:rPr>
        <w:t xml:space="preserve">8.供应商应当按照采购文件的变动情况和磋商小组的要求，各供应商应及时关注【评审】环节等待询标澄清进行回复。</w:t>
      </w:r>
      <w:r/>
    </w:p>
    <w:p>
      <w:pPr>
        <w:ind w:firstLine="480"/>
        <w:spacing w:line="360" w:lineRule="auto"/>
        <w:rPr>
          <w:rFonts w:ascii="宋体" w:hAnsi="宋体" w:cs="宋体"/>
          <w:szCs w:val="21"/>
        </w:rPr>
      </w:pPr>
      <w:r>
        <w:rPr>
          <w:rFonts w:hint="eastAsia" w:ascii="宋体" w:hAnsi="宋体" w:cs="宋体"/>
          <w:szCs w:val="21"/>
        </w:rPr>
        <w:t xml:space="preserve">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Cs w:val="21"/>
        </w:rPr>
      </w:pPr>
      <w:r>
        <w:rPr>
          <w:rFonts w:hint="eastAsia" w:ascii="宋体" w:hAnsi="宋体" w:cs="宋体"/>
          <w:szCs w:val="21"/>
        </w:rPr>
        <w:t xml:space="preserve">10.经磋商确定最终采购需求和提交最后报价的供应商后，由磋商小组采用综合评分法对提交最后报价的供应商的响应文件和最后报价进行综合评分。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Cs w:val="21"/>
        </w:rPr>
      </w:pPr>
      <w:r>
        <w:rPr>
          <w:rFonts w:hint="eastAsia" w:ascii="宋体" w:hAnsi="宋体" w:cs="宋体"/>
          <w:szCs w:val="21"/>
        </w:rPr>
        <w:t xml:space="preserve">11.磋商小组根据磋商成交原则确定成交供应商，并将结果通知所有参加磋商的供应商。</w:t>
      </w:r>
      <w:r/>
    </w:p>
    <w:p>
      <w:pPr>
        <w:ind w:firstLine="480"/>
        <w:spacing w:line="360" w:lineRule="auto"/>
        <w:rPr>
          <w:rFonts w:ascii="宋体" w:hAnsi="宋体" w:cs="宋体"/>
          <w:szCs w:val="21"/>
        </w:rPr>
      </w:pPr>
      <w:r>
        <w:rPr>
          <w:rFonts w:hint="eastAsia" w:ascii="宋体" w:hAnsi="宋体" w:cs="宋体"/>
          <w:szCs w:val="21"/>
        </w:rPr>
        <w:t xml:space="preserve">12.如磋商过程中出现本采购文件未尽事宜，由磋商小组根据政府采购有关法律、法规讨论决定。</w:t>
      </w:r>
      <w:r/>
    </w:p>
    <w:p>
      <w:pPr>
        <w:ind w:firstLine="480"/>
        <w:spacing w:line="360" w:lineRule="auto"/>
        <w:rPr>
          <w:rFonts w:ascii="宋体" w:hAnsi="宋体" w:cs="宋体"/>
          <w:szCs w:val="21"/>
        </w:rPr>
      </w:pPr>
      <w:r>
        <w:rPr>
          <w:rFonts w:hint="eastAsia" w:ascii="宋体" w:hAnsi="宋体" w:cs="宋体"/>
          <w:szCs w:val="21"/>
        </w:rPr>
        <w:t xml:space="preserve">13.信用记录评审</w:t>
      </w:r>
      <w:r/>
    </w:p>
    <w:p>
      <w:pPr>
        <w:ind w:firstLine="480"/>
        <w:spacing w:line="360" w:lineRule="auto"/>
        <w:rPr>
          <w:rFonts w:ascii="宋体" w:hAnsi="宋体" w:cs="宋体"/>
          <w:szCs w:val="21"/>
        </w:rPr>
      </w:pPr>
      <w:r>
        <w:rPr>
          <w:rFonts w:hint="eastAsia" w:ascii="宋体" w:hAnsi="宋体" w:cs="宋体"/>
          <w:szCs w:val="21"/>
        </w:rPr>
        <w:t xml:space="preserve">（1）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80"/>
        <w:spacing w:line="360" w:lineRule="auto"/>
        <w:rPr>
          <w:rFonts w:ascii="宋体" w:hAnsi="宋体" w:cs="宋体"/>
          <w:szCs w:val="21"/>
        </w:rPr>
      </w:pPr>
      <w:r>
        <w:rPr>
          <w:rFonts w:hint="eastAsia" w:ascii="宋体" w:hAnsi="宋体" w:cs="宋体"/>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宋体" w:hAnsi="宋体" w:cs="宋体"/>
          <w:szCs w:val="21"/>
        </w:rPr>
      </w:pPr>
      <w:r>
        <w:rPr>
          <w:rFonts w:hint="eastAsia" w:ascii="宋体" w:hAnsi="宋体" w:cs="宋体"/>
          <w:szCs w:val="21"/>
        </w:rPr>
        <w:t xml:space="preserve">（2.1）政府采购严重违法记录，即供应商被全国各级财政部门列入“政府采购严重违法失信行为记录名单”，且在处罚有效期内的。</w:t>
      </w:r>
      <w:r/>
    </w:p>
    <w:p>
      <w:pPr>
        <w:ind w:firstLine="480"/>
        <w:spacing w:line="360" w:lineRule="auto"/>
        <w:rPr>
          <w:rFonts w:ascii="宋体" w:hAnsi="宋体" w:cs="宋体"/>
          <w:szCs w:val="21"/>
        </w:rPr>
      </w:pPr>
      <w:r>
        <w:rPr>
          <w:rFonts w:hint="eastAsia" w:ascii="宋体" w:hAnsi="宋体" w:cs="宋体"/>
          <w:szCs w:val="21"/>
        </w:rPr>
        <w:t xml:space="preserve">（2.2）财政部门与法院、工商、税务等部门联合惩戒的失信信息，包括：</w:t>
      </w:r>
      <w:r/>
    </w:p>
    <w:p>
      <w:pPr>
        <w:ind w:firstLine="480"/>
        <w:spacing w:line="360" w:lineRule="auto"/>
        <w:rPr>
          <w:rFonts w:ascii="宋体" w:hAnsi="宋体" w:cs="宋体"/>
          <w:szCs w:val="21"/>
        </w:rPr>
      </w:pPr>
      <w:r>
        <w:rPr>
          <w:rFonts w:hint="eastAsia" w:ascii="宋体" w:hAnsi="宋体" w:cs="宋体"/>
          <w:szCs w:val="21"/>
        </w:rPr>
        <w:t xml:space="preserve">（1）被列入失信被执行人名单；</w:t>
      </w:r>
      <w:r/>
    </w:p>
    <w:p>
      <w:pPr>
        <w:ind w:firstLine="48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8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（3）企业经营异常名录中被责令停产停业、暂扣或者吊销许可证或者执照，或者对经营活动中的违法行为处以200万元以上数额罚款的信用记录。处罚生效日至递交（响应）文件日未满三年的。</w:t>
      </w:r>
      <w:r/>
    </w:p>
    <w:p>
      <w:pPr>
        <w:ind w:firstLine="480"/>
        <w:spacing w:line="360" w:lineRule="auto"/>
        <w:rPr>
          <w:rFonts w:ascii="宋体" w:hAnsi="宋体" w:cs="宋体"/>
          <w:szCs w:val="21"/>
        </w:rPr>
      </w:pPr>
      <w:r>
        <w:rPr>
          <w:rFonts w:hint="eastAsia" w:ascii="宋体" w:hAnsi="宋体" w:cs="宋体"/>
          <w:szCs w:val="21"/>
        </w:rPr>
        <w:t xml:space="preserve">第2.1条的失信信息应通过“中国政府采购网”网的“政府采购严重违法失信行为记录名单”，以及“信用中国”网的“政府采购严重违法失信名单”栏目予以查询。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Cs w:val="21"/>
        </w:rPr>
      </w:pPr>
      <w:r>
        <w:rPr>
          <w:rFonts w:hint="eastAsia" w:ascii="宋体" w:hAnsi="宋体" w:cs="宋体"/>
          <w:szCs w:val="21"/>
        </w:rPr>
        <w:t xml:space="preserve">第2.2第二项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Cs w:val="21"/>
        </w:rPr>
      </w:pPr>
      <w:r>
        <w:rPr>
          <w:rFonts w:hint="eastAsia" w:ascii="宋体" w:hAnsi="宋体" w:cs="宋体"/>
          <w:szCs w:val="21"/>
        </w:rPr>
        <w:t xml:space="preserve">（3）查询渠道：中国政府采购网、信用中国、信用江苏、诚信苏州网站的相关主体信用记录。</w:t>
      </w:r>
      <w:r/>
    </w:p>
    <w:p>
      <w:pPr>
        <w:ind w:firstLine="480"/>
        <w:spacing w:line="360" w:lineRule="auto"/>
        <w:rPr>
          <w:rFonts w:ascii="宋体" w:hAnsi="宋体" w:cs="宋体"/>
          <w:szCs w:val="21"/>
        </w:rPr>
      </w:pPr>
      <w:r>
        <w:rPr>
          <w:rFonts w:hint="eastAsia" w:ascii="宋体" w:hAnsi="宋体" w:cs="宋体"/>
          <w:szCs w:val="21"/>
        </w:rPr>
        <w:t xml:space="preserve">（4）查询截止时点：在响应文件递交截止时间之后。</w:t>
      </w:r>
      <w:r/>
    </w:p>
    <w:p>
      <w:pPr>
        <w:ind w:firstLine="480"/>
        <w:spacing w:line="360" w:lineRule="auto"/>
        <w:rPr>
          <w:rFonts w:hint="eastAsia"/>
        </w:rPr>
      </w:pPr>
      <w:r>
        <w:rPr>
          <w:rFonts w:hint="eastAsia" w:ascii="宋体" w:hAnsi="宋体" w:cs="宋体"/>
          <w:szCs w:val="21"/>
        </w:rPr>
        <w:t xml:space="preserve">（5）证据留存具体方式：对存在失信信息的供应商，评审小组应填写《政府采购供应商失信信息确认函》，由失信供应商应签名确认。同时，采购代理机构工作人员应根据评审小组确认的失信信息，登录到来源网站页面进行复核并打印，作为证据留存。</w:t>
      </w:r>
      <w:r/>
    </w:p>
    <w:p>
      <w:pPr>
        <w:ind w:firstLine="422"/>
        <w:spacing w:line="360" w:lineRule="auto"/>
        <w:rPr>
          <w:rFonts w:ascii="宋体" w:hAnsi="宋体"/>
          <w:b/>
          <w:bCs/>
          <w:sz w:val="21"/>
          <w:szCs w:val="21"/>
        </w:rPr>
      </w:pPr>
      <w:r>
        <w:rPr>
          <w:rFonts w:hint="eastAsia" w:ascii="宋体" w:hAnsi="宋体"/>
          <w:b/>
          <w:bCs/>
          <w:sz w:val="21"/>
          <w:szCs w:val="21"/>
        </w:rPr>
        <w:t xml:space="preserve">六</w:t>
      </w:r>
      <w:r>
        <w:rPr>
          <w:rFonts w:ascii="宋体" w:hAnsi="宋体"/>
          <w:b/>
          <w:bCs/>
          <w:sz w:val="21"/>
          <w:szCs w:val="21"/>
        </w:rPr>
        <w:t xml:space="preserve">、</w:t>
      </w:r>
      <w:r>
        <w:rPr>
          <w:rFonts w:hint="eastAsia" w:ascii="宋体" w:hAnsi="宋体" w:cs="宋体"/>
          <w:b/>
          <w:szCs w:val="21"/>
        </w:rPr>
        <w:t xml:space="preserve">无效投标条款和项目终止</w:t>
      </w:r>
      <w:r/>
    </w:p>
    <w:p>
      <w:pPr>
        <w:ind w:firstLine="480"/>
        <w:spacing w:line="360" w:lineRule="auto"/>
        <w:rPr>
          <w:rFonts w:ascii="宋体" w:hAnsi="宋体" w:cs="宋体"/>
          <w:szCs w:val="21"/>
        </w:rPr>
      </w:pPr>
      <w:r>
        <w:rPr>
          <w:rFonts w:hint="eastAsia" w:ascii="宋体" w:hAnsi="宋体" w:cs="宋体"/>
          <w:szCs w:val="21"/>
        </w:rPr>
        <w:t xml:space="preserve">1.无效投标条款</w:t>
      </w:r>
      <w:r/>
    </w:p>
    <w:p>
      <w:pPr>
        <w:ind w:firstLine="480"/>
        <w:spacing w:line="360" w:lineRule="auto"/>
        <w:rPr>
          <w:rFonts w:ascii="宋体" w:hAnsi="宋体" w:cs="宋体"/>
          <w:szCs w:val="21"/>
        </w:rPr>
      </w:pPr>
      <w:r>
        <w:rPr>
          <w:rFonts w:hint="eastAsia" w:ascii="宋体" w:hAnsi="宋体" w:cs="宋体"/>
          <w:szCs w:val="21"/>
        </w:rPr>
        <w:t xml:space="preserve">（1）投标文件未按招标文件要求签署、盖章的。</w:t>
      </w:r>
      <w:r/>
    </w:p>
    <w:p>
      <w:pPr>
        <w:ind w:firstLine="480"/>
        <w:spacing w:line="360" w:lineRule="auto"/>
        <w:rPr>
          <w:rFonts w:ascii="宋体" w:hAnsi="宋体" w:cs="宋体"/>
          <w:szCs w:val="21"/>
        </w:rPr>
      </w:pPr>
      <w:r>
        <w:rPr>
          <w:rFonts w:hint="eastAsia" w:ascii="宋体" w:hAnsi="宋体" w:cs="宋体"/>
          <w:szCs w:val="21"/>
        </w:rPr>
        <w:t xml:space="preserve">（2）投标人在“苏采云”系统规定的时间内未成功解密电子投标文件的。</w:t>
      </w:r>
      <w:r/>
    </w:p>
    <w:p>
      <w:pPr>
        <w:ind w:firstLine="480"/>
        <w:spacing w:line="360" w:lineRule="auto"/>
        <w:rPr>
          <w:rFonts w:ascii="宋体" w:hAnsi="宋体" w:cs="宋体"/>
          <w:szCs w:val="21"/>
        </w:rPr>
      </w:pPr>
      <w:r>
        <w:rPr>
          <w:rFonts w:hint="eastAsia" w:ascii="宋体" w:hAnsi="宋体" w:cs="宋体"/>
          <w:szCs w:val="21"/>
        </w:rPr>
        <w:t xml:space="preserve">（3）投标人未按照招标文件要求上传电子投标文件的。</w:t>
      </w:r>
      <w:r/>
    </w:p>
    <w:p>
      <w:pPr>
        <w:ind w:firstLine="480"/>
        <w:spacing w:line="360" w:lineRule="auto"/>
        <w:rPr>
          <w:rFonts w:ascii="宋体" w:hAnsi="宋体" w:cs="宋体"/>
          <w:szCs w:val="21"/>
        </w:rPr>
      </w:pPr>
      <w:r>
        <w:rPr>
          <w:rFonts w:hint="eastAsia" w:ascii="宋体" w:hAnsi="宋体" w:cs="宋体"/>
          <w:szCs w:val="21"/>
        </w:rPr>
        <w:t xml:space="preserve">（4）投标人同一分包提交两个（含两个）以上不同的投标报价的。</w:t>
      </w:r>
      <w:r/>
    </w:p>
    <w:p>
      <w:pPr>
        <w:ind w:firstLine="480"/>
        <w:spacing w:line="360" w:lineRule="auto"/>
        <w:rPr>
          <w:rFonts w:ascii="宋体" w:hAnsi="宋体" w:cs="宋体"/>
          <w:szCs w:val="21"/>
        </w:rPr>
      </w:pPr>
      <w:r>
        <w:rPr>
          <w:rFonts w:hint="eastAsia" w:ascii="宋体" w:hAnsi="宋体" w:cs="宋体"/>
          <w:szCs w:val="21"/>
        </w:rPr>
        <w:t xml:space="preserve">（5）投标人不具备招标文件中规定资格要求的。</w:t>
      </w:r>
      <w:r/>
    </w:p>
    <w:p>
      <w:pPr>
        <w:ind w:firstLine="480"/>
        <w:spacing w:line="360" w:lineRule="auto"/>
        <w:rPr>
          <w:rFonts w:ascii="宋体" w:hAnsi="宋体" w:cs="宋体"/>
          <w:szCs w:val="21"/>
        </w:rPr>
      </w:pPr>
      <w:r>
        <w:rPr>
          <w:rFonts w:hint="eastAsia" w:ascii="宋体" w:hAnsi="宋体" w:cs="宋体"/>
          <w:szCs w:val="21"/>
        </w:rPr>
        <w:t xml:space="preserve">（6）投标人的报价超过了采购预算或最高限价的。</w:t>
      </w:r>
      <w:r/>
    </w:p>
    <w:p>
      <w:pPr>
        <w:ind w:firstLine="480"/>
        <w:spacing w:line="360" w:lineRule="auto"/>
        <w:rPr>
          <w:rFonts w:ascii="宋体" w:hAnsi="宋体" w:cs="宋体"/>
          <w:szCs w:val="21"/>
        </w:rPr>
      </w:pPr>
      <w:r>
        <w:rPr>
          <w:rFonts w:hint="eastAsia" w:ascii="宋体" w:hAnsi="宋体" w:cs="宋体"/>
          <w:szCs w:val="21"/>
        </w:rPr>
        <w:t xml:space="preserve">（7）未通过符合性审查的。</w:t>
      </w:r>
      <w:r/>
    </w:p>
    <w:p>
      <w:pPr>
        <w:ind w:firstLine="480"/>
        <w:spacing w:line="360" w:lineRule="auto"/>
        <w:rPr>
          <w:rFonts w:ascii="宋体" w:hAnsi="宋体" w:cs="宋体"/>
          <w:szCs w:val="21"/>
        </w:rPr>
      </w:pPr>
      <w:r>
        <w:rPr>
          <w:rFonts w:hint="eastAsia" w:ascii="宋体" w:hAnsi="宋体" w:cs="宋体"/>
          <w:szCs w:val="21"/>
        </w:rPr>
        <w:t xml:space="preserve">（8）不符合招标文件中规定的实质性要求的。</w:t>
      </w:r>
      <w:r/>
    </w:p>
    <w:p>
      <w:pPr>
        <w:ind w:firstLine="480"/>
        <w:spacing w:line="360" w:lineRule="auto"/>
        <w:rPr>
          <w:rFonts w:ascii="宋体" w:hAnsi="宋体" w:cs="宋体"/>
          <w:szCs w:val="21"/>
        </w:rPr>
      </w:pPr>
      <w:r>
        <w:rPr>
          <w:rFonts w:hint="eastAsia" w:ascii="宋体" w:hAnsi="宋体" w:cs="宋体"/>
          <w:szCs w:val="21"/>
        </w:rPr>
        <w:t xml:space="preserve">（9）投标人被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szCs w:val="21"/>
        </w:rPr>
      </w:pPr>
      <w:r>
        <w:rPr>
          <w:rFonts w:hint="eastAsia" w:ascii="宋体" w:hAnsi="宋体" w:cs="宋体"/>
          <w:szCs w:val="21"/>
        </w:rPr>
        <w:t xml:space="preserve">（10）投标文件含有采购人不能接受的附加条件的。</w:t>
      </w:r>
      <w:r/>
    </w:p>
    <w:p>
      <w:pPr>
        <w:ind w:firstLine="480"/>
        <w:spacing w:line="360" w:lineRule="auto"/>
        <w:rPr>
          <w:rFonts w:ascii="宋体" w:hAnsi="宋体" w:cs="宋体"/>
          <w:szCs w:val="21"/>
        </w:rPr>
      </w:pPr>
      <w:r>
        <w:rPr>
          <w:rFonts w:hint="eastAsia" w:ascii="宋体" w:hAnsi="宋体" w:cs="宋体"/>
          <w:szCs w:val="21"/>
        </w:rPr>
        <w:t xml:space="preserve">（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cs="宋体"/>
          <w:szCs w:val="21"/>
        </w:rPr>
      </w:pPr>
      <w:r>
        <w:rPr>
          <w:rFonts w:hint="eastAsia" w:ascii="宋体" w:hAnsi="宋体" w:cs="宋体"/>
          <w:szCs w:val="21"/>
        </w:rPr>
        <w:t xml:space="preserve">（12）其他法律、法规及本招标文件规定的属无效投标的情形。</w:t>
      </w:r>
      <w:r/>
    </w:p>
    <w:p>
      <w:pPr>
        <w:ind w:firstLine="480"/>
        <w:spacing w:line="360" w:lineRule="auto"/>
        <w:rPr>
          <w:rFonts w:ascii="宋体" w:hAnsi="宋体" w:cs="宋体"/>
          <w:szCs w:val="21"/>
        </w:rPr>
      </w:pPr>
      <w:r>
        <w:rPr>
          <w:rFonts w:hint="eastAsia" w:ascii="宋体" w:hAnsi="宋体" w:cs="宋体"/>
          <w:szCs w:val="21"/>
        </w:rPr>
        <w:t xml:space="preserve">2.项目终止</w:t>
      </w:r>
      <w:r/>
    </w:p>
    <w:p>
      <w:pPr>
        <w:ind w:firstLine="480"/>
        <w:spacing w:line="360" w:lineRule="auto"/>
        <w:rPr>
          <w:rFonts w:ascii="宋体" w:hAnsi="宋体" w:cs="宋体"/>
          <w:szCs w:val="21"/>
        </w:rPr>
      </w:pPr>
      <w:r>
        <w:rPr>
          <w:rFonts w:hint="eastAsia" w:ascii="宋体" w:hAnsi="宋体" w:cs="宋体"/>
          <w:szCs w:val="21"/>
        </w:rPr>
        <w:t xml:space="preserve">出现下列情形之一的，将终止竞争性磋商采购活动：</w:t>
      </w:r>
      <w:r/>
    </w:p>
    <w:p>
      <w:pPr>
        <w:ind w:firstLine="480"/>
        <w:spacing w:line="360" w:lineRule="auto"/>
        <w:rPr>
          <w:rFonts w:ascii="宋体" w:hAnsi="宋体" w:cs="宋体"/>
          <w:szCs w:val="21"/>
        </w:rPr>
      </w:pPr>
      <w:r>
        <w:rPr>
          <w:rFonts w:hint="eastAsia" w:ascii="宋体" w:hAnsi="宋体" w:cs="宋体"/>
          <w:szCs w:val="21"/>
        </w:rPr>
        <w:t xml:space="preserve">（1）因情况变化，不再符合规定的竞争性磋商采购方式适用情形的；</w:t>
      </w:r>
      <w:r/>
    </w:p>
    <w:p>
      <w:pPr>
        <w:ind w:firstLine="480"/>
        <w:spacing w:line="360" w:lineRule="auto"/>
        <w:rPr>
          <w:rFonts w:ascii="宋体" w:hAnsi="宋体" w:cs="宋体"/>
          <w:szCs w:val="21"/>
        </w:rPr>
      </w:pPr>
      <w:r>
        <w:rPr>
          <w:rFonts w:hint="eastAsia" w:ascii="宋体" w:hAnsi="宋体" w:cs="宋体"/>
          <w:szCs w:val="21"/>
        </w:rPr>
        <w:t xml:space="preserve">（2）出现影响采购公正的违法、违规行为的；</w:t>
      </w:r>
      <w:r/>
    </w:p>
    <w:p>
      <w:pPr>
        <w:ind w:firstLine="480"/>
        <w:spacing w:line="360" w:lineRule="auto"/>
        <w:rPr>
          <w:rFonts w:ascii="宋体" w:hAnsi="宋体" w:cs="宋体"/>
          <w:szCs w:val="21"/>
        </w:rPr>
      </w:pPr>
      <w:r>
        <w:rPr>
          <w:rFonts w:hint="eastAsia" w:ascii="宋体" w:hAnsi="宋体" w:cs="宋体"/>
          <w:szCs w:val="21"/>
        </w:rPr>
        <w:t xml:space="preserve">（3）在采购过程中符合要求的供应商或者报价未超过采购预算的供应商不足3家的；</w:t>
      </w:r>
      <w:r/>
    </w:p>
    <w:p>
      <w:pPr>
        <w:ind w:firstLine="480"/>
        <w:spacing w:line="360" w:lineRule="auto"/>
        <w:rPr>
          <w:rFonts w:ascii="宋体" w:hAnsi="宋体" w:cs="宋体"/>
          <w:szCs w:val="21"/>
        </w:rPr>
      </w:pPr>
      <w:r>
        <w:rPr>
          <w:rFonts w:hint="eastAsia" w:ascii="宋体" w:hAnsi="宋体" w:cs="宋体"/>
          <w:szCs w:val="21"/>
        </w:rPr>
        <w:t xml:space="preserve">（4）在采购活动中因重大变故，采购任务取消的。</w:t>
      </w:r>
      <w:r/>
    </w:p>
    <w:p>
      <w:pPr>
        <w:ind w:firstLine="480"/>
        <w:spacing w:line="360" w:lineRule="auto"/>
        <w:rPr>
          <w:rFonts w:ascii="宋体" w:hAnsi="宋体" w:cs="宋体"/>
          <w:szCs w:val="21"/>
        </w:rPr>
      </w:pPr>
      <w:r>
        <w:rPr>
          <w:rFonts w:hint="eastAsia" w:ascii="宋体" w:hAnsi="宋体" w:cs="宋体"/>
          <w:szCs w:val="21"/>
        </w:rPr>
        <w:t xml:space="preserve">（5）因“苏采云”系统系统故障原因造成开标不成功的。</w:t>
      </w:r>
      <w:r/>
    </w:p>
    <w:p>
      <w:pPr>
        <w:ind w:firstLine="480"/>
        <w:spacing w:line="360" w:lineRule="auto"/>
        <w:rPr>
          <w:rFonts w:ascii="宋体" w:hAnsi="宋体" w:cs="宋体"/>
          <w:szCs w:val="21"/>
        </w:rPr>
      </w:pPr>
      <w:r>
        <w:rPr>
          <w:rFonts w:hint="eastAsia" w:ascii="宋体" w:hAnsi="宋体" w:cs="宋体"/>
          <w:szCs w:val="21"/>
        </w:rPr>
        <w:t xml:space="preserve">注：采用竞争性磋商采购方式采购的政府购买服务项目，在采购过程中符合要求的供应商只有2家的，竞争性磋商采购活动可以继续进行。</w:t>
      </w:r>
      <w:r/>
    </w:p>
    <w:p>
      <w:pPr>
        <w:pStyle w:val="1058"/>
        <w:ind w:firstLine="316"/>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七、评审内容的保密</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2.在磋商响应文件的审查、澄清、评价和比较以及授予合同的过程中，磋商供应商对采购单位和磋商小组施加影响的任何行为，都将取消其成交资格。</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3.在评审期间，采购单位将通过指定联络人与磋商供应商进行联系。</w:t>
      </w:r>
      <w:r/>
    </w:p>
    <w:p>
      <w:pPr>
        <w:ind w:firstLine="48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八</w:t>
      </w:r>
      <w:r>
        <w:rPr>
          <w:rFonts w:hint="eastAsia" w:ascii="宋体" w:hAnsi="宋体" w:eastAsia="宋体" w:cs="宋体"/>
          <w:b/>
          <w:sz w:val="21"/>
          <w:szCs w:val="21"/>
        </w:rPr>
        <w:t xml:space="preserve">、成交单位的确认</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1.磋商小组根据磋商供应商资格审查情况，对其响应文件进行评价和比较，按照评审办法和标准进行评审，并按采购单位的委托向采购单位推荐成交候选单位。</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3.由采购人授权评审委员会在候选供应商名单中直接确定成交供应商。</w:t>
      </w:r>
      <w:r/>
    </w:p>
    <w:p>
      <w:pPr>
        <w:ind w:firstLine="48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九</w:t>
      </w:r>
      <w:r>
        <w:rPr>
          <w:rFonts w:hint="eastAsia" w:ascii="宋体" w:hAnsi="宋体" w:eastAsia="宋体" w:cs="宋体"/>
          <w:b/>
          <w:sz w:val="21"/>
          <w:szCs w:val="21"/>
        </w:rPr>
        <w:t xml:space="preserve">、合同授予标准</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采购单位将把合同授予其磋商响应文件在实质上响应采购文件要求和按本须知规定评选出的供应商。确定为成交的供应商必须具有实施本合同的能力和资源。</w:t>
      </w:r>
      <w:r/>
    </w:p>
    <w:p>
      <w:pPr>
        <w:ind w:firstLine="48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十</w:t>
      </w:r>
      <w:r>
        <w:rPr>
          <w:rFonts w:hint="eastAsia" w:ascii="宋体" w:hAnsi="宋体" w:eastAsia="宋体" w:cs="宋体"/>
          <w:b/>
          <w:sz w:val="21"/>
          <w:szCs w:val="21"/>
        </w:rPr>
        <w:t xml:space="preserve">、成交通知书</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确定出成交人后，采购代理机构在法定时间内向成交人发出成交通知书。请成交人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人自行承担。</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2.成交通知书将成为合同的组成部分，对采购人和成交人具有同等法律效力。</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3.成交通知书发出后，采购人不得违法改变成交结果，成交人无正当理由不得放弃成交。</w:t>
      </w:r>
      <w:r/>
    </w:p>
    <w:p>
      <w:pPr>
        <w:ind w:firstLine="48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十</w:t>
      </w:r>
      <w:r>
        <w:rPr>
          <w:rFonts w:hint="eastAsia" w:ascii="宋体" w:hAnsi="宋体" w:cs="宋体"/>
          <w:b/>
          <w:sz w:val="21"/>
          <w:szCs w:val="21"/>
          <w:lang w:val="en-US" w:eastAsia="zh-CN"/>
        </w:rPr>
        <w:t xml:space="preserve">一</w:t>
      </w:r>
      <w:r>
        <w:rPr>
          <w:rFonts w:hint="eastAsia" w:ascii="宋体" w:hAnsi="宋体" w:eastAsia="宋体" w:cs="宋体"/>
          <w:b/>
          <w:sz w:val="21"/>
          <w:szCs w:val="21"/>
        </w:rPr>
        <w:t xml:space="preserve">、签订合同</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采购人与成交供应商应当在成交通知书发出之日起15日内（原则上不超过30日），按照磋商文件确定的合同文本以及采购标的、规格型号、采购金额、采购数量、技术和服务要求等事项签订政府采购合同。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2.采购人如需追加与合同标的相同的货物，在不改变合同其他条款的前提下，成交供应商可与采购人协商签订补充合同，但所有补充合同的采购金额不得超过原合同金额的百分之十。</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成交供应商拒绝签订政府采购合同的，采购人可以按照《政府采购竞争性磋商采购方式管理暂行办法》第二十八条第二款规定的原则确定其他响应人作为成交供应商并签订政府采购合同，也可以重新开展采购活动。拒绝签订政府采购合同的成交供应商不得参加对该项目重新开展的采购活动。</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4.成交供应商一旦成交，及签订合同后，不得转包、分包，亦不得将合同全部及任何权利、义务向第三方转让，否则将被视为严重违约，采购代理机构有权决定按照成交供应商成交后终止或解除合同等依约处理。</w:t>
      </w:r>
      <w:r/>
    </w:p>
    <w:p>
      <w:pPr>
        <w:ind w:firstLine="48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十</w:t>
      </w:r>
      <w:r>
        <w:rPr>
          <w:rFonts w:hint="eastAsia" w:ascii="宋体" w:hAnsi="宋体" w:cs="宋体"/>
          <w:b/>
          <w:sz w:val="21"/>
          <w:szCs w:val="21"/>
          <w:lang w:val="en-US" w:eastAsia="zh-CN"/>
        </w:rPr>
        <w:t xml:space="preserve">二</w:t>
      </w:r>
      <w:r>
        <w:rPr>
          <w:rFonts w:hint="eastAsia" w:ascii="宋体" w:hAnsi="宋体" w:eastAsia="宋体" w:cs="宋体"/>
          <w:b/>
          <w:sz w:val="21"/>
          <w:szCs w:val="21"/>
        </w:rPr>
        <w:t xml:space="preserve">、其他</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1.代理服务费</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成交单位须按前附表的规定按其预算金额计算并支付服务费，该费用应在领取成交通知书时付清。</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2.政府采购政策（如属）</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（1）小、微企业</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的及江苏省财政厅《关于做好政府采购支持企业发展有关事项的通知》（苏财购〔2020〕52号）的相关规定，如供应商认定本企业为小型、微型企业，则需根据《中小企业划型标准规定》（工信部联企业〔2011〕300号）提交《中小企业声明函》并加盖公章。</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（2）残疾人福利性单位</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根据《关于促进残疾人就业政府采购政策的通知》（财库〔2017〕141号）的相关规定，如供应商为残疾人福利性单位，则视同小型、微型企业，应提交《残疾人福利性单位声明函》并加盖公章。</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（3）监狱企业</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财政部司法部关于政府采购支持监狱企业发展有关问题的通知》（财库〔2014〕68号）的相关规定，如供应商为监狱企业，则视同小型、微型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（4）绿色采购</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（5）若供应商提供的《中小企业声明函》、《残疾人福利性单位声明函》及监狱企业认定证明等材料为虚假材料，按《政府采购法》相关规定处理并报请政府采购监管部门给予行政处罚。</w:t>
      </w:r>
      <w:r/>
    </w:p>
    <w:p>
      <w:pPr>
        <w:ind w:firstLine="48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十</w:t>
      </w:r>
      <w:r>
        <w:rPr>
          <w:rFonts w:hint="eastAsia" w:ascii="宋体" w:hAnsi="宋体" w:cs="宋体"/>
          <w:b/>
          <w:sz w:val="21"/>
          <w:szCs w:val="21"/>
          <w:lang w:val="en-US" w:eastAsia="zh-CN"/>
        </w:rPr>
        <w:t xml:space="preserve">三</w:t>
      </w:r>
      <w:r>
        <w:rPr>
          <w:rFonts w:hint="eastAsia" w:ascii="宋体" w:hAnsi="宋体" w:eastAsia="宋体" w:cs="宋体"/>
          <w:b/>
          <w:sz w:val="21"/>
          <w:szCs w:val="21"/>
        </w:rPr>
        <w:t xml:space="preserve">、未尽事宜</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按《中华人民共和国政府采购法》及其他有关的法律法规的规定执行。</w:t>
      </w:r>
      <w:r/>
    </w:p>
    <w:p>
      <w:pPr>
        <w:ind w:firstLine="48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p>
      <w:pPr>
        <w:ind w:firstLine="480"/>
        <w:keepLines w:val="0"/>
        <w:keepNext w:val="0"/>
        <w:pageBreakBefore w:val="0"/>
        <w:spacing w:line="360" w:lineRule="auto"/>
        <w:widowControl w:val="off"/>
        <w:rPr>
          <w:rFonts w:ascii="宋体" w:hAnsi="宋体"/>
        </w:rPr>
      </w:pPr>
      <w:r>
        <w:rPr>
          <w:rFonts w:hint="eastAsia" w:ascii="宋体" w:hAnsi="宋体" w:eastAsia="宋体" w:cs="宋体"/>
          <w:b/>
          <w:sz w:val="21"/>
          <w:szCs w:val="21"/>
        </w:rPr>
        <w:t xml:space="preserve">十</w:t>
      </w:r>
      <w:r>
        <w:rPr>
          <w:rFonts w:hint="eastAsia" w:ascii="宋体" w:hAnsi="宋体" w:eastAsia="宋体" w:cs="宋体"/>
          <w:b/>
          <w:sz w:val="21"/>
          <w:szCs w:val="21"/>
          <w:lang w:val="en-US" w:eastAsia="zh-CN"/>
        </w:rPr>
        <w:t xml:space="preserve">四</w:t>
      </w:r>
      <w:r>
        <w:rPr>
          <w:rFonts w:hint="eastAsia" w:ascii="宋体" w:hAnsi="宋体" w:eastAsia="宋体" w:cs="宋体"/>
          <w:b/>
          <w:sz w:val="21"/>
          <w:szCs w:val="21"/>
        </w:rPr>
        <w:t xml:space="preserve">、凡涉及磋商采购文件的补充说明和修改，均以苏州市政府采购网上公示的补充通知为准。</w:t>
      </w:r>
      <w:r>
        <w:rPr>
          <w:sz w:val="24"/>
        </w:rPr>
        <w:br w:type="page" w:clear="all"/>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836"/>
        <w:jc w:val="center"/>
        <w:rPr>
          <w:rFonts w:ascii="黑体" w:hAnsi="宋体" w:eastAsia="黑体"/>
          <w:sz w:val="52"/>
        </w:rPr>
      </w:pPr>
      <w:r/>
      <w:bookmarkStart w:id="14" w:name="_Toc474491766"/>
      <w:r/>
      <w:bookmarkStart w:id="15" w:name="_Toc35852051"/>
      <w:r>
        <w:rPr>
          <w:rFonts w:hint="eastAsia" w:ascii="黑体" w:hAnsi="宋体" w:eastAsia="黑体"/>
          <w:sz w:val="52"/>
        </w:rPr>
        <w:t xml:space="preserve">第四章  合同主要条款</w:t>
      </w:r>
      <w:bookmarkEnd w:id="14"/>
      <w:r/>
      <w:bookmarkEnd w:id="15"/>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Calibri" w:hAnsi="Calibri"/>
          <w:sz w:val="24"/>
          <w:szCs w:val="28"/>
        </w:rPr>
      </w:pPr>
      <w:r>
        <w:rPr>
          <w:rFonts w:ascii="宋体" w:hAnsi="宋体"/>
          <w:sz w:val="30"/>
          <w:szCs w:val="30"/>
        </w:rPr>
        <w:br w:type="page" w:clear="all"/>
      </w:r>
      <w:r/>
    </w:p>
    <w:p>
      <w:pPr>
        <w:jc w:val="center"/>
        <w:keepLines/>
        <w:keepNext/>
        <w:rPr>
          <w:rFonts w:hint="default" w:ascii="宋体" w:hAnsi="宋体" w:eastAsia="宋体"/>
          <w:b/>
          <w:bCs/>
          <w:sz w:val="32"/>
          <w:szCs w:val="32"/>
          <w:lang w:val="en-US" w:eastAsia="zh-CN"/>
        </w:rPr>
      </w:pPr>
      <w:r/>
      <w:bookmarkStart w:id="16" w:name="_Toc35852052"/>
      <w:r/>
      <w:bookmarkStart w:id="17" w:name="_Toc474491767"/>
      <w:r>
        <w:rPr>
          <w:rFonts w:hint="eastAsia" w:ascii="宋体" w:hAnsi="宋体"/>
          <w:b/>
          <w:bCs/>
          <w:sz w:val="32"/>
          <w:szCs w:val="32"/>
          <w:lang w:val="en-US" w:eastAsia="zh-CN"/>
        </w:rPr>
        <w:t xml:space="preserve">政府采购合同书</w:t>
      </w:r>
      <w:r/>
    </w:p>
    <w:p>
      <w:pPr>
        <w:ind w:firstLine="480"/>
        <w:spacing w:line="360" w:lineRule="auto"/>
        <w:rPr>
          <w:rFonts w:ascii="宋体" w:hAnsi="宋体" w:cs="仿宋_GB2312"/>
          <w:color w:val="000000"/>
          <w:sz w:val="24"/>
        </w:rPr>
      </w:pPr>
      <w:r>
        <w:rPr>
          <w:rFonts w:ascii="宋体" w:hAnsi="宋体" w:cs="仿宋_GB2312"/>
          <w:color w:val="000000"/>
          <w:sz w:val="24"/>
        </w:rPr>
      </w:r>
      <w:r/>
    </w:p>
    <w:p>
      <w:pPr>
        <w:ind w:left="0"/>
        <w:jc w:val="left"/>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项目名称：</w:t>
      </w:r>
      <w:r>
        <w:rPr>
          <w:rFonts w:hint="eastAsia" w:ascii="宋体" w:hAnsi="宋体" w:cs="宋体"/>
          <w:b/>
          <w:sz w:val="24"/>
          <w:szCs w:val="24"/>
          <w:lang w:eastAsia="zh-CN"/>
        </w:rPr>
        <w:t xml:space="preserve">现役军人、退役军人及优抚对象保险保障</w:t>
      </w:r>
      <w:r/>
    </w:p>
    <w:p>
      <w:pPr>
        <w:ind w:left="0"/>
        <w:jc w:val="left"/>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项目编号：</w:t>
      </w:r>
      <w:r>
        <w:rPr>
          <w:rFonts w:hint="eastAsia" w:ascii="宋体" w:hAnsi="宋体" w:cs="宋体"/>
          <w:b/>
          <w:sz w:val="24"/>
          <w:szCs w:val="24"/>
          <w:lang w:eastAsia="zh-CN"/>
        </w:rPr>
        <w:t xml:space="preserve">JSZC-320506-JLDL-C2025-0005</w:t>
      </w:r>
      <w:r/>
    </w:p>
    <w:p>
      <w:pPr>
        <w:rPr>
          <w:rFonts w:hint="eastAsia" w:ascii="宋体" w:hAnsi="宋体" w:eastAsia="宋体" w:cs="宋体"/>
          <w:sz w:val="21"/>
          <w:szCs w:val="21"/>
        </w:rPr>
      </w:pPr>
      <w:r>
        <w:rPr>
          <w:rFonts w:hint="eastAsia" w:ascii="宋体" w:hAnsi="宋体" w:eastAsia="宋体" w:cs="宋体"/>
          <w:sz w:val="21"/>
          <w:szCs w:val="21"/>
        </w:rPr>
      </w:r>
      <w:r/>
    </w:p>
    <w:p>
      <w:pPr>
        <w:ind w:left="0"/>
        <w:jc w:val="left"/>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甲方：</w:t>
      </w:r>
      <w:r>
        <w:rPr>
          <w:rFonts w:hint="eastAsia" w:ascii="宋体" w:hAnsi="宋体" w:cs="宋体"/>
          <w:szCs w:val="21"/>
          <w:lang w:eastAsia="zh-CN"/>
        </w:rPr>
        <w:t xml:space="preserve">苏州市吴中区退役军人事务局</w:t>
      </w:r>
      <w:r/>
    </w:p>
    <w:p>
      <w:pPr>
        <w:ind w:left="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江苏省苏州市吴中区吴中大道1173号</w:t>
      </w:r>
      <w:r/>
    </w:p>
    <w:p>
      <w:pPr>
        <w:ind w:left="0"/>
        <w:jc w:val="left"/>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联系人： </w:t>
      </w:r>
      <w:r>
        <w:rPr>
          <w:rFonts w:hint="eastAsia" w:ascii="宋体" w:hAnsi="宋体" w:cs="宋体"/>
          <w:bCs/>
          <w:szCs w:val="21"/>
          <w:highlight w:val="none"/>
          <w:lang w:val="en-US" w:eastAsia="zh-CN"/>
        </w:rPr>
        <w:t xml:space="preserve"> </w:t>
      </w:r>
      <w:r/>
    </w:p>
    <w:p>
      <w:pPr>
        <w:ind w:left="0"/>
        <w:jc w:val="left"/>
        <w:spacing w:line="360" w:lineRule="auto"/>
        <w:rPr>
          <w:rFonts w:hint="eastAsia" w:ascii="宋体" w:hAnsi="宋体" w:cs="宋体"/>
          <w:bCs/>
          <w:szCs w:val="21"/>
          <w:highlight w:val="none"/>
          <w:lang w:val="en-US" w:eastAsia="zh-CN"/>
        </w:rPr>
      </w:pPr>
      <w:r>
        <w:rPr>
          <w:rFonts w:hint="eastAsia" w:ascii="宋体" w:hAnsi="宋体" w:eastAsia="宋体" w:cs="宋体"/>
          <w:sz w:val="21"/>
          <w:szCs w:val="21"/>
        </w:rPr>
        <w:t xml:space="preserve">电话：</w:t>
      </w:r>
      <w:r>
        <w:rPr>
          <w:rFonts w:hint="eastAsia" w:ascii="宋体" w:hAnsi="宋体" w:cs="宋体"/>
          <w:bCs/>
          <w:szCs w:val="21"/>
          <w:highlight w:val="none"/>
          <w:lang w:val="en-US" w:eastAsia="zh-CN"/>
        </w:rPr>
        <w:t xml:space="preserve"> </w:t>
      </w:r>
      <w:r/>
    </w:p>
    <w:p>
      <w:pPr>
        <w:pStyle w:val="861"/>
        <w:rPr>
          <w:rFonts w:hint="eastAsia"/>
        </w:rPr>
      </w:pPr>
      <w:r>
        <w:rPr>
          <w:rFonts w:hint="eastAsia"/>
        </w:rPr>
      </w:r>
      <w:r/>
    </w:p>
    <w:p>
      <w:pPr>
        <w:ind w:left="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p>
    <w:p>
      <w:pPr>
        <w:ind w:left="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p>
      <w:pPr>
        <w:ind w:left="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联系人：</w:t>
      </w:r>
      <w:r/>
    </w:p>
    <w:p>
      <w:pPr>
        <w:ind w:left="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p>
    <w:p>
      <w:pPr>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2"/>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一、定义</w:t>
      </w:r>
      <w:r/>
    </w:p>
    <w:p>
      <w:pPr>
        <w:ind w:left="0" w:firstLine="422"/>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以下术语有特定的含义：</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服务是指根据合同规定乙方应承担</w:t>
      </w:r>
      <w:r>
        <w:rPr>
          <w:rFonts w:hint="eastAsia" w:ascii="宋体" w:hAnsi="宋体" w:eastAsia="宋体" w:cs="宋体"/>
          <w:sz w:val="21"/>
          <w:szCs w:val="21"/>
          <w:u w:val="single"/>
        </w:rPr>
        <w:t xml:space="preserve"> </w:t>
      </w:r>
      <w:r>
        <w:rPr>
          <w:rFonts w:hint="eastAsia" w:ascii="宋体" w:hAnsi="宋体" w:cs="宋体"/>
          <w:sz w:val="21"/>
          <w:szCs w:val="21"/>
          <w:u w:val="single"/>
          <w:lang w:eastAsia="zh-CN"/>
        </w:rPr>
        <w:t xml:space="preserve">现役军人、退役军人及优抚对象保险保障</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等工作和合同中规定乙方应承担的其它义务。</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甲方是指合同中明确规定的实际购买和接受服务的单位。</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乙方是指合同中规定的提供服务的单位。</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二、合同项目及期限</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2.1乙方负责</w:t>
      </w:r>
      <w:r>
        <w:rPr>
          <w:rFonts w:hint="eastAsia" w:ascii="宋体" w:hAnsi="宋体" w:eastAsia="宋体" w:cs="宋体"/>
          <w:sz w:val="21"/>
          <w:szCs w:val="21"/>
          <w:u w:val="single"/>
        </w:rPr>
        <w:t xml:space="preserve">  </w:t>
      </w:r>
      <w:r>
        <w:rPr>
          <w:rFonts w:hint="eastAsia" w:ascii="宋体" w:hAnsi="宋体" w:cs="宋体"/>
          <w:sz w:val="21"/>
          <w:szCs w:val="21"/>
          <w:u w:val="single"/>
          <w:lang w:eastAsia="zh-CN"/>
        </w:rPr>
        <w:t xml:space="preserve">现役军人、退役军人及优抚对象保险保障</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的服务工作。</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2.2服务期限：合同签订生效之日起一年（具体时间按采购方要求）或本项目采购预算金额满止。</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2.3服务地点：采购方指定地点。</w:t>
      </w:r>
      <w:r/>
    </w:p>
    <w:p>
      <w:pPr>
        <w:pStyle w:val="847"/>
        <w:keepLines w:val="0"/>
        <w:keepNext w:val="0"/>
        <w:pageBreakBefore w:val="0"/>
        <w:spacing w:line="360" w:lineRule="auto"/>
        <w:rPr>
          <w:rFonts w:hint="default" w:eastAsia="宋体"/>
          <w:highlight w:val="none"/>
          <w:lang w:val="en-US" w:eastAsia="zh-CN"/>
        </w:rPr>
      </w:pPr>
      <w:r>
        <w:rPr>
          <w:rFonts w:hint="eastAsia" w:hAnsi="宋体" w:cs="宋体"/>
          <w:sz w:val="21"/>
          <w:szCs w:val="21"/>
          <w:highlight w:val="none"/>
          <w:lang w:val="en-US" w:eastAsia="zh-CN"/>
        </w:rPr>
        <w:t xml:space="preserve">2.4主要服务对象：由吴中区征集入伍的现役军人、吴中区户籍的退役军人、现役军人家属、在吴中区享受国家抚恤补助的优抚对象、在吴中区享受专项慰问金的企退两参人员。（现役军人家属指：由吴中区征集入伍的现役军人家属（包含其父母、配偶、子女且其家属户籍地在吴中区的人员））</w:t>
      </w:r>
      <w:r/>
    </w:p>
    <w:p>
      <w:pPr>
        <w:numPr>
          <w:ilvl w:val="0"/>
          <w:numId w:val="3"/>
        </w:numPr>
        <w:ind w:left="0" w:firstLine="422"/>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合同总价款：人民币         元</w:t>
      </w:r>
      <w:r>
        <w:rPr>
          <w:rFonts w:hint="eastAsia" w:ascii="宋体" w:hAnsi="宋体" w:cs="宋体"/>
          <w:b/>
          <w:sz w:val="21"/>
          <w:szCs w:val="21"/>
          <w:highlight w:val="none"/>
          <w:lang w:val="en-US" w:eastAsia="zh-CN"/>
        </w:rPr>
        <w:t xml:space="preserve">整</w:t>
      </w:r>
      <w:r>
        <w:rPr>
          <w:rFonts w:hint="eastAsia" w:ascii="宋体" w:hAnsi="宋体" w:eastAsia="宋体" w:cs="宋体"/>
          <w:b/>
          <w:sz w:val="21"/>
          <w:szCs w:val="21"/>
          <w:highlight w:val="none"/>
        </w:rPr>
        <w:t xml:space="preserve">（￥       元）。</w:t>
      </w:r>
      <w:r/>
    </w:p>
    <w:p>
      <w:pPr>
        <w:numPr>
          <w:ilvl w:val="0"/>
          <w:numId w:val="0"/>
        </w:numPr>
        <w:ind w:left="422"/>
        <w:spacing w:line="360" w:lineRule="auto"/>
        <w:widowControl w:val="off"/>
        <w:rPr>
          <w:rFonts w:hint="eastAsia" w:ascii="宋体" w:hAnsi="宋体" w:eastAsia="宋体" w:cs="宋体"/>
          <w:sz w:val="21"/>
          <w:szCs w:val="21"/>
          <w:highlight w:val="none"/>
        </w:rPr>
      </w:pPr>
      <w:r>
        <w:rPr>
          <w:rFonts w:hint="eastAsia" w:ascii="宋体" w:hAnsi="宋体" w:cs="宋体"/>
          <w:b/>
          <w:sz w:val="21"/>
          <w:szCs w:val="21"/>
          <w:highlight w:val="none"/>
          <w:lang w:val="en-US" w:eastAsia="zh-CN"/>
        </w:rPr>
        <w:t xml:space="preserve">1、</w:t>
      </w:r>
      <w:r>
        <w:rPr>
          <w:rFonts w:hint="eastAsia" w:ascii="宋体" w:hAnsi="宋体" w:eastAsia="宋体" w:cs="宋体"/>
          <w:b/>
          <w:sz w:val="21"/>
          <w:szCs w:val="21"/>
          <w:highlight w:val="none"/>
        </w:rPr>
        <w:t xml:space="preserve">合同价格包括完成本项工作所需的消耗品、设备、人工（含人员保险费用）、协调费用、利润、税金、管理费、风险费、文件规定政策性费用等所有费用。</w:t>
      </w:r>
      <w:r/>
    </w:p>
    <w:p>
      <w:pPr>
        <w:ind w:left="0" w:firstLine="420"/>
        <w:jc w:val="left"/>
        <w:spacing w:line="360" w:lineRule="auto"/>
        <w:widowControl w:val="off"/>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本项目按实结算，服务期内发生的总费用不得超过本项目的总预算。</w:t>
      </w:r>
      <w:r/>
    </w:p>
    <w:p>
      <w:pPr>
        <w:ind w:left="0" w:firstLine="422"/>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四、付款方式</w:t>
      </w:r>
      <w:r/>
    </w:p>
    <w:p>
      <w:pPr>
        <w:ind w:left="0" w:firstLine="42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1.付款步骤：</w:t>
      </w:r>
      <w:r/>
    </w:p>
    <w:p>
      <w:pPr>
        <w:ind w:left="0" w:firstLine="42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合同签订后出单,出单前投保人一次性全额支付保费。</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highlight w:val="none"/>
        </w:rPr>
        <w:t xml:space="preserve">2.根据国家现行税法对甲方征收的与本合同有关的税费均由甲方承担；根据国家现行税</w:t>
      </w:r>
      <w:r>
        <w:rPr>
          <w:rFonts w:hint="eastAsia" w:ascii="宋体" w:hAnsi="宋体" w:eastAsia="宋体" w:cs="宋体"/>
          <w:sz w:val="21"/>
          <w:szCs w:val="21"/>
        </w:rPr>
        <w:t xml:space="preserve">法对乙方征收的与本合同有关的一切税费均由乙方承担。如乙方在履约过程中产生额外的收益，归甲方所有。</w:t>
      </w:r>
      <w:r/>
    </w:p>
    <w:p>
      <w:pPr>
        <w:ind w:left="0" w:firstLine="422"/>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五、甲、乙双方的责任</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1.甲方责任：</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1.1依本合同约定按期支付合同款项；</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1.2依本合同约定及时组织验收；</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1.3协助乙方进行项目的相关协调工作及约定期限内提供相关资料以利于开展项目。</w:t>
      </w:r>
      <w:r/>
    </w:p>
    <w:p>
      <w:pPr>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2.乙方责任：</w:t>
      </w:r>
      <w:r/>
    </w:p>
    <w:p>
      <w:pPr>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六、违约责任</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1.甲方违约责任：</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1.1在合同生效后，甲方无故要求解除合同的，应向乙方偿付合同总价款5%的违约金，违约金不足以补偿损失的，乙方有权要求甲方补足。</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1.2甲方逾期付款的应按照逾期付款金额的每天万分之四支付逾期付款违约金，总额不超总价款的5%。</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2.乙方的违约责任：</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 在合同生效后，乙方无故要求解除合同的，应向甲方偿付合同总价款5%的违约金，违约金不足以补偿损失的，甲方有权要求乙方补足。</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2.3乙方必须自己完成合同内容，不得自行分包，否则，甲方有权按乙方不能完成合同处理。</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2.5乙方负有对自己员工的安全责任，甲方不承担任何相关责任。</w:t>
      </w:r>
      <w:r/>
    </w:p>
    <w:p>
      <w:pPr>
        <w:ind w:left="0"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七、不可抗力</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八、争端的解决 </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3.诉讼费由败诉方负担。</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4.因合同部分履行引发诉讼的，在诉讼期间，除正在进行诉讼的部分外，本合同的其它部分应继续执行。</w:t>
      </w:r>
      <w:r/>
    </w:p>
    <w:p>
      <w:pPr>
        <w:ind w:left="0" w:firstLine="422"/>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九、违约终止合同</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 如果乙方未能在合同规定的限期或甲方同意延长的限期内提供部分或全部服务。</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 如果乙方未能履行合同规定的其它任何义务。</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3.如果甲方违约，应承担相应的违约责任。 </w:t>
      </w:r>
      <w:r/>
    </w:p>
    <w:p>
      <w:pPr>
        <w:ind w:left="0" w:firstLine="422"/>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十、破产终止合同：</w:t>
      </w:r>
      <w:r>
        <w:rPr>
          <w:rFonts w:hint="eastAsia" w:ascii="宋体" w:hAnsi="宋体" w:eastAsia="宋体" w:cs="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十一、政府采购法对政府采购合同变更终止的规定：</w:t>
      </w:r>
      <w:r>
        <w:rPr>
          <w:rFonts w:hint="eastAsia" w:ascii="宋体" w:hAnsi="宋体" w:eastAsia="宋体" w:cs="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left="0" w:firstLine="422"/>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十二、合同转让和分包：</w:t>
      </w:r>
      <w:r>
        <w:rPr>
          <w:rFonts w:hint="eastAsia" w:ascii="宋体" w:hAnsi="宋体" w:eastAsia="宋体" w:cs="宋体"/>
          <w:sz w:val="21"/>
          <w:szCs w:val="21"/>
        </w:rPr>
        <w:t xml:space="preserve">本项目不得转让和分包。</w:t>
      </w:r>
      <w:r/>
    </w:p>
    <w:p>
      <w:pPr>
        <w:ind w:left="0" w:firstLine="422"/>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十三、需要补充的合同条款：</w:t>
      </w:r>
      <w:r>
        <w:rPr>
          <w:rFonts w:hint="eastAsia" w:ascii="宋体" w:hAnsi="宋体" w:eastAsia="宋体" w:cs="宋体"/>
          <w:sz w:val="21"/>
          <w:szCs w:val="21"/>
        </w:rPr>
        <w:t xml:space="preserve">（根据评审过程中或者商务谈判时商定的条款和条件在订立合同时标明）。</w:t>
      </w:r>
      <w:r/>
    </w:p>
    <w:p>
      <w:pPr>
        <w:ind w:left="0" w:firstLine="422"/>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十四、合同生效</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1.双方签约人为各自法定代表人或被授权代表。</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3.本合同自甲乙双方签字盖章之日起生效。</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4.本合同壹式</w:t>
      </w:r>
      <w:r>
        <w:rPr>
          <w:rFonts w:hint="eastAsia" w:ascii="宋体" w:hAnsi="宋体" w:cs="宋体"/>
          <w:b/>
          <w:sz w:val="21"/>
          <w:szCs w:val="21"/>
          <w:lang w:val="en-US" w:eastAsia="zh-CN"/>
        </w:rPr>
        <w:t xml:space="preserve">伍</w:t>
      </w:r>
      <w:r>
        <w:rPr>
          <w:rFonts w:hint="eastAsia" w:ascii="宋体" w:hAnsi="宋体" w:eastAsia="宋体" w:cs="宋体"/>
          <w:sz w:val="21"/>
          <w:szCs w:val="21"/>
        </w:rPr>
        <w:t xml:space="preserve">份，甲乙双方各执</w:t>
      </w:r>
      <w:r>
        <w:rPr>
          <w:rFonts w:hint="eastAsia" w:ascii="宋体" w:hAnsi="宋体" w:eastAsia="宋体" w:cs="宋体"/>
          <w:b/>
          <w:sz w:val="21"/>
          <w:szCs w:val="21"/>
        </w:rPr>
        <w:t xml:space="preserve">贰</w:t>
      </w:r>
      <w:r>
        <w:rPr>
          <w:rFonts w:hint="eastAsia" w:ascii="宋体" w:hAnsi="宋体" w:eastAsia="宋体" w:cs="宋体"/>
          <w:sz w:val="21"/>
          <w:szCs w:val="21"/>
        </w:rPr>
        <w:t xml:space="preserve">份，</w:t>
      </w:r>
      <w:r>
        <w:rPr>
          <w:rFonts w:hint="eastAsia" w:ascii="宋体" w:hAnsi="宋体" w:cs="宋体"/>
          <w:sz w:val="21"/>
          <w:szCs w:val="21"/>
          <w:lang w:val="en-US" w:eastAsia="zh-CN"/>
        </w:rPr>
        <w:t xml:space="preserve">代理机构</w:t>
      </w:r>
      <w:r>
        <w:rPr>
          <w:rFonts w:hint="eastAsia" w:ascii="宋体" w:hAnsi="宋体" w:eastAsia="宋体" w:cs="宋体"/>
          <w:sz w:val="21"/>
          <w:szCs w:val="21"/>
        </w:rPr>
        <w:t xml:space="preserve">执</w:t>
      </w:r>
      <w:r>
        <w:rPr>
          <w:rFonts w:hint="eastAsia" w:ascii="宋体" w:hAnsi="宋体" w:eastAsia="宋体" w:cs="宋体"/>
          <w:b/>
          <w:bCs/>
          <w:sz w:val="21"/>
          <w:szCs w:val="21"/>
        </w:rPr>
        <w:t xml:space="preserve">壹</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各份具有同等法律效力。</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5.本合同应按照中华人民共和国的现行法律进行解释。</w:t>
      </w:r>
      <w:r/>
    </w:p>
    <w:p>
      <w:pPr>
        <w:ind w:left="0" w:firstLine="42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6.合同修改：除甲乙双方签署书面修改、补充协议，并成为本合同不可分割的一部分之外，本合同条件不得有任何变化或修改。 </w:t>
      </w:r>
      <w:r/>
    </w:p>
    <w:p>
      <w:pPr>
        <w:pStyle w:val="894"/>
        <w:ind w:left="0" w:firstLine="0"/>
        <w:rPr>
          <w:rFonts w:hint="eastAsia" w:ascii="宋体" w:hAnsi="宋体" w:eastAsia="宋体" w:cs="宋体"/>
          <w:sz w:val="21"/>
          <w:szCs w:val="21"/>
        </w:rPr>
      </w:pPr>
      <w:r>
        <w:rPr>
          <w:rFonts w:hint="eastAsia" w:ascii="宋体" w:hAnsi="宋体" w:eastAsia="宋体" w:cs="宋体"/>
          <w:sz w:val="21"/>
          <w:szCs w:val="21"/>
        </w:rPr>
      </w:r>
      <w:r/>
    </w:p>
    <w:p>
      <w:pPr>
        <w:ind w:left="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甲方（公章）：                                      乙方（公章）：</w:t>
      </w:r>
      <w:r/>
    </w:p>
    <w:p>
      <w:pPr>
        <w:ind w:left="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法定代表人或授权代表（签字或盖章）：                法定代表人或授权代表（签字或盖章）： </w:t>
      </w:r>
      <w:r/>
    </w:p>
    <w:p>
      <w:pPr>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签约日期：                                          签约日期：</w:t>
      </w:r>
      <w:bookmarkEnd w:id="16"/>
      <w:r/>
      <w:bookmarkEnd w:id="17"/>
      <w:r/>
      <w:r/>
    </w:p>
    <w:p>
      <w:pPr>
        <w:rPr>
          <w:rFonts w:ascii="宋体" w:hAnsi="宋体"/>
        </w:rPr>
      </w:pPr>
      <w:r>
        <w:rPr>
          <w:rFonts w:ascii="宋体" w:hAnsi="宋体"/>
        </w:rPr>
      </w:r>
      <w:r/>
    </w:p>
    <w:p>
      <w:pPr>
        <w:pStyle w:val="861"/>
        <w:rPr>
          <w:rFonts w:ascii="宋体" w:hAnsi="宋体"/>
        </w:rPr>
      </w:pPr>
      <w:r>
        <w:rPr>
          <w:rFonts w:ascii="宋体" w:hAnsi="宋体"/>
        </w:rPr>
      </w:r>
      <w:r/>
    </w:p>
    <w:p>
      <w:pPr>
        <w:rPr>
          <w:rFonts w:ascii="宋体" w:hAnsi="宋体"/>
        </w:rPr>
      </w:pPr>
      <w:r>
        <w:rPr>
          <w:rFonts w:ascii="宋体" w:hAnsi="宋体"/>
        </w:rPr>
      </w:r>
      <w:r/>
    </w:p>
    <w:p>
      <w:pPr>
        <w:pStyle w:val="861"/>
        <w:rPr>
          <w:rFonts w:ascii="宋体" w:hAnsi="宋体"/>
        </w:rPr>
      </w:pPr>
      <w:r>
        <w:rPr>
          <w:rFonts w:ascii="宋体" w:hAnsi="宋体"/>
        </w:rPr>
      </w:r>
      <w:r/>
    </w:p>
    <w:p>
      <w:pPr>
        <w:rPr>
          <w:rFonts w:ascii="宋体" w:hAnsi="宋体"/>
        </w:rPr>
      </w:pPr>
      <w:r>
        <w:rPr>
          <w:rFonts w:ascii="宋体" w:hAnsi="宋体"/>
        </w:rPr>
      </w:r>
      <w:r/>
    </w:p>
    <w:p>
      <w:pPr>
        <w:pStyle w:val="861"/>
        <w:rPr>
          <w:rFonts w:ascii="宋体" w:hAnsi="宋体"/>
        </w:rPr>
      </w:pPr>
      <w:r>
        <w:rPr>
          <w:rFonts w:ascii="宋体" w:hAnsi="宋体"/>
        </w:rPr>
      </w:r>
      <w:r/>
    </w:p>
    <w:p>
      <w:pPr>
        <w:rPr>
          <w:rFonts w:ascii="宋体" w:hAnsi="宋体"/>
        </w:rPr>
      </w:pPr>
      <w:r>
        <w:rPr>
          <w:rFonts w:ascii="宋体" w:hAnsi="宋体"/>
        </w:rPr>
      </w:r>
      <w:r/>
    </w:p>
    <w:p>
      <w:pPr>
        <w:pStyle w:val="861"/>
        <w:rPr>
          <w:rFonts w:ascii="宋体" w:hAnsi="宋体"/>
        </w:rPr>
      </w:pPr>
      <w:r>
        <w:rPr>
          <w:rFonts w:ascii="宋体" w:hAnsi="宋体"/>
        </w:rPr>
      </w:r>
      <w:r/>
    </w:p>
    <w:p>
      <w:pPr>
        <w:rPr>
          <w:rFonts w:ascii="宋体" w:hAnsi="宋体"/>
        </w:rPr>
      </w:pPr>
      <w:r>
        <w:rPr>
          <w:rFonts w:ascii="宋体" w:hAnsi="宋体"/>
        </w:rPr>
      </w:r>
      <w:r/>
    </w:p>
    <w:p>
      <w:pPr>
        <w:pStyle w:val="861"/>
        <w:rPr>
          <w:rFonts w:ascii="宋体" w:hAnsi="宋体"/>
        </w:rPr>
      </w:pPr>
      <w:r>
        <w:rPr>
          <w:rFonts w:ascii="宋体" w:hAnsi="宋体"/>
        </w:rPr>
      </w:r>
      <w:r/>
    </w:p>
    <w:p>
      <w:pPr>
        <w:rPr>
          <w:rFonts w:ascii="宋体" w:hAnsi="宋体"/>
        </w:rPr>
      </w:pPr>
      <w:r>
        <w:rPr>
          <w:rFonts w:ascii="宋体" w:hAnsi="宋体"/>
        </w:rPr>
      </w:r>
      <w:r/>
    </w:p>
    <w:p>
      <w:pPr>
        <w:pStyle w:val="861"/>
        <w:rPr>
          <w:rFonts w:ascii="宋体" w:hAnsi="宋体"/>
        </w:rPr>
      </w:pPr>
      <w:r>
        <w:rPr>
          <w:rFonts w:ascii="宋体" w:hAnsi="宋体"/>
        </w:rPr>
      </w:r>
      <w:r/>
    </w:p>
    <w:p>
      <w:pPr>
        <w:rPr>
          <w:rFonts w:ascii="宋体" w:hAnsi="宋体"/>
        </w:rPr>
      </w:pPr>
      <w:r>
        <w:rPr>
          <w:rFonts w:ascii="宋体" w:hAnsi="宋体"/>
        </w:rPr>
      </w:r>
      <w:r/>
    </w:p>
    <w:p>
      <w:pPr>
        <w:pStyle w:val="861"/>
        <w:rPr>
          <w:rFonts w:ascii="宋体" w:hAnsi="宋体"/>
        </w:rPr>
      </w:pPr>
      <w:r>
        <w:rPr>
          <w:rFonts w:ascii="宋体" w:hAnsi="宋体"/>
        </w:rPr>
      </w:r>
      <w:r/>
    </w:p>
    <w:p>
      <w:pPr>
        <w:rPr>
          <w:rFonts w:ascii="宋体" w:hAnsi="宋体"/>
        </w:rPr>
      </w:pPr>
      <w:r>
        <w:rPr>
          <w:rFonts w:ascii="宋体" w:hAnsi="宋体"/>
        </w:rPr>
      </w:r>
      <w:r/>
    </w:p>
    <w:p>
      <w:pPr>
        <w:pStyle w:val="861"/>
        <w:rPr>
          <w:rFonts w:ascii="宋体" w:hAnsi="宋体"/>
        </w:rPr>
      </w:pPr>
      <w:r>
        <w:rPr>
          <w:rFonts w:ascii="宋体" w:hAnsi="宋体"/>
        </w:rPr>
      </w:r>
      <w:r/>
    </w:p>
    <w:p>
      <w:pPr>
        <w:rPr>
          <w:rFonts w:ascii="宋体" w:hAnsi="宋体"/>
        </w:rPr>
      </w:pPr>
      <w:r>
        <w:rPr>
          <w:rFonts w:ascii="宋体" w:hAnsi="宋体"/>
        </w:rPr>
      </w:r>
      <w:r/>
    </w:p>
    <w:p>
      <w:pPr>
        <w:pStyle w:val="861"/>
        <w:rPr>
          <w:rFonts w:ascii="宋体" w:hAnsi="宋体"/>
        </w:rPr>
      </w:pPr>
      <w:r>
        <w:rPr>
          <w:rFonts w:ascii="宋体" w:hAnsi="宋体"/>
        </w:rPr>
      </w:r>
      <w:r/>
    </w:p>
    <w:p>
      <w:pPr>
        <w:rPr>
          <w:rFonts w:ascii="宋体" w:hAnsi="宋体"/>
        </w:rPr>
      </w:pPr>
      <w:r>
        <w:rPr>
          <w:rFonts w:ascii="宋体" w:hAnsi="宋体"/>
        </w:rPr>
      </w:r>
      <w:r/>
    </w:p>
    <w:p>
      <w:pPr>
        <w:pStyle w:val="861"/>
        <w:rPr>
          <w:rFonts w:ascii="宋体" w:hAnsi="宋体"/>
        </w:rPr>
      </w:pPr>
      <w:r>
        <w:rPr>
          <w:rFonts w:ascii="宋体" w:hAnsi="宋体"/>
        </w:rPr>
      </w:r>
      <w:r/>
    </w:p>
    <w:p>
      <w:pPr>
        <w:rPr>
          <w:rFonts w:ascii="宋体" w:hAnsi="宋体"/>
        </w:rPr>
      </w:pPr>
      <w:r>
        <w:rPr>
          <w:rFonts w:ascii="宋体" w:hAnsi="宋体"/>
        </w:rPr>
      </w:r>
      <w:r/>
    </w:p>
    <w:p>
      <w:pPr>
        <w:pStyle w:val="861"/>
        <w:rPr>
          <w:rFonts w:ascii="宋体" w:hAnsi="宋体"/>
        </w:rPr>
      </w:pPr>
      <w:r>
        <w:rPr>
          <w:rFonts w:ascii="宋体" w:hAnsi="宋体"/>
        </w:rPr>
      </w:r>
      <w:r/>
    </w:p>
    <w:p>
      <w:pPr>
        <w:rPr>
          <w:rFonts w:ascii="宋体" w:hAnsi="宋体"/>
        </w:rPr>
      </w:pPr>
      <w:r>
        <w:rPr>
          <w:rFonts w:ascii="宋体" w:hAnsi="宋体"/>
        </w:rPr>
      </w:r>
      <w:r/>
    </w:p>
    <w:p>
      <w:pPr>
        <w:pStyle w:val="861"/>
      </w:p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836"/>
        <w:jc w:val="center"/>
        <w:rPr>
          <w:rFonts w:ascii="黑体" w:hAnsi="宋体" w:eastAsia="黑体"/>
          <w:sz w:val="52"/>
        </w:rPr>
      </w:pPr>
      <w:r>
        <w:rPr>
          <w:rFonts w:hint="eastAsia" w:ascii="黑体" w:hAnsi="宋体" w:eastAsia="黑体"/>
          <w:sz w:val="52"/>
        </w:rPr>
        <w:t xml:space="preserve">第五章  评审办法</w:t>
      </w:r>
      <w:r/>
    </w:p>
    <w:p>
      <w:pPr>
        <w:ind w:firstLine="420"/>
        <w:spacing w:line="420" w:lineRule="exact"/>
        <w:tabs>
          <w:tab w:val="left" w:pos="2870" w:leader="none"/>
        </w:tabs>
        <w:rPr>
          <w:b/>
          <w:bCs/>
          <w:sz w:val="21"/>
          <w:szCs w:val="21"/>
        </w:rPr>
        <w:outlineLvl w:val="1"/>
      </w:pPr>
      <w:r>
        <w:br w:type="page" w:clear="all"/>
      </w:r>
      <w:r>
        <w:rPr>
          <w:rFonts w:hint="eastAsia" w:hAnsi="宋体"/>
          <w:b/>
          <w:bCs/>
          <w:sz w:val="21"/>
          <w:szCs w:val="21"/>
        </w:rPr>
        <w:t xml:space="preserve">一、</w:t>
      </w:r>
      <w:r>
        <w:rPr>
          <w:rFonts w:hAnsi="宋体"/>
          <w:b/>
          <w:bCs/>
          <w:sz w:val="21"/>
          <w:szCs w:val="21"/>
        </w:rPr>
        <w:t xml:space="preserve">评审方法</w:t>
      </w:r>
      <w:r/>
    </w:p>
    <w:p>
      <w:pPr>
        <w:ind w:firstLine="420"/>
        <w:spacing w:line="420" w:lineRule="exact"/>
        <w:rPr>
          <w:rFonts w:hint="eastAsia" w:hAnsi="宋体"/>
          <w:sz w:val="21"/>
          <w:szCs w:val="21"/>
        </w:rPr>
        <w:outlineLvl w:val="1"/>
      </w:pPr>
      <w:r>
        <w:rPr>
          <w:rFonts w:hint="eastAsia" w:hAnsi="宋体"/>
          <w:sz w:val="21"/>
          <w:szCs w:val="21"/>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firstLine="420"/>
        <w:spacing w:line="420" w:lineRule="exact"/>
        <w:rPr>
          <w:rFonts w:hint="eastAsia" w:hAnsi="宋体"/>
          <w:sz w:val="21"/>
          <w:szCs w:val="21"/>
        </w:rPr>
        <w:outlineLvl w:val="1"/>
      </w:pPr>
      <w:r>
        <w:rPr>
          <w:rFonts w:hint="eastAsia" w:hAnsi="宋体"/>
          <w:sz w:val="21"/>
          <w:szCs w:val="21"/>
        </w:rPr>
        <w:t xml:space="preserve">2.评审小组各成员独立对每个进入打分程序的有效磋商供应商的响应文件技术和资质部分以打分的形式进行评审和评价。</w:t>
      </w:r>
      <w:r/>
    </w:p>
    <w:p>
      <w:pPr>
        <w:ind w:firstLine="420"/>
        <w:spacing w:line="420" w:lineRule="exact"/>
        <w:rPr>
          <w:rFonts w:hint="eastAsia" w:hAnsi="宋体"/>
          <w:sz w:val="21"/>
          <w:szCs w:val="21"/>
        </w:rPr>
        <w:outlineLvl w:val="1"/>
      </w:pPr>
      <w:r>
        <w:rPr>
          <w:rFonts w:hint="eastAsia" w:hAnsi="宋体"/>
          <w:sz w:val="21"/>
          <w:szCs w:val="21"/>
        </w:rPr>
        <w:t xml:space="preserve">3.对评委的评分（除价格分外）进行统计汇总，直接算术平均计算出每个磋商供应商的得分，加上价格得分即为每个磋商供应商的综合得分。 </w:t>
      </w:r>
      <w:r/>
    </w:p>
    <w:p>
      <w:pPr>
        <w:ind w:firstLine="420"/>
        <w:spacing w:line="420" w:lineRule="exact"/>
        <w:rPr>
          <w:rFonts w:hint="eastAsia" w:hAnsi="宋体"/>
          <w:sz w:val="21"/>
          <w:szCs w:val="21"/>
        </w:rPr>
        <w:outlineLvl w:val="1"/>
      </w:pPr>
      <w:r>
        <w:rPr>
          <w:rFonts w:hint="eastAsia" w:hAnsi="宋体"/>
          <w:sz w:val="21"/>
          <w:szCs w:val="21"/>
        </w:rPr>
        <w:t xml:space="preserve">4.如出现评审总得分最高的磋商供应商有两个或两个以上的，以磋商报价较低者优先作为成交供应商，如果磋商报价也相同的，则由评审小组投票方式确定成交供应商。</w:t>
      </w:r>
      <w:r/>
    </w:p>
    <w:p>
      <w:pPr>
        <w:ind w:firstLine="420"/>
        <w:spacing w:line="420" w:lineRule="exact"/>
        <w:rPr>
          <w:rFonts w:hint="eastAsia" w:hAnsi="宋体"/>
          <w:sz w:val="21"/>
          <w:szCs w:val="21"/>
        </w:rPr>
        <w:outlineLvl w:val="1"/>
      </w:pPr>
      <w:r>
        <w:rPr>
          <w:rFonts w:hint="eastAsia" w:hAnsi="宋体"/>
          <w:sz w:val="21"/>
          <w:szCs w:val="21"/>
        </w:rPr>
        <w:t xml:space="preserve">5.如供应商存在“苏财购〔2017〕11号”文件中所列的失信或不良行为，按照相关规定执行。</w:t>
      </w:r>
      <w:r/>
    </w:p>
    <w:p>
      <w:pPr>
        <w:ind w:firstLine="420"/>
        <w:spacing w:line="420" w:lineRule="exact"/>
        <w:rPr>
          <w:rFonts w:hint="eastAsia" w:hAnsi="宋体"/>
          <w:sz w:val="21"/>
          <w:szCs w:val="21"/>
        </w:rPr>
        <w:outlineLvl w:val="1"/>
      </w:pPr>
      <w:r>
        <w:rPr>
          <w:rFonts w:hint="eastAsia" w:hAnsi="宋体"/>
          <w:sz w:val="21"/>
          <w:szCs w:val="21"/>
        </w:rPr>
        <w:t xml:space="preserve">6.针对中小型企业、残疾人福利企业和监狱企业的评审：</w:t>
      </w:r>
      <w:r/>
    </w:p>
    <w:p>
      <w:pPr>
        <w:ind w:firstLine="420"/>
        <w:spacing w:line="420" w:lineRule="exact"/>
        <w:rPr>
          <w:rFonts w:hint="eastAsia" w:hAnsi="宋体"/>
          <w:sz w:val="21"/>
          <w:szCs w:val="21"/>
        </w:rPr>
        <w:outlineLvl w:val="1"/>
      </w:pPr>
      <w:r>
        <w:rPr>
          <w:rFonts w:hint="eastAsia" w:hAnsi="宋体"/>
          <w:sz w:val="21"/>
          <w:szCs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对于符合上述文件规定情形的小微企业、残疾人福利性单位及监狱企业报价</w:t>
      </w:r>
      <w:r>
        <w:rPr>
          <w:rFonts w:hint="eastAsia" w:hAnsi="宋体"/>
          <w:b/>
          <w:bCs/>
          <w:sz w:val="21"/>
          <w:szCs w:val="21"/>
        </w:rPr>
        <w:t xml:space="preserve">给予20%的扣除</w:t>
      </w:r>
      <w:r>
        <w:rPr>
          <w:rFonts w:hint="eastAsia" w:hAnsi="宋体"/>
          <w:sz w:val="21"/>
          <w:szCs w:val="21"/>
        </w:rPr>
        <w:t xml:space="preserve">，用扣除后的价格参与评审，如扣除后的价格为最低价的，则作为评标基准价，成交金额则以实际响应报价为准。残疾人福利性单位属于小型、微型企业的，不重复享受政策。</w:t>
      </w:r>
      <w:r>
        <w:rPr>
          <w:rFonts w:hint="eastAsia" w:hAnsi="宋体"/>
          <w:b/>
          <w:bCs/>
          <w:sz w:val="21"/>
          <w:szCs w:val="21"/>
        </w:rPr>
        <w:t xml:space="preserve">服务类项目中供应商若使用退休人员，将不享受中小企业扶持政策</w:t>
      </w:r>
      <w:r>
        <w:rPr>
          <w:rFonts w:hint="eastAsia" w:hAnsi="宋体"/>
          <w:sz w:val="21"/>
          <w:szCs w:val="21"/>
        </w:rPr>
        <w:t xml:space="preserve">。</w:t>
      </w:r>
      <w:r/>
    </w:p>
    <w:p>
      <w:pPr>
        <w:ind w:firstLine="422"/>
        <w:spacing w:line="420" w:lineRule="exact"/>
        <w:rPr>
          <w:rFonts w:hAnsi="宋体"/>
          <w:sz w:val="21"/>
          <w:szCs w:val="21"/>
        </w:rPr>
        <w:outlineLvl w:val="1"/>
      </w:pPr>
      <w:r>
        <w:rPr>
          <w:rFonts w:hint="eastAsia" w:hAnsi="宋体"/>
          <w:b/>
          <w:bCs/>
          <w:sz w:val="21"/>
          <w:szCs w:val="21"/>
        </w:rPr>
        <w:t xml:space="preserve">本采购项目对应的中小企业划分标准所属行业为：其他未列明行业</w:t>
      </w:r>
      <w:r>
        <w:rPr>
          <w:rFonts w:hint="eastAsia"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2"/>
        <w:spacing w:line="420" w:lineRule="exact"/>
        <w:rPr>
          <w:rFonts w:hAnsi="宋体"/>
          <w:b/>
          <w:sz w:val="21"/>
          <w:szCs w:val="21"/>
          <w:highlight w:val="none"/>
        </w:rPr>
        <w:outlineLvl w:val="1"/>
      </w:pPr>
      <w:r>
        <w:rPr>
          <w:rFonts w:hint="eastAsia" w:hAnsi="宋体"/>
          <w:b/>
          <w:sz w:val="21"/>
          <w:szCs w:val="21"/>
          <w:highlight w:val="none"/>
          <w:lang w:val="en-US" w:eastAsia="zh-CN"/>
        </w:rPr>
        <w:t xml:space="preserve">二</w:t>
      </w:r>
      <w:r>
        <w:rPr>
          <w:rFonts w:hint="eastAsia" w:hAnsi="宋体"/>
          <w:b/>
          <w:sz w:val="21"/>
          <w:szCs w:val="21"/>
          <w:highlight w:val="none"/>
        </w:rPr>
        <w:t xml:space="preserve">、评分标准</w:t>
      </w:r>
      <w:r/>
    </w:p>
    <w:p>
      <w:pPr>
        <w:ind w:firstLine="371"/>
        <w:spacing w:line="360" w:lineRule="auto"/>
        <w:tabs>
          <w:tab w:val="left" w:pos="360" w:leader="none"/>
        </w:tabs>
        <w:rPr>
          <w:rFonts w:hAnsi="宋体"/>
          <w:sz w:val="21"/>
          <w:szCs w:val="21"/>
          <w:highlight w:val="none"/>
        </w:rPr>
      </w:pPr>
      <w:r>
        <w:rPr>
          <w:rFonts w:hint="eastAsia" w:hAnsi="宋体"/>
          <w:sz w:val="21"/>
          <w:szCs w:val="21"/>
          <w:highlight w:val="none"/>
        </w:rPr>
        <w:t xml:space="preserve">（一）报价得分（</w:t>
      </w:r>
      <w:r>
        <w:rPr>
          <w:rFonts w:hint="eastAsia" w:hAnsi="宋体"/>
          <w:sz w:val="21"/>
          <w:szCs w:val="21"/>
          <w:highlight w:val="none"/>
          <w:lang w:val="en-US" w:eastAsia="zh-CN"/>
        </w:rPr>
        <w:t xml:space="preserve">10</w:t>
      </w:r>
      <w:r>
        <w:rPr>
          <w:rFonts w:hint="eastAsia" w:hAnsi="宋体"/>
          <w:sz w:val="21"/>
          <w:szCs w:val="21"/>
          <w:highlight w:val="none"/>
        </w:rPr>
        <w:t xml:space="preserve">分）</w:t>
      </w:r>
      <w:r/>
    </w:p>
    <w:p>
      <w:pPr>
        <w:ind w:firstLine="371"/>
        <w:spacing w:line="360" w:lineRule="auto"/>
        <w:tabs>
          <w:tab w:val="left" w:pos="360" w:leader="none"/>
        </w:tabs>
        <w:rPr>
          <w:rFonts w:hAnsi="宋体"/>
          <w:sz w:val="21"/>
          <w:szCs w:val="21"/>
          <w:highlight w:val="none"/>
        </w:rPr>
      </w:pPr>
      <w:r>
        <w:rPr>
          <w:rFonts w:hint="eastAsia" w:hAnsi="宋体"/>
          <w:sz w:val="21"/>
          <w:szCs w:val="21"/>
          <w:highlight w:val="none"/>
        </w:rPr>
        <w:t xml:space="preserve">1、价格分统一采用低价优先法计算，即满足磋商文件要求且最后报价最低（未超采购预算）的供应商的价格为磋商基准价，其价格分为满分（</w:t>
      </w:r>
      <w:r>
        <w:rPr>
          <w:rFonts w:hint="eastAsia" w:hAnsi="宋体"/>
          <w:sz w:val="21"/>
          <w:szCs w:val="21"/>
          <w:highlight w:val="none"/>
          <w:lang w:val="en-US" w:eastAsia="zh-CN"/>
        </w:rPr>
        <w:t xml:space="preserve">10</w:t>
      </w:r>
      <w:r>
        <w:rPr>
          <w:rFonts w:hint="eastAsia" w:hAnsi="宋体"/>
          <w:sz w:val="21"/>
          <w:szCs w:val="21"/>
          <w:highlight w:val="none"/>
        </w:rPr>
        <w:t xml:space="preserve">分）。其他供应商的价格分统一按照下列公式计算：</w:t>
      </w:r>
      <w:r/>
    </w:p>
    <w:p>
      <w:pPr>
        <w:ind w:firstLine="371"/>
        <w:spacing w:line="360" w:lineRule="auto"/>
        <w:tabs>
          <w:tab w:val="left" w:pos="360" w:leader="none"/>
        </w:tabs>
        <w:rPr>
          <w:rFonts w:hAnsi="宋体"/>
          <w:sz w:val="21"/>
          <w:szCs w:val="21"/>
          <w:highlight w:val="none"/>
        </w:rPr>
      </w:pPr>
      <w:r>
        <w:rPr>
          <w:rFonts w:hint="eastAsia" w:hAnsi="宋体"/>
          <w:sz w:val="21"/>
          <w:szCs w:val="21"/>
          <w:highlight w:val="none"/>
        </w:rPr>
        <w:t xml:space="preserve">磋商报价得分=（磋商基准价/最后磋商报价）×</w:t>
      </w:r>
      <w:r>
        <w:rPr>
          <w:rFonts w:hint="eastAsia" w:hAnsi="宋体"/>
          <w:sz w:val="21"/>
          <w:szCs w:val="21"/>
          <w:highlight w:val="none"/>
          <w:lang w:val="en-US" w:eastAsia="zh-CN"/>
        </w:rPr>
        <w:t xml:space="preserve">10</w:t>
      </w:r>
      <w:r>
        <w:rPr>
          <w:rFonts w:hint="eastAsia" w:hAnsi="宋体"/>
          <w:sz w:val="21"/>
          <w:szCs w:val="21"/>
          <w:highlight w:val="none"/>
        </w:rPr>
        <w:t xml:space="preserve">%×100</w:t>
      </w:r>
      <w:r/>
    </w:p>
    <w:p>
      <w:pPr>
        <w:ind w:firstLine="371"/>
        <w:spacing w:line="360" w:lineRule="auto"/>
        <w:tabs>
          <w:tab w:val="left" w:pos="360" w:leader="none"/>
        </w:tabs>
        <w:rPr>
          <w:rFonts w:hAnsi="宋体"/>
          <w:sz w:val="21"/>
          <w:szCs w:val="21"/>
          <w:highlight w:val="none"/>
        </w:rPr>
      </w:pPr>
      <w:r>
        <w:rPr>
          <w:rFonts w:hint="eastAsia" w:hAnsi="宋体"/>
          <w:sz w:val="21"/>
          <w:szCs w:val="21"/>
          <w:highlight w:val="none"/>
        </w:rPr>
        <w:t xml:space="preserve">（二）</w:t>
      </w:r>
      <w:r>
        <w:rPr>
          <w:rFonts w:hint="eastAsia" w:hAnsi="宋体"/>
          <w:sz w:val="21"/>
          <w:szCs w:val="21"/>
          <w:highlight w:val="none"/>
          <w:lang w:val="en-US" w:eastAsia="zh-CN"/>
        </w:rPr>
        <w:t xml:space="preserve">服务方案</w:t>
      </w:r>
      <w:r>
        <w:rPr>
          <w:rFonts w:hint="eastAsia" w:hAnsi="宋体"/>
          <w:sz w:val="21"/>
          <w:szCs w:val="21"/>
          <w:highlight w:val="none"/>
        </w:rPr>
        <w:t xml:space="preserve">（</w:t>
      </w:r>
      <w:r>
        <w:rPr>
          <w:rFonts w:hint="eastAsia" w:hAnsi="宋体"/>
          <w:sz w:val="21"/>
          <w:szCs w:val="21"/>
          <w:highlight w:val="none"/>
          <w:lang w:val="en-US" w:eastAsia="zh-CN"/>
        </w:rPr>
        <w:t xml:space="preserve">54</w:t>
      </w:r>
      <w:r>
        <w:rPr>
          <w:rFonts w:hint="eastAsia" w:hAnsi="宋体"/>
          <w:sz w:val="21"/>
          <w:szCs w:val="21"/>
          <w:highlight w:val="none"/>
        </w:rPr>
        <w:t xml:space="preserve">分）</w:t>
      </w:r>
      <w:r/>
    </w:p>
    <w:p>
      <w:pPr>
        <w:pStyle w:val="961"/>
        <w:ind w:firstLine="315"/>
        <w:spacing w:line="420" w:lineRule="exact"/>
        <w:rPr>
          <w:rFonts w:ascii="Times New Roman" w:hAnsi="宋体" w:eastAsia="宋体"/>
          <w:sz w:val="21"/>
          <w:szCs w:val="21"/>
          <w:highlight w:val="none"/>
        </w:rPr>
      </w:pPr>
      <w:r>
        <w:rPr>
          <w:rFonts w:hint="eastAsia" w:ascii="Times New Roman" w:hAnsi="宋体" w:eastAsia="宋体"/>
          <w:sz w:val="21"/>
          <w:szCs w:val="21"/>
          <w:highlight w:val="none"/>
        </w:rPr>
        <w:t xml:space="preserve">1、风险管控制度和措施</w:t>
      </w:r>
      <w:r>
        <w:rPr>
          <w:rFonts w:hint="eastAsia" w:ascii="Times New Roman" w:hAnsi="宋体" w:eastAsia="宋体"/>
          <w:sz w:val="21"/>
          <w:szCs w:val="21"/>
          <w:highlight w:val="none"/>
          <w:lang w:val="en-US" w:eastAsia="zh-CN"/>
        </w:rPr>
        <w:t xml:space="preserve">方案比较</w:t>
      </w:r>
      <w:r>
        <w:rPr>
          <w:rFonts w:hint="eastAsia" w:ascii="Times New Roman" w:hAnsi="宋体" w:eastAsia="宋体"/>
          <w:sz w:val="21"/>
          <w:szCs w:val="21"/>
          <w:highlight w:val="none"/>
        </w:rPr>
        <w:t xml:space="preserve">（</w:t>
      </w:r>
      <w:r>
        <w:rPr>
          <w:rFonts w:hint="eastAsia" w:ascii="Times New Roman" w:hAnsi="宋体" w:eastAsia="宋体"/>
          <w:sz w:val="21"/>
          <w:szCs w:val="21"/>
          <w:highlight w:val="none"/>
          <w:lang w:val="en-US" w:eastAsia="zh-CN"/>
        </w:rPr>
        <w:t xml:space="preserve">12</w:t>
      </w:r>
      <w:r>
        <w:rPr>
          <w:rFonts w:hint="eastAsia" w:ascii="Times New Roman" w:hAnsi="宋体" w:eastAsia="宋体"/>
          <w:sz w:val="21"/>
          <w:szCs w:val="21"/>
          <w:highlight w:val="none"/>
        </w:rPr>
        <w:t xml:space="preserve">分）</w:t>
      </w:r>
      <w:r/>
    </w:p>
    <w:p>
      <w:pPr>
        <w:pStyle w:val="961"/>
        <w:ind w:firstLine="315"/>
        <w:keepLines w:val="0"/>
        <w:keepNext w:val="0"/>
        <w:pageBreakBefore w:val="0"/>
        <w:spacing w:line="360" w:lineRule="auto"/>
        <w:widowControl w:val="off"/>
        <w:rPr>
          <w:rFonts w:ascii="Times New Roman" w:hAnsi="宋体" w:eastAsia="宋体"/>
          <w:sz w:val="21"/>
          <w:szCs w:val="21"/>
          <w:highlight w:val="none"/>
        </w:rPr>
      </w:pPr>
      <w:r>
        <w:rPr>
          <w:rFonts w:hint="eastAsia" w:ascii="Times New Roman" w:hAnsi="宋体" w:eastAsia="宋体"/>
          <w:sz w:val="21"/>
          <w:szCs w:val="21"/>
          <w:highlight w:val="none"/>
        </w:rPr>
        <w:t xml:space="preserve">根据供应商对本项目建立健全项目运行风险管控制度和措施，保障保险资金运行安全、规范、有效，方案切实可行、优于项目需求的，得</w:t>
      </w:r>
      <w:r>
        <w:rPr>
          <w:rFonts w:hint="eastAsia" w:ascii="Times New Roman" w:hAnsi="宋体" w:eastAsia="宋体"/>
          <w:sz w:val="21"/>
          <w:szCs w:val="21"/>
          <w:highlight w:val="none"/>
          <w:lang w:val="en-US" w:eastAsia="zh-CN"/>
        </w:rPr>
        <w:t xml:space="preserve">12</w:t>
      </w:r>
      <w:r>
        <w:rPr>
          <w:rFonts w:hint="eastAsia" w:ascii="Times New Roman" w:hAnsi="宋体" w:eastAsia="宋体"/>
          <w:sz w:val="21"/>
          <w:szCs w:val="21"/>
          <w:highlight w:val="none"/>
        </w:rPr>
        <w:t xml:space="preserve">分；基本可行，符合项目需求的，得</w:t>
      </w:r>
      <w:r>
        <w:rPr>
          <w:rFonts w:hint="eastAsia" w:ascii="Times New Roman" w:hAnsi="宋体" w:eastAsia="宋体"/>
          <w:sz w:val="21"/>
          <w:szCs w:val="21"/>
          <w:highlight w:val="none"/>
          <w:lang w:val="en-US" w:eastAsia="zh-CN"/>
        </w:rPr>
        <w:t xml:space="preserve">8</w:t>
      </w:r>
      <w:r>
        <w:rPr>
          <w:rFonts w:hint="eastAsia" w:ascii="Times New Roman" w:hAnsi="宋体" w:eastAsia="宋体"/>
          <w:sz w:val="21"/>
          <w:szCs w:val="21"/>
          <w:highlight w:val="none"/>
        </w:rPr>
        <w:t xml:space="preserve">分；方案存在不足的，</w:t>
      </w:r>
      <w:r>
        <w:rPr>
          <w:rFonts w:hint="eastAsia" w:ascii="Times New Roman" w:hAnsi="宋体" w:eastAsia="宋体"/>
          <w:sz w:val="21"/>
          <w:szCs w:val="21"/>
          <w:highlight w:val="none"/>
          <w:lang w:val="en-US" w:eastAsia="zh-CN"/>
        </w:rPr>
        <w:t xml:space="preserve">4</w:t>
      </w:r>
      <w:r>
        <w:rPr>
          <w:rFonts w:hint="eastAsia" w:ascii="Times New Roman" w:hAnsi="宋体" w:eastAsia="宋体"/>
          <w:sz w:val="21"/>
          <w:szCs w:val="21"/>
          <w:highlight w:val="none"/>
        </w:rPr>
        <w:t xml:space="preserve">分；</w:t>
      </w:r>
      <w:r>
        <w:rPr>
          <w:rFonts w:hint="eastAsia" w:ascii="Times New Roman" w:hAnsi="宋体" w:eastAsia="宋体"/>
          <w:sz w:val="21"/>
          <w:szCs w:val="21"/>
          <w:highlight w:val="none"/>
          <w:lang w:val="en-US" w:eastAsia="zh-CN"/>
        </w:rPr>
        <w:t xml:space="preserve">不提供不得分</w:t>
      </w:r>
      <w:r>
        <w:rPr>
          <w:rFonts w:hint="eastAsia" w:ascii="Times New Roman" w:hAnsi="宋体" w:eastAsia="宋体"/>
          <w:sz w:val="21"/>
          <w:szCs w:val="21"/>
          <w:highlight w:val="none"/>
        </w:rPr>
        <w:t xml:space="preserve">。最高</w:t>
      </w:r>
      <w:r>
        <w:rPr>
          <w:rFonts w:hint="eastAsia" w:ascii="Times New Roman" w:hAnsi="宋体" w:eastAsia="宋体"/>
          <w:sz w:val="21"/>
          <w:szCs w:val="21"/>
          <w:highlight w:val="none"/>
          <w:lang w:val="en-US" w:eastAsia="zh-CN"/>
        </w:rPr>
        <w:t xml:space="preserve">得12</w:t>
      </w:r>
      <w:r>
        <w:rPr>
          <w:rFonts w:hint="eastAsia" w:ascii="Times New Roman" w:hAnsi="宋体" w:eastAsia="宋体"/>
          <w:sz w:val="21"/>
          <w:szCs w:val="21"/>
          <w:highlight w:val="none"/>
        </w:rPr>
        <w:t xml:space="preserve">分。</w:t>
      </w:r>
      <w:r/>
    </w:p>
    <w:p>
      <w:pPr>
        <w:pStyle w:val="961"/>
        <w:ind w:firstLine="315"/>
        <w:keepLines w:val="0"/>
        <w:keepNext w:val="0"/>
        <w:pageBreakBefore w:val="0"/>
        <w:spacing w:line="360" w:lineRule="auto"/>
        <w:widowControl w:val="off"/>
        <w:rPr>
          <w:rFonts w:ascii="Times New Roman" w:hAnsi="宋体" w:eastAsia="宋体"/>
          <w:sz w:val="21"/>
          <w:szCs w:val="21"/>
          <w:highlight w:val="none"/>
        </w:rPr>
      </w:pPr>
      <w:r>
        <w:rPr>
          <w:rFonts w:hint="eastAsia" w:ascii="Times New Roman" w:hAnsi="宋体" w:eastAsia="宋体"/>
          <w:sz w:val="21"/>
          <w:szCs w:val="21"/>
          <w:highlight w:val="none"/>
          <w:lang w:val="en-US" w:eastAsia="zh-CN"/>
        </w:rPr>
        <w:t xml:space="preserve">2、项目保障方案</w:t>
      </w:r>
      <w:r>
        <w:rPr>
          <w:rFonts w:hint="eastAsia" w:ascii="Times New Roman" w:hAnsi="宋体" w:eastAsia="宋体"/>
          <w:sz w:val="21"/>
          <w:szCs w:val="21"/>
          <w:highlight w:val="none"/>
        </w:rPr>
        <w:t xml:space="preserve">比较（</w:t>
      </w:r>
      <w:r>
        <w:rPr>
          <w:rFonts w:hint="eastAsia" w:ascii="Times New Roman" w:hAnsi="宋体" w:eastAsia="宋体"/>
          <w:sz w:val="21"/>
          <w:szCs w:val="21"/>
          <w:highlight w:val="none"/>
          <w:lang w:val="en-US" w:eastAsia="zh-CN"/>
        </w:rPr>
        <w:t xml:space="preserve">12</w:t>
      </w:r>
      <w:r>
        <w:rPr>
          <w:rFonts w:hint="eastAsia" w:ascii="Times New Roman" w:hAnsi="宋体" w:eastAsia="宋体"/>
          <w:sz w:val="21"/>
          <w:szCs w:val="21"/>
          <w:highlight w:val="none"/>
        </w:rPr>
        <w:t xml:space="preserve">分）</w:t>
      </w:r>
      <w:r/>
    </w:p>
    <w:p>
      <w:pPr>
        <w:pStyle w:val="961"/>
        <w:ind w:firstLine="315"/>
        <w:keepLines w:val="0"/>
        <w:keepNext w:val="0"/>
        <w:pageBreakBefore w:val="0"/>
        <w:spacing w:line="360" w:lineRule="auto"/>
        <w:widowControl w:val="off"/>
        <w:rPr>
          <w:rFonts w:ascii="Times New Roman" w:hAnsi="宋体" w:eastAsia="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供应商针对提供本项目服务团队，从专业资格、工作经验、团队架构及内部管理等方面制定切实可行且有利于合同履约的保障方案，方案切实可行、优于项目需求的，得</w:t>
      </w:r>
      <w:r>
        <w:rPr>
          <w:rFonts w:hint="eastAsia"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t xml:space="preserve">分；基本可行，符合项目需求的，得</w:t>
      </w:r>
      <w:r>
        <w:rPr>
          <w:rFonts w:hint="eastAsia"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t xml:space="preserve">分；方案存在不足的，得4分</w:t>
      </w:r>
      <w:r>
        <w:rPr>
          <w:rFonts w:hint="eastAsia" w:ascii="Times New Roman" w:hAnsi="宋体" w:eastAsia="宋体"/>
          <w:sz w:val="21"/>
          <w:szCs w:val="21"/>
          <w:highlight w:val="none"/>
        </w:rPr>
        <w:t xml:space="preserve">；</w:t>
      </w:r>
      <w:r>
        <w:rPr>
          <w:rFonts w:hint="eastAsia" w:ascii="Times New Roman" w:hAnsi="宋体" w:eastAsia="宋体"/>
          <w:sz w:val="21"/>
          <w:szCs w:val="21"/>
          <w:highlight w:val="none"/>
          <w:lang w:val="en-US" w:eastAsia="zh-CN"/>
        </w:rPr>
        <w:t xml:space="preserve">不提供不得分</w:t>
      </w:r>
      <w:r>
        <w:rPr>
          <w:rFonts w:hint="eastAsia" w:ascii="Times New Roman" w:hAnsi="宋体" w:eastAsia="宋体"/>
          <w:sz w:val="21"/>
          <w:szCs w:val="21"/>
          <w:highlight w:val="none"/>
        </w:rPr>
        <w:t xml:space="preserve">。最高</w:t>
      </w:r>
      <w:r>
        <w:rPr>
          <w:rFonts w:hint="eastAsia" w:ascii="Times New Roman" w:hAnsi="宋体" w:eastAsia="宋体"/>
          <w:sz w:val="21"/>
          <w:szCs w:val="21"/>
          <w:highlight w:val="none"/>
          <w:lang w:val="en-US" w:eastAsia="zh-CN"/>
        </w:rPr>
        <w:t xml:space="preserve">得12</w:t>
      </w:r>
      <w:r>
        <w:rPr>
          <w:rFonts w:hint="eastAsia" w:ascii="Times New Roman" w:hAnsi="宋体" w:eastAsia="宋体"/>
          <w:sz w:val="21"/>
          <w:szCs w:val="21"/>
          <w:highlight w:val="none"/>
        </w:rPr>
        <w:t xml:space="preserve">分。</w:t>
      </w:r>
      <w:r/>
    </w:p>
    <w:p>
      <w:pPr>
        <w:pStyle w:val="961"/>
        <w:ind w:firstLine="315"/>
        <w:keepLines w:val="0"/>
        <w:keepNext w:val="0"/>
        <w:pageBreakBefore w:val="0"/>
        <w:spacing w:line="360" w:lineRule="auto"/>
        <w:widowControl w:val="off"/>
        <w:rPr>
          <w:rFonts w:ascii="Times New Roman" w:hAnsi="宋体" w:eastAsia="宋体"/>
          <w:sz w:val="21"/>
          <w:szCs w:val="21"/>
          <w:highlight w:val="none"/>
        </w:rPr>
      </w:pPr>
      <w:r>
        <w:rPr>
          <w:rFonts w:hint="eastAsia" w:ascii="Times New Roman" w:hAnsi="宋体" w:eastAsia="宋体"/>
          <w:sz w:val="21"/>
          <w:szCs w:val="21"/>
          <w:highlight w:val="none"/>
          <w:lang w:val="en-US" w:eastAsia="zh-CN"/>
        </w:rPr>
        <w:t xml:space="preserve">3、承保服务方案</w:t>
      </w:r>
      <w:r>
        <w:rPr>
          <w:rFonts w:hint="eastAsia" w:ascii="Times New Roman" w:hAnsi="宋体" w:eastAsia="宋体"/>
          <w:sz w:val="21"/>
          <w:szCs w:val="21"/>
          <w:highlight w:val="none"/>
        </w:rPr>
        <w:t xml:space="preserve">比较（</w:t>
      </w:r>
      <w:r>
        <w:rPr>
          <w:rFonts w:hint="eastAsia" w:ascii="Times New Roman" w:hAnsi="宋体" w:eastAsia="宋体"/>
          <w:sz w:val="21"/>
          <w:szCs w:val="21"/>
          <w:highlight w:val="none"/>
          <w:lang w:val="en-US" w:eastAsia="zh-CN"/>
        </w:rPr>
        <w:t xml:space="preserve">10</w:t>
      </w:r>
      <w:r>
        <w:rPr>
          <w:rFonts w:hint="eastAsia" w:ascii="Times New Roman" w:hAnsi="宋体" w:eastAsia="宋体"/>
          <w:sz w:val="21"/>
          <w:szCs w:val="21"/>
          <w:highlight w:val="none"/>
        </w:rPr>
        <w:t xml:space="preserve">分）</w:t>
      </w:r>
      <w:r/>
    </w:p>
    <w:p>
      <w:pPr>
        <w:pStyle w:val="961"/>
        <w:ind w:firstLine="315"/>
        <w:keepLines w:val="0"/>
        <w:keepNext w:val="0"/>
        <w:pageBreakBefore w:val="0"/>
        <w:spacing w:line="360" w:lineRule="auto"/>
        <w:widowControl w:val="off"/>
        <w:rPr>
          <w:rFonts w:ascii="Times New Roman" w:hAnsi="宋体" w:eastAsia="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简化投保手续，描述投保时所需资料， 供应商明确体现简化程序，根据该程度的合理性、科学性，方案切实可行、优于项目需求的，得</w:t>
      </w:r>
      <w:r>
        <w:rPr>
          <w:rFonts w:hint="eastAsia"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t xml:space="preserve">分；基本可行，符合项目需求的，得</w:t>
      </w:r>
      <w:r>
        <w:rPr>
          <w:rFonts w:hint="eastAsia"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分；方案存在不足的，得4分；</w:t>
      </w:r>
      <w:r>
        <w:rPr>
          <w:rFonts w:hint="eastAsia" w:ascii="Times New Roman" w:hAnsi="宋体" w:eastAsia="宋体"/>
          <w:sz w:val="21"/>
          <w:szCs w:val="21"/>
          <w:highlight w:val="none"/>
          <w:lang w:val="en-US" w:eastAsia="zh-CN"/>
        </w:rPr>
        <w:t xml:space="preserve">不提供不得分</w:t>
      </w:r>
      <w:r>
        <w:rPr>
          <w:rFonts w:hint="eastAsia" w:ascii="Times New Roman" w:hAnsi="宋体" w:eastAsia="宋体"/>
          <w:sz w:val="21"/>
          <w:szCs w:val="21"/>
          <w:highlight w:val="none"/>
        </w:rPr>
        <w:t xml:space="preserve">。最高</w:t>
      </w:r>
      <w:r>
        <w:rPr>
          <w:rFonts w:hint="eastAsia" w:ascii="Times New Roman" w:hAnsi="宋体" w:eastAsia="宋体"/>
          <w:sz w:val="21"/>
          <w:szCs w:val="21"/>
          <w:highlight w:val="none"/>
          <w:lang w:val="en-US" w:eastAsia="zh-CN"/>
        </w:rPr>
        <w:t xml:space="preserve">得10</w:t>
      </w:r>
      <w:r>
        <w:rPr>
          <w:rFonts w:hint="eastAsia" w:ascii="Times New Roman" w:hAnsi="宋体" w:eastAsia="宋体"/>
          <w:sz w:val="21"/>
          <w:szCs w:val="21"/>
          <w:highlight w:val="none"/>
        </w:rPr>
        <w:t xml:space="preserve">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4、服务承诺及方案制订（10分）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响应单位是否认真制订了专业培训等计划，相关分析指标包括：服务创新性、服务手册、回访制度、专业培训内容和时间计划等全面、完善、可操作性强得 10分；内容较全面、较完善、较可行得 7分；内容基本全面、基本可行得 4分；不提供不得分</w:t>
      </w:r>
      <w:r>
        <w:rPr>
          <w:rFonts w:hint="eastAsia" w:ascii="Times New Roman" w:hAnsi="宋体" w:eastAsia="宋体"/>
          <w:sz w:val="21"/>
          <w:szCs w:val="21"/>
          <w:highlight w:val="none"/>
        </w:rPr>
        <w:t xml:space="preserve">。最高</w:t>
      </w:r>
      <w:r>
        <w:rPr>
          <w:rFonts w:hint="eastAsia" w:ascii="Times New Roman" w:hAnsi="宋体" w:eastAsia="宋体"/>
          <w:sz w:val="21"/>
          <w:szCs w:val="21"/>
          <w:highlight w:val="none"/>
          <w:lang w:val="en-US" w:eastAsia="zh-CN"/>
        </w:rPr>
        <w:t xml:space="preserve">得10</w:t>
      </w:r>
      <w:r>
        <w:rPr>
          <w:rFonts w:hint="eastAsia" w:ascii="Times New Roman" w:hAnsi="宋体" w:eastAsia="宋体"/>
          <w:sz w:val="21"/>
          <w:szCs w:val="21"/>
          <w:highlight w:val="none"/>
        </w:rPr>
        <w:t xml:space="preserve">分</w:t>
      </w:r>
      <w:r>
        <w:rPr>
          <w:rFonts w:hint="eastAsia" w:ascii="Times New Roman" w:hAnsi="宋体" w:eastAsia="宋体"/>
          <w:sz w:val="21"/>
          <w:szCs w:val="21"/>
          <w:highlight w:val="none"/>
          <w:lang w:val="en-US" w:eastAsia="zh-CN"/>
        </w:rPr>
        <w:t xml:space="preserve">。</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5、服务质量承诺及监督措施（10分）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bookmarkStart w:id="18" w:name="_GoBack"/>
      <w:r>
        <w:rPr>
          <w:rFonts w:hint="eastAsia" w:ascii="Times New Roman" w:hAnsi="宋体" w:eastAsia="宋体"/>
          <w:sz w:val="21"/>
          <w:szCs w:val="21"/>
          <w:highlight w:val="none"/>
          <w:lang w:val="en-US" w:eastAsia="zh-CN"/>
        </w:rPr>
        <w:t xml:space="preserve">响应单位承诺的确保其服务质量的监督措施和赔款未能及时到位的违约责任，包括服务投诉处理办法、服务监督措施、赔款滞纳金、争议处理等，内容全面、完善、清晰、有效、可行得10分；内容较全面、较清晰、较可行得7分；内容基本全面、基本可行得4分；不提供不得分</w:t>
      </w:r>
      <w:r>
        <w:rPr>
          <w:rFonts w:hint="eastAsia" w:ascii="Times New Roman" w:hAnsi="宋体" w:eastAsia="宋体"/>
          <w:sz w:val="21"/>
          <w:szCs w:val="21"/>
          <w:highlight w:val="none"/>
        </w:rPr>
        <w:t xml:space="preserve">。最高</w:t>
      </w:r>
      <w:r>
        <w:rPr>
          <w:rFonts w:hint="eastAsia" w:ascii="Times New Roman" w:hAnsi="宋体" w:eastAsia="宋体"/>
          <w:sz w:val="21"/>
          <w:szCs w:val="21"/>
          <w:highlight w:val="none"/>
          <w:lang w:val="en-US" w:eastAsia="zh-CN"/>
        </w:rPr>
        <w:t xml:space="preserve">得10</w:t>
      </w:r>
      <w:r>
        <w:rPr>
          <w:rFonts w:hint="eastAsia" w:ascii="Times New Roman" w:hAnsi="宋体" w:eastAsia="宋体"/>
          <w:sz w:val="21"/>
          <w:szCs w:val="21"/>
          <w:highlight w:val="none"/>
        </w:rPr>
        <w:t xml:space="preserve">分</w:t>
      </w:r>
      <w:r>
        <w:rPr>
          <w:rFonts w:hint="eastAsia" w:ascii="Times New Roman" w:hAnsi="宋体" w:eastAsia="宋体"/>
          <w:sz w:val="21"/>
          <w:szCs w:val="21"/>
          <w:highlight w:val="none"/>
          <w:lang w:val="en-US" w:eastAsia="zh-CN"/>
        </w:rPr>
        <w:t xml:space="preserve">。</w:t>
      </w:r>
      <w:bookmarkEnd w:id="18"/>
      <w:r/>
      <w:r/>
    </w:p>
    <w:p>
      <w:pPr>
        <w:ind w:firstLine="371"/>
        <w:spacing w:line="360" w:lineRule="auto"/>
        <w:tabs>
          <w:tab w:val="left" w:pos="360" w:leader="none"/>
        </w:tabs>
        <w:rPr>
          <w:rFonts w:hint="eastAsia" w:hAnsi="宋体"/>
          <w:sz w:val="21"/>
          <w:szCs w:val="21"/>
          <w:highlight w:val="none"/>
          <w:lang w:val="en-US" w:eastAsia="zh-CN"/>
        </w:rPr>
      </w:pPr>
      <w:r>
        <w:rPr>
          <w:rFonts w:hint="eastAsia" w:hAnsi="宋体"/>
          <w:sz w:val="21"/>
          <w:szCs w:val="21"/>
          <w:highlight w:val="none"/>
          <w:lang w:val="en-US" w:eastAsia="zh-CN"/>
        </w:rPr>
        <w:t xml:space="preserve">（三）公司评价（36分）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1、公司的类似业务经验（8分）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响应单位提供2022年以来独家承保类似保险项目的业绩，每个项目得2分，最多得8分。同一保险或服务项目的均不得累计。响应文件中提供保单或合同的复印件并加盖公章，不提供不得分。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2、保险公司服务质量指数（10分）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根据响应单位总公司2024年度保险服务质量指数进行评分：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响应单位中排名第一，得10分；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响应单位中排名第二，得6分；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响应单位中排名第三，得2分；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响应单位中排名第四及以后不得分。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响应文件中提供中国保信官网公布的响应单位总公司2024年度保险服务质量指数排名结果并加盖响应单位公章，不提供不得分。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3、保险公司的综合偿付能力（10分）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根据响应单位总公司2024年度已披露的综合偿付能力充足率进行评分：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2024年度综合偿付能力充足率≥210%，得10分；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180%≤2024年度综合偿付能力充足率＜210%，得6分；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150%≤2024年度综合偿付能力充足率＜180%，得2分；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2024年度综合偿付能力充足率低于150%的不得分。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响应文件中提供响应单位总公司在中国保险行业协会公布的《2024年度信息披露报告》并加盖响应单位公章，不提供不得分。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4、风险综合评级评价（8分）</w:t>
      </w:r>
      <w:r/>
    </w:p>
    <w:p>
      <w:pPr>
        <w:pStyle w:val="961"/>
        <w:ind w:firstLine="315"/>
        <w:keepLines w:val="0"/>
        <w:keepNext w:val="0"/>
        <w:pageBreakBefore w:val="0"/>
        <w:spacing w:line="360" w:lineRule="auto"/>
        <w:widowControl w:val="off"/>
        <w:rPr>
          <w:rFonts w:hint="eastAsia" w:ascii="Times New Roman" w:hAnsi="宋体" w:eastAsia="宋体"/>
          <w:sz w:val="21"/>
          <w:szCs w:val="21"/>
          <w:highlight w:val="none"/>
          <w:lang w:val="en-US" w:eastAsia="zh-CN"/>
        </w:rPr>
      </w:pPr>
      <w:r>
        <w:rPr>
          <w:rFonts w:hint="eastAsia" w:ascii="Times New Roman" w:hAnsi="宋体" w:eastAsia="宋体"/>
          <w:sz w:val="21"/>
          <w:szCs w:val="21"/>
          <w:highlight w:val="none"/>
          <w:lang w:val="en-US" w:eastAsia="zh-CN"/>
        </w:rPr>
        <w:t xml:space="preserve">根据响应单位总公司2024年已披露的四个季度风险综合评级结果进行评分：四个季度评级均为AAA/AA/A 级的得8分，三个季度评级为AAA/AA/A 级的得5分，两个季度评级为AAA/AA/A 级的得2分，其余不得分。</w:t>
      </w:r>
      <w:r/>
    </w:p>
    <w:p>
      <w:pPr>
        <w:pStyle w:val="961"/>
        <w:ind w:firstLine="420"/>
        <w:keepLines w:val="0"/>
        <w:keepNext w:val="0"/>
        <w:pageBreakBefore w:val="0"/>
        <w:spacing w:line="360" w:lineRule="auto"/>
        <w:widowControl w:val="off"/>
        <w:rPr>
          <w:rFonts w:hAnsi="宋体"/>
          <w:sz w:val="21"/>
          <w:szCs w:val="21"/>
          <w:highlight w:val="none"/>
        </w:rPr>
      </w:pPr>
      <w:r>
        <w:rPr>
          <w:rFonts w:hint="eastAsia" w:ascii="Times New Roman" w:hAnsi="宋体" w:eastAsia="宋体"/>
          <w:sz w:val="21"/>
          <w:szCs w:val="21"/>
          <w:highlight w:val="none"/>
          <w:lang w:val="en-US" w:eastAsia="zh-CN"/>
        </w:rPr>
        <w:t xml:space="preserve">响应文件中提供响应单位总公司2024年已披露的四个季度中国银保监偿二代监管信息系统评级结果或其他证明材料并加盖响应单位公章，不提供不得分。</w:t>
      </w:r>
      <w:r/>
    </w:p>
    <w:p>
      <w:pPr>
        <w:ind w:firstLine="371"/>
        <w:spacing w:line="360" w:lineRule="auto"/>
        <w:tabs>
          <w:tab w:val="left" w:pos="360" w:leader="none"/>
        </w:tabs>
        <w:rPr>
          <w:rFonts w:hAnsi="宋体"/>
          <w:sz w:val="21"/>
          <w:szCs w:val="21"/>
          <w:highlight w:val="none"/>
        </w:rPr>
      </w:pPr>
      <w:r>
        <w:rPr>
          <w:rFonts w:hAnsi="宋体"/>
          <w:sz w:val="21"/>
          <w:szCs w:val="21"/>
          <w:highlight w:val="none"/>
        </w:rPr>
      </w:r>
      <w:r/>
    </w:p>
    <w:p>
      <w:pPr>
        <w:ind w:firstLine="371"/>
        <w:spacing w:line="360" w:lineRule="auto"/>
        <w:tabs>
          <w:tab w:val="left" w:pos="360" w:leader="none"/>
        </w:tabs>
        <w:rPr>
          <w:rFonts w:hAnsi="宋体"/>
          <w:sz w:val="21"/>
          <w:szCs w:val="21"/>
          <w:highlight w:val="none"/>
        </w:rPr>
      </w:pPr>
      <w:r>
        <w:rPr>
          <w:rFonts w:hAnsi="宋体"/>
          <w:sz w:val="21"/>
          <w:szCs w:val="21"/>
          <w:highlight w:val="none"/>
        </w:rPr>
        <w:t xml:space="preserve">说明：</w:t>
      </w:r>
      <w:r/>
    </w:p>
    <w:p>
      <w:pPr>
        <w:ind w:firstLine="371"/>
        <w:spacing w:line="360" w:lineRule="auto"/>
        <w:tabs>
          <w:tab w:val="left" w:pos="360" w:leader="none"/>
        </w:tabs>
        <w:rPr>
          <w:rFonts w:hint="eastAsia" w:hAnsi="宋体"/>
          <w:sz w:val="21"/>
          <w:szCs w:val="21"/>
          <w:highlight w:val="none"/>
        </w:rPr>
      </w:pPr>
      <w:r>
        <w:rPr>
          <w:rFonts w:hint="eastAsia" w:hAnsi="宋体"/>
          <w:sz w:val="21"/>
          <w:szCs w:val="21"/>
          <w:highlight w:val="none"/>
          <w:lang w:val="en-US" w:eastAsia="zh-CN"/>
        </w:rPr>
        <w:t xml:space="preserve">1、</w:t>
      </w:r>
      <w:r>
        <w:rPr>
          <w:rFonts w:hint="eastAsia" w:hAnsi="宋体"/>
          <w:sz w:val="21"/>
          <w:szCs w:val="21"/>
          <w:highlight w:val="none"/>
        </w:rPr>
        <w:t xml:space="preserve">针对评分标准中评分的每一条，供应商均应提供相关资料并作出相应说明供磋商小组评判，不提供相关资料的视为不具备该项得分的条件。</w:t>
      </w:r>
      <w:r/>
    </w:p>
    <w:p>
      <w:pPr>
        <w:ind w:firstLine="420"/>
        <w:spacing w:line="360" w:lineRule="auto"/>
        <w:tabs>
          <w:tab w:val="left" w:pos="360" w:leader="none"/>
        </w:tabs>
        <w:rPr>
          <w:rFonts w:hAnsi="宋体"/>
          <w:sz w:val="21"/>
          <w:szCs w:val="21"/>
        </w:rPr>
      </w:pPr>
      <w:r>
        <w:rPr>
          <w:rFonts w:hint="eastAsia" w:hAnsi="宋体"/>
          <w:sz w:val="21"/>
          <w:szCs w:val="21"/>
          <w:lang w:val="en-US" w:eastAsia="zh-CN"/>
        </w:rPr>
        <w:t xml:space="preserve">2、</w:t>
      </w:r>
      <w:r>
        <w:rPr>
          <w:rFonts w:hint="eastAsia" w:hAnsi="宋体"/>
          <w:sz w:val="21"/>
          <w:szCs w:val="21"/>
        </w:rPr>
        <w:t xml:space="preserve">磋商供应商必须保证全部响应资料的真实性，如有虚假或对磋商采购文件所要求说明的情况故意隐瞒或虚报，将按《中华人民共和国政府采购法》第七十七条“提供虚假材料谋取中标、成交”相关处理办法处理。</w:t>
      </w:r>
      <w:r/>
    </w:p>
    <w:p>
      <w:pPr>
        <w:spacing w:line="360" w:lineRule="auto"/>
        <w:tabs>
          <w:tab w:val="left" w:pos="360" w:leader="none"/>
        </w:tabs>
        <w:rPr>
          <w:rFonts w:hAnsi="宋体"/>
          <w:sz w:val="21"/>
          <w:szCs w:val="21"/>
        </w:rPr>
      </w:pPr>
      <w:r>
        <w:rPr>
          <w:rFonts w:hAnsi="宋体"/>
          <w:sz w:val="21"/>
          <w:szCs w:val="21"/>
        </w:rPr>
      </w:r>
      <w:r/>
    </w:p>
    <w:p>
      <w:pPr>
        <w:jc w:val="right"/>
        <w:rPr>
          <w:sz w:val="21"/>
          <w:szCs w:val="21"/>
        </w:rPr>
      </w:pPr>
      <w:r>
        <w:rPr>
          <w:rFonts w:hint="eastAsia"/>
          <w:sz w:val="21"/>
          <w:szCs w:val="21"/>
        </w:rPr>
        <w:t xml:space="preserve">全文完</w:t>
      </w:r>
      <w:r/>
    </w:p>
    <w:sectPr>
      <w:footerReference w:type="default" r:id="rId11"/>
      <w:footerReference w:type="first" r:id="rId12"/>
      <w:footnotePr/>
      <w:endnotePr/>
      <w:type w:val="nextPage"/>
      <w:pgSz w:w="11906" w:h="16838" w:orient="portrait"/>
      <w:pgMar w:top="1440" w:right="1797"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仿宋">
    <w:panose1 w:val="02010609060101010101"/>
  </w:font>
  <w:font w:name="Courier New">
    <w:panose1 w:val="02070309020205020404"/>
  </w:font>
  <w:font w:name="Tahoma">
    <w:panose1 w:val="020B0604030504040204"/>
  </w:font>
  <w:font w:name="方正仿宋简体">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Cambria">
    <w:panose1 w:val="02040503050406030204"/>
  </w:font>
  <w:font w:name="楷体_GB2312">
    <w:panose1 w:val="02010609060101010101"/>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w:rPr>
        <w:rFonts w:hint="eastAsia"/>
      </w:rPr>
      <w:fldChar w:fldCharType="begin"/>
    </w:r>
    <w:r>
      <w:instrText xml:space="preserve"> PAGE   \* MERGEFORMAT </w:instrText>
    </w:r>
    <w:r>
      <w:rPr>
        <w:rFonts w:hint="eastAsia"/>
      </w:rPr>
      <w:fldChar w:fldCharType="separate"/>
    </w:r>
    <w:r>
      <w:rPr>
        <w:lang w:val="zh-CN"/>
      </w:rPr>
      <w:t xml:space="preserve">44</w:t>
    </w:r>
    <w:r>
      <w:rPr>
        <w:rFonts w:hint="eastAsia"/>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w:rPr>
        <w:rFonts w:hint="eastAsia"/>
      </w:rPr>
      <w:fldChar w:fldCharType="begin"/>
    </w:r>
    <w:r>
      <w:instrText xml:space="preserve"> PAGE   \* MERGEFORMAT </w:instrText>
    </w:r>
    <w:r>
      <w:rPr>
        <w:rFonts w:hint="eastAsia"/>
      </w:rPr>
      <w:fldChar w:fldCharType="separate"/>
    </w:r>
    <w:r>
      <w:rPr>
        <w:lang w:val="zh-CN"/>
      </w:rPr>
      <w:t xml:space="preserve">1</w:t>
    </w:r>
    <w:r>
      <w:rPr>
        <w:rFonts w:hint="eastAsia"/>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pPr>
    <w:r>
      <w:rPr>
        <w:rFonts w:hint="eastAsia"/>
      </w:rPr>
      <w:t xml:space="preserve">苏州建龙工程建设咨询有限公司采购文件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pPr>
    <w:r>
      <w:rPr>
        <w:rFonts w:hint="eastAsia"/>
      </w:rPr>
      <w:t xml:space="preserve">苏州建龙工程建设咨询有限公司采购文件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45"/>
    <w:link w:val="836"/>
    <w:uiPriority w:val="9"/>
    <w:rPr>
      <w:rFonts w:ascii="Arial" w:hAnsi="Arial" w:eastAsia="Arial" w:cs="Arial"/>
      <w:sz w:val="40"/>
      <w:szCs w:val="40"/>
    </w:rPr>
  </w:style>
  <w:style w:type="character" w:styleId="689">
    <w:name w:val="Heading 2 Char"/>
    <w:basedOn w:val="845"/>
    <w:link w:val="837"/>
    <w:uiPriority w:val="9"/>
    <w:rPr>
      <w:rFonts w:ascii="Arial" w:hAnsi="Arial" w:eastAsia="Arial" w:cs="Arial"/>
      <w:sz w:val="34"/>
    </w:rPr>
  </w:style>
  <w:style w:type="character" w:styleId="690">
    <w:name w:val="Heading 3 Char"/>
    <w:basedOn w:val="845"/>
    <w:link w:val="838"/>
    <w:uiPriority w:val="9"/>
    <w:rPr>
      <w:rFonts w:ascii="Arial" w:hAnsi="Arial" w:eastAsia="Arial" w:cs="Arial"/>
      <w:sz w:val="30"/>
      <w:szCs w:val="30"/>
    </w:rPr>
  </w:style>
  <w:style w:type="character" w:styleId="691">
    <w:name w:val="Heading 4 Char"/>
    <w:basedOn w:val="845"/>
    <w:link w:val="839"/>
    <w:uiPriority w:val="9"/>
    <w:rPr>
      <w:rFonts w:ascii="Arial" w:hAnsi="Arial" w:eastAsia="Arial" w:cs="Arial"/>
      <w:b/>
      <w:bCs/>
      <w:sz w:val="26"/>
      <w:szCs w:val="26"/>
    </w:rPr>
  </w:style>
  <w:style w:type="character" w:styleId="692">
    <w:name w:val="Heading 5 Char"/>
    <w:basedOn w:val="845"/>
    <w:link w:val="840"/>
    <w:uiPriority w:val="9"/>
    <w:rPr>
      <w:rFonts w:ascii="Arial" w:hAnsi="Arial" w:eastAsia="Arial" w:cs="Arial"/>
      <w:b/>
      <w:bCs/>
      <w:sz w:val="24"/>
      <w:szCs w:val="24"/>
    </w:rPr>
  </w:style>
  <w:style w:type="character" w:styleId="693">
    <w:name w:val="Heading 6 Char"/>
    <w:basedOn w:val="845"/>
    <w:link w:val="841"/>
    <w:uiPriority w:val="9"/>
    <w:rPr>
      <w:rFonts w:ascii="Arial" w:hAnsi="Arial" w:eastAsia="Arial" w:cs="Arial"/>
      <w:b/>
      <w:bCs/>
      <w:sz w:val="22"/>
      <w:szCs w:val="22"/>
    </w:rPr>
  </w:style>
  <w:style w:type="character" w:styleId="694">
    <w:name w:val="Heading 7 Char"/>
    <w:basedOn w:val="845"/>
    <w:link w:val="842"/>
    <w:uiPriority w:val="9"/>
    <w:rPr>
      <w:rFonts w:ascii="Arial" w:hAnsi="Arial" w:eastAsia="Arial" w:cs="Arial"/>
      <w:b/>
      <w:bCs/>
      <w:i/>
      <w:iCs/>
      <w:sz w:val="22"/>
      <w:szCs w:val="22"/>
    </w:rPr>
  </w:style>
  <w:style w:type="character" w:styleId="695">
    <w:name w:val="Heading 8 Char"/>
    <w:basedOn w:val="845"/>
    <w:link w:val="843"/>
    <w:uiPriority w:val="9"/>
    <w:rPr>
      <w:rFonts w:ascii="Arial" w:hAnsi="Arial" w:eastAsia="Arial" w:cs="Arial"/>
      <w:i/>
      <w:iCs/>
      <w:sz w:val="22"/>
      <w:szCs w:val="22"/>
    </w:rPr>
  </w:style>
  <w:style w:type="character" w:styleId="696">
    <w:name w:val="Heading 9 Char"/>
    <w:basedOn w:val="845"/>
    <w:link w:val="844"/>
    <w:uiPriority w:val="9"/>
    <w:rPr>
      <w:rFonts w:ascii="Arial" w:hAnsi="Arial" w:eastAsia="Arial" w:cs="Arial"/>
      <w:i/>
      <w:iCs/>
      <w:sz w:val="21"/>
      <w:szCs w:val="21"/>
    </w:rPr>
  </w:style>
  <w:style w:type="character" w:styleId="697">
    <w:name w:val="Title Char"/>
    <w:basedOn w:val="845"/>
    <w:link w:val="892"/>
    <w:uiPriority w:val="10"/>
    <w:rPr>
      <w:sz w:val="48"/>
      <w:szCs w:val="48"/>
    </w:rPr>
  </w:style>
  <w:style w:type="character" w:styleId="698">
    <w:name w:val="Subtitle Char"/>
    <w:basedOn w:val="845"/>
    <w:link w:val="879"/>
    <w:uiPriority w:val="11"/>
    <w:rPr>
      <w:sz w:val="24"/>
      <w:szCs w:val="24"/>
    </w:rPr>
  </w:style>
  <w:style w:type="paragraph" w:styleId="699">
    <w:name w:val="Quote"/>
    <w:basedOn w:val="835"/>
    <w:next w:val="835"/>
    <w:link w:val="700"/>
    <w:uiPriority w:val="29"/>
    <w:qFormat/>
    <w:pPr>
      <w:ind w:left="720" w:right="720"/>
    </w:pPr>
    <w:rPr>
      <w:i/>
    </w:rPr>
  </w:style>
  <w:style w:type="character" w:styleId="700">
    <w:name w:val="Quote Char"/>
    <w:link w:val="699"/>
    <w:uiPriority w:val="29"/>
    <w:rPr>
      <w:i/>
    </w:rPr>
  </w:style>
  <w:style w:type="paragraph" w:styleId="701">
    <w:name w:val="Intense Quote"/>
    <w:basedOn w:val="835"/>
    <w:next w:val="835"/>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45"/>
    <w:link w:val="874"/>
    <w:uiPriority w:val="99"/>
  </w:style>
  <w:style w:type="character" w:styleId="704">
    <w:name w:val="Footer Char"/>
    <w:basedOn w:val="845"/>
    <w:link w:val="873"/>
    <w:uiPriority w:val="99"/>
  </w:style>
  <w:style w:type="paragraph" w:styleId="705">
    <w:name w:val="Caption"/>
    <w:basedOn w:val="835"/>
    <w:next w:val="835"/>
    <w:uiPriority w:val="35"/>
    <w:semiHidden/>
    <w:unhideWhenUsed/>
    <w:qFormat/>
    <w:pPr>
      <w:spacing w:line="276" w:lineRule="auto"/>
    </w:pPr>
    <w:rPr>
      <w:b/>
      <w:bCs/>
      <w:color w:val="4f81bd" w:themeColor="accent1"/>
      <w:sz w:val="18"/>
      <w:szCs w:val="18"/>
    </w:rPr>
  </w:style>
  <w:style w:type="character" w:styleId="706">
    <w:name w:val="Caption Char"/>
    <w:basedOn w:val="705"/>
    <w:link w:val="873"/>
    <w:uiPriority w:val="99"/>
  </w:style>
  <w:style w:type="table" w:styleId="707">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3">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4">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5">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6">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7">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8">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5">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8">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9">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0">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1">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2">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3">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6">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7">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8">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9">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0">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9">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0">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1">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2">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3">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4">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6">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7">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8">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9">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0">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1">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3">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7">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2">
    <w:name w:val="Footnote Text Char"/>
    <w:link w:val="880"/>
    <w:uiPriority w:val="99"/>
    <w:rPr>
      <w:sz w:val="18"/>
    </w:rPr>
  </w:style>
  <w:style w:type="character" w:styleId="833">
    <w:name w:val="Endnote Text Char"/>
    <w:link w:val="871"/>
    <w:uiPriority w:val="99"/>
    <w:rPr>
      <w:sz w:val="20"/>
    </w:rPr>
  </w:style>
  <w:style w:type="paragraph" w:styleId="834">
    <w:name w:val="TOC Heading"/>
    <w:uiPriority w:val="39"/>
    <w:unhideWhenUsed/>
  </w:style>
  <w:style w:type="paragraph" w:styleId="835" w:default="1">
    <w:name w:val="Normal"/>
    <w:next w:val="847"/>
    <w:uiPriority w:val="0"/>
    <w:qFormat/>
    <w:pPr>
      <w:jc w:val="both"/>
      <w:widowControl w:val="off"/>
    </w:pPr>
    <w:rPr>
      <w:rFonts w:ascii="Times New Roman" w:hAnsi="Times New Roman" w:eastAsia="宋体" w:cs="Times New Roman"/>
      <w:sz w:val="21"/>
      <w:szCs w:val="24"/>
      <w:lang w:val="en-US" w:eastAsia="zh-CN" w:bidi="ar-SA"/>
    </w:rPr>
  </w:style>
  <w:style w:type="paragraph" w:styleId="836">
    <w:name w:val="Heading 1"/>
    <w:basedOn w:val="835"/>
    <w:next w:val="835"/>
    <w:link w:val="995"/>
    <w:uiPriority w:val="9"/>
    <w:qFormat/>
    <w:pPr>
      <w:keepLines/>
      <w:keepNext/>
      <w:spacing w:before="340" w:after="330" w:line="578" w:lineRule="auto"/>
      <w:outlineLvl w:val="0"/>
    </w:pPr>
    <w:rPr>
      <w:rFonts w:ascii="Calibri" w:hAnsi="Calibri" w:eastAsia="楷体_GB2312"/>
      <w:b/>
      <w:sz w:val="44"/>
      <w:szCs w:val="20"/>
    </w:rPr>
  </w:style>
  <w:style w:type="paragraph" w:styleId="837">
    <w:name w:val="Heading 2"/>
    <w:basedOn w:val="848"/>
    <w:next w:val="835"/>
    <w:link w:val="959"/>
    <w:uiPriority w:val="9"/>
    <w:qFormat/>
    <w:pPr>
      <w:keepLines/>
      <w:keepNext/>
      <w:spacing w:before="260" w:after="260" w:line="416" w:lineRule="auto"/>
      <w:outlineLvl w:val="1"/>
    </w:pPr>
    <w:rPr>
      <w:rFonts w:ascii="Cambria" w:hAnsi="Cambria"/>
      <w:bCs/>
      <w:sz w:val="32"/>
      <w:szCs w:val="32"/>
    </w:rPr>
  </w:style>
  <w:style w:type="paragraph" w:styleId="838">
    <w:name w:val="Heading 3"/>
    <w:basedOn w:val="835"/>
    <w:next w:val="835"/>
    <w:link w:val="920"/>
    <w:uiPriority w:val="9"/>
    <w:qFormat/>
    <w:pPr>
      <w:jc w:val="left"/>
      <w:keepLines/>
      <w:keepNext/>
      <w:outlineLvl w:val="2"/>
    </w:pPr>
    <w:rPr>
      <w:rFonts w:ascii="Calibri" w:hAnsi="Calibri" w:eastAsia="楷体_GB2312"/>
      <w:b/>
      <w:sz w:val="26"/>
      <w:szCs w:val="20"/>
    </w:rPr>
  </w:style>
  <w:style w:type="paragraph" w:styleId="839">
    <w:name w:val="Heading 4"/>
    <w:basedOn w:val="835"/>
    <w:next w:val="835"/>
    <w:link w:val="956"/>
    <w:uiPriority w:val="0"/>
    <w:qFormat/>
    <w:pPr>
      <w:keepLines/>
      <w:keepNext/>
      <w:spacing w:before="280" w:after="290" w:line="376" w:lineRule="auto"/>
      <w:outlineLvl w:val="3"/>
    </w:pPr>
    <w:rPr>
      <w:rFonts w:ascii="Arial" w:hAnsi="Arial" w:eastAsia="黑体"/>
      <w:b/>
      <w:bCs/>
      <w:sz w:val="28"/>
      <w:szCs w:val="28"/>
    </w:rPr>
  </w:style>
  <w:style w:type="paragraph" w:styleId="840">
    <w:name w:val="Heading 5"/>
    <w:basedOn w:val="835"/>
    <w:next w:val="835"/>
    <w:link w:val="935"/>
    <w:uiPriority w:val="0"/>
    <w:qFormat/>
    <w:pPr>
      <w:jc w:val="left"/>
      <w:keepLines/>
      <w:keepNext/>
      <w:spacing w:before="280" w:after="290" w:line="376" w:lineRule="atLeast"/>
      <w:outlineLvl w:val="4"/>
    </w:pPr>
    <w:rPr>
      <w:rFonts w:ascii="宋体" w:hAnsi="Tms Rmn"/>
      <w:b/>
      <w:sz w:val="28"/>
      <w:szCs w:val="20"/>
    </w:rPr>
  </w:style>
  <w:style w:type="paragraph" w:styleId="841">
    <w:name w:val="Heading 6"/>
    <w:basedOn w:val="835"/>
    <w:next w:val="835"/>
    <w:link w:val="1006"/>
    <w:uiPriority w:val="0"/>
    <w:qFormat/>
    <w:pPr>
      <w:jc w:val="left"/>
      <w:keepLines/>
      <w:keepNext/>
      <w:spacing w:before="240" w:after="64" w:line="320" w:lineRule="atLeast"/>
      <w:outlineLvl w:val="5"/>
    </w:pPr>
    <w:rPr>
      <w:rFonts w:ascii="黑体" w:hAnsi="Tms Rmn" w:eastAsia="黑体"/>
      <w:b/>
      <w:sz w:val="24"/>
      <w:szCs w:val="20"/>
    </w:rPr>
  </w:style>
  <w:style w:type="paragraph" w:styleId="842">
    <w:name w:val="Heading 7"/>
    <w:basedOn w:val="835"/>
    <w:next w:val="835"/>
    <w:link w:val="951"/>
    <w:uiPriority w:val="0"/>
    <w:qFormat/>
    <w:pPr>
      <w:jc w:val="left"/>
      <w:keepLines/>
      <w:keepNext/>
      <w:spacing w:before="240" w:after="64" w:line="320" w:lineRule="atLeast"/>
      <w:outlineLvl w:val="6"/>
    </w:pPr>
    <w:rPr>
      <w:rFonts w:ascii="宋体" w:hAnsi="Tms Rmn"/>
      <w:b/>
      <w:sz w:val="24"/>
      <w:szCs w:val="20"/>
    </w:rPr>
  </w:style>
  <w:style w:type="paragraph" w:styleId="843">
    <w:name w:val="Heading 8"/>
    <w:basedOn w:val="835"/>
    <w:next w:val="835"/>
    <w:link w:val="992"/>
    <w:uiPriority w:val="0"/>
    <w:qFormat/>
    <w:pPr>
      <w:keepLines/>
      <w:keepNext/>
      <w:spacing w:before="240" w:after="64" w:line="320" w:lineRule="auto"/>
      <w:outlineLvl w:val="7"/>
    </w:pPr>
    <w:rPr>
      <w:rFonts w:ascii="Arial" w:hAnsi="Arial" w:eastAsia="黑体"/>
      <w:sz w:val="24"/>
    </w:rPr>
  </w:style>
  <w:style w:type="paragraph" w:styleId="844">
    <w:name w:val="Heading 9"/>
    <w:basedOn w:val="835"/>
    <w:next w:val="835"/>
    <w:link w:val="962"/>
    <w:uiPriority w:val="0"/>
    <w:qFormat/>
    <w:pPr>
      <w:keepLines/>
      <w:keepNext/>
      <w:spacing w:before="240" w:after="64" w:line="320" w:lineRule="auto"/>
      <w:outlineLvl w:val="8"/>
    </w:pPr>
    <w:rPr>
      <w:rFonts w:ascii="Arial" w:hAnsi="Arial" w:eastAsia="黑体"/>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customStyle="1">
    <w:name w:val="段"/>
    <w:next w:val="835"/>
    <w:uiPriority w:val="0"/>
    <w:qFormat/>
    <w:pPr>
      <w:ind w:firstLine="200"/>
      <w:jc w:val="both"/>
    </w:pPr>
    <w:rPr>
      <w:rFonts w:ascii="宋体" w:hAnsi="Times New Roman" w:eastAsia="宋体" w:cs="Times New Roman"/>
      <w:sz w:val="21"/>
      <w:szCs w:val="22"/>
      <w:lang w:val="en-US" w:eastAsia="zh-CN" w:bidi="ar-SA"/>
    </w:rPr>
  </w:style>
  <w:style w:type="paragraph" w:styleId="848" w:customStyle="1">
    <w:name w:val="样式1"/>
    <w:basedOn w:val="835"/>
    <w:uiPriority w:val="0"/>
    <w:qFormat/>
    <w:pPr>
      <w:jc w:val="center"/>
    </w:pPr>
    <w:rPr>
      <w:rFonts w:ascii="宋体" w:hAnsi="宋体"/>
      <w:b/>
      <w:color w:val="000000"/>
      <w:sz w:val="32"/>
      <w:szCs w:val="24"/>
    </w:rPr>
  </w:style>
  <w:style w:type="paragraph" w:styleId="849">
    <w:name w:val="toc 7"/>
    <w:basedOn w:val="835"/>
    <w:next w:val="835"/>
    <w:uiPriority w:val="0"/>
    <w:qFormat/>
    <w:pPr>
      <w:ind w:left="2520"/>
    </w:pPr>
    <w:rPr>
      <w:rFonts w:eastAsia="楷体_GB2312"/>
      <w:sz w:val="26"/>
      <w:szCs w:val="20"/>
    </w:rPr>
  </w:style>
  <w:style w:type="paragraph" w:styleId="850">
    <w:name w:val="index 8"/>
    <w:basedOn w:val="835"/>
    <w:next w:val="835"/>
    <w:uiPriority w:val="0"/>
    <w:qFormat/>
    <w:pPr>
      <w:ind w:left="2940"/>
    </w:pPr>
    <w:rPr>
      <w:rFonts w:eastAsia="楷体_GB2312"/>
      <w:sz w:val="26"/>
      <w:szCs w:val="20"/>
    </w:rPr>
  </w:style>
  <w:style w:type="paragraph" w:styleId="851">
    <w:name w:val="List Number"/>
    <w:basedOn w:val="835"/>
    <w:uiPriority w:val="0"/>
    <w:qFormat/>
    <w:pPr>
      <w:ind w:left="1125" w:hanging="555"/>
      <w:tabs>
        <w:tab w:val="left" w:pos="1125" w:leader="none"/>
      </w:tabs>
    </w:pPr>
  </w:style>
  <w:style w:type="paragraph" w:styleId="852">
    <w:name w:val="Normal Indent"/>
    <w:basedOn w:val="835"/>
    <w:link w:val="914"/>
    <w:uiPriority w:val="0"/>
    <w:qFormat/>
    <w:pPr>
      <w:ind w:firstLine="420"/>
      <w:jc w:val="left"/>
      <w:widowControl/>
    </w:pPr>
    <w:rPr>
      <w:rFonts w:ascii="Calibri" w:hAnsi="Calibri" w:eastAsia="楷体_GB2312"/>
      <w:sz w:val="24"/>
      <w:szCs w:val="20"/>
    </w:rPr>
  </w:style>
  <w:style w:type="paragraph" w:styleId="853">
    <w:name w:val="index 5"/>
    <w:basedOn w:val="835"/>
    <w:next w:val="835"/>
    <w:uiPriority w:val="0"/>
    <w:qFormat/>
    <w:pPr>
      <w:ind w:left="1680"/>
    </w:pPr>
    <w:rPr>
      <w:rFonts w:eastAsia="楷体_GB2312"/>
      <w:sz w:val="26"/>
      <w:szCs w:val="20"/>
    </w:rPr>
  </w:style>
  <w:style w:type="paragraph" w:styleId="854">
    <w:name w:val="Document Map"/>
    <w:basedOn w:val="835"/>
    <w:link w:val="972"/>
    <w:uiPriority w:val="0"/>
    <w:unhideWhenUsed/>
    <w:qFormat/>
    <w:rPr>
      <w:rFonts w:ascii="宋体"/>
      <w:sz w:val="18"/>
      <w:szCs w:val="18"/>
    </w:rPr>
  </w:style>
  <w:style w:type="paragraph" w:styleId="855">
    <w:name w:val="annotation text"/>
    <w:basedOn w:val="835"/>
    <w:link w:val="952"/>
    <w:uiPriority w:val="0"/>
    <w:qFormat/>
    <w:pPr>
      <w:jc w:val="left"/>
    </w:pPr>
  </w:style>
  <w:style w:type="paragraph" w:styleId="856">
    <w:name w:val="index 6"/>
    <w:basedOn w:val="835"/>
    <w:next w:val="835"/>
    <w:uiPriority w:val="0"/>
    <w:qFormat/>
    <w:pPr>
      <w:ind w:left="2100"/>
    </w:pPr>
    <w:rPr>
      <w:rFonts w:eastAsia="楷体_GB2312"/>
      <w:sz w:val="26"/>
      <w:szCs w:val="20"/>
    </w:rPr>
  </w:style>
  <w:style w:type="paragraph" w:styleId="857">
    <w:name w:val="Body Text 3"/>
    <w:basedOn w:val="835"/>
    <w:link w:val="921"/>
    <w:uiPriority w:val="0"/>
    <w:qFormat/>
    <w:rPr>
      <w:rFonts w:ascii="宋体" w:hAnsi="Calibri"/>
      <w:sz w:val="24"/>
      <w:szCs w:val="20"/>
    </w:rPr>
  </w:style>
  <w:style w:type="paragraph" w:styleId="858">
    <w:name w:val="Body Text"/>
    <w:basedOn w:val="835"/>
    <w:next w:val="859"/>
    <w:link w:val="942"/>
    <w:uiPriority w:val="99"/>
    <w:unhideWhenUsed/>
    <w:qFormat/>
    <w:pPr>
      <w:spacing w:after="120"/>
    </w:pPr>
    <w:rPr>
      <w:rFonts w:ascii="Calibri" w:hAnsi="Calibri"/>
    </w:rPr>
  </w:style>
  <w:style w:type="paragraph" w:styleId="859">
    <w:name w:val="Body Text First Indent"/>
    <w:basedOn w:val="858"/>
    <w:next w:val="860"/>
    <w:link w:val="975"/>
    <w:uiPriority w:val="0"/>
    <w:qFormat/>
    <w:pPr>
      <w:ind w:firstLine="420"/>
    </w:pPr>
    <w:rPr>
      <w:rFonts w:eastAsia="楷体_GB2312"/>
      <w:sz w:val="26"/>
    </w:rPr>
  </w:style>
  <w:style w:type="paragraph" w:styleId="860">
    <w:name w:val="toc 6"/>
    <w:basedOn w:val="835"/>
    <w:next w:val="835"/>
    <w:uiPriority w:val="0"/>
    <w:qFormat/>
    <w:pPr>
      <w:ind w:left="2100"/>
    </w:pPr>
    <w:rPr>
      <w:rFonts w:eastAsia="楷体_GB2312"/>
      <w:sz w:val="26"/>
      <w:szCs w:val="20"/>
    </w:rPr>
  </w:style>
  <w:style w:type="paragraph" w:styleId="861">
    <w:name w:val="Body Text Indent"/>
    <w:basedOn w:val="835"/>
    <w:link w:val="987"/>
    <w:uiPriority w:val="99"/>
    <w:qFormat/>
    <w:pPr>
      <w:ind w:left="570"/>
      <w:spacing w:line="520" w:lineRule="exact"/>
    </w:pPr>
    <w:rPr>
      <w:rFonts w:ascii="方正仿宋简体" w:hAnsi="创艺简仿宋" w:eastAsia="方正仿宋简体"/>
      <w:sz w:val="24"/>
      <w:szCs w:val="20"/>
    </w:rPr>
  </w:style>
  <w:style w:type="paragraph" w:styleId="862">
    <w:name w:val="Block Text"/>
    <w:basedOn w:val="835"/>
    <w:uiPriority w:val="0"/>
    <w:qFormat/>
    <w:pPr>
      <w:ind w:left="630" w:right="-609" w:firstLine="420"/>
      <w:spacing w:line="360" w:lineRule="auto"/>
    </w:pPr>
    <w:rPr>
      <w:rFonts w:hint="eastAsia" w:ascii="仿宋_GB2312" w:hAnsi="Calibri" w:eastAsia="仿宋_GB2312"/>
      <w:szCs w:val="20"/>
    </w:rPr>
  </w:style>
  <w:style w:type="paragraph" w:styleId="863">
    <w:name w:val="index 4"/>
    <w:basedOn w:val="835"/>
    <w:next w:val="835"/>
    <w:uiPriority w:val="0"/>
    <w:qFormat/>
    <w:pPr>
      <w:ind w:left="1260"/>
    </w:pPr>
    <w:rPr>
      <w:rFonts w:eastAsia="楷体_GB2312"/>
      <w:sz w:val="26"/>
      <w:szCs w:val="20"/>
    </w:rPr>
  </w:style>
  <w:style w:type="paragraph" w:styleId="864">
    <w:name w:val="toc 5"/>
    <w:basedOn w:val="835"/>
    <w:next w:val="835"/>
    <w:uiPriority w:val="0"/>
    <w:qFormat/>
    <w:pPr>
      <w:ind w:left="1680"/>
    </w:pPr>
    <w:rPr>
      <w:rFonts w:eastAsia="楷体_GB2312"/>
      <w:sz w:val="26"/>
      <w:szCs w:val="20"/>
    </w:rPr>
  </w:style>
  <w:style w:type="paragraph" w:styleId="865">
    <w:name w:val="toc 3"/>
    <w:basedOn w:val="835"/>
    <w:next w:val="835"/>
    <w:uiPriority w:val="0"/>
    <w:unhideWhenUsed/>
    <w:qFormat/>
    <w:pPr>
      <w:ind w:left="840"/>
    </w:pPr>
  </w:style>
  <w:style w:type="paragraph" w:styleId="866">
    <w:name w:val="Plain Text"/>
    <w:basedOn w:val="835"/>
    <w:link w:val="1007"/>
    <w:uiPriority w:val="0"/>
    <w:qFormat/>
    <w:rPr>
      <w:rFonts w:ascii="宋体" w:hAnsi="Courier New" w:eastAsia="楷体_GB2312"/>
      <w:sz w:val="26"/>
      <w:szCs w:val="20"/>
    </w:rPr>
  </w:style>
  <w:style w:type="paragraph" w:styleId="867">
    <w:name w:val="toc 8"/>
    <w:basedOn w:val="835"/>
    <w:next w:val="835"/>
    <w:uiPriority w:val="0"/>
    <w:qFormat/>
    <w:pPr>
      <w:ind w:left="2940"/>
    </w:pPr>
    <w:rPr>
      <w:rFonts w:eastAsia="楷体_GB2312"/>
      <w:sz w:val="26"/>
      <w:szCs w:val="20"/>
    </w:rPr>
  </w:style>
  <w:style w:type="paragraph" w:styleId="868">
    <w:name w:val="index 3"/>
    <w:basedOn w:val="835"/>
    <w:next w:val="835"/>
    <w:uiPriority w:val="0"/>
    <w:qFormat/>
    <w:pPr>
      <w:ind w:left="840"/>
    </w:pPr>
    <w:rPr>
      <w:rFonts w:eastAsia="楷体_GB2312"/>
      <w:sz w:val="26"/>
      <w:szCs w:val="20"/>
    </w:rPr>
  </w:style>
  <w:style w:type="paragraph" w:styleId="869">
    <w:name w:val="Date"/>
    <w:basedOn w:val="835"/>
    <w:next w:val="835"/>
    <w:link w:val="919"/>
    <w:uiPriority w:val="0"/>
    <w:qFormat/>
    <w:rPr>
      <w:rFonts w:ascii="宋体" w:hAnsi="宋体" w:eastAsia="楷体_GB2312"/>
      <w:sz w:val="24"/>
      <w:szCs w:val="20"/>
    </w:rPr>
  </w:style>
  <w:style w:type="paragraph" w:styleId="870">
    <w:name w:val="Body Text Indent 2"/>
    <w:basedOn w:val="835"/>
    <w:link w:val="938"/>
    <w:uiPriority w:val="0"/>
    <w:qFormat/>
    <w:pPr>
      <w:ind w:left="420"/>
      <w:spacing w:after="120" w:line="480" w:lineRule="auto"/>
    </w:pPr>
    <w:rPr>
      <w:rFonts w:ascii="Calibri" w:hAnsi="Calibri"/>
    </w:rPr>
  </w:style>
  <w:style w:type="paragraph" w:styleId="871">
    <w:name w:val="endnote text"/>
    <w:basedOn w:val="835"/>
    <w:link w:val="989"/>
    <w:uiPriority w:val="0"/>
    <w:qFormat/>
    <w:pPr>
      <w:jc w:val="left"/>
    </w:pPr>
    <w:rPr>
      <w:rFonts w:ascii="Calibri" w:hAnsi="Calibri" w:eastAsia="楷体_GB2312"/>
      <w:sz w:val="26"/>
      <w:szCs w:val="22"/>
    </w:rPr>
  </w:style>
  <w:style w:type="paragraph" w:styleId="872">
    <w:name w:val="Balloon Text"/>
    <w:basedOn w:val="835"/>
    <w:link w:val="981"/>
    <w:uiPriority w:val="0"/>
    <w:qFormat/>
    <w:rPr>
      <w:sz w:val="18"/>
      <w:szCs w:val="18"/>
    </w:rPr>
  </w:style>
  <w:style w:type="paragraph" w:styleId="873">
    <w:name w:val="Footer"/>
    <w:basedOn w:val="835"/>
    <w:link w:val="932"/>
    <w:uiPriority w:val="0"/>
    <w:qFormat/>
    <w:pPr>
      <w:jc w:val="left"/>
      <w:tabs>
        <w:tab w:val="center" w:pos="4153" w:leader="none"/>
        <w:tab w:val="right" w:pos="8306" w:leader="none"/>
      </w:tabs>
    </w:pPr>
    <w:rPr>
      <w:rFonts w:ascii="Calibri" w:hAnsi="Calibri"/>
      <w:sz w:val="18"/>
      <w:szCs w:val="18"/>
    </w:rPr>
  </w:style>
  <w:style w:type="paragraph" w:styleId="874">
    <w:name w:val="Header"/>
    <w:basedOn w:val="835"/>
    <w:link w:val="922"/>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75">
    <w:name w:val="toc 1"/>
    <w:basedOn w:val="835"/>
    <w:next w:val="835"/>
    <w:uiPriority w:val="39"/>
    <w:qFormat/>
    <w:pPr>
      <w:jc w:val="left"/>
    </w:pPr>
    <w:rPr>
      <w:rFonts w:ascii="Calibri" w:hAnsi="Calibri" w:eastAsia="楷体_GB2312"/>
      <w:sz w:val="24"/>
      <w:szCs w:val="20"/>
    </w:rPr>
  </w:style>
  <w:style w:type="paragraph" w:styleId="876">
    <w:name w:val="toc 4"/>
    <w:basedOn w:val="835"/>
    <w:next w:val="835"/>
    <w:uiPriority w:val="0"/>
    <w:qFormat/>
    <w:pPr>
      <w:ind w:left="1260"/>
    </w:pPr>
    <w:rPr>
      <w:rFonts w:eastAsia="楷体_GB2312"/>
      <w:sz w:val="26"/>
      <w:szCs w:val="20"/>
    </w:rPr>
  </w:style>
  <w:style w:type="paragraph" w:styleId="877">
    <w:name w:val="index heading"/>
    <w:basedOn w:val="835"/>
    <w:next w:val="878"/>
    <w:uiPriority w:val="0"/>
    <w:qFormat/>
    <w:rPr>
      <w:rFonts w:eastAsia="楷体_GB2312"/>
      <w:sz w:val="26"/>
      <w:szCs w:val="20"/>
    </w:rPr>
  </w:style>
  <w:style w:type="paragraph" w:styleId="878">
    <w:name w:val="index 1"/>
    <w:basedOn w:val="835"/>
    <w:next w:val="835"/>
    <w:uiPriority w:val="0"/>
    <w:unhideWhenUsed/>
    <w:qFormat/>
  </w:style>
  <w:style w:type="paragraph" w:styleId="879">
    <w:name w:val="Subtitle"/>
    <w:basedOn w:val="835"/>
    <w:next w:val="835"/>
    <w:link w:val="990"/>
    <w:uiPriority w:val="0"/>
    <w:qFormat/>
    <w:pPr>
      <w:jc w:val="center"/>
      <w:spacing w:before="240" w:after="60" w:line="312" w:lineRule="auto"/>
      <w:outlineLvl w:val="1"/>
    </w:pPr>
    <w:rPr>
      <w:rFonts w:ascii="Cambria" w:hAnsi="Cambria"/>
      <w:b/>
      <w:bCs/>
      <w:sz w:val="32"/>
      <w:szCs w:val="32"/>
    </w:rPr>
  </w:style>
  <w:style w:type="paragraph" w:styleId="880">
    <w:name w:val="footnote text"/>
    <w:basedOn w:val="835"/>
    <w:link w:val="937"/>
    <w:uiPriority w:val="0"/>
    <w:qFormat/>
    <w:pPr>
      <w:jc w:val="left"/>
    </w:pPr>
    <w:rPr>
      <w:rFonts w:ascii="Calibri" w:hAnsi="Calibri" w:eastAsia="楷体_GB2312"/>
      <w:sz w:val="18"/>
      <w:szCs w:val="20"/>
    </w:rPr>
  </w:style>
  <w:style w:type="paragraph" w:styleId="881">
    <w:name w:val="Body Text Indent 3"/>
    <w:basedOn w:val="835"/>
    <w:link w:val="1017"/>
    <w:uiPriority w:val="0"/>
    <w:qFormat/>
    <w:pPr>
      <w:ind w:firstLine="480"/>
      <w:jc w:val="left"/>
      <w:spacing w:line="440" w:lineRule="atLeast"/>
    </w:pPr>
    <w:rPr>
      <w:sz w:val="24"/>
    </w:rPr>
  </w:style>
  <w:style w:type="paragraph" w:styleId="882">
    <w:name w:val="index 7"/>
    <w:basedOn w:val="835"/>
    <w:next w:val="835"/>
    <w:uiPriority w:val="0"/>
    <w:qFormat/>
    <w:pPr>
      <w:ind w:left="2520"/>
    </w:pPr>
    <w:rPr>
      <w:rFonts w:eastAsia="楷体_GB2312"/>
      <w:sz w:val="26"/>
      <w:szCs w:val="20"/>
    </w:rPr>
  </w:style>
  <w:style w:type="paragraph" w:styleId="883">
    <w:name w:val="index 9"/>
    <w:basedOn w:val="835"/>
    <w:next w:val="835"/>
    <w:uiPriority w:val="0"/>
    <w:qFormat/>
    <w:pPr>
      <w:ind w:left="3360"/>
    </w:pPr>
    <w:rPr>
      <w:rFonts w:eastAsia="楷体_GB2312"/>
      <w:sz w:val="26"/>
      <w:szCs w:val="20"/>
    </w:rPr>
  </w:style>
  <w:style w:type="paragraph" w:styleId="884">
    <w:name w:val="table of figures"/>
    <w:basedOn w:val="835"/>
    <w:next w:val="835"/>
    <w:uiPriority w:val="0"/>
    <w:qFormat/>
    <w:pPr>
      <w:ind w:left="420" w:hanging="420"/>
      <w:jc w:val="left"/>
    </w:pPr>
    <w:rPr>
      <w:rFonts w:eastAsia="楷体_GB2312"/>
      <w:smallCaps/>
      <w:sz w:val="24"/>
      <w:szCs w:val="20"/>
    </w:rPr>
  </w:style>
  <w:style w:type="paragraph" w:styleId="885">
    <w:name w:val="toc 2"/>
    <w:basedOn w:val="835"/>
    <w:next w:val="835"/>
    <w:uiPriority w:val="0"/>
    <w:unhideWhenUsed/>
    <w:qFormat/>
    <w:pPr>
      <w:ind w:left="420"/>
    </w:pPr>
  </w:style>
  <w:style w:type="paragraph" w:styleId="886">
    <w:name w:val="toc 9"/>
    <w:basedOn w:val="835"/>
    <w:next w:val="835"/>
    <w:uiPriority w:val="0"/>
    <w:qFormat/>
    <w:pPr>
      <w:ind w:left="3360"/>
    </w:pPr>
    <w:rPr>
      <w:rFonts w:eastAsia="楷体_GB2312"/>
      <w:sz w:val="26"/>
      <w:szCs w:val="20"/>
    </w:rPr>
  </w:style>
  <w:style w:type="paragraph" w:styleId="887">
    <w:name w:val="Body Text 2"/>
    <w:basedOn w:val="835"/>
    <w:link w:val="941"/>
    <w:uiPriority w:val="0"/>
    <w:qFormat/>
    <w:pPr>
      <w:spacing w:after="120" w:line="480" w:lineRule="auto"/>
    </w:pPr>
    <w:rPr>
      <w:rFonts w:eastAsia="楷体_GB2312"/>
      <w:sz w:val="26"/>
      <w:szCs w:val="20"/>
    </w:rPr>
  </w:style>
  <w:style w:type="paragraph" w:styleId="888">
    <w:name w:val="HTML Preformatted"/>
    <w:basedOn w:val="835"/>
    <w:link w:val="9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89">
    <w:name w:val="Normal (Web)"/>
    <w:basedOn w:val="835"/>
    <w:uiPriority w:val="0"/>
    <w:unhideWhenUsed/>
    <w:qFormat/>
    <w:pPr>
      <w:jc w:val="left"/>
      <w:spacing w:before="100" w:beforeAutospacing="1" w:after="100" w:afterAutospacing="1"/>
      <w:widowControl/>
    </w:pPr>
    <w:rPr>
      <w:rFonts w:ascii="宋体" w:hAnsi="宋体" w:cs="宋体"/>
      <w:sz w:val="24"/>
    </w:rPr>
  </w:style>
  <w:style w:type="paragraph" w:styleId="890">
    <w:name w:val="List Continue 3"/>
    <w:basedOn w:val="835"/>
    <w:uiPriority w:val="0"/>
    <w:qFormat/>
    <w:pPr>
      <w:contextualSpacing/>
      <w:ind w:left="1260"/>
      <w:spacing w:after="120"/>
    </w:pPr>
    <w:rPr>
      <w:rFonts w:eastAsia="楷体_GB2312"/>
      <w:sz w:val="26"/>
      <w:szCs w:val="20"/>
    </w:rPr>
  </w:style>
  <w:style w:type="paragraph" w:styleId="891">
    <w:name w:val="index 2"/>
    <w:basedOn w:val="835"/>
    <w:next w:val="835"/>
    <w:uiPriority w:val="0"/>
    <w:qFormat/>
    <w:pPr>
      <w:ind w:left="420"/>
    </w:pPr>
    <w:rPr>
      <w:rFonts w:eastAsia="楷体_GB2312"/>
      <w:sz w:val="26"/>
      <w:szCs w:val="20"/>
    </w:rPr>
  </w:style>
  <w:style w:type="paragraph" w:styleId="892">
    <w:name w:val="Title"/>
    <w:basedOn w:val="835"/>
    <w:next w:val="835"/>
    <w:link w:val="970"/>
    <w:uiPriority w:val="10"/>
    <w:qFormat/>
    <w:pPr>
      <w:jc w:val="center"/>
      <w:spacing w:before="240" w:after="60"/>
      <w:outlineLvl w:val="0"/>
    </w:pPr>
    <w:rPr>
      <w:rFonts w:ascii="等线 Light" w:hAnsi="等线 Light"/>
      <w:b/>
      <w:bCs/>
      <w:sz w:val="32"/>
      <w:szCs w:val="32"/>
    </w:rPr>
  </w:style>
  <w:style w:type="paragraph" w:styleId="893">
    <w:name w:val="annotation subject"/>
    <w:basedOn w:val="855"/>
    <w:next w:val="855"/>
    <w:link w:val="924"/>
    <w:uiPriority w:val="0"/>
    <w:qFormat/>
    <w:rPr>
      <w:b/>
      <w:bCs/>
    </w:rPr>
  </w:style>
  <w:style w:type="paragraph" w:styleId="894">
    <w:name w:val="Body Text First Indent 2"/>
    <w:basedOn w:val="861"/>
    <w:link w:val="1020"/>
    <w:uiPriority w:val="99"/>
    <w:unhideWhenUsed/>
    <w:qFormat/>
    <w:pPr>
      <w:ind w:left="420" w:firstLine="420"/>
      <w:spacing w:after="120" w:line="240" w:lineRule="auto"/>
    </w:pPr>
    <w:rPr>
      <w:szCs w:val="22"/>
    </w:rPr>
  </w:style>
  <w:style w:type="table" w:styleId="895">
    <w:name w:val="Table Grid"/>
    <w:basedOn w:val="84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Strong"/>
    <w:uiPriority w:val="0"/>
    <w:qFormat/>
    <w:rPr>
      <w:rFonts w:ascii="Calibri" w:hAnsi="Calibri" w:eastAsia="宋体" w:cs="Times New Roman"/>
      <w:b/>
      <w:bCs/>
    </w:rPr>
  </w:style>
  <w:style w:type="character" w:styleId="897">
    <w:name w:val="endnote reference"/>
    <w:uiPriority w:val="0"/>
    <w:qFormat/>
    <w:rPr>
      <w:vertAlign w:val="superscript"/>
    </w:rPr>
  </w:style>
  <w:style w:type="character" w:styleId="898">
    <w:name w:val="page number"/>
    <w:uiPriority w:val="99"/>
    <w:qFormat/>
    <w:rPr>
      <w:rFonts w:ascii="Calibri" w:hAnsi="Calibri" w:eastAsia="宋体" w:cs="Times New Roman"/>
    </w:rPr>
  </w:style>
  <w:style w:type="character" w:styleId="899">
    <w:name w:val="FollowedHyperlink"/>
    <w:uiPriority w:val="0"/>
    <w:qFormat/>
    <w:rPr>
      <w:color w:val="800080"/>
      <w:u w:val="single"/>
    </w:rPr>
  </w:style>
  <w:style w:type="character" w:styleId="900">
    <w:name w:val="Emphasis"/>
    <w:uiPriority w:val="0"/>
    <w:qFormat/>
    <w:rPr>
      <w:i/>
      <w:iCs/>
    </w:rPr>
  </w:style>
  <w:style w:type="character" w:styleId="901">
    <w:name w:val="HTML Typewriter"/>
    <w:uiPriority w:val="0"/>
    <w:qFormat/>
    <w:rPr>
      <w:rFonts w:ascii="黑体" w:hAnsi="Courier New" w:eastAsia="黑体"/>
      <w:sz w:val="14"/>
    </w:rPr>
  </w:style>
  <w:style w:type="character" w:styleId="902">
    <w:name w:val="Hyperlink"/>
    <w:uiPriority w:val="99"/>
    <w:qFormat/>
    <w:rPr>
      <w:rFonts w:ascii="Calibri" w:hAnsi="Calibri" w:eastAsia="宋体" w:cs="Times New Roman"/>
      <w:color w:val="0000ff"/>
      <w:u w:val="single"/>
    </w:rPr>
  </w:style>
  <w:style w:type="character" w:styleId="903">
    <w:name w:val="annotation reference"/>
    <w:uiPriority w:val="0"/>
    <w:qFormat/>
    <w:rPr>
      <w:rFonts w:ascii="Calibri" w:hAnsi="Calibri" w:eastAsia="宋体" w:cs="Times New Roman"/>
      <w:sz w:val="21"/>
      <w:szCs w:val="21"/>
    </w:rPr>
  </w:style>
  <w:style w:type="character" w:styleId="904">
    <w:name w:val="footnote reference"/>
    <w:uiPriority w:val="0"/>
    <w:qFormat/>
    <w:rPr>
      <w:vertAlign w:val="superscript"/>
    </w:rPr>
  </w:style>
  <w:style w:type="character" w:styleId="905" w:customStyle="1">
    <w:name w:val="标题 Char"/>
    <w:uiPriority w:val="0"/>
    <w:qFormat/>
    <w:rPr>
      <w:rFonts w:ascii="Arial" w:hAnsi="Arial"/>
      <w:b/>
      <w:bCs/>
      <w:sz w:val="32"/>
      <w:szCs w:val="32"/>
    </w:rPr>
  </w:style>
  <w:style w:type="character" w:styleId="906" w:customStyle="1">
    <w:name w:val="标题 Char3"/>
    <w:uiPriority w:val="10"/>
    <w:qFormat/>
    <w:rPr>
      <w:rFonts w:ascii="Cambria" w:hAnsi="Cambria" w:eastAsia="宋体" w:cs="Times New Roman"/>
      <w:b/>
      <w:bCs/>
      <w:sz w:val="32"/>
      <w:szCs w:val="32"/>
    </w:rPr>
  </w:style>
  <w:style w:type="character" w:styleId="907" w:customStyle="1">
    <w:name w:val="Char Char19"/>
    <w:uiPriority w:val="0"/>
    <w:qFormat/>
    <w:rPr>
      <w:rFonts w:hint="eastAsia" w:ascii="宋体" w:hAnsi="Courier New" w:eastAsia="楷体_GB2312"/>
      <w:sz w:val="28"/>
      <w:lang w:val="en-US" w:eastAsia="zh-CN"/>
    </w:rPr>
  </w:style>
  <w:style w:type="character" w:styleId="908" w:customStyle="1">
    <w:name w:val="标题5 Char Char"/>
    <w:link w:val="909"/>
    <w:uiPriority w:val="0"/>
    <w:qFormat/>
    <w:rPr>
      <w:rFonts w:ascii="Arial" w:hAnsi="Arial"/>
      <w:b/>
      <w:bCs/>
      <w:sz w:val="24"/>
      <w:szCs w:val="32"/>
    </w:rPr>
  </w:style>
  <w:style w:type="paragraph" w:styleId="909" w:customStyle="1">
    <w:name w:val="标题5"/>
    <w:basedOn w:val="838"/>
    <w:link w:val="908"/>
    <w:uiPriority w:val="0"/>
    <w:qFormat/>
    <w:pPr>
      <w:jc w:val="both"/>
      <w:spacing w:before="260" w:after="260" w:line="412" w:lineRule="auto"/>
    </w:pPr>
    <w:rPr>
      <w:rFonts w:ascii="Arial" w:hAnsi="Arial" w:eastAsia="宋体"/>
      <w:bCs/>
      <w:sz w:val="24"/>
      <w:szCs w:val="32"/>
    </w:rPr>
  </w:style>
  <w:style w:type="character" w:styleId="910" w:customStyle="1">
    <w:name w:val="标题 2 Char_1"/>
    <w:link w:val="911"/>
    <w:uiPriority w:val="0"/>
    <w:qFormat/>
    <w:rPr>
      <w:rFonts w:ascii="黑体" w:hAnsi="宋体" w:eastAsia="黑体" w:cs="Arial"/>
      <w:b/>
      <w:bCs/>
      <w:sz w:val="30"/>
      <w:szCs w:val="30"/>
    </w:rPr>
  </w:style>
  <w:style w:type="paragraph" w:styleId="911" w:customStyle="1">
    <w:name w:val="标题 2_1"/>
    <w:basedOn w:val="912"/>
    <w:next w:val="913"/>
    <w:link w:val="910"/>
    <w:uiPriority w:val="0"/>
    <w:unhideWhenUsed/>
    <w:qFormat/>
    <w:pPr>
      <w:keepLines/>
      <w:keepNext/>
      <w:spacing w:before="120" w:after="120" w:line="360" w:lineRule="auto"/>
      <w:outlineLvl w:val="1"/>
    </w:pPr>
    <w:rPr>
      <w:rFonts w:ascii="黑体" w:hAnsi="宋体" w:eastAsia="黑体"/>
      <w:sz w:val="30"/>
      <w:szCs w:val="30"/>
    </w:rPr>
  </w:style>
  <w:style w:type="paragraph" w:styleId="912" w:customStyle="1">
    <w:name w:val="标题_1"/>
    <w:basedOn w:val="913"/>
    <w:next w:val="913"/>
    <w:link w:val="998"/>
    <w:uiPriority w:val="0"/>
    <w:qFormat/>
    <w:pPr>
      <w:jc w:val="center"/>
      <w:spacing w:before="240" w:after="60"/>
      <w:outlineLvl w:val="0"/>
    </w:pPr>
    <w:rPr>
      <w:rFonts w:ascii="Cambria" w:hAnsi="Cambria"/>
      <w:b/>
      <w:bCs/>
      <w:sz w:val="32"/>
      <w:szCs w:val="32"/>
    </w:rPr>
  </w:style>
  <w:style w:type="paragraph" w:styleId="913"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914" w:customStyle="1">
    <w:name w:val="正文缩进 字符"/>
    <w:link w:val="852"/>
    <w:uiPriority w:val="0"/>
    <w:qFormat/>
    <w:rPr>
      <w:rFonts w:ascii="Calibri" w:hAnsi="Calibri" w:eastAsia="楷体_GB2312" w:cs="Times New Roman"/>
      <w:sz w:val="24"/>
    </w:rPr>
  </w:style>
  <w:style w:type="character" w:styleId="915" w:customStyle="1">
    <w:name w:val="ca-221"/>
    <w:uiPriority w:val="0"/>
    <w:qFormat/>
    <w:rPr>
      <w:rFonts w:hint="eastAsia" w:ascii="宋体" w:hAnsi="宋体" w:eastAsia="宋体"/>
      <w:color w:val="ff0000"/>
      <w:sz w:val="24"/>
      <w:szCs w:val="24"/>
    </w:rPr>
  </w:style>
  <w:style w:type="character" w:styleId="916" w:customStyle="1">
    <w:name w:val="尾注文本 Char"/>
    <w:uiPriority w:val="0"/>
    <w:qFormat/>
    <w:rPr>
      <w:rFonts w:ascii="Calibri" w:hAnsi="Calibri" w:eastAsia="宋体" w:cs="Times New Roman"/>
      <w:sz w:val="21"/>
      <w:szCs w:val="24"/>
    </w:rPr>
  </w:style>
  <w:style w:type="character" w:styleId="917" w:customStyle="1">
    <w:name w:val="CL 正文1.25 Char"/>
    <w:link w:val="918"/>
    <w:uiPriority w:val="0"/>
    <w:qFormat/>
    <w:rPr>
      <w:rFonts w:ascii="Cambria" w:hAnsi="Cambria"/>
      <w:spacing w:val="4"/>
      <w:sz w:val="24"/>
      <w:szCs w:val="21"/>
    </w:rPr>
  </w:style>
  <w:style w:type="paragraph" w:styleId="918" w:customStyle="1">
    <w:name w:val="CL 正文1.25"/>
    <w:basedOn w:val="835"/>
    <w:link w:val="917"/>
    <w:uiPriority w:val="0"/>
    <w:qFormat/>
    <w:pPr>
      <w:ind w:firstLine="200"/>
      <w:spacing w:line="360" w:lineRule="auto"/>
    </w:pPr>
    <w:rPr>
      <w:rFonts w:ascii="Cambria" w:hAnsi="Cambria"/>
      <w:spacing w:val="4"/>
      <w:sz w:val="24"/>
      <w:szCs w:val="21"/>
    </w:rPr>
  </w:style>
  <w:style w:type="character" w:styleId="919" w:customStyle="1">
    <w:name w:val="日期 字符"/>
    <w:link w:val="869"/>
    <w:uiPriority w:val="0"/>
    <w:qFormat/>
    <w:rPr>
      <w:rFonts w:ascii="宋体" w:hAnsi="宋体" w:eastAsia="楷体_GB2312" w:cs="Times New Roman"/>
      <w:sz w:val="24"/>
    </w:rPr>
  </w:style>
  <w:style w:type="character" w:styleId="920" w:customStyle="1">
    <w:name w:val="标题 3 字符"/>
    <w:link w:val="838"/>
    <w:uiPriority w:val="0"/>
    <w:qFormat/>
    <w:rPr>
      <w:rFonts w:ascii="Calibri" w:hAnsi="Calibri" w:eastAsia="楷体_GB2312" w:cs="Times New Roman"/>
      <w:b/>
      <w:sz w:val="26"/>
    </w:rPr>
  </w:style>
  <w:style w:type="character" w:styleId="921" w:customStyle="1">
    <w:name w:val="正文文本 3 字符"/>
    <w:link w:val="857"/>
    <w:uiPriority w:val="0"/>
    <w:qFormat/>
    <w:rPr>
      <w:rFonts w:ascii="宋体" w:hAnsi="Calibri"/>
      <w:sz w:val="24"/>
    </w:rPr>
  </w:style>
  <w:style w:type="character" w:styleId="922" w:customStyle="1">
    <w:name w:val="页眉 字符"/>
    <w:link w:val="874"/>
    <w:uiPriority w:val="0"/>
    <w:qFormat/>
    <w:rPr>
      <w:rFonts w:ascii="Calibri" w:hAnsi="Calibri" w:eastAsia="宋体" w:cs="Times New Roman"/>
      <w:sz w:val="18"/>
      <w:szCs w:val="18"/>
    </w:rPr>
  </w:style>
  <w:style w:type="character" w:styleId="923" w:customStyle="1">
    <w:name w:val="s1"/>
    <w:uiPriority w:val="0"/>
    <w:qFormat/>
    <w:rPr>
      <w:rFonts w:ascii="Calibri" w:hAnsi="Calibri" w:eastAsia="宋体" w:cs="Times New Roman"/>
    </w:rPr>
  </w:style>
  <w:style w:type="character" w:styleId="924" w:customStyle="1">
    <w:name w:val="批注主题 字符"/>
    <w:link w:val="893"/>
    <w:uiPriority w:val="0"/>
    <w:qFormat/>
    <w:rPr>
      <w:rFonts w:ascii="Times New Roman" w:hAnsi="Times New Roman" w:eastAsia="宋体" w:cs="Times New Roman"/>
      <w:b/>
      <w:bCs/>
      <w:sz w:val="21"/>
      <w:szCs w:val="24"/>
    </w:rPr>
  </w:style>
  <w:style w:type="character" w:styleId="925" w:customStyle="1">
    <w:name w:val="_正文段落 Char"/>
    <w:link w:val="926"/>
    <w:uiPriority w:val="0"/>
    <w:qFormat/>
    <w:rPr>
      <w:sz w:val="24"/>
      <w:szCs w:val="24"/>
    </w:rPr>
  </w:style>
  <w:style w:type="paragraph" w:styleId="926" w:customStyle="1">
    <w:name w:val="_正文段落"/>
    <w:basedOn w:val="835"/>
    <w:link w:val="925"/>
    <w:uiPriority w:val="0"/>
    <w:qFormat/>
    <w:pPr>
      <w:ind w:firstLine="200"/>
      <w:spacing w:line="360" w:lineRule="auto"/>
    </w:pPr>
    <w:rPr>
      <w:sz w:val="24"/>
    </w:rPr>
  </w:style>
  <w:style w:type="character" w:styleId="927" w:customStyle="1">
    <w:name w:val="页脚 Char1"/>
    <w:uiPriority w:val="0"/>
    <w:qFormat/>
    <w:rPr>
      <w:rFonts w:ascii="Times New Roman" w:hAnsi="Times New Roman" w:eastAsia="宋体" w:cs="Times New Roman"/>
      <w:sz w:val="18"/>
      <w:szCs w:val="18"/>
    </w:rPr>
  </w:style>
  <w:style w:type="character" w:styleId="928" w:customStyle="1">
    <w:name w:val="批注文字 Char1"/>
    <w:uiPriority w:val="99"/>
    <w:semiHidden/>
    <w:qFormat/>
    <w:rPr>
      <w:rFonts w:ascii="Times New Roman" w:hAnsi="Times New Roman" w:eastAsia="宋体" w:cs="Times New Roman"/>
      <w:szCs w:val="24"/>
    </w:rPr>
  </w:style>
  <w:style w:type="character" w:styleId="929" w:customStyle="1">
    <w:name w:val="日期 Char1"/>
    <w:uiPriority w:val="99"/>
    <w:semiHidden/>
    <w:qFormat/>
    <w:rPr>
      <w:rFonts w:ascii="Times New Roman" w:hAnsi="Times New Roman" w:eastAsia="宋体" w:cs="Times New Roman"/>
      <w:szCs w:val="24"/>
    </w:rPr>
  </w:style>
  <w:style w:type="character" w:styleId="930" w:customStyle="1">
    <w:name w:val="Char Char5"/>
    <w:uiPriority w:val="0"/>
    <w:qFormat/>
    <w:rPr>
      <w:sz w:val="24"/>
      <w:lang w:val="en-US" w:eastAsia="zh-CN"/>
    </w:rPr>
  </w:style>
  <w:style w:type="character" w:styleId="931" w:customStyle="1">
    <w:name w:val="正文文本缩进 2 Char"/>
    <w:uiPriority w:val="0"/>
    <w:qFormat/>
    <w:rPr>
      <w:rFonts w:ascii="Times New Roman" w:hAnsi="Times New Roman" w:eastAsia="宋体" w:cs="Times New Roman"/>
      <w:szCs w:val="24"/>
    </w:rPr>
  </w:style>
  <w:style w:type="character" w:styleId="932" w:customStyle="1">
    <w:name w:val="页脚 字符"/>
    <w:link w:val="873"/>
    <w:uiPriority w:val="0"/>
    <w:qFormat/>
    <w:rPr>
      <w:rFonts w:ascii="Calibri" w:hAnsi="Calibri" w:eastAsia="宋体" w:cs="Times New Roman"/>
      <w:sz w:val="18"/>
      <w:szCs w:val="18"/>
    </w:rPr>
  </w:style>
  <w:style w:type="character" w:styleId="933" w:customStyle="1">
    <w:name w:val="Andy_3级 Char"/>
    <w:link w:val="934"/>
    <w:uiPriority w:val="0"/>
    <w:qFormat/>
    <w:rPr>
      <w:rFonts w:ascii="Calibri" w:hAnsi="Calibri"/>
      <w:sz w:val="24"/>
    </w:rPr>
  </w:style>
  <w:style w:type="paragraph" w:styleId="934" w:customStyle="1">
    <w:name w:val="Andy_3级"/>
    <w:basedOn w:val="835"/>
    <w:link w:val="933"/>
    <w:uiPriority w:val="0"/>
    <w:qFormat/>
    <w:pPr>
      <w:ind w:firstLine="510"/>
      <w:spacing w:line="360" w:lineRule="auto"/>
    </w:pPr>
    <w:rPr>
      <w:rFonts w:ascii="Calibri" w:hAnsi="Calibri"/>
      <w:sz w:val="24"/>
      <w:szCs w:val="20"/>
    </w:rPr>
  </w:style>
  <w:style w:type="character" w:styleId="935" w:customStyle="1">
    <w:name w:val="标题 5 字符"/>
    <w:link w:val="840"/>
    <w:uiPriority w:val="0"/>
    <w:qFormat/>
    <w:rPr>
      <w:rFonts w:ascii="宋体" w:hAnsi="Tms Rmn" w:eastAsia="宋体" w:cs="Times New Roman"/>
      <w:b/>
      <w:sz w:val="28"/>
    </w:rPr>
  </w:style>
  <w:style w:type="character" w:styleId="936" w:customStyle="1">
    <w:name w:val="s3"/>
    <w:uiPriority w:val="0"/>
    <w:qFormat/>
    <w:rPr>
      <w:rFonts w:ascii="Calibri" w:hAnsi="Calibri" w:eastAsia="宋体" w:cs="Times New Roman"/>
    </w:rPr>
  </w:style>
  <w:style w:type="character" w:styleId="937" w:customStyle="1">
    <w:name w:val="脚注文本 字符"/>
    <w:link w:val="880"/>
    <w:uiPriority w:val="0"/>
    <w:qFormat/>
    <w:rPr>
      <w:rFonts w:ascii="Calibri" w:hAnsi="Calibri" w:eastAsia="楷体_GB2312" w:cs="Times New Roman"/>
      <w:sz w:val="18"/>
    </w:rPr>
  </w:style>
  <w:style w:type="character" w:styleId="938" w:customStyle="1">
    <w:name w:val="正文文本缩进 2 字符"/>
    <w:link w:val="870"/>
    <w:uiPriority w:val="0"/>
    <w:qFormat/>
    <w:rPr>
      <w:rFonts w:ascii="Calibri" w:hAnsi="Calibri"/>
      <w:sz w:val="21"/>
      <w:szCs w:val="24"/>
    </w:rPr>
  </w:style>
  <w:style w:type="character" w:styleId="939" w:customStyle="1">
    <w:name w:val="Char Char13"/>
    <w:uiPriority w:val="0"/>
    <w:qFormat/>
    <w:rPr>
      <w:rFonts w:eastAsia="宋体"/>
      <w:sz w:val="21"/>
      <w:lang w:val="en-US" w:eastAsia="zh-CN"/>
    </w:rPr>
  </w:style>
  <w:style w:type="character" w:styleId="940" w:customStyle="1">
    <w:name w:val="正文文本 2 Char1"/>
    <w:uiPriority w:val="99"/>
    <w:semiHidden/>
    <w:qFormat/>
    <w:rPr>
      <w:rFonts w:ascii="Calibri" w:hAnsi="Calibri" w:eastAsia="宋体" w:cs="Times New Roman"/>
      <w:sz w:val="21"/>
      <w:szCs w:val="24"/>
    </w:rPr>
  </w:style>
  <w:style w:type="character" w:styleId="941" w:customStyle="1">
    <w:name w:val="正文文本 2 字符"/>
    <w:link w:val="887"/>
    <w:uiPriority w:val="0"/>
    <w:qFormat/>
    <w:rPr>
      <w:rFonts w:eastAsia="楷体_GB2312"/>
      <w:sz w:val="26"/>
    </w:rPr>
  </w:style>
  <w:style w:type="character" w:styleId="942" w:customStyle="1">
    <w:name w:val="正文文本 字符"/>
    <w:link w:val="858"/>
    <w:uiPriority w:val="99"/>
    <w:semiHidden/>
    <w:qFormat/>
    <w:rPr>
      <w:rFonts w:ascii="Calibri" w:hAnsi="Calibri" w:eastAsia="宋体" w:cs="Times New Roman"/>
      <w:sz w:val="21"/>
      <w:szCs w:val="24"/>
    </w:rPr>
  </w:style>
  <w:style w:type="character" w:styleId="943" w:customStyle="1">
    <w:name w:val="Andy_2级 Char"/>
    <w:link w:val="944"/>
    <w:uiPriority w:val="0"/>
    <w:qFormat/>
    <w:rPr>
      <w:rFonts w:ascii="Calibri" w:hAnsi="Calibri"/>
      <w:sz w:val="24"/>
    </w:rPr>
  </w:style>
  <w:style w:type="paragraph" w:styleId="944" w:customStyle="1">
    <w:name w:val="Andy_2级"/>
    <w:basedOn w:val="945"/>
    <w:link w:val="943"/>
    <w:uiPriority w:val="0"/>
    <w:qFormat/>
    <w:pPr>
      <w:ind w:firstLine="510"/>
    </w:pPr>
    <w:rPr>
      <w:szCs w:val="20"/>
    </w:rPr>
  </w:style>
  <w:style w:type="paragraph" w:styleId="945" w:customStyle="1">
    <w:name w:val="Andy_二级"/>
    <w:basedOn w:val="835"/>
    <w:uiPriority w:val="0"/>
    <w:qFormat/>
    <w:pPr>
      <w:spacing w:line="360" w:lineRule="auto"/>
    </w:pPr>
    <w:rPr>
      <w:rFonts w:ascii="Calibri" w:hAnsi="Calibri"/>
      <w:sz w:val="24"/>
      <w:szCs w:val="22"/>
    </w:rPr>
  </w:style>
  <w:style w:type="character" w:styleId="946" w:customStyle="1">
    <w:name w:val="HTML 预设格式 Char1"/>
    <w:uiPriority w:val="99"/>
    <w:semiHidden/>
    <w:qFormat/>
    <w:rPr>
      <w:rFonts w:ascii="Courier New" w:hAnsi="Courier New" w:eastAsia="宋体" w:cs="Courier New"/>
    </w:rPr>
  </w:style>
  <w:style w:type="character" w:styleId="947" w:customStyle="1">
    <w:name w:val="列出段落 Char"/>
    <w:link w:val="948"/>
    <w:uiPriority w:val="0"/>
    <w:qFormat/>
    <w:rPr>
      <w:rFonts w:ascii="Calibri" w:hAnsi="Calibri"/>
      <w:sz w:val="21"/>
      <w:szCs w:val="24"/>
    </w:rPr>
  </w:style>
  <w:style w:type="paragraph" w:styleId="948" w:customStyle="1">
    <w:name w:val="列出段落1"/>
    <w:basedOn w:val="949"/>
    <w:link w:val="947"/>
    <w:uiPriority w:val="0"/>
    <w:qFormat/>
    <w:pPr>
      <w:ind w:firstLine="420"/>
      <w:jc w:val="both"/>
      <w:widowControl w:val="off"/>
    </w:pPr>
    <w:rPr>
      <w:rFonts w:ascii="Calibri" w:hAnsi="Calibri"/>
      <w:szCs w:val="24"/>
    </w:rPr>
  </w:style>
  <w:style w:type="paragraph" w:styleId="949" w:customStyle="1">
    <w:name w:val="正文_0"/>
    <w:uiPriority w:val="0"/>
    <w:qFormat/>
    <w:rPr>
      <w:rFonts w:ascii="Times New Roman" w:hAnsi="Times New Roman" w:eastAsia="宋体" w:cs="Times New Roman"/>
      <w:sz w:val="21"/>
      <w:lang w:val="en-US" w:eastAsia="zh-CN" w:bidi="ar-SA"/>
    </w:rPr>
  </w:style>
  <w:style w:type="character" w:styleId="950" w:customStyle="1">
    <w:name w:val="HTML 预设格式 字符"/>
    <w:link w:val="888"/>
    <w:uiPriority w:val="0"/>
    <w:qFormat/>
    <w:rPr>
      <w:rFonts w:ascii="黑体" w:hAnsi="Courier New" w:eastAsia="黑体" w:cs="楷体_GB2312"/>
    </w:rPr>
  </w:style>
  <w:style w:type="character" w:styleId="951" w:customStyle="1">
    <w:name w:val="标题 7 字符"/>
    <w:link w:val="842"/>
    <w:uiPriority w:val="0"/>
    <w:qFormat/>
    <w:rPr>
      <w:rFonts w:ascii="宋体" w:hAnsi="Tms Rmn" w:eastAsia="宋体" w:cs="Times New Roman"/>
      <w:b/>
      <w:sz w:val="24"/>
    </w:rPr>
  </w:style>
  <w:style w:type="character" w:styleId="952" w:customStyle="1">
    <w:name w:val="批注文字 字符"/>
    <w:link w:val="855"/>
    <w:uiPriority w:val="0"/>
    <w:qFormat/>
    <w:rPr>
      <w:rFonts w:ascii="Times New Roman" w:hAnsi="Times New Roman" w:eastAsia="宋体" w:cs="Times New Roman"/>
      <w:sz w:val="21"/>
      <w:szCs w:val="24"/>
    </w:rPr>
  </w:style>
  <w:style w:type="character" w:styleId="953" w:customStyle="1">
    <w:name w:val="文字正文主体 Char Char"/>
    <w:link w:val="954"/>
    <w:uiPriority w:val="0"/>
    <w:qFormat/>
    <w:rPr>
      <w:rFonts w:ascii="仿宋" w:hAnsi="仿宋" w:eastAsia="仿宋"/>
      <w:color w:val="3a3a3a"/>
      <w:sz w:val="28"/>
    </w:rPr>
  </w:style>
  <w:style w:type="paragraph" w:styleId="954" w:customStyle="1">
    <w:name w:val="文字正文主体"/>
    <w:basedOn w:val="835"/>
    <w:link w:val="953"/>
    <w:uiPriority w:val="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55" w:customStyle="1">
    <w:name w:val="正文文本 Char"/>
    <w:uiPriority w:val="0"/>
    <w:qFormat/>
    <w:rPr>
      <w:rFonts w:ascii="Times New Roman" w:hAnsi="Times New Roman" w:eastAsia="宋体" w:cs="Times New Roman"/>
      <w:szCs w:val="24"/>
    </w:rPr>
  </w:style>
  <w:style w:type="character" w:styleId="956" w:customStyle="1">
    <w:name w:val="标题 4 字符"/>
    <w:link w:val="839"/>
    <w:uiPriority w:val="0"/>
    <w:qFormat/>
    <w:rPr>
      <w:rFonts w:ascii="Arial" w:hAnsi="Arial" w:eastAsia="黑体" w:cs="Times New Roman"/>
      <w:b/>
      <w:bCs/>
      <w:sz w:val="28"/>
      <w:szCs w:val="28"/>
    </w:rPr>
  </w:style>
  <w:style w:type="character" w:styleId="957" w:customStyle="1">
    <w:name w:val="正文首行缩进 2 Char2"/>
    <w:basedOn w:val="958"/>
    <w:uiPriority w:val="99"/>
    <w:semiHidden/>
    <w:qFormat/>
    <w:rPr>
      <w:rFonts w:ascii="Calibri" w:hAnsi="Calibri" w:eastAsia="宋体" w:cs="Times New Roman"/>
      <w:sz w:val="21"/>
      <w:szCs w:val="24"/>
    </w:rPr>
  </w:style>
  <w:style w:type="character" w:styleId="958" w:customStyle="1">
    <w:name w:val="正文文本缩进 Char2"/>
    <w:uiPriority w:val="99"/>
    <w:semiHidden/>
    <w:qFormat/>
    <w:rPr>
      <w:rFonts w:ascii="Calibri" w:hAnsi="Calibri" w:eastAsia="宋体" w:cs="Times New Roman"/>
      <w:sz w:val="21"/>
      <w:szCs w:val="24"/>
    </w:rPr>
  </w:style>
  <w:style w:type="character" w:styleId="959" w:customStyle="1">
    <w:name w:val="标题 2 字符"/>
    <w:link w:val="837"/>
    <w:uiPriority w:val="0"/>
    <w:qFormat/>
    <w:rPr>
      <w:rFonts w:ascii="Cambria" w:hAnsi="Cambria" w:eastAsia="宋体" w:cs="Times New Roman"/>
      <w:b/>
      <w:bCs/>
      <w:sz w:val="32"/>
      <w:szCs w:val="32"/>
    </w:rPr>
  </w:style>
  <w:style w:type="character" w:styleId="960" w:customStyle="1">
    <w:name w:val="Plain Text Char Char"/>
    <w:link w:val="961"/>
    <w:uiPriority w:val="0"/>
    <w:qFormat/>
    <w:rPr>
      <w:rFonts w:ascii="宋体" w:hAnsi="Courier New" w:eastAsia="楷体_GB2312"/>
      <w:sz w:val="28"/>
    </w:rPr>
  </w:style>
  <w:style w:type="paragraph" w:styleId="961" w:customStyle="1">
    <w:name w:val="纯文本12"/>
    <w:basedOn w:val="835"/>
    <w:link w:val="960"/>
    <w:uiPriority w:val="0"/>
    <w:qFormat/>
    <w:rPr>
      <w:rFonts w:ascii="宋体" w:hAnsi="Courier New" w:eastAsia="楷体_GB2312"/>
      <w:sz w:val="28"/>
      <w:szCs w:val="20"/>
    </w:rPr>
  </w:style>
  <w:style w:type="character" w:styleId="962" w:customStyle="1">
    <w:name w:val="标题 9 字符"/>
    <w:link w:val="844"/>
    <w:uiPriority w:val="0"/>
    <w:qFormat/>
    <w:rPr>
      <w:rFonts w:ascii="Arial" w:hAnsi="Arial" w:eastAsia="黑体" w:cs="Times New Roman"/>
      <w:sz w:val="21"/>
      <w:szCs w:val="21"/>
    </w:rPr>
  </w:style>
  <w:style w:type="character" w:styleId="963" w:customStyle="1">
    <w:name w:val="Andy_正文 Char"/>
    <w:link w:val="964"/>
    <w:uiPriority w:val="0"/>
    <w:qFormat/>
    <w:rPr>
      <w:rFonts w:ascii="Calibri" w:hAnsi="Calibri"/>
      <w:sz w:val="24"/>
      <w:szCs w:val="24"/>
    </w:rPr>
  </w:style>
  <w:style w:type="paragraph" w:styleId="964" w:customStyle="1">
    <w:name w:val="Andy_正文"/>
    <w:basedOn w:val="835"/>
    <w:link w:val="963"/>
    <w:uiPriority w:val="0"/>
    <w:qFormat/>
    <w:pPr>
      <w:ind w:firstLine="480"/>
      <w:spacing w:line="360" w:lineRule="auto"/>
    </w:pPr>
    <w:rPr>
      <w:rFonts w:ascii="Calibri" w:hAnsi="Calibri"/>
      <w:sz w:val="24"/>
    </w:rPr>
  </w:style>
  <w:style w:type="character" w:styleId="965" w:customStyle="1">
    <w:name w:val="标题 2 Char_0"/>
    <w:link w:val="966"/>
    <w:uiPriority w:val="0"/>
    <w:qFormat/>
    <w:rPr>
      <w:rFonts w:ascii="Calibri" w:hAnsi="Calibri"/>
      <w:sz w:val="21"/>
      <w:szCs w:val="22"/>
    </w:rPr>
  </w:style>
  <w:style w:type="paragraph" w:styleId="966" w:customStyle="1">
    <w:name w:val="标题 2_0"/>
    <w:basedOn w:val="835"/>
    <w:link w:val="965"/>
    <w:uiPriority w:val="0"/>
    <w:qFormat/>
    <w:rPr>
      <w:rFonts w:ascii="Calibri" w:hAnsi="Calibri"/>
      <w:szCs w:val="22"/>
    </w:rPr>
  </w:style>
  <w:style w:type="character" w:styleId="967" w:customStyle="1">
    <w:name w:val="c lh15"/>
    <w:basedOn w:val="845"/>
    <w:uiPriority w:val="0"/>
    <w:qFormat/>
    <w:rPr>
      <w:rFonts w:ascii="Calibri" w:hAnsi="Calibri" w:eastAsia="宋体" w:cs="Times New Roman"/>
    </w:rPr>
  </w:style>
  <w:style w:type="character" w:styleId="968" w:customStyle="1">
    <w:name w:val="样式 首行缩进:  2 字符 Char"/>
    <w:link w:val="969"/>
    <w:uiPriority w:val="0"/>
    <w:qFormat/>
    <w:rPr>
      <w:rFonts w:eastAsia="仿宋_GB2312"/>
      <w:sz w:val="24"/>
    </w:rPr>
  </w:style>
  <w:style w:type="paragraph" w:styleId="969" w:customStyle="1">
    <w:name w:val="样式 首行缩进:  2 字符"/>
    <w:basedOn w:val="835"/>
    <w:link w:val="968"/>
    <w:uiPriority w:val="0"/>
    <w:qFormat/>
    <w:pPr>
      <w:ind w:firstLine="560"/>
      <w:spacing w:line="360" w:lineRule="auto"/>
    </w:pPr>
    <w:rPr>
      <w:rFonts w:eastAsia="仿宋_GB2312"/>
      <w:sz w:val="24"/>
      <w:szCs w:val="20"/>
    </w:rPr>
  </w:style>
  <w:style w:type="character" w:styleId="970" w:customStyle="1">
    <w:name w:val="标题 字符"/>
    <w:link w:val="892"/>
    <w:uiPriority w:val="10"/>
    <w:qFormat/>
    <w:rPr>
      <w:rFonts w:ascii="等线 Light" w:hAnsi="等线 Light"/>
      <w:b/>
      <w:bCs/>
      <w:sz w:val="32"/>
      <w:szCs w:val="32"/>
    </w:rPr>
  </w:style>
  <w:style w:type="character" w:styleId="971" w:customStyle="1">
    <w:name w:val="正文文本缩进 Char"/>
    <w:uiPriority w:val="0"/>
    <w:qFormat/>
    <w:rPr>
      <w:rFonts w:ascii="Times New Roman" w:hAnsi="Times New Roman" w:eastAsia="宋体" w:cs="Times New Roman"/>
      <w:szCs w:val="24"/>
    </w:rPr>
  </w:style>
  <w:style w:type="character" w:styleId="972" w:customStyle="1">
    <w:name w:val="文档结构图 字符"/>
    <w:link w:val="854"/>
    <w:uiPriority w:val="0"/>
    <w:semiHidden/>
    <w:qFormat/>
    <w:rPr>
      <w:rFonts w:ascii="宋体" w:hAnsi="Times New Roman" w:eastAsia="宋体" w:cs="Times New Roman"/>
      <w:sz w:val="18"/>
      <w:szCs w:val="18"/>
    </w:rPr>
  </w:style>
  <w:style w:type="character" w:styleId="973" w:customStyle="1">
    <w:name w:val="+正文 Char3"/>
    <w:link w:val="974"/>
    <w:uiPriority w:val="0"/>
    <w:qFormat/>
    <w:rPr>
      <w:sz w:val="24"/>
    </w:rPr>
  </w:style>
  <w:style w:type="paragraph" w:styleId="974" w:customStyle="1">
    <w:name w:val="+正文"/>
    <w:basedOn w:val="835"/>
    <w:link w:val="973"/>
    <w:uiPriority w:val="0"/>
    <w:qFormat/>
    <w:pPr>
      <w:ind w:firstLine="200"/>
      <w:spacing w:line="360" w:lineRule="auto"/>
    </w:pPr>
    <w:rPr>
      <w:sz w:val="24"/>
      <w:szCs w:val="20"/>
    </w:rPr>
  </w:style>
  <w:style w:type="character" w:styleId="975" w:customStyle="1">
    <w:name w:val="正文文本首行缩进 字符"/>
    <w:link w:val="859"/>
    <w:uiPriority w:val="0"/>
    <w:qFormat/>
    <w:rPr>
      <w:rFonts w:ascii="Calibri" w:hAnsi="Calibri" w:eastAsia="楷体_GB2312" w:cs="Times New Roman"/>
      <w:sz w:val="26"/>
      <w:szCs w:val="24"/>
    </w:rPr>
  </w:style>
  <w:style w:type="character" w:styleId="976" w:customStyle="1">
    <w:name w:val="明显引用 Char"/>
    <w:link w:val="977"/>
    <w:uiPriority w:val="0"/>
    <w:qFormat/>
    <w:rPr>
      <w:rFonts w:ascii="Calibri" w:hAnsi="Calibri"/>
      <w:b/>
      <w:bCs/>
      <w:i/>
      <w:iCs/>
      <w:color w:val="4f81bd"/>
    </w:rPr>
  </w:style>
  <w:style w:type="paragraph" w:styleId="977" w:customStyle="1">
    <w:name w:val="明显引用1"/>
    <w:basedOn w:val="835"/>
    <w:next w:val="835"/>
    <w:link w:val="976"/>
    <w:uiPriority w:val="0"/>
    <w:qFormat/>
    <w:pPr>
      <w:ind w:left="936" w:right="936"/>
      <w:spacing w:before="200" w:after="280"/>
      <w:pBdr>
        <w:bottom w:val="single" w:color="4F81BD" w:sz="4" w:space="4"/>
      </w:pBdr>
    </w:pPr>
    <w:rPr>
      <w:rFonts w:ascii="Calibri" w:hAnsi="Calibri"/>
      <w:b/>
      <w:bCs/>
      <w:i/>
      <w:iCs/>
      <w:color w:val="4f81bd"/>
      <w:sz w:val="20"/>
      <w:szCs w:val="20"/>
    </w:rPr>
  </w:style>
  <w:style w:type="character" w:styleId="978" w:customStyle="1">
    <w:name w:val="Char Char8"/>
    <w:uiPriority w:val="0"/>
    <w:qFormat/>
    <w:rPr>
      <w:sz w:val="18"/>
    </w:rPr>
  </w:style>
  <w:style w:type="character" w:styleId="979" w:customStyle="1">
    <w:name w:val="页眉 Char1"/>
    <w:uiPriority w:val="0"/>
    <w:qFormat/>
    <w:rPr>
      <w:rFonts w:ascii="Times New Roman" w:hAnsi="Times New Roman" w:eastAsia="宋体" w:cs="Times New Roman"/>
      <w:sz w:val="18"/>
      <w:szCs w:val="18"/>
    </w:rPr>
  </w:style>
  <w:style w:type="character" w:styleId="980" w:customStyle="1">
    <w:name w:val="s5"/>
    <w:uiPriority w:val="0"/>
    <w:qFormat/>
    <w:rPr>
      <w:rFonts w:ascii="Calibri" w:hAnsi="Calibri" w:eastAsia="宋体" w:cs="Times New Roman"/>
    </w:rPr>
  </w:style>
  <w:style w:type="character" w:styleId="981" w:customStyle="1">
    <w:name w:val="批注框文本 字符"/>
    <w:link w:val="872"/>
    <w:uiPriority w:val="0"/>
    <w:qFormat/>
    <w:rPr>
      <w:rFonts w:ascii="Times New Roman" w:hAnsi="Times New Roman" w:eastAsia="宋体" w:cs="Times New Roman"/>
      <w:sz w:val="18"/>
      <w:szCs w:val="18"/>
    </w:rPr>
  </w:style>
  <w:style w:type="character" w:styleId="982" w:customStyle="1">
    <w:name w:val="引用 Char"/>
    <w:link w:val="983"/>
    <w:uiPriority w:val="0"/>
    <w:qFormat/>
    <w:rPr>
      <w:rFonts w:ascii="Calibri" w:hAnsi="Calibri"/>
      <w:i/>
      <w:iCs/>
      <w:color w:val="000000"/>
    </w:rPr>
  </w:style>
  <w:style w:type="paragraph" w:styleId="983" w:customStyle="1">
    <w:name w:val="引用1"/>
    <w:basedOn w:val="835"/>
    <w:next w:val="835"/>
    <w:link w:val="982"/>
    <w:uiPriority w:val="0"/>
    <w:qFormat/>
    <w:rPr>
      <w:rFonts w:ascii="Calibri" w:hAnsi="Calibri"/>
      <w:i/>
      <w:iCs/>
      <w:color w:val="000000"/>
      <w:sz w:val="20"/>
      <w:szCs w:val="20"/>
    </w:rPr>
  </w:style>
  <w:style w:type="character" w:styleId="984" w:customStyle="1">
    <w:name w:val="font01"/>
    <w:uiPriority w:val="0"/>
    <w:qFormat/>
    <w:rPr>
      <w:rFonts w:hint="eastAsia" w:ascii="宋体" w:hAnsi="宋体" w:eastAsia="宋体" w:cs="宋体"/>
      <w:color w:val="000000"/>
      <w:sz w:val="24"/>
      <w:szCs w:val="24"/>
      <w:u w:val="none"/>
    </w:rPr>
  </w:style>
  <w:style w:type="character" w:styleId="985" w:customStyle="1">
    <w:name w:val="无间隔 Char"/>
    <w:link w:val="986"/>
    <w:uiPriority w:val="0"/>
    <w:qFormat/>
    <w:rPr>
      <w:rFonts w:ascii="Calibri" w:hAnsi="Calibri"/>
      <w:sz w:val="22"/>
      <w:lang w:val="en-US" w:eastAsia="zh-CN" w:bidi="ar-SA"/>
    </w:rPr>
  </w:style>
  <w:style w:type="paragraph" w:styleId="986" w:customStyle="1">
    <w:name w:val="无间隔1"/>
    <w:link w:val="985"/>
    <w:uiPriority w:val="0"/>
    <w:qFormat/>
    <w:rPr>
      <w:rFonts w:ascii="Calibri" w:hAnsi="Calibri" w:eastAsia="宋体" w:cs="Times New Roman"/>
      <w:sz w:val="22"/>
      <w:lang w:val="en-US" w:eastAsia="zh-CN" w:bidi="ar-SA"/>
    </w:rPr>
  </w:style>
  <w:style w:type="character" w:styleId="987" w:customStyle="1">
    <w:name w:val="正文文本缩进 字符"/>
    <w:link w:val="861"/>
    <w:uiPriority w:val="99"/>
    <w:qFormat/>
    <w:rPr>
      <w:rFonts w:ascii="方正仿宋简体" w:hAnsi="创艺简仿宋" w:eastAsia="方正仿宋简体"/>
      <w:sz w:val="24"/>
    </w:rPr>
  </w:style>
  <w:style w:type="character" w:styleId="988" w:customStyle="1">
    <w:name w:val="s4"/>
    <w:uiPriority w:val="0"/>
    <w:qFormat/>
    <w:rPr>
      <w:rFonts w:ascii="Calibri" w:hAnsi="Calibri" w:eastAsia="宋体" w:cs="Times New Roman"/>
    </w:rPr>
  </w:style>
  <w:style w:type="character" w:styleId="989" w:customStyle="1">
    <w:name w:val="尾注文本 字符"/>
    <w:link w:val="871"/>
    <w:uiPriority w:val="0"/>
    <w:qFormat/>
    <w:rPr>
      <w:rFonts w:ascii="Calibri" w:hAnsi="Calibri" w:eastAsia="楷体_GB2312" w:cs="Times New Roman"/>
      <w:sz w:val="26"/>
      <w:szCs w:val="22"/>
    </w:rPr>
  </w:style>
  <w:style w:type="character" w:styleId="990" w:customStyle="1">
    <w:name w:val="副标题 字符"/>
    <w:link w:val="879"/>
    <w:uiPriority w:val="0"/>
    <w:qFormat/>
    <w:rPr>
      <w:rFonts w:ascii="Cambria" w:hAnsi="Cambria"/>
      <w:b/>
      <w:bCs/>
      <w:sz w:val="32"/>
      <w:szCs w:val="32"/>
    </w:rPr>
  </w:style>
  <w:style w:type="character" w:styleId="991" w:customStyle="1">
    <w:name w:val="正文文本 3 Char1"/>
    <w:uiPriority w:val="99"/>
    <w:semiHidden/>
    <w:qFormat/>
    <w:rPr>
      <w:rFonts w:ascii="Calibri" w:hAnsi="Calibri" w:eastAsia="宋体" w:cs="Times New Roman"/>
      <w:sz w:val="16"/>
      <w:szCs w:val="16"/>
    </w:rPr>
  </w:style>
  <w:style w:type="character" w:styleId="992" w:customStyle="1">
    <w:name w:val="标题 8 字符"/>
    <w:link w:val="843"/>
    <w:uiPriority w:val="0"/>
    <w:qFormat/>
    <w:rPr>
      <w:rFonts w:ascii="Arial" w:hAnsi="Arial" w:eastAsia="黑体" w:cs="Times New Roman"/>
      <w:sz w:val="24"/>
      <w:szCs w:val="24"/>
    </w:rPr>
  </w:style>
  <w:style w:type="character" w:styleId="993" w:customStyle="1">
    <w:name w:val="Plain Text Char"/>
    <w:link w:val="994"/>
    <w:uiPriority w:val="0"/>
    <w:qFormat/>
    <w:rPr>
      <w:rFonts w:ascii="宋体" w:hAnsi="Courier New" w:eastAsia="楷体_GB2312"/>
      <w:sz w:val="26"/>
    </w:rPr>
  </w:style>
  <w:style w:type="paragraph" w:styleId="994" w:customStyle="1">
    <w:name w:val="纯文本5"/>
    <w:basedOn w:val="835"/>
    <w:link w:val="993"/>
    <w:uiPriority w:val="0"/>
    <w:qFormat/>
    <w:rPr>
      <w:rFonts w:ascii="宋体" w:hAnsi="Courier New" w:eastAsia="楷体_GB2312"/>
      <w:sz w:val="26"/>
      <w:szCs w:val="20"/>
    </w:rPr>
  </w:style>
  <w:style w:type="character" w:styleId="995" w:customStyle="1">
    <w:name w:val="标题 1 字符"/>
    <w:link w:val="836"/>
    <w:uiPriority w:val="0"/>
    <w:qFormat/>
    <w:rPr>
      <w:rFonts w:ascii="Calibri" w:hAnsi="Calibri" w:eastAsia="楷体_GB2312" w:cs="Times New Roman"/>
      <w:b/>
      <w:sz w:val="44"/>
    </w:rPr>
  </w:style>
  <w:style w:type="character" w:styleId="996" w:customStyle="1">
    <w:name w:val="正文首行缩进 Char Char"/>
    <w:link w:val="997"/>
    <w:uiPriority w:val="0"/>
    <w:qFormat/>
    <w:rPr>
      <w:szCs w:val="24"/>
    </w:rPr>
  </w:style>
  <w:style w:type="paragraph" w:styleId="997" w:customStyle="1">
    <w:name w:val="正文首行缩进1"/>
    <w:basedOn w:val="858"/>
    <w:link w:val="996"/>
    <w:uiPriority w:val="0"/>
    <w:qFormat/>
    <w:pPr>
      <w:ind w:firstLine="420"/>
    </w:pPr>
    <w:rPr>
      <w:rFonts w:ascii="Times New Roman" w:hAnsi="Times New Roman"/>
      <w:sz w:val="20"/>
    </w:rPr>
  </w:style>
  <w:style w:type="character" w:styleId="998" w:customStyle="1">
    <w:name w:val="标题 Char_1"/>
    <w:link w:val="912"/>
    <w:uiPriority w:val="0"/>
    <w:qFormat/>
    <w:rPr>
      <w:rFonts w:ascii="Cambria" w:hAnsi="Cambria"/>
      <w:b/>
      <w:bCs/>
      <w:sz w:val="32"/>
      <w:szCs w:val="32"/>
    </w:rPr>
  </w:style>
  <w:style w:type="character" w:styleId="999" w:customStyle="1">
    <w:name w:val="font11"/>
    <w:uiPriority w:val="0"/>
    <w:qFormat/>
    <w:rPr>
      <w:rFonts w:ascii="Verdana" w:hAnsi="Verdana" w:cs="Verdana"/>
      <w:color w:val="000000"/>
      <w:sz w:val="24"/>
      <w:szCs w:val="24"/>
      <w:u w:val="none"/>
    </w:rPr>
  </w:style>
  <w:style w:type="character" w:styleId="1000" w:customStyle="1">
    <w:name w:val="s2"/>
    <w:uiPriority w:val="0"/>
    <w:qFormat/>
    <w:rPr>
      <w:rFonts w:ascii="Calibri" w:hAnsi="Calibri" w:eastAsia="宋体" w:cs="Times New Roman"/>
    </w:rPr>
  </w:style>
  <w:style w:type="character" w:styleId="1001" w:customStyle="1">
    <w:name w:val="正文首行缩进 2 Char"/>
    <w:link w:val="1002"/>
    <w:uiPriority w:val="0"/>
    <w:qFormat/>
    <w:rPr>
      <w:rFonts w:ascii="Calibri" w:hAnsi="Calibri"/>
      <w:sz w:val="21"/>
    </w:rPr>
  </w:style>
  <w:style w:type="paragraph" w:styleId="1002" w:customStyle="1">
    <w:name w:val="_Style 172"/>
    <w:basedOn w:val="835"/>
    <w:next w:val="1003"/>
    <w:link w:val="1001"/>
    <w:uiPriority w:val="0"/>
    <w:qFormat/>
    <w:pPr>
      <w:ind w:firstLine="420"/>
    </w:pPr>
    <w:rPr>
      <w:rFonts w:ascii="Calibri" w:hAnsi="Calibri"/>
      <w:szCs w:val="20"/>
    </w:rPr>
  </w:style>
  <w:style w:type="paragraph" w:styleId="1003" w:customStyle="1">
    <w:name w:val="列表段落1"/>
    <w:basedOn w:val="835"/>
    <w:uiPriority w:val="34"/>
    <w:qFormat/>
    <w:pPr>
      <w:ind w:firstLine="420"/>
    </w:pPr>
    <w:rPr>
      <w:rFonts w:ascii="Calibri" w:hAnsi="Calibri"/>
      <w:szCs w:val="22"/>
    </w:rPr>
  </w:style>
  <w:style w:type="character" w:styleId="1004" w:customStyle="1">
    <w:name w:val="正文缩进 Char2"/>
    <w:uiPriority w:val="0"/>
    <w:qFormat/>
    <w:rPr>
      <w:rFonts w:eastAsia="楷体_GB2312"/>
      <w:sz w:val="24"/>
      <w:lang w:val="en-US" w:eastAsia="zh-CN" w:bidi="ar-SA"/>
    </w:rPr>
  </w:style>
  <w:style w:type="character" w:styleId="1005" w:customStyle="1">
    <w:name w:val="样式 黑体 小四 自定义颜色(RGB(1500))"/>
    <w:uiPriority w:val="0"/>
    <w:qFormat/>
    <w:rPr>
      <w:rFonts w:ascii="Times New Roman" w:hAnsi="Times New Roman" w:eastAsia="黑体" w:cs="Times New Roman"/>
      <w:color w:val="0f0000"/>
      <w:sz w:val="24"/>
      <w:szCs w:val="24"/>
    </w:rPr>
  </w:style>
  <w:style w:type="character" w:styleId="1006" w:customStyle="1">
    <w:name w:val="标题 6 字符"/>
    <w:link w:val="841"/>
    <w:uiPriority w:val="0"/>
    <w:qFormat/>
    <w:rPr>
      <w:rFonts w:ascii="黑体" w:hAnsi="Tms Rmn" w:eastAsia="黑体" w:cs="Times New Roman"/>
      <w:b/>
      <w:sz w:val="24"/>
    </w:rPr>
  </w:style>
  <w:style w:type="character" w:styleId="1007" w:customStyle="1">
    <w:name w:val="纯文本 字符"/>
    <w:link w:val="866"/>
    <w:uiPriority w:val="0"/>
    <w:qFormat/>
    <w:rPr>
      <w:rFonts w:ascii="宋体" w:hAnsi="Courier New" w:eastAsia="楷体_GB2312"/>
      <w:sz w:val="26"/>
    </w:rPr>
  </w:style>
  <w:style w:type="character" w:styleId="1008" w:customStyle="1">
    <w:name w:val="纯文本 Char1"/>
    <w:uiPriority w:val="99"/>
    <w:qFormat/>
    <w:rPr>
      <w:rFonts w:ascii="宋体" w:hAnsi="Courier New" w:eastAsia="宋体" w:cs="Courier New"/>
      <w:sz w:val="21"/>
      <w:szCs w:val="21"/>
    </w:rPr>
  </w:style>
  <w:style w:type="character" w:styleId="1009" w:customStyle="1">
    <w:name w:val="列表段落 字符"/>
    <w:link w:val="1010"/>
    <w:uiPriority w:val="0"/>
    <w:qFormat/>
    <w:rPr>
      <w:rFonts w:ascii="Calibri" w:hAnsi="Calibri"/>
    </w:rPr>
  </w:style>
  <w:style w:type="paragraph" w:styleId="1010">
    <w:name w:val="List Paragraph"/>
    <w:basedOn w:val="835"/>
    <w:link w:val="1009"/>
    <w:uiPriority w:val="0"/>
    <w:qFormat/>
    <w:pPr>
      <w:ind w:firstLine="420"/>
    </w:pPr>
    <w:rPr>
      <w:rFonts w:ascii="Calibri" w:hAnsi="Calibri"/>
      <w:sz w:val="20"/>
      <w:szCs w:val="20"/>
    </w:rPr>
  </w:style>
  <w:style w:type="character" w:styleId="1011" w:customStyle="1">
    <w:name w:val="正文缩进 Char1"/>
    <w:uiPriority w:val="0"/>
    <w:qFormat/>
    <w:rPr>
      <w:rFonts w:eastAsia="楷体_GB2312"/>
      <w:sz w:val="24"/>
      <w:lang w:val="en-US" w:eastAsia="zh-CN" w:bidi="ar-SA"/>
    </w:rPr>
  </w:style>
  <w:style w:type="character" w:styleId="1012" w:customStyle="1">
    <w:name w:val="标题 Char1"/>
    <w:uiPriority w:val="10"/>
    <w:qFormat/>
    <w:rPr>
      <w:rFonts w:ascii="Cambria" w:hAnsi="Cambria" w:eastAsia="宋体" w:cs="Times New Roman"/>
      <w:b/>
      <w:bCs/>
      <w:sz w:val="32"/>
      <w:szCs w:val="32"/>
    </w:rPr>
  </w:style>
  <w:style w:type="character" w:styleId="1013" w:customStyle="1">
    <w:name w:val="中等深浅网格 1 - 着色 2 字符"/>
    <w:link w:val="1014"/>
    <w:uiPriority w:val="34"/>
    <w:qFormat/>
    <w:rPr>
      <w:sz w:val="21"/>
      <w:szCs w:val="24"/>
    </w:rPr>
  </w:style>
  <w:style w:type="paragraph" w:styleId="1014" w:customStyle="1">
    <w:name w:val="中等深浅网格 1 - 着色 21"/>
    <w:basedOn w:val="835"/>
    <w:link w:val="1013"/>
    <w:uiPriority w:val="34"/>
    <w:qFormat/>
    <w:pPr>
      <w:ind w:firstLine="420"/>
      <w:jc w:val="left"/>
      <w:spacing w:line="360" w:lineRule="auto"/>
    </w:pPr>
  </w:style>
  <w:style w:type="character" w:styleId="1015" w:customStyle="1">
    <w:name w:val="标题 Char_0"/>
    <w:link w:val="1016"/>
    <w:uiPriority w:val="0"/>
    <w:qFormat/>
    <w:rPr>
      <w:rFonts w:ascii="Calibri" w:hAnsi="Calibri"/>
      <w:sz w:val="21"/>
      <w:szCs w:val="22"/>
    </w:rPr>
  </w:style>
  <w:style w:type="paragraph" w:styleId="1016" w:customStyle="1">
    <w:name w:val="标题_0"/>
    <w:basedOn w:val="835"/>
    <w:link w:val="1015"/>
    <w:uiPriority w:val="0"/>
    <w:qFormat/>
    <w:rPr>
      <w:rFonts w:ascii="Calibri" w:hAnsi="Calibri"/>
      <w:szCs w:val="22"/>
    </w:rPr>
  </w:style>
  <w:style w:type="character" w:styleId="1017" w:customStyle="1">
    <w:name w:val="正文文本缩进 3 字符"/>
    <w:link w:val="881"/>
    <w:uiPriority w:val="0"/>
    <w:qFormat/>
    <w:rPr>
      <w:rFonts w:ascii="Times New Roman" w:hAnsi="Times New Roman" w:eastAsia="宋体" w:cs="Times New Roman"/>
      <w:sz w:val="24"/>
      <w:szCs w:val="24"/>
    </w:rPr>
  </w:style>
  <w:style w:type="character" w:styleId="1018" w:customStyle="1">
    <w:name w:val="副标题 Char2"/>
    <w:uiPriority w:val="11"/>
    <w:qFormat/>
    <w:rPr>
      <w:rFonts w:ascii="Cambria" w:hAnsi="Cambria" w:eastAsia="宋体" w:cs="Times New Roman"/>
      <w:b/>
      <w:bCs/>
      <w:sz w:val="32"/>
      <w:szCs w:val="32"/>
    </w:rPr>
  </w:style>
  <w:style w:type="character" w:styleId="1019" w:customStyle="1">
    <w:name w:val="Char Char11"/>
    <w:uiPriority w:val="0"/>
    <w:qFormat/>
    <w:rPr>
      <w:sz w:val="21"/>
    </w:rPr>
  </w:style>
  <w:style w:type="character" w:styleId="1020" w:customStyle="1">
    <w:name w:val="正文文本首行缩进 2 字符"/>
    <w:link w:val="894"/>
    <w:uiPriority w:val="99"/>
    <w:qFormat/>
    <w:rPr>
      <w:rFonts w:ascii="Calibri" w:hAnsi="Calibri" w:eastAsia="方正仿宋简体"/>
      <w:sz w:val="21"/>
      <w:szCs w:val="22"/>
    </w:rPr>
  </w:style>
  <w:style w:type="paragraph" w:styleId="1021" w:customStyle="1">
    <w:name w:val="Char Char Char1 Char Char Char Char"/>
    <w:basedOn w:val="835"/>
    <w:uiPriority w:val="0"/>
    <w:qFormat/>
    <w:pPr>
      <w:jc w:val="left"/>
      <w:spacing w:after="160" w:line="240" w:lineRule="exact"/>
      <w:widowControl/>
    </w:pPr>
    <w:rPr>
      <w:sz w:val="24"/>
    </w:rPr>
  </w:style>
  <w:style w:type="paragraph" w:styleId="1022" w:customStyle="1">
    <w:name w:val="xl64"/>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23" w:customStyle="1">
    <w:name w:val="Plain Text1"/>
    <w:basedOn w:val="835"/>
    <w:uiPriority w:val="0"/>
    <w:qFormat/>
    <w:rPr>
      <w:rFonts w:ascii="宋体" w:hAnsi="Courier New" w:eastAsia="楷体_GB2312"/>
      <w:sz w:val="26"/>
      <w:szCs w:val="20"/>
    </w:rPr>
  </w:style>
  <w:style w:type="paragraph" w:styleId="1024" w:customStyle="1">
    <w:name w:val="p7"/>
    <w:basedOn w:val="835"/>
    <w:uiPriority w:val="0"/>
    <w:qFormat/>
    <w:pPr>
      <w:jc w:val="left"/>
      <w:spacing w:before="100" w:beforeAutospacing="1" w:after="100" w:afterAutospacing="1"/>
      <w:widowControl/>
    </w:pPr>
    <w:rPr>
      <w:rFonts w:ascii="宋体" w:hAnsi="宋体" w:cs="宋体"/>
      <w:sz w:val="24"/>
    </w:rPr>
  </w:style>
  <w:style w:type="paragraph" w:styleId="1025" w:customStyle="1">
    <w:name w:val="纯文本11"/>
    <w:basedOn w:val="835"/>
    <w:uiPriority w:val="0"/>
    <w:qFormat/>
    <w:rPr>
      <w:rFonts w:ascii="宋体" w:hAnsi="Courier New" w:eastAsia="楷体_GB2312"/>
      <w:sz w:val="28"/>
      <w:szCs w:val="20"/>
    </w:rPr>
  </w:style>
  <w:style w:type="paragraph" w:styleId="1026" w:customStyle="1">
    <w:name w:val="p3"/>
    <w:basedOn w:val="835"/>
    <w:uiPriority w:val="0"/>
    <w:qFormat/>
    <w:pPr>
      <w:jc w:val="left"/>
      <w:spacing w:before="100" w:beforeAutospacing="1" w:after="100" w:afterAutospacing="1"/>
      <w:widowControl/>
    </w:pPr>
    <w:rPr>
      <w:rFonts w:ascii="宋体" w:hAnsi="宋体" w:cs="宋体"/>
      <w:sz w:val="24"/>
    </w:rPr>
  </w:style>
  <w:style w:type="paragraph" w:styleId="1027" w:customStyle="1">
    <w:name w:val="Char"/>
    <w:basedOn w:val="835"/>
    <w:uiPriority w:val="0"/>
    <w:qFormat/>
    <w:pPr>
      <w:ind w:left="420" w:hanging="420"/>
      <w:tabs>
        <w:tab w:val="left" w:pos="420" w:leader="none"/>
      </w:tabs>
    </w:pPr>
    <w:rPr>
      <w:sz w:val="24"/>
    </w:rPr>
  </w:style>
  <w:style w:type="paragraph" w:styleId="1028" w:customStyle="1">
    <w:name w:val="xl59"/>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9" w:customStyle="1">
    <w:name w:val="首行缩进"/>
    <w:basedOn w:val="835"/>
    <w:uiPriority w:val="0"/>
    <w:qFormat/>
    <w:pPr>
      <w:ind w:firstLine="480"/>
    </w:pPr>
    <w:rPr>
      <w:szCs w:val="20"/>
      <w:lang w:val="zh-CN"/>
    </w:rPr>
  </w:style>
  <w:style w:type="paragraph" w:styleId="1030" w:customStyle="1">
    <w:name w:val="Char2"/>
    <w:basedOn w:val="835"/>
    <w:uiPriority w:val="0"/>
    <w:qFormat/>
    <w:rPr>
      <w:rFonts w:ascii="Tahoma" w:hAnsi="Tahoma"/>
      <w:sz w:val="24"/>
      <w:szCs w:val="20"/>
    </w:rPr>
  </w:style>
  <w:style w:type="paragraph" w:styleId="1031" w:customStyle="1">
    <w:name w:val="xl58"/>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2" w:customStyle="1">
    <w:name w:val="xl53"/>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3" w:customStyle="1">
    <w:name w:val="p6"/>
    <w:basedOn w:val="835"/>
    <w:uiPriority w:val="0"/>
    <w:qFormat/>
    <w:pPr>
      <w:jc w:val="left"/>
      <w:spacing w:before="100" w:beforeAutospacing="1" w:after="100" w:afterAutospacing="1"/>
      <w:widowControl/>
    </w:pPr>
    <w:rPr>
      <w:rFonts w:ascii="宋体" w:hAnsi="宋体" w:cs="宋体"/>
      <w:sz w:val="24"/>
    </w:rPr>
  </w:style>
  <w:style w:type="paragraph" w:styleId="1034" w:customStyle="1">
    <w:name w:val="xl57"/>
    <w:basedOn w:val="83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5" w:customStyle="1">
    <w:name w:val="xl46"/>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6" w:customStyle="1">
    <w:name w:val="正文1"/>
    <w:basedOn w:val="835"/>
    <w:next w:val="835"/>
    <w:uiPriority w:val="0"/>
    <w:qFormat/>
    <w:pPr>
      <w:ind w:left="420" w:firstLine="527"/>
      <w:spacing w:before="120" w:line="360" w:lineRule="auto"/>
    </w:pPr>
    <w:rPr>
      <w:rFonts w:ascii="宋体" w:hAnsi="宋体"/>
    </w:rPr>
  </w:style>
  <w:style w:type="paragraph" w:styleId="1037" w:customStyle="1">
    <w:name w:val="TOC 标题1"/>
    <w:basedOn w:val="836"/>
    <w:next w:val="835"/>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038" w:customStyle="1">
    <w:name w:val="xl66"/>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9" w:customStyle="1">
    <w:name w:val="纯文本2"/>
    <w:basedOn w:val="835"/>
    <w:uiPriority w:val="0"/>
    <w:qFormat/>
    <w:rPr>
      <w:rFonts w:ascii="宋体" w:hAnsi="Courier New" w:eastAsia="楷体_GB2312"/>
      <w:sz w:val="26"/>
      <w:szCs w:val="20"/>
    </w:rPr>
  </w:style>
  <w:style w:type="paragraph" w:styleId="1040" w:customStyle="1">
    <w:name w:val="xl49"/>
    <w:basedOn w:val="835"/>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41" w:customStyle="1">
    <w:name w:val="纯文本3"/>
    <w:basedOn w:val="835"/>
    <w:uiPriority w:val="0"/>
    <w:qFormat/>
    <w:rPr>
      <w:rFonts w:ascii="宋体" w:hAnsi="Courier New" w:eastAsia="楷体_GB2312"/>
      <w:sz w:val="28"/>
    </w:rPr>
  </w:style>
  <w:style w:type="paragraph" w:styleId="1042" w:customStyle="1">
    <w:name w:val="xl52"/>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3" w:customStyle="1">
    <w:name w:val="font5"/>
    <w:basedOn w:val="835"/>
    <w:uiPriority w:val="0"/>
    <w:qFormat/>
    <w:pPr>
      <w:jc w:val="left"/>
      <w:spacing w:before="100" w:beforeAutospacing="1" w:after="100" w:afterAutospacing="1"/>
      <w:widowControl/>
    </w:pPr>
    <w:rPr>
      <w:rFonts w:hint="eastAsia" w:ascii="宋体" w:hAnsi="宋体"/>
      <w:sz w:val="18"/>
      <w:szCs w:val="18"/>
    </w:rPr>
  </w:style>
  <w:style w:type="paragraph" w:styleId="1044" w:customStyle="1">
    <w:name w:val="xl50"/>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45" w:customStyle="1">
    <w:name w:val="xl65"/>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6" w:customStyle="1">
    <w:name w:val="正文缩进1"/>
    <w:uiPriority w:val="0"/>
    <w:qFormat/>
    <w:pPr>
      <w:ind w:firstLine="420"/>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1047" w:customStyle="1">
    <w:name w:val="List Paragraph11"/>
    <w:basedOn w:val="835"/>
    <w:uiPriority w:val="0"/>
    <w:qFormat/>
    <w:pPr>
      <w:ind w:firstLine="420"/>
    </w:pPr>
    <w:rPr>
      <w:rFonts w:ascii="Calibri" w:hAnsi="Calibri"/>
    </w:rPr>
  </w:style>
  <w:style w:type="paragraph" w:styleId="1048" w:customStyle="1">
    <w:name w:val="xl56"/>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9" w:customStyle="1">
    <w:name w:val="xl62"/>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50" w:customStyle="1">
    <w:name w:val="p4"/>
    <w:basedOn w:val="835"/>
    <w:uiPriority w:val="0"/>
    <w:qFormat/>
    <w:pPr>
      <w:jc w:val="left"/>
      <w:spacing w:before="100" w:beforeAutospacing="1" w:after="100" w:afterAutospacing="1"/>
      <w:widowControl/>
    </w:pPr>
    <w:rPr>
      <w:rFonts w:ascii="宋体" w:hAnsi="宋体" w:cs="宋体"/>
      <w:sz w:val="24"/>
    </w:rPr>
  </w:style>
  <w:style w:type="paragraph" w:styleId="1051" w:customStyle="1">
    <w:name w:val="正文2"/>
    <w:basedOn w:val="835"/>
    <w:uiPriority w:val="0"/>
    <w:qFormat/>
    <w:pPr>
      <w:ind w:firstLine="200"/>
      <w:jc w:val="left"/>
      <w:spacing w:after="160" w:line="360" w:lineRule="auto"/>
      <w:widowControl/>
    </w:pPr>
    <w:rPr>
      <w:rFonts w:ascii="Verdana" w:hAnsi="Verdana" w:eastAsia="黑体"/>
      <w:szCs w:val="20"/>
      <w:lang w:eastAsia="en-US"/>
    </w:rPr>
  </w:style>
  <w:style w:type="paragraph" w:styleId="1052" w:customStyle="1">
    <w:name w:val="p1"/>
    <w:basedOn w:val="835"/>
    <w:uiPriority w:val="0"/>
    <w:qFormat/>
    <w:pPr>
      <w:jc w:val="left"/>
      <w:spacing w:before="100" w:beforeAutospacing="1" w:after="100" w:afterAutospacing="1"/>
      <w:widowControl/>
    </w:pPr>
    <w:rPr>
      <w:rFonts w:ascii="宋体" w:hAnsi="宋体" w:cs="宋体"/>
      <w:sz w:val="24"/>
    </w:rPr>
  </w:style>
  <w:style w:type="paragraph" w:styleId="1053" w:customStyle="1">
    <w:name w:val="正文 A"/>
    <w:uiPriority w:val="0"/>
    <w:qFormat/>
    <w:pPr>
      <w:jc w:val="both"/>
      <w:widowControl w:val="off"/>
      <w:framePr w:wrap="around" w:vAnchor="margin" w:hAnchor="text" w:y="1"/>
    </w:pPr>
    <w:rPr>
      <w:rFonts w:ascii="Times New Roman" w:hAnsi="Times New Roman" w:eastAsia="宋体" w:cs="Times New Roman"/>
      <w:color w:val="000000"/>
      <w:sz w:val="30"/>
      <w:szCs w:val="30"/>
      <w:lang w:val="en-US" w:eastAsia="zh-CN" w:bidi="ar-SA"/>
    </w:rPr>
  </w:style>
  <w:style w:type="paragraph" w:styleId="1054" w:customStyle="1">
    <w:name w:val="xl60"/>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5" w:customStyle="1">
    <w:name w:val="_Style 30"/>
    <w:basedOn w:val="835"/>
    <w:next w:val="866"/>
    <w:uiPriority w:val="0"/>
    <w:qFormat/>
    <w:rPr>
      <w:rFonts w:ascii="宋体" w:hAnsi="Courier New"/>
      <w:szCs w:val="20"/>
    </w:rPr>
  </w:style>
  <w:style w:type="paragraph" w:styleId="1056" w:customStyle="1">
    <w:name w:val="列表段落2"/>
    <w:basedOn w:val="835"/>
    <w:uiPriority w:val="0"/>
    <w:qFormat/>
    <w:pPr>
      <w:ind w:firstLine="420"/>
    </w:pPr>
  </w:style>
  <w:style w:type="paragraph" w:styleId="1057" w:customStyle="1">
    <w:name w:val="Char Char Char Char Char Char1 Char Char Char Char"/>
    <w:basedOn w:val="835"/>
    <w:next w:val="1058"/>
    <w:uiPriority w:val="0"/>
    <w:qFormat/>
    <w:pPr>
      <w:jc w:val="left"/>
      <w:spacing w:line="360" w:lineRule="auto"/>
      <w:shd w:val="clear" w:color="auto" w:fill="000080"/>
      <w:widowControl/>
    </w:pPr>
    <w:rPr>
      <w:sz w:val="24"/>
    </w:rPr>
  </w:style>
  <w:style w:type="paragraph" w:styleId="1058" w:customStyle="1">
    <w:name w:val="纯文本1"/>
    <w:basedOn w:val="835"/>
    <w:uiPriority w:val="0"/>
    <w:qFormat/>
    <w:rPr>
      <w:rFonts w:ascii="宋体" w:hAnsi="Courier New" w:eastAsia="楷体_GB2312"/>
      <w:sz w:val="26"/>
    </w:rPr>
  </w:style>
  <w:style w:type="paragraph" w:styleId="1059" w:customStyle="1">
    <w:name w:val="首行缩进:  0.74 厘米 行距: 多倍行距 1.3 字行"/>
    <w:basedOn w:val="835"/>
    <w:uiPriority w:val="0"/>
    <w:qFormat/>
    <w:pPr>
      <w:ind w:firstLine="420"/>
      <w:spacing w:line="312" w:lineRule="auto"/>
    </w:pPr>
    <w:rPr>
      <w:rFonts w:ascii="Calibri" w:hAnsi="Calibri" w:cs="宋体"/>
      <w:sz w:val="24"/>
      <w:szCs w:val="20"/>
    </w:rPr>
  </w:style>
  <w:style w:type="paragraph" w:styleId="1060" w:customStyle="1">
    <w:name w:val="xl61"/>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1" w:customStyle="1">
    <w:name w:val="_Style 5"/>
    <w:basedOn w:val="835"/>
    <w:uiPriority w:val="0"/>
    <w:qFormat/>
    <w:pPr>
      <w:spacing w:after="160" w:line="240" w:lineRule="exact"/>
    </w:pPr>
    <w:rPr>
      <w:rFonts w:eastAsia="楷体_GB2312"/>
      <w:sz w:val="26"/>
      <w:szCs w:val="20"/>
    </w:rPr>
  </w:style>
  <w:style w:type="paragraph" w:styleId="1062">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63" w:customStyle="1">
    <w:name w:val="小四 段落 宋体 Char Char Char Char Char Char"/>
    <w:basedOn w:val="1064"/>
    <w:uiPriority w:val="0"/>
    <w:qFormat/>
    <w:pPr>
      <w:ind w:firstLine="480"/>
    </w:pPr>
    <w:rPr>
      <w:rFonts w:ascii="宋体" w:hAnsi="宋体"/>
    </w:rPr>
  </w:style>
  <w:style w:type="paragraph" w:styleId="1064" w:customStyle="1">
    <w:name w:val="小四 段落 宋体 Char Char Char Char Char Char Char"/>
    <w:basedOn w:val="851"/>
    <w:uiPriority w:val="0"/>
    <w:semiHidden/>
    <w:qFormat/>
    <w:pPr>
      <w:ind w:left="0" w:right="-33" w:firstLine="545"/>
      <w:jc w:val="left"/>
      <w:spacing w:line="360" w:lineRule="auto"/>
      <w:tabs>
        <w:tab w:val="clear" w:pos="1125" w:leader="none"/>
      </w:tabs>
    </w:pPr>
    <w:rPr>
      <w:sz w:val="24"/>
    </w:rPr>
  </w:style>
  <w:style w:type="paragraph" w:styleId="1065" w:customStyle="1">
    <w:name w:val="xl55"/>
    <w:basedOn w:val="83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6" w:customStyle="1">
    <w:name w:val="Char Char Char Char Char Char Char Char Char Char"/>
    <w:basedOn w:val="835"/>
    <w:uiPriority w:val="0"/>
    <w:qFormat/>
    <w:pPr>
      <w:ind w:left="420" w:hanging="420"/>
      <w:tabs>
        <w:tab w:val="left" w:pos="420" w:leader="none"/>
      </w:tabs>
    </w:pPr>
    <w:rPr>
      <w:sz w:val="24"/>
    </w:rPr>
  </w:style>
  <w:style w:type="paragraph" w:styleId="1067" w:customStyle="1">
    <w:name w:val="Plain Text2"/>
    <w:basedOn w:val="835"/>
    <w:uiPriority w:val="0"/>
    <w:qFormat/>
    <w:rPr>
      <w:rFonts w:ascii="宋体" w:hAnsi="Courier New" w:eastAsia="楷体_GB2312"/>
      <w:sz w:val="26"/>
      <w:szCs w:val="20"/>
    </w:rPr>
  </w:style>
  <w:style w:type="paragraph" w:styleId="1068"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69" w:customStyle="1">
    <w:name w:val="Char Char Char Char Char Char Char Char Char1 Char Char Char Char"/>
    <w:basedOn w:val="854"/>
    <w:uiPriority w:val="0"/>
    <w:qFormat/>
    <w:pPr>
      <w:spacing w:line="360" w:lineRule="auto"/>
      <w:shd w:val="clear" w:color="auto" w:fill="000080"/>
    </w:pPr>
    <w:rPr>
      <w:rFonts w:ascii="Times New Roman" w:eastAsia="楷体_GB2312"/>
      <w:sz w:val="26"/>
      <w:szCs w:val="20"/>
    </w:rPr>
  </w:style>
  <w:style w:type="paragraph" w:styleId="1070" w:customStyle="1">
    <w:name w:val="列表段落3"/>
    <w:basedOn w:val="949"/>
    <w:uiPriority w:val="0"/>
    <w:qFormat/>
    <w:pPr>
      <w:ind w:firstLine="420"/>
      <w:jc w:val="both"/>
      <w:widowControl w:val="off"/>
    </w:pPr>
    <w:rPr>
      <w:rFonts w:ascii="Calibri" w:hAnsi="Calibri"/>
      <w:szCs w:val="22"/>
    </w:rPr>
  </w:style>
  <w:style w:type="paragraph" w:styleId="1071" w:customStyle="1">
    <w:name w:val="Char Char Char"/>
    <w:basedOn w:val="854"/>
    <w:uiPriority w:val="0"/>
    <w:qFormat/>
    <w:pPr>
      <w:spacing w:line="360" w:lineRule="auto"/>
      <w:shd w:val="clear" w:color="auto" w:fill="000080"/>
    </w:pPr>
    <w:rPr>
      <w:rFonts w:ascii="Tahoma" w:hAnsi="Tahoma"/>
      <w:sz w:val="24"/>
      <w:szCs w:val="24"/>
    </w:rPr>
  </w:style>
  <w:style w:type="paragraph" w:styleId="1072" w:customStyle="1">
    <w:name w:val="Char Char Char Char Char Char Char Char Char1 Char"/>
    <w:basedOn w:val="854"/>
    <w:uiPriority w:val="0"/>
    <w:qFormat/>
    <w:pPr>
      <w:spacing w:line="360" w:lineRule="auto"/>
      <w:shd w:val="clear" w:color="auto" w:fill="000080"/>
    </w:pPr>
    <w:rPr>
      <w:rFonts w:ascii="Tahoma" w:hAnsi="Tahoma"/>
      <w:sz w:val="24"/>
      <w:szCs w:val="24"/>
    </w:rPr>
  </w:style>
  <w:style w:type="paragraph" w:styleId="1073" w:customStyle="1">
    <w:name w:val="xl51"/>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74" w:customStyle="1">
    <w:name w:val="Char Char Char Char"/>
    <w:basedOn w:val="854"/>
    <w:uiPriority w:val="0"/>
    <w:qFormat/>
    <w:pPr>
      <w:spacing w:line="360" w:lineRule="auto"/>
      <w:shd w:val="clear" w:color="auto" w:fill="000080"/>
    </w:pPr>
    <w:rPr>
      <w:rFonts w:ascii="Times New Roman"/>
      <w:sz w:val="24"/>
      <w:szCs w:val="20"/>
    </w:rPr>
  </w:style>
  <w:style w:type="paragraph" w:styleId="1075" w:customStyle="1">
    <w:name w:val="p2"/>
    <w:basedOn w:val="835"/>
    <w:uiPriority w:val="0"/>
    <w:qFormat/>
    <w:pPr>
      <w:jc w:val="left"/>
      <w:spacing w:before="100" w:beforeAutospacing="1" w:after="100" w:afterAutospacing="1"/>
      <w:widowControl/>
    </w:pPr>
    <w:rPr>
      <w:rFonts w:ascii="宋体" w:hAnsi="宋体" w:cs="宋体"/>
      <w:sz w:val="24"/>
    </w:rPr>
  </w:style>
  <w:style w:type="paragraph" w:styleId="1076" w:customStyle="1">
    <w:name w:val="xl47"/>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77" w:customStyle="1">
    <w:name w:val="Char1"/>
    <w:basedOn w:val="835"/>
    <w:uiPriority w:val="0"/>
    <w:qFormat/>
    <w:rPr>
      <w:sz w:val="24"/>
    </w:rPr>
  </w:style>
  <w:style w:type="paragraph" w:styleId="1078" w:customStyle="1">
    <w:name w:val="xl45"/>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9" w:customStyle="1">
    <w:name w:val="xl48"/>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0" w:customStyle="1">
    <w:name w:val="xl54"/>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1" w:customStyle="1">
    <w:name w:val="xl63"/>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82" w:customStyle="1">
    <w:name w:val="Char Char1 Char Char Char Char Char Char"/>
    <w:basedOn w:val="835"/>
    <w:uiPriority w:val="0"/>
    <w:qFormat/>
    <w:pPr>
      <w:jc w:val="left"/>
      <w:spacing w:after="160" w:line="240" w:lineRule="exact"/>
      <w:widowControl/>
    </w:pPr>
    <w:rPr>
      <w:rFonts w:ascii="Verdana" w:hAnsi="Verdana" w:eastAsia="仿宋_GB2312"/>
      <w:sz w:val="24"/>
      <w:szCs w:val="20"/>
      <w:lang w:eastAsia="en-US"/>
    </w:rPr>
  </w:style>
  <w:style w:type="paragraph" w:styleId="1083" w:customStyle="1">
    <w:name w:val="小四 段落 宋体 Char"/>
    <w:basedOn w:val="851"/>
    <w:uiPriority w:val="0"/>
    <w:qFormat/>
    <w:pPr>
      <w:ind w:left="0" w:right="-33" w:firstLine="480"/>
      <w:jc w:val="left"/>
      <w:spacing w:line="360" w:lineRule="auto"/>
      <w:tabs>
        <w:tab w:val="clear" w:pos="1125" w:leader="none"/>
      </w:tabs>
    </w:pPr>
    <w:rPr>
      <w:sz w:val="24"/>
    </w:rPr>
  </w:style>
  <w:style w:type="paragraph" w:styleId="1084" w:customStyle="1">
    <w:name w:val="p0"/>
    <w:basedOn w:val="835"/>
    <w:uiPriority w:val="0"/>
    <w:qFormat/>
    <w:rPr>
      <w:rFonts w:ascii="Calibri" w:hAnsi="Calibri"/>
    </w:rPr>
  </w:style>
  <w:style w:type="paragraph" w:styleId="1085" w:customStyle="1">
    <w:name w:val="font6"/>
    <w:basedOn w:val="835"/>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086" w:customStyle="1">
    <w:name w:val="Char1 Char Char Char"/>
    <w:basedOn w:val="835"/>
    <w:uiPriority w:val="0"/>
    <w:qFormat/>
    <w:rPr>
      <w:rFonts w:ascii="Tahoma" w:hAnsi="Tahoma"/>
      <w:sz w:val="24"/>
      <w:szCs w:val="20"/>
    </w:rPr>
  </w:style>
  <w:style w:type="table" w:styleId="1087" w:customStyle="1">
    <w:name w:val="网格型1"/>
    <w:basedOn w:val="846"/>
    <w:uiPriority w:val="39"/>
    <w:qFormat/>
    <w:rPr>
      <w:sz w:val="22"/>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8" w:customStyle="1">
    <w:name w:val="网格型2"/>
    <w:basedOn w:val="846"/>
    <w:uiPriority w:val="39"/>
    <w:qFormat/>
    <w:rPr>
      <w:sz w:val="22"/>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9" w:customStyle="1">
    <w:name w:val="正文文本11"/>
    <w:basedOn w:val="835"/>
    <w:uiPriority w:val="99"/>
    <w:unhideWhenUsed/>
    <w:qFormat/>
    <w:pPr>
      <w:spacing w:after="120"/>
    </w:pPr>
  </w:style>
  <w:style w:type="character" w:styleId="1090" w:customStyle="1">
    <w:name w:val="font31"/>
    <w:basedOn w:val="845"/>
    <w:uiPriority w:val="0"/>
    <w:qFormat/>
    <w:rPr>
      <w:rFonts w:hint="eastAsia" w:ascii="宋体" w:hAnsi="宋体" w:eastAsia="宋体" w:cs="宋体"/>
      <w:b/>
      <w:bCs/>
      <w:color w:val="000000"/>
      <w:sz w:val="21"/>
      <w:szCs w:val="21"/>
      <w:u w:val="none"/>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0524DE8-3EA8-4F43-AD87-09986D744B6C}"/>
</file>

<file path=docProps/app.xml><?xml version="1.0" encoding="utf-8"?>
<Properties xmlns="http://schemas.openxmlformats.org/officeDocument/2006/extended-properties" xmlns:vt="http://schemas.openxmlformats.org/officeDocument/2006/docPropsVTypes">
  <Application>ONLYOFFICE/7.2.1.34</Application>
  <Company>Hewlett-Packard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singlelulu</dc:creator>
  <cp:lastModifiedBy>冯笺</cp:lastModifiedBy>
  <cp:revision>41</cp:revision>
  <dcterms:created xsi:type="dcterms:W3CDTF">2020-08-06T05:52:00Z</dcterms:created>
  <dcterms:modified xsi:type="dcterms:W3CDTF">2025-10-28T05:37:33Z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eyJoZGlkIjoiYTE5NTljMDVhMzZlNDBiMmM5M2Q0YTU3ZTdkMzNlMTMiLCJ1c2VySWQiOiIxMTgyOTIxNzYzIn0=</vt:lpwstr>
  </property>
  <property fmtid="{D5CDD505-2E9C-101B-9397-08002B2CF9AE}" pid="4" name="ICV">
    <vt:lpwstr>9B39787FCD2442B9BC445ED020DA9FDC_12</vt:lpwstr>
  </property>
</Properties>
</file>