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ascii="宋体" w:hAnsi="宋体" w:cs="宋体"/>
          <w:b/>
          <w:bCs/>
          <w:color w:val="auto"/>
          <w:sz w:val="36"/>
          <w:highlight w:val="none"/>
        </w:rPr>
      </w:pPr>
      <w:r>
        <w:rPr>
          <w:rFonts w:hint="eastAsia" w:ascii="宋体" w:hAnsi="宋体" w:cs="宋体"/>
          <w:b/>
          <w:bCs/>
          <w:color w:val="auto"/>
          <w:sz w:val="32"/>
          <w:szCs w:val="32"/>
          <w:highlight w:val="none"/>
        </w:rPr>
        <w:t xml:space="preserve">JSZC-321000-JSZX-G2024-0017号</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苏北人民医院9号楼二次供水机房智慧化升级改造项目</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6"/>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人：江苏省苏北人民医院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2024年12月</w:t>
      </w:r>
      <w:bookmarkEnd w:id="0"/>
      <w:r>
        <w:rPr>
          <w:rFonts w:hint="eastAsia" w:ascii="宋体" w:hAnsi="宋体" w:cs="宋体"/>
          <w:b/>
          <w:bCs/>
          <w:color w:val="auto"/>
          <w:sz w:val="32"/>
          <w:szCs w:val="32"/>
          <w:highlight w:val="none"/>
          <w:lang w:val="en-US" w:eastAsia="zh-CN"/>
        </w:rPr>
        <w:t xml:space="preserve">30</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17</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第四章 项目须求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22</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39</w:t>
      </w:r>
      <w:r/>
    </w:p>
    <w:p>
      <w:pPr>
        <w:pStyle w:val="1000"/>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42</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85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962"/>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受江苏省苏北人民医院的委托，江苏中鑫项目管理有限公司就苏北人民医院9号楼二次供水机房智慧化升级改造项目进行公开招标采购，欢迎符合条件的供应商投标。</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苏北人民医院9号楼二次供水机房智慧化升级改造项目</w:t>
      </w:r>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w:t>
      </w:r>
      <w:r>
        <w:rPr>
          <w:rFonts w:ascii="宋体" w:hAnsi="宋体" w:cs="宋体"/>
          <w:b/>
          <w:bCs/>
          <w:color w:val="auto"/>
          <w:szCs w:val="21"/>
          <w:highlight w:val="none"/>
          <w:u w:val="single"/>
        </w:rPr>
        <w:t xml:space="preserve">5</w:t>
      </w:r>
      <w:r>
        <w:rPr>
          <w:rFonts w:hint="eastAsia" w:ascii="宋体" w:hAnsi="宋体" w:cs="宋体"/>
          <w:b/>
          <w:bCs/>
          <w:color w:val="auto"/>
          <w:szCs w:val="21"/>
          <w:highlight w:val="none"/>
          <w:u w:val="single"/>
        </w:rPr>
        <w:t xml:space="preserve">年01月</w:t>
      </w:r>
      <w:r>
        <w:rPr>
          <w:rFonts w:hint="eastAsia" w:ascii="宋体" w:hAnsi="宋体" w:cs="宋体"/>
          <w:b/>
          <w:bCs/>
          <w:color w:val="auto"/>
          <w:szCs w:val="21"/>
          <w:highlight w:val="none"/>
          <w:u w:val="single"/>
          <w:lang w:val="en-US" w:eastAsia="zh-CN"/>
        </w:rPr>
        <w:t xml:space="preserve">20</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3" w:name="_Toc28359079"/>
      <w:r/>
      <w:bookmarkStart w:id="4" w:name="_Toc35393621"/>
      <w:r/>
      <w:bookmarkStart w:id="5" w:name="_Toc28359002"/>
      <w:r/>
      <w:bookmarkStart w:id="6" w:name="_Toc35393790"/>
      <w:r/>
      <w:bookmarkStart w:id="7" w:name="_Hlk24379207"/>
      <w:r>
        <w:rPr>
          <w:rFonts w:hint="eastAsia" w:ascii="宋体" w:hAnsi="宋体" w:cs="宋体"/>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1、项目编号：JSZC-321000-JSZX-G2024-0017号；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rPr>
        <w:t xml:space="preserve">苏北人民医院9号楼二次供水机房智慧化升级改造项目；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3、预算金额：225万元；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4、最高限价：225万元，投标报价不得高于最高限价，否则做废标处理；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5、采购需求：详见招标文件第四章；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rPr>
        <w:t xml:space="preserve">合同签订之日起90天内完成供货、安装、</w:t>
      </w:r>
      <w:r>
        <w:rPr>
          <w:rFonts w:hint="eastAsia" w:ascii="宋体" w:hAnsi="宋体" w:cs="宋体"/>
          <w:color w:val="auto"/>
          <w:szCs w:val="21"/>
          <w:highlight w:val="none"/>
        </w:rPr>
        <w:t xml:space="preserve">调试、验收培训等并交付使用</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不接受进</w:t>
      </w:r>
      <w:r>
        <w:rPr>
          <w:rFonts w:hint="eastAsia" w:ascii="宋体" w:hAnsi="宋体" w:cs="宋体"/>
          <w:color w:val="auto"/>
          <w:szCs w:val="21"/>
          <w:highlight w:val="none"/>
        </w:rPr>
        <w:t xml:space="preserve">口产品投标。</w:t>
      </w:r>
      <w:r/>
    </w:p>
    <w:p>
      <w:pPr>
        <w:ind w:firstLine="420"/>
        <w:spacing w:line="360" w:lineRule="auto"/>
        <w:rPr>
          <w:rFonts w:ascii="宋体" w:hAnsi="宋体" w:cs="宋体"/>
          <w:color w:val="auto"/>
          <w:szCs w:val="21"/>
          <w:highlight w:val="none"/>
        </w:rPr>
      </w:pPr>
      <w:r/>
      <w:bookmarkStart w:id="8" w:name="_Toc28359003"/>
      <w:r/>
      <w:bookmarkStart w:id="9" w:name="_Toc28359080"/>
      <w:r/>
      <w:bookmarkStart w:id="10" w:name="_Toc35393622"/>
      <w:r/>
      <w:bookmarkStart w:id="11" w:name="_Toc35393791"/>
      <w:r>
        <w:rPr>
          <w:rFonts w:hint="eastAsia" w:ascii="宋体" w:hAnsi="宋体" w:cs="宋体"/>
          <w:color w:val="auto"/>
          <w:szCs w:val="21"/>
          <w:highlight w:val="none"/>
        </w:rPr>
        <w:t xml:space="preserve">二、申请人的资格要求：</w:t>
      </w:r>
      <w:bookmarkEnd w:id="8"/>
      <w:r/>
      <w:bookmarkEnd w:id="9"/>
      <w:r/>
      <w:bookmarkEnd w:id="10"/>
      <w:r/>
      <w:bookmarkEnd w:id="11"/>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bookmarkStart w:id="12" w:name="_Toc28359004"/>
      <w:r/>
      <w:bookmarkStart w:id="13" w:name="_Toc28359081"/>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2.落实政府采购政策须满足的资格要求：</w:t>
      </w:r>
      <w:r>
        <w:rPr>
          <w:rFonts w:hint="eastAsia" w:ascii="宋体" w:hAnsi="宋体" w:cs="宋体"/>
          <w:i/>
          <w:color w:val="auto"/>
          <w:szCs w:val="21"/>
          <w:highlight w:val="none"/>
          <w:u w:val="single"/>
        </w:rPr>
        <w:t xml:space="preserve">无</w:t>
      </w:r>
      <w:r>
        <w:rPr>
          <w:rFonts w:hint="eastAsia" w:ascii="宋体" w:hAnsi="宋体" w:cs="宋体"/>
          <w:i/>
          <w:color w:val="auto"/>
          <w:szCs w:val="21"/>
          <w:highlight w:val="none"/>
        </w:rPr>
        <w:t xml:space="preserve">。</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i/>
          <w:color w:val="auto"/>
          <w:szCs w:val="21"/>
          <w:highlight w:val="none"/>
          <w:u w:val="single"/>
        </w:rPr>
        <w:t xml:space="preserve">无</w:t>
      </w:r>
      <w:r>
        <w:rPr>
          <w:rFonts w:hint="eastAsia" w:ascii="宋体" w:hAnsi="宋体" w:cs="宋体"/>
          <w:i/>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4" w:name="_Toc35393623"/>
      <w:r/>
      <w:bookmarkStart w:id="15" w:name="_Toc35393792"/>
      <w:r>
        <w:rPr>
          <w:rFonts w:hint="eastAsia" w:ascii="宋体" w:hAnsi="宋体" w:cs="宋体"/>
          <w:b/>
          <w:color w:val="auto"/>
          <w:szCs w:val="21"/>
          <w:highlight w:val="none"/>
        </w:rPr>
        <w:t xml:space="preserve">三、获取招标文件</w:t>
      </w:r>
      <w:bookmarkEnd w:id="12"/>
      <w:r/>
      <w:bookmarkEnd w:id="13"/>
      <w:r/>
      <w:bookmarkEnd w:id="14"/>
      <w:r/>
      <w:bookmarkEnd w:id="15"/>
      <w:r/>
      <w:r/>
    </w:p>
    <w:p>
      <w:pPr>
        <w:ind w:firstLine="420"/>
        <w:spacing w:line="360" w:lineRule="auto"/>
        <w:rPr>
          <w:rFonts w:ascii="宋体" w:hAnsi="宋体" w:cs="宋体"/>
          <w:color w:val="auto"/>
          <w:highlight w:val="none"/>
        </w:rPr>
      </w:pPr>
      <w:r/>
      <w:bookmarkStart w:id="16" w:name="_Toc28359082"/>
      <w:r/>
      <w:bookmarkStart w:id="17" w:name="_Toc28359005"/>
      <w:r/>
      <w:bookmarkStart w:id="18" w:name="_Toc35393793"/>
      <w:r/>
      <w:bookmarkStart w:id="19" w:name="_Toc35393624"/>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1026"/>
          <w:rFonts w:hint="eastAsia" w:ascii="宋体" w:hAnsi="宋体" w:cs="宋体"/>
          <w:b/>
          <w:bCs/>
          <w:color w:val="auto"/>
          <w:highlight w:val="none"/>
        </w:rPr>
        <w:t xml:space="preserve">http://zfcq.yanqzhou.qov.cn/xzzx/art/2023/art_4d7de1f7865f4a2894fc22bc452f94d8.html</w:t>
      </w:r>
      <w:r>
        <w:rPr>
          <w:rStyle w:val="1026"/>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16"/>
      <w:r/>
      <w:bookmarkEnd w:id="17"/>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18"/>
      <w:r/>
      <w:bookmarkEnd w:id="19"/>
      <w:r/>
      <w:r/>
    </w:p>
    <w:p>
      <w:pPr>
        <w:ind w:firstLine="420"/>
        <w:spacing w:line="360" w:lineRule="auto"/>
        <w:rPr>
          <w:rFonts w:ascii="宋体" w:hAnsi="宋体" w:cs="宋体"/>
          <w:iCs/>
          <w:color w:val="auto"/>
          <w:szCs w:val="21"/>
          <w:highlight w:val="none"/>
          <w:u w:val="single"/>
        </w:rPr>
      </w:pPr>
      <w:r/>
      <w:bookmarkStart w:id="20" w:name="_Toc35393794"/>
      <w:r/>
      <w:bookmarkStart w:id="21" w:name="_Toc28359007"/>
      <w:r/>
      <w:bookmarkStart w:id="22" w:name="_Toc28359084"/>
      <w:r/>
      <w:bookmarkStart w:id="23" w:name="_Toc35393625"/>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w:t>
      </w:r>
      <w:r>
        <w:rPr>
          <w:rFonts w:ascii="宋体" w:hAnsi="宋体" w:cs="宋体"/>
          <w:b/>
          <w:bCs/>
          <w:color w:val="auto"/>
          <w:highlight w:val="none"/>
        </w:rPr>
        <w:t xml:space="preserve">5</w:t>
      </w:r>
      <w:r>
        <w:rPr>
          <w:rFonts w:hint="eastAsia" w:ascii="宋体" w:hAnsi="宋体" w:cs="宋体"/>
          <w:b/>
          <w:bCs/>
          <w:color w:val="auto"/>
          <w:highlight w:val="none"/>
        </w:rPr>
        <w:t xml:space="preserve">年</w:t>
      </w:r>
      <w:r>
        <w:rPr>
          <w:rFonts w:ascii="宋体" w:hAnsi="宋体" w:cs="宋体"/>
          <w:b/>
          <w:bCs/>
          <w:color w:val="auto"/>
          <w:highlight w:val="none"/>
        </w:rPr>
        <w:t xml:space="preserve">01</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20</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4" w:name="_Toc35393795"/>
      <w:r/>
      <w:bookmarkStart w:id="25" w:name="_Toc35393626"/>
      <w:r>
        <w:rPr>
          <w:rFonts w:hint="eastAsia" w:ascii="宋体" w:hAnsi="宋体" w:cs="宋体"/>
          <w:b/>
          <w:color w:val="auto"/>
          <w:szCs w:val="21"/>
          <w:highlight w:val="none"/>
        </w:rPr>
        <w:t xml:space="preserve">六、其他补充事宜</w:t>
      </w:r>
      <w:bookmarkEnd w:id="24"/>
      <w:r/>
      <w:bookmarkEnd w:id="25"/>
      <w:r/>
      <w:r/>
    </w:p>
    <w:p>
      <w:pPr>
        <w:ind w:firstLine="422"/>
        <w:spacing w:line="360" w:lineRule="auto"/>
        <w:rPr>
          <w:rFonts w:ascii="宋体" w:hAnsi="宋体" w:cs="宋体"/>
          <w:b/>
          <w:bCs/>
          <w:color w:val="auto"/>
          <w:highlight w:val="none"/>
        </w:rPr>
      </w:pPr>
      <w:r/>
      <w:bookmarkStart w:id="26" w:name="_Toc28359008"/>
      <w:r/>
      <w:bookmarkStart w:id="27" w:name="_Toc28359085"/>
      <w:r/>
      <w:bookmarkStart w:id="28" w:name="_Toc35393627"/>
      <w:r/>
      <w:bookmarkStart w:id="29"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联系人：孙老师 </w:t>
      </w:r>
      <w:r>
        <w:rPr>
          <w:rFonts w:ascii="宋体" w:hAnsi="宋体" w:cs="宋体"/>
          <w:bCs/>
          <w:color w:val="auto"/>
          <w:highlight w:val="none"/>
        </w:rPr>
        <w:t xml:space="preserve"> </w:t>
      </w:r>
      <w:r>
        <w:rPr>
          <w:rFonts w:hint="eastAsia" w:ascii="宋体" w:hAnsi="宋体" w:cs="宋体"/>
          <w:bCs/>
          <w:color w:val="auto"/>
          <w:highlight w:val="none"/>
        </w:rPr>
        <w:t xml:space="preserve"> </w:t>
      </w:r>
      <w:r>
        <w:rPr>
          <w:rFonts w:ascii="宋体" w:hAnsi="宋体" w:cs="宋体"/>
          <w:bCs/>
          <w:color w:val="auto"/>
          <w:highlight w:val="none"/>
        </w:rPr>
        <w:t xml:space="preserve">  </w:t>
      </w:r>
      <w:r>
        <w:rPr>
          <w:rFonts w:hint="eastAsia" w:ascii="宋体" w:hAnsi="宋体" w:cs="宋体"/>
          <w:bCs/>
          <w:color w:val="auto"/>
          <w:highlight w:val="none"/>
        </w:rPr>
        <w:t xml:space="preserve">联系电话：0514-8737347</w:t>
      </w:r>
      <w:r>
        <w:rPr>
          <w:rFonts w:ascii="宋体" w:hAnsi="宋体" w:cs="宋体"/>
          <w:bCs/>
          <w:color w:val="auto"/>
          <w:highlight w:val="none"/>
        </w:rPr>
        <w:t xml:space="preserve">7</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称：江苏省苏北人民医院</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址：扬州市南通西路98号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联系人：吴老师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w:t>
      </w:r>
      <w:bookmarkStart w:id="30" w:name="_Toc28359009"/>
      <w:r/>
      <w:bookmarkStart w:id="31" w:name="_Toc28359086"/>
      <w:r>
        <w:rPr>
          <w:rFonts w:hint="eastAsia" w:ascii="宋体" w:hAnsi="宋体" w:cs="宋体"/>
          <w:color w:val="auto"/>
          <w:szCs w:val="21"/>
          <w:highlight w:val="none"/>
        </w:rPr>
        <w:t xml:space="preserve">73868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0"/>
      <w:r/>
      <w:bookmarkEnd w:id="3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2" w:name="_Toc497133091"/>
      <w:r>
        <w:rPr>
          <w:rFonts w:hint="eastAsia" w:ascii="宋体" w:hAnsi="宋体" w:cs="宋体"/>
          <w:color w:val="auto"/>
          <w:szCs w:val="21"/>
          <w:highlight w:val="none"/>
        </w:rPr>
        <w:t xml:space="preserve">地址：扬州市京华城路8号五彩世界B座19楼</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项目联系人：高工</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962"/>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2"/>
      <w:r/>
      <w:r/>
    </w:p>
    <w:p>
      <w:pPr>
        <w:ind w:firstLine="422"/>
        <w:spacing w:line="360" w:lineRule="auto"/>
        <w:rPr>
          <w:rFonts w:ascii="宋体" w:hAnsi="宋体" w:cs="宋体"/>
          <w:b/>
          <w:color w:val="auto"/>
          <w:szCs w:val="21"/>
          <w:highlight w:val="none"/>
        </w:rPr>
      </w:pPr>
      <w:r/>
      <w:bookmarkStart w:id="33" w:name="_Toc16938553"/>
      <w:r/>
      <w:bookmarkStart w:id="34" w:name="_Toc513029237"/>
      <w:r/>
      <w:bookmarkStart w:id="35" w:name="_Toc20823309"/>
      <w:r/>
      <w:bookmarkStart w:id="36" w:name="_Toc497133092"/>
      <w:r>
        <w:rPr>
          <w:rFonts w:hint="eastAsia" w:ascii="宋体" w:hAnsi="宋体" w:cs="宋体"/>
          <w:b/>
          <w:color w:val="auto"/>
          <w:szCs w:val="21"/>
          <w:highlight w:val="none"/>
        </w:rPr>
        <w:t xml:space="preserve">1、采购方式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4.2代理服务费以人民币支付：本项目代理服务费参照发改价[2011]534号文件服务类八五折计取。代理服务等费用由中标供应商领取中标通知书前一次性支付给招标代理单位；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tbl>
      <w:tblPr>
        <w:tblStyle w:val="97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37" w:name="_Toc16938542"/>
      <w:r/>
      <w:bookmarkStart w:id="38" w:name="_Toc20823298"/>
      <w:r/>
      <w:bookmarkStart w:id="39" w:name="_Toc513029226"/>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0" w:name="_Toc20823299"/>
      <w:r/>
      <w:bookmarkStart w:id="41" w:name="_Toc513029227"/>
      <w:r/>
      <w:bookmarkStart w:id="42" w:name="_Toc16938543"/>
      <w:r>
        <w:rPr>
          <w:rFonts w:hint="eastAsia" w:ascii="宋体" w:hAnsi="宋体" w:cs="宋体"/>
          <w:b/>
          <w:color w:val="auto"/>
          <w:szCs w:val="21"/>
          <w:highlight w:val="none"/>
        </w:rPr>
        <w:t xml:space="preserve">19、投标文件</w:t>
      </w:r>
      <w:bookmarkEnd w:id="40"/>
      <w:r/>
      <w:bookmarkEnd w:id="41"/>
      <w:r/>
      <w:bookmarkEnd w:id="42"/>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3" w:name="_Toc20823300"/>
      <w:r/>
      <w:bookmarkStart w:id="44" w:name="_Toc16938544"/>
      <w:r/>
      <w:bookmarkStart w:id="45" w:name="_Toc513029228"/>
      <w:r>
        <w:rPr>
          <w:rFonts w:hint="eastAsia" w:ascii="宋体" w:hAnsi="宋体" w:cs="宋体"/>
          <w:b/>
          <w:color w:val="auto"/>
          <w:szCs w:val="21"/>
          <w:highlight w:val="none"/>
        </w:rPr>
        <w:t xml:space="preserve">20、投标文件的撤回和修改</w:t>
      </w:r>
      <w:bookmarkEnd w:id="43"/>
      <w:r/>
      <w:bookmarkEnd w:id="44"/>
      <w:r/>
      <w:bookmarkEnd w:id="45"/>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37"/>
      <w:r/>
      <w:bookmarkEnd w:id="38"/>
      <w:r/>
      <w:bookmarkEnd w:id="39"/>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color w:val="auto"/>
          <w:szCs w:val="21"/>
          <w:highlight w:val="none"/>
        </w:rPr>
        <w:t xml:space="preserve">（</w:t>
      </w:r>
      <w:r>
        <w:rPr>
          <w:rFonts w:hint="eastAsia" w:ascii="宋体" w:hAnsi="宋体" w:cs="宋体"/>
          <w:b/>
          <w:i/>
          <w:iCs/>
          <w:color w:val="auto"/>
          <w:szCs w:val="21"/>
          <w:highlight w:val="none"/>
          <w:u w:val="single"/>
        </w:rPr>
        <w:t xml:space="preserve">本招标文件中斜体且有下划线部分为实质性要求和条件</w:t>
      </w:r>
      <w:r>
        <w:rPr>
          <w:rFonts w:hint="eastAsia" w:ascii="宋体" w:hAnsi="宋体" w:cs="宋体"/>
          <w:b/>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 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26.1.10评委会认为投标人的报价明显低于其他通过符合性审查的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26.1.11本项目采购产品被财政部、国家发改委、生态环境部等列入“节能产品品目清单”强制采购范围，而投标人所投标产品不在强制采购范围内的。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26.1.12投标文件未按照招标文件要求加盖电子签章。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26.2.1符合专业条件的供应商或者对招标文件做实质响应的供应商不足三家的。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pStyle w:val="1076"/>
        <w:ind w:firstLine="420"/>
        <w:jc w:val="both"/>
        <w:spacing w:line="360" w:lineRule="auto"/>
        <w:rPr>
          <w:rFonts w:ascii="宋体" w:hAnsi="宋体" w:eastAsia="宋体" w:cs="宋体"/>
          <w:color w:val="auto"/>
          <w:highlight w:val="none"/>
        </w:rPr>
      </w:pPr>
      <w:r>
        <w:rPr>
          <w:rFonts w:hint="eastAsia" w:ascii="宋体" w:hAnsi="宋体" w:eastAsia="宋体" w:cs="宋体"/>
          <w:bCs/>
          <w:color w:val="auto"/>
          <w:sz w:val="21"/>
          <w:szCs w:val="21"/>
          <w:highlight w:val="none"/>
        </w:rPr>
        <w:t xml:space="preserve">26.2.5因“政府采购管理交易系统（苏采云）”系统故障原因造成开标不成功的</w:t>
      </w:r>
      <w:r>
        <w:rPr>
          <w:rFonts w:hint="eastAsia" w:ascii="宋体" w:hAnsi="宋体" w:eastAsia="宋体" w:cs="宋体"/>
          <w:color w:val="auto"/>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26.3.1如出现投标截止时间结束后参加投标的供应商或者在评标期间对招标文件作出实质性响应的供应商不足三家情况，按政府采购相关规定执行。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962"/>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3"/>
      <w:r/>
      <w:bookmarkEnd w:id="34"/>
      <w:r/>
      <w:bookmarkEnd w:id="35"/>
      <w:r>
        <w:rPr>
          <w:rFonts w:hint="eastAsia" w:ascii="宋体" w:hAnsi="宋体" w:cs="宋体"/>
          <w:bCs w:val="0"/>
          <w:color w:val="auto"/>
          <w:sz w:val="36"/>
          <w:highlight w:val="none"/>
        </w:rPr>
        <w:t xml:space="preserve">第三章 合同条款及格式</w:t>
      </w:r>
      <w:bookmarkEnd w:id="36"/>
      <w:r/>
      <w:r/>
    </w:p>
    <w:p>
      <w:pPr>
        <w:pStyle w:val="993"/>
        <w:rPr>
          <w:color w:val="auto"/>
          <w:highlight w:val="none"/>
        </w:rPr>
      </w:pPr>
      <w:r/>
      <w:bookmarkStart w:id="46" w:name="_Hlt16619369"/>
      <w:r/>
      <w:bookmarkEnd w:id="46"/>
      <w:r>
        <w:rPr>
          <w:rFonts w:hint="eastAsia"/>
          <w:color w:val="auto"/>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before="120" w:after="120"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993"/>
        <w:rPr>
          <w:color w:val="auto"/>
          <w:highlight w:val="none"/>
        </w:rPr>
      </w:pPr>
      <w:r>
        <w:rPr>
          <w:rFonts w:hint="eastAsia"/>
          <w:color w:val="auto"/>
          <w:highlight w:val="none"/>
        </w:rPr>
        <w:t xml:space="preserve">项目名称：</w:t>
      </w:r>
      <w:r/>
    </w:p>
    <w:p>
      <w:pPr>
        <w:pStyle w:val="993"/>
        <w:rPr>
          <w:color w:val="auto"/>
          <w:highlight w:val="none"/>
        </w:rPr>
      </w:pPr>
      <w:r>
        <w:rPr>
          <w:rFonts w:hint="eastAsia"/>
          <w:color w:val="auto"/>
          <w:highlight w:val="none"/>
        </w:rPr>
        <w:t xml:space="preserve">编号：</w:t>
      </w:r>
      <w:r/>
    </w:p>
    <w:p>
      <w:pPr>
        <w:pStyle w:val="993"/>
        <w:rPr>
          <w:color w:val="auto"/>
          <w:highlight w:val="none"/>
        </w:rPr>
      </w:pPr>
      <w:r>
        <w:rPr>
          <w:rFonts w:hint="eastAsia"/>
          <w:color w:val="auto"/>
          <w:highlight w:val="none"/>
        </w:rPr>
        <w:t xml:space="preserve">甲方（采购人/买方）：江苏省苏北人民医院</w:t>
      </w:r>
      <w:r/>
    </w:p>
    <w:p>
      <w:pPr>
        <w:pStyle w:val="993"/>
        <w:rPr>
          <w:color w:val="auto"/>
          <w:highlight w:val="none"/>
        </w:rPr>
      </w:pPr>
      <w:r>
        <w:rPr>
          <w:rFonts w:hint="eastAsia"/>
          <w:color w:val="auto"/>
          <w:highlight w:val="none"/>
        </w:rPr>
        <w:t xml:space="preserve">乙方（供应商/卖方）：             </w:t>
      </w:r>
      <w:r/>
    </w:p>
    <w:p>
      <w:pPr>
        <w:pStyle w:val="993"/>
        <w:rPr>
          <w:color w:val="auto"/>
          <w:highlight w:val="none"/>
        </w:rPr>
      </w:pPr>
      <w:r>
        <w:rPr>
          <w:rFonts w:hint="eastAsia"/>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993"/>
        <w:rPr>
          <w:color w:val="auto"/>
          <w:highlight w:val="none"/>
        </w:rPr>
      </w:pPr>
      <w:r>
        <w:rPr>
          <w:rFonts w:hint="eastAsia"/>
          <w:color w:val="auto"/>
          <w:highlight w:val="none"/>
        </w:rPr>
        <w:t xml:space="preserve">1、合同标的</w:t>
      </w:r>
      <w:r/>
    </w:p>
    <w:p>
      <w:pPr>
        <w:pStyle w:val="993"/>
        <w:rPr>
          <w:color w:val="auto"/>
          <w:highlight w:val="none"/>
        </w:rPr>
      </w:pPr>
      <w:r>
        <w:rPr>
          <w:rFonts w:hint="eastAsia"/>
          <w:color w:val="auto"/>
          <w:highlight w:val="none"/>
        </w:rPr>
        <w:t xml:space="preserve">乙方根据甲方须求，提供下列货物：                      ；</w:t>
      </w:r>
      <w:r/>
    </w:p>
    <w:p>
      <w:pPr>
        <w:pStyle w:val="993"/>
        <w:rPr>
          <w:color w:val="auto"/>
          <w:highlight w:val="none"/>
        </w:rPr>
      </w:pPr>
      <w:r>
        <w:rPr>
          <w:rFonts w:hint="eastAsia"/>
          <w:color w:val="auto"/>
          <w:highlight w:val="none"/>
        </w:rPr>
        <w:t xml:space="preserve">货物名称、规格及数量等要求详见招投标文件；</w:t>
      </w:r>
      <w:r/>
    </w:p>
    <w:p>
      <w:pPr>
        <w:pStyle w:val="993"/>
        <w:rPr>
          <w:color w:val="auto"/>
          <w:highlight w:val="none"/>
        </w:rPr>
      </w:pPr>
      <w:r>
        <w:rPr>
          <w:rFonts w:hint="eastAsia"/>
          <w:color w:val="auto"/>
          <w:highlight w:val="none"/>
        </w:rPr>
        <w:t xml:space="preserve">2、合同总金额</w:t>
      </w:r>
      <w:r/>
    </w:p>
    <w:p>
      <w:pPr>
        <w:pStyle w:val="993"/>
        <w:ind w:firstLine="422"/>
        <w:rPr>
          <w:b w:val="0"/>
          <w:color w:val="auto"/>
          <w:highlight w:val="none"/>
        </w:rPr>
      </w:pPr>
      <w:r>
        <w:rPr>
          <w:rFonts w:hint="eastAsia"/>
          <w:b w:val="0"/>
          <w:color w:val="auto"/>
          <w:highlight w:val="none"/>
        </w:rPr>
        <w:t xml:space="preserve">2.1 本合同金额为（大写）：_______________________________元人民币（¥_____元）；</w:t>
      </w:r>
      <w:r/>
    </w:p>
    <w:p>
      <w:pPr>
        <w:pStyle w:val="993"/>
        <w:ind w:firstLine="422"/>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993"/>
        <w:ind w:firstLine="422"/>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993"/>
        <w:ind w:firstLine="422"/>
        <w:rPr>
          <w:b w:val="0"/>
          <w:color w:val="auto"/>
          <w:highlight w:val="none"/>
        </w:rPr>
      </w:pPr>
      <w:r>
        <w:rPr>
          <w:rFonts w:hint="eastAsia"/>
          <w:b w:val="0"/>
          <w:color w:val="auto"/>
          <w:highlight w:val="none"/>
        </w:rPr>
        <w:t xml:space="preserve">2.4本合同总金额还包含乙方提供的伴随服务/售后服务费用；</w:t>
      </w:r>
      <w:r/>
    </w:p>
    <w:p>
      <w:pPr>
        <w:pStyle w:val="993"/>
        <w:ind w:firstLine="422"/>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93"/>
        <w:rPr>
          <w:color w:val="auto"/>
          <w:highlight w:val="none"/>
        </w:rPr>
      </w:pPr>
      <w:r>
        <w:rPr>
          <w:rFonts w:hint="eastAsia"/>
          <w:color w:val="auto"/>
          <w:highlight w:val="none"/>
        </w:rPr>
        <w:t xml:space="preserve">3、组成本合同的有关文件</w:t>
      </w:r>
      <w:r/>
    </w:p>
    <w:p>
      <w:pPr>
        <w:pStyle w:val="993"/>
        <w:ind w:firstLine="422"/>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993"/>
        <w:ind w:firstLine="422"/>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3"/>
        <w:ind w:firstLine="422"/>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993"/>
        <w:ind w:firstLine="422"/>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993"/>
        <w:ind w:firstLine="422"/>
        <w:rPr>
          <w:b w:val="0"/>
          <w:color w:val="auto"/>
          <w:highlight w:val="none"/>
        </w:rPr>
      </w:pPr>
      <w:r>
        <w:rPr>
          <w:rFonts w:hint="eastAsia"/>
          <w:b w:val="0"/>
          <w:color w:val="auto"/>
          <w:highlight w:val="none"/>
        </w:rPr>
        <w:t xml:space="preserve">（3）供货一览表；                 （4）技术参数响应表；</w:t>
      </w:r>
      <w:r/>
    </w:p>
    <w:p>
      <w:pPr>
        <w:pStyle w:val="993"/>
        <w:ind w:firstLine="422"/>
        <w:rPr>
          <w:b w:val="0"/>
          <w:color w:val="auto"/>
          <w:highlight w:val="none"/>
        </w:rPr>
      </w:pPr>
      <w:r>
        <w:rPr>
          <w:rFonts w:hint="eastAsia"/>
          <w:b w:val="0"/>
          <w:color w:val="auto"/>
          <w:highlight w:val="none"/>
        </w:rPr>
        <w:t xml:space="preserve">（5）服务承诺；                   （6）中标通知书；</w:t>
      </w:r>
      <w:r/>
    </w:p>
    <w:p>
      <w:pPr>
        <w:pStyle w:val="993"/>
        <w:ind w:firstLine="422"/>
        <w:rPr>
          <w:color w:val="auto"/>
          <w:highlight w:val="none"/>
        </w:rPr>
      </w:pPr>
      <w:r>
        <w:rPr>
          <w:rFonts w:hint="eastAsia"/>
          <w:b w:val="0"/>
          <w:color w:val="auto"/>
          <w:highlight w:val="none"/>
        </w:rPr>
        <w:t xml:space="preserve">（7）甲乙双方补充协议；           （8）乙方投标时提供的响应文件；</w:t>
      </w:r>
      <w:r/>
    </w:p>
    <w:p>
      <w:pPr>
        <w:pStyle w:val="993"/>
        <w:rPr>
          <w:color w:val="auto"/>
          <w:highlight w:val="none"/>
        </w:rPr>
      </w:pPr>
      <w:r>
        <w:rPr>
          <w:rFonts w:hint="eastAsia"/>
          <w:color w:val="auto"/>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3"/>
        <w:rPr>
          <w:color w:val="auto"/>
          <w:highlight w:val="none"/>
        </w:rPr>
      </w:pPr>
      <w:r>
        <w:rPr>
          <w:rFonts w:hint="eastAsia"/>
          <w:color w:val="auto"/>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93"/>
        <w:rPr>
          <w:color w:val="auto"/>
          <w:highlight w:val="none"/>
        </w:rPr>
      </w:pPr>
      <w:r>
        <w:rPr>
          <w:rFonts w:hint="eastAsia"/>
          <w:color w:val="auto"/>
          <w:highlight w:val="none"/>
        </w:rPr>
        <w:t xml:space="preserve">6、履约保证金</w:t>
      </w:r>
      <w:r/>
    </w:p>
    <w:p>
      <w:pPr>
        <w:pStyle w:val="993"/>
        <w:ind w:firstLine="422"/>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993"/>
        <w:ind w:firstLine="422"/>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993"/>
        <w:rPr>
          <w:color w:val="auto"/>
          <w:highlight w:val="none"/>
        </w:rPr>
      </w:pPr>
      <w:r>
        <w:rPr>
          <w:rFonts w:hint="eastAsia"/>
          <w:color w:val="auto"/>
          <w:highlight w:val="none"/>
        </w:rPr>
        <w:t xml:space="preserve">7、转包或分包</w:t>
      </w:r>
      <w:r/>
    </w:p>
    <w:p>
      <w:pPr>
        <w:pStyle w:val="993"/>
        <w:ind w:firstLine="422"/>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993"/>
        <w:ind w:firstLine="422"/>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993"/>
        <w:rPr>
          <w:color w:val="auto"/>
          <w:highlight w:val="none"/>
        </w:rPr>
      </w:pPr>
      <w:r>
        <w:rPr>
          <w:rFonts w:hint="eastAsia"/>
          <w:color w:val="auto"/>
          <w:highlight w:val="none"/>
        </w:rPr>
        <w:t xml:space="preserve">8、质保期</w:t>
      </w:r>
      <w:r/>
    </w:p>
    <w:p>
      <w:pPr>
        <w:pStyle w:val="993"/>
        <w:rPr>
          <w:color w:val="auto"/>
          <w:highlight w:val="none"/>
        </w:rPr>
      </w:pPr>
      <w:r>
        <w:rPr>
          <w:rFonts w:hint="eastAsia"/>
          <w:color w:val="auto"/>
          <w:highlight w:val="none"/>
        </w:rPr>
        <w:t xml:space="preserve">8.1质保期</w:t>
      </w:r>
      <w:r>
        <w:rPr>
          <w:rFonts w:hint="eastAsia"/>
          <w:color w:val="auto"/>
          <w:highlight w:val="none"/>
          <w:u w:val="single"/>
        </w:rPr>
        <w:t xml:space="preserve">  3  </w:t>
      </w:r>
      <w:r>
        <w:rPr>
          <w:rFonts w:hint="eastAsia"/>
          <w:color w:val="auto"/>
          <w:highlight w:val="none"/>
        </w:rPr>
        <w:t xml:space="preserve">年；（自交货验收合格之日起计）</w:t>
      </w:r>
      <w:r/>
    </w:p>
    <w:p>
      <w:pPr>
        <w:pStyle w:val="993"/>
        <w:rPr>
          <w:color w:val="auto"/>
          <w:highlight w:val="none"/>
        </w:rPr>
      </w:pPr>
      <w:r>
        <w:rPr>
          <w:rFonts w:hint="eastAsia"/>
          <w:color w:val="auto"/>
          <w:highlight w:val="none"/>
        </w:rPr>
        <w:t xml:space="preserve">9、交货期、交货方式及交货地点</w:t>
      </w:r>
      <w:r/>
    </w:p>
    <w:p>
      <w:pPr>
        <w:pStyle w:val="993"/>
        <w:rPr>
          <w:color w:val="auto"/>
          <w:highlight w:val="none"/>
        </w:rPr>
      </w:pPr>
      <w:r>
        <w:rPr>
          <w:rFonts w:hint="eastAsia"/>
          <w:color w:val="auto"/>
          <w:highlight w:val="none"/>
        </w:rPr>
        <w:t xml:space="preserve">9.1交货期：</w:t>
      </w:r>
      <w:r/>
    </w:p>
    <w:p>
      <w:pPr>
        <w:pStyle w:val="993"/>
        <w:rPr>
          <w:color w:val="auto"/>
          <w:highlight w:val="none"/>
        </w:rPr>
      </w:pPr>
      <w:r>
        <w:rPr>
          <w:rFonts w:hint="eastAsia"/>
          <w:color w:val="auto"/>
          <w:highlight w:val="none"/>
        </w:rPr>
        <w:t xml:space="preserve">9.2交货方式：送货上门</w:t>
      </w:r>
      <w:r/>
    </w:p>
    <w:p>
      <w:pPr>
        <w:pStyle w:val="993"/>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993"/>
        <w:rPr>
          <w:color w:val="auto"/>
          <w:highlight w:val="none"/>
        </w:rPr>
      </w:pPr>
      <w:r>
        <w:rPr>
          <w:rFonts w:hint="eastAsia"/>
          <w:color w:val="auto"/>
          <w:highlight w:val="none"/>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合同签订后，甲方自收到发票之日起10个工作日内支付合同总价30%的预付款；设备安装、调试、验收合格并正常运行，收到发票三个月后付至合同总额95%；余款5%一年后无质量问题一次性无息付清</w:t>
      </w:r>
      <w:r>
        <w:rPr>
          <w:rFonts w:hint="eastAsia" w:ascii="宋体" w:hAnsi="宋体" w:cs="宋体"/>
          <w:b/>
          <w:color w:val="auto"/>
          <w:szCs w:val="21"/>
          <w:highlight w:val="none"/>
        </w:rPr>
        <w:t xml:space="preserve">。</w:t>
      </w:r>
      <w:r/>
    </w:p>
    <w:p>
      <w:pPr>
        <w:pStyle w:val="993"/>
        <w:rPr>
          <w:color w:val="auto"/>
          <w:highlight w:val="none"/>
        </w:rPr>
      </w:pPr>
      <w:r>
        <w:rPr>
          <w:rFonts w:hint="eastAsia"/>
          <w:color w:val="auto"/>
          <w:highlight w:val="none"/>
        </w:rPr>
        <w:t xml:space="preserve">11、税费</w:t>
      </w:r>
      <w:r/>
    </w:p>
    <w:p>
      <w:pPr>
        <w:pStyle w:val="993"/>
        <w:rPr>
          <w:color w:val="auto"/>
          <w:highlight w:val="none"/>
        </w:rPr>
      </w:pPr>
      <w:r>
        <w:rPr>
          <w:rFonts w:hint="eastAsia"/>
          <w:color w:val="auto"/>
          <w:highlight w:val="none"/>
        </w:rPr>
        <w:t xml:space="preserve">本合同执行中相关的一切税费均由乙方负担；</w:t>
      </w:r>
      <w:r/>
    </w:p>
    <w:p>
      <w:pPr>
        <w:pStyle w:val="993"/>
        <w:rPr>
          <w:color w:val="auto"/>
          <w:highlight w:val="none"/>
        </w:rPr>
      </w:pPr>
      <w:r>
        <w:rPr>
          <w:rFonts w:hint="eastAsia"/>
          <w:color w:val="auto"/>
          <w:highlight w:val="none"/>
        </w:rPr>
        <w:t xml:space="preserve">12、质量保证及售后服务</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12.4如在使用过程中发生质量问题，乙方在接到甲方通知后在__</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__</w:t>
      </w:r>
      <w:r>
        <w:rPr>
          <w:rFonts w:hint="eastAsia" w:ascii="宋体" w:hAnsi="宋体" w:cs="宋体"/>
          <w:color w:val="auto"/>
          <w:szCs w:val="21"/>
          <w:highlight w:val="none"/>
        </w:rPr>
        <w:t xml:space="preserve">小时内到达甲方现场；</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spacing w:before="120"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12.6上述的货物免费保修期为_</w:t>
      </w:r>
      <w:r>
        <w:rPr>
          <w:rFonts w:hint="eastAsia" w:ascii="宋体" w:hAnsi="宋体" w:cs="宋体"/>
          <w:color w:val="auto"/>
          <w:szCs w:val="21"/>
          <w:highlight w:val="none"/>
          <w:u w:val="single"/>
        </w:rPr>
        <w:t xml:space="preserve">_</w:t>
      </w:r>
      <w:r>
        <w:rPr>
          <w:rFonts w:ascii="宋体" w:hAnsi="宋体" w:cs="宋体"/>
          <w:color w:val="auto"/>
          <w:szCs w:val="21"/>
          <w:highlight w:val="none"/>
          <w:u w:val="single"/>
        </w:rPr>
        <w:t xml:space="preserve">3</w:t>
      </w:r>
      <w:r>
        <w:rPr>
          <w:rFonts w:hint="eastAsia" w:ascii="宋体" w:hAnsi="宋体" w:cs="宋体"/>
          <w:color w:val="auto"/>
          <w:szCs w:val="21"/>
          <w:highlight w:val="none"/>
        </w:rPr>
        <w:t xml:space="preserve">_年，因人为因素出现的故障不在免费保修范围内；超过保修期的机器设备，终生维修，维修时只收部件成本费；</w:t>
      </w:r>
      <w:r/>
    </w:p>
    <w:p>
      <w:pPr>
        <w:pStyle w:val="993"/>
        <w:rPr>
          <w:color w:val="auto"/>
          <w:highlight w:val="none"/>
        </w:rPr>
      </w:pPr>
      <w:r>
        <w:rPr>
          <w:rFonts w:hint="eastAsia"/>
          <w:color w:val="auto"/>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93"/>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93"/>
        <w:rPr>
          <w:color w:val="auto"/>
          <w:highlight w:val="none"/>
        </w:rPr>
      </w:pPr>
      <w:r>
        <w:rPr>
          <w:rFonts w:hint="eastAsia"/>
          <w:color w:val="auto"/>
          <w:highlight w:val="none"/>
        </w:rPr>
        <w:t xml:space="preserve">14、货物包装、发运及运输</w:t>
      </w:r>
      <w:r/>
    </w:p>
    <w:p>
      <w:pPr>
        <w:pStyle w:val="993"/>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993"/>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993"/>
        <w:rPr>
          <w:color w:val="auto"/>
          <w:highlight w:val="none"/>
        </w:rPr>
      </w:pPr>
      <w:r>
        <w:rPr>
          <w:rFonts w:hint="eastAsia"/>
          <w:color w:val="auto"/>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993"/>
        <w:rPr>
          <w:color w:val="auto"/>
          <w:highlight w:val="none"/>
        </w:rPr>
      </w:pPr>
      <w:r>
        <w:rPr>
          <w:rFonts w:hint="eastAsia"/>
          <w:color w:val="auto"/>
          <w:highlight w:val="none"/>
        </w:rPr>
        <w:t xml:space="preserve">16、不可抗力事件处理</w:t>
      </w:r>
      <w:r/>
    </w:p>
    <w:p>
      <w:pPr>
        <w:pStyle w:val="993"/>
        <w:ind w:firstLine="422"/>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3"/>
        <w:ind w:firstLine="422"/>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3"/>
        <w:rPr>
          <w:color w:val="auto"/>
          <w:highlight w:val="none"/>
        </w:rPr>
      </w:pPr>
      <w:r>
        <w:rPr>
          <w:rFonts w:hint="eastAsia"/>
          <w:color w:val="auto"/>
          <w:highlight w:val="none"/>
        </w:rPr>
        <w:t xml:space="preserve">17、争议解决</w:t>
      </w:r>
      <w:r/>
    </w:p>
    <w:p>
      <w:pPr>
        <w:pStyle w:val="993"/>
        <w:ind w:firstLine="422"/>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3"/>
        <w:ind w:firstLine="422"/>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993"/>
        <w:ind w:firstLine="422"/>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993"/>
        <w:ind w:firstLine="422"/>
        <w:rPr>
          <w:b w:val="0"/>
          <w:color w:val="auto"/>
          <w:highlight w:val="none"/>
        </w:rPr>
      </w:pPr>
      <w:r>
        <w:rPr>
          <w:rFonts w:hint="eastAsia"/>
          <w:b w:val="0"/>
          <w:color w:val="auto"/>
          <w:highlight w:val="none"/>
        </w:rPr>
        <w:t xml:space="preserve">（2）向扬州仲裁委员会按其仲裁规则申请仲裁；</w:t>
      </w:r>
      <w:r/>
    </w:p>
    <w:p>
      <w:pPr>
        <w:pStyle w:val="993"/>
        <w:ind w:firstLine="422"/>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993"/>
        <w:rPr>
          <w:color w:val="auto"/>
          <w:highlight w:val="none"/>
        </w:rPr>
      </w:pPr>
      <w:r>
        <w:rPr>
          <w:rFonts w:hint="eastAsia"/>
          <w:color w:val="auto"/>
          <w:highlight w:val="none"/>
        </w:rPr>
        <w:t xml:space="preserve">18、合同其它</w:t>
      </w:r>
      <w:r/>
    </w:p>
    <w:p>
      <w:pPr>
        <w:pStyle w:val="993"/>
        <w:ind w:firstLine="422"/>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993"/>
        <w:ind w:firstLine="422"/>
        <w:rPr>
          <w:b w:val="0"/>
          <w:color w:val="auto"/>
          <w:highlight w:val="none"/>
          <w:u w:val="single"/>
        </w:rPr>
      </w:pPr>
      <w:r>
        <w:rPr>
          <w:rFonts w:hint="eastAsia"/>
          <w:b w:val="0"/>
          <w:color w:val="auto"/>
          <w:highlight w:val="none"/>
        </w:rPr>
        <w:t xml:space="preserve">18.2合同经双方法定代表人或授权代表签字并加盖单位公章，并经江苏中鑫项目管理有限公司见证盖章后生效；</w:t>
      </w:r>
      <w:r/>
    </w:p>
    <w:p>
      <w:pPr>
        <w:pStyle w:val="993"/>
        <w:ind w:firstLine="422"/>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993"/>
        <w:ind w:firstLine="422"/>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993"/>
        <w:ind w:firstLine="422"/>
        <w:rPr>
          <w:b w:val="0"/>
          <w:color w:val="auto"/>
          <w:highlight w:val="none"/>
        </w:rPr>
      </w:pPr>
      <w:r>
        <w:rPr>
          <w:b w:val="0"/>
          <w:color w:val="auto"/>
          <w:highlight w:val="none"/>
        </w:rPr>
      </w:r>
      <w:r/>
    </w:p>
    <w:p>
      <w:pPr>
        <w:pStyle w:val="993"/>
        <w:ind w:firstLine="422"/>
        <w:rPr>
          <w:b w:val="0"/>
          <w:color w:val="auto"/>
          <w:highlight w:val="none"/>
        </w:rPr>
      </w:pPr>
      <w:r>
        <w:rPr>
          <w:rFonts w:hint="eastAsia"/>
          <w:b w:val="0"/>
          <w:color w:val="auto"/>
          <w:highlight w:val="none"/>
        </w:rPr>
        <w:t xml:space="preserve">甲方：江苏省苏北人民医院                乙方：</w:t>
      </w:r>
      <w:r/>
    </w:p>
    <w:p>
      <w:pPr>
        <w:pStyle w:val="993"/>
        <w:ind w:firstLine="422"/>
        <w:rPr>
          <w:b w:val="0"/>
          <w:color w:val="auto"/>
          <w:highlight w:val="none"/>
        </w:rPr>
      </w:pPr>
      <w:r>
        <w:rPr>
          <w:rFonts w:hint="eastAsia"/>
          <w:b w:val="0"/>
          <w:color w:val="auto"/>
          <w:highlight w:val="none"/>
        </w:rPr>
        <w:t xml:space="preserve">地址：                                  地址：</w:t>
      </w:r>
      <w:r/>
    </w:p>
    <w:p>
      <w:pPr>
        <w:pStyle w:val="993"/>
        <w:ind w:firstLine="422"/>
        <w:rPr>
          <w:b w:val="0"/>
          <w:color w:val="auto"/>
          <w:highlight w:val="none"/>
        </w:rPr>
      </w:pPr>
      <w:r>
        <w:rPr>
          <w:rFonts w:hint="eastAsia"/>
          <w:b w:val="0"/>
          <w:color w:val="auto"/>
          <w:highlight w:val="none"/>
        </w:rPr>
        <w:t xml:space="preserve">法定代表人或授权代表：                  法定代表人或授权代表：</w:t>
      </w:r>
      <w:r/>
    </w:p>
    <w:p>
      <w:pPr>
        <w:pStyle w:val="993"/>
        <w:ind w:firstLine="422"/>
        <w:rPr>
          <w:b w:val="0"/>
          <w:color w:val="auto"/>
          <w:highlight w:val="none"/>
        </w:rPr>
      </w:pPr>
      <w:r>
        <w:rPr>
          <w:rFonts w:hint="eastAsia"/>
          <w:b w:val="0"/>
          <w:color w:val="auto"/>
          <w:highlight w:val="none"/>
        </w:rPr>
        <w:t xml:space="preserve">联系电话：                              联系电话：</w:t>
      </w:r>
      <w:r/>
    </w:p>
    <w:p>
      <w:pPr>
        <w:pStyle w:val="993"/>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62"/>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47"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核心产品：成套智能变频供水系统</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6"/>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6"/>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6"/>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苏北人民医院9号楼二次供水机房智慧化升级改造项目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6"/>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一、项目名称：苏北人民医院9号楼二次供水机房智慧化升级改造项目。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二、项目预算：</w:t>
      </w:r>
      <w:r>
        <w:rPr>
          <w:rFonts w:hint="eastAsia" w:ascii="宋体" w:hAnsi="宋体" w:cs="宋体"/>
          <w:color w:val="auto"/>
          <w:highlight w:val="none"/>
          <w:lang w:val="en-US" w:eastAsia="zh-CN"/>
        </w:rPr>
        <w:t xml:space="preserve">225</w:t>
      </w:r>
      <w:r>
        <w:rPr>
          <w:rFonts w:hint="eastAsia" w:ascii="宋体" w:hAnsi="宋体" w:cs="宋体"/>
          <w:color w:val="auto"/>
          <w:highlight w:val="none"/>
        </w:rPr>
        <w:t xml:space="preserve">万元，最高限价：225万元</w:t>
      </w:r>
      <w:r>
        <w:rPr>
          <w:rFonts w:hint="eastAsia" w:ascii="宋体" w:hAnsi="宋体" w:cs="宋体"/>
          <w:color w:val="auto"/>
          <w:szCs w:val="21"/>
          <w:highlight w:val="none"/>
        </w:rPr>
        <w:t xml:space="preserve">，投标报价超过最高限价按无效响应文件处理</w:t>
      </w:r>
      <w:r>
        <w:rPr>
          <w:rFonts w:hint="eastAsia" w:ascii="宋体" w:hAnsi="宋体" w:cs="宋体"/>
          <w:color w:val="auto"/>
          <w:highlight w:val="none"/>
        </w:rPr>
        <w:t xml:space="preserve">。</w:t>
      </w:r>
      <w:r/>
    </w:p>
    <w:p>
      <w:pPr>
        <w:ind w:firstLine="420"/>
        <w:spacing w:line="360" w:lineRule="auto"/>
        <w:rPr>
          <w:rFonts w:ascii="宋体" w:hAnsi="宋体" w:cs="宋体"/>
          <w:iCs/>
          <w:color w:val="auto"/>
          <w:szCs w:val="21"/>
          <w:highlight w:val="none"/>
        </w:rPr>
      </w:pPr>
      <w:r>
        <w:rPr>
          <w:rFonts w:hint="eastAsia" w:ascii="宋体" w:hAnsi="宋体" w:cs="宋体"/>
          <w:color w:val="auto"/>
          <w:highlight w:val="none"/>
        </w:rPr>
        <w:t xml:space="preserve">三、合同履行期限：合同签订之日起90天内完成供货、安装、调试、验收培训等并交付使用。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付款方式：合同签订后，甲方自收到发票之日起10个工作日内支付合同总价30%的预付款；设备安装、调试、验收合格并正常运行，收到发票三个月后付至合同总额95%；余款5%一年后无质量问题一次性无息付清。</w:t>
      </w:r>
      <w:r/>
    </w:p>
    <w:p>
      <w:pPr>
        <w:ind w:firstLine="422"/>
        <w:keepLines/>
        <w:keepNext/>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五、项目需求清单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苏北人民医院9号楼二次供水机房为医院9号楼和10号楼高区提供生活用水和医疗用水。该机房供水的重点医疗区域包括：9号楼的第二手术部、急诊监护室（EICU）、新生儿监护室（NICU）、急诊病房、儿科病房等；</w:t>
      </w:r>
      <w:r>
        <w:rPr>
          <w:rFonts w:ascii="宋体" w:hAnsi="宋体" w:cs="宋体"/>
          <w:color w:val="auto"/>
          <w:szCs w:val="21"/>
          <w:highlight w:val="none"/>
        </w:rPr>
        <w:t xml:space="preserve">10</w:t>
      </w:r>
      <w:r>
        <w:rPr>
          <w:rFonts w:hint="eastAsia" w:ascii="宋体" w:hAnsi="宋体" w:cs="宋体"/>
          <w:color w:val="auto"/>
          <w:szCs w:val="21"/>
          <w:highlight w:val="none"/>
        </w:rPr>
        <w:t xml:space="preserve">号楼的日间手术室、日间手术病房、整形美容中心等。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本项目9号楼二次供水机房整体改造包含：</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拆除9号楼二次供水机房原一套供水设备（一供二），在9号楼二次供水机房新建两套的成套智能变频加压供水设备，分别供给9号楼、10号楼（二供二）；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更换泵房内泵组前、后进出水管路、市政进水管、阀门过流部件，材质须均为不锈钢；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拆除原旧水箱（24m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、8m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），新建一座304不锈钢水箱（含隔板），增加电动阀、投入式液位计等设备升级水箱液位控制系统；增设水质在线检测系统，检测和预警出水水质；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调整泵房设备设施分布，实现热水系统与冷水系统物理空间隔离，扩大原泵房后门，作为生活供水泵房主门；</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增加视频监控、门禁设备，实现安防门禁联动，提高泵房的安防等级系数；</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更换泵房内总电源柜，增加一台分电源柜用于热水机房，增加UPS电源；增加电能表、流量计硬件设备，实现系统的能耗分析；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w:t>
      </w:r>
      <w:r>
        <w:rPr>
          <w:rFonts w:hint="eastAsia" w:ascii="宋体" w:hAnsi="宋体" w:cs="宋体"/>
          <w:color w:val="auto"/>
          <w:szCs w:val="21"/>
          <w:highlight w:val="none"/>
        </w:rPr>
        <w:t xml:space="preserve">增设泵房智能信息集成单元，包含组态屏、网关、网络模块、视频存储模块、联动控制模块、工业安全模块等。用于采集泵房设备、环境、安防、水质等重要数据，并进行泵房现场人机交互显示。紧急情况支持泵房现场联动控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w:t>
      </w:r>
      <w:r>
        <w:rPr>
          <w:rFonts w:hint="eastAsia" w:ascii="宋体" w:hAnsi="宋体" w:cs="宋体"/>
          <w:color w:val="auto"/>
          <w:szCs w:val="21"/>
          <w:highlight w:val="none"/>
        </w:rPr>
        <w:t xml:space="preserve">智慧供水管理平台对接：改造后9号楼二次供水机房设备和10号楼生活供水系统设备的数据统一接入到医院现有的生活供水智慧化管理平台，实现远程、统一智慧化管理。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rPr>
          <w:rFonts w:ascii="宋体" w:hAnsi="宋体" w:cs="宋体"/>
          <w:color w:val="auto"/>
          <w:szCs w:val="21"/>
          <w:highlight w:val="none"/>
        </w:rPr>
        <w:t xml:space="preserve">.</w:t>
      </w:r>
      <w:r>
        <w:rPr>
          <w:rFonts w:hint="eastAsia" w:ascii="宋体" w:hAnsi="宋体" w:cs="宋体"/>
          <w:color w:val="auto"/>
          <w:szCs w:val="21"/>
          <w:highlight w:val="none"/>
        </w:rPr>
        <w:t xml:space="preserve">提升9号楼泵房环境：增加除湿设备、水淹设备、制度牌、工具箱、墙地面贴砖、排水沟改造等；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为保障施工期间此区域供水正常（涉及到临床医疗用水），须提供临时供水。施工时间遵循医院要求，临时供水设备由投标方提供。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具体采购清单详见下表（本次采购清单报价须包含智慧供水平台无缝隙对接的费用，后期针对此项费用不做增补）。</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采购清单</w:t>
      </w:r>
      <w:r/>
    </w:p>
    <w:tbl>
      <w:tblPr>
        <w:tblStyle w:val="9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536"/>
        <w:gridCol w:w="850"/>
        <w:gridCol w:w="709"/>
        <w:gridCol w:w="1531"/>
      </w:tblGrid>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453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产品及服务</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53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技术要求</w:t>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成套智能变频供水系统（核心产品）</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详见招标文件产品及服务技术要求</w:t>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智能信息集成单元</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门禁系统</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安防系统</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环境监测系统</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不锈钢水箱及水箱液位智能控制系统</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多参数水质检测仪</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甲级防火门</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扇</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临时供水系统</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管道、阀门附件</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电源柜</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shd w:val="clear" w:color="auto" w:fill="auto"/>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UPS电源</w:t>
            </w:r>
            <w:r/>
          </w:p>
        </w:tc>
        <w:tc>
          <w:tcPr>
            <w:shd w:val="clear" w:color="auto" w:fill="auto"/>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shd w:val="clear" w:color="auto" w:fill="auto"/>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能耗分析系统</w:t>
            </w:r>
            <w:r/>
          </w:p>
        </w:tc>
        <w:tc>
          <w:tcPr>
            <w:shd w:val="clear" w:color="auto" w:fill="auto"/>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套</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shd w:val="clear" w:color="auto" w:fill="auto"/>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紫外线消毒器</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台</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shd w:val="clear" w:color="auto" w:fill="auto"/>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智慧供水管理平台无缝隙对接</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97"/>
        </w:trPr>
        <w:tc>
          <w:tcPr>
            <w:tcW w:w="8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45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标准化泵房改造</w:t>
            </w:r>
            <w:r/>
          </w:p>
        </w:tc>
        <w:tc>
          <w:tcPr>
            <w:tcW w:w="8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w:t>
            </w:r>
            <w:r/>
          </w:p>
        </w:tc>
        <w:tc>
          <w:tcPr>
            <w:tcW w:w="153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211"/>
        <w:keepLines/>
        <w:keepNext/>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六、产品及服务技术要求</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1.成套智能变频供水系统</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1.1设备配置清单</w:t>
      </w:r>
      <w:r/>
    </w:p>
    <w:tbl>
      <w:tblPr>
        <w:tblStyle w:val="97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76"/>
        <w:gridCol w:w="6217"/>
        <w:gridCol w:w="1326"/>
      </w:tblGrid>
      <w:tr>
        <w:trPr>
          <w:trHeight w:val="454"/>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智能控制柜</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水泵</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6台</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高压补偿调节单元</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2套</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设备底座</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2项</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不锈钢电解抛光管路连接单元</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2套</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支撑板、设备围板单元</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2套</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648" w:type="pct"/>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机械阀门组件</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2套</w:t>
            </w:r>
            <w:r/>
          </w:p>
        </w:tc>
      </w:tr>
    </w:tbl>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1.2成套智能变频供水设备要求</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i/>
          <w:iCs/>
          <w:color w:val="auto"/>
          <w:szCs w:val="21"/>
          <w:highlight w:val="none"/>
          <w:u w:val="single"/>
        </w:rPr>
        <w:t xml:space="preserve">必须符合现行国家标准《二次供水设施卫生规范》GB17051 和《生活饮用水输配水设备及防护材料的安全性评价标准》GB / T17219的要求。提供卫生行政主管部门颁发</w:t>
      </w:r>
      <w:r>
        <w:rPr>
          <w:rFonts w:hint="eastAsia" w:ascii="宋体" w:hAnsi="宋体" w:cs="宋体"/>
          <w:i/>
          <w:iCs/>
          <w:color w:val="auto"/>
          <w:szCs w:val="21"/>
          <w:highlight w:val="none"/>
          <w:u w:val="single"/>
          <w:lang w:eastAsia="zh-CN"/>
        </w:rPr>
        <w:t xml:space="preserve">有效期内的</w:t>
      </w:r>
      <w:r>
        <w:rPr>
          <w:rFonts w:hint="eastAsia" w:ascii="宋体" w:hAnsi="宋体" w:cs="宋体"/>
          <w:i/>
          <w:iCs/>
          <w:color w:val="auto"/>
          <w:szCs w:val="21"/>
          <w:highlight w:val="none"/>
          <w:u w:val="single"/>
        </w:rPr>
        <w:t xml:space="preserve">饮用水卫生安全产品生产许可批件和疾病预防控制中心检验报告。（提供卫生行政主管部门颁发</w:t>
      </w:r>
      <w:r>
        <w:rPr>
          <w:rFonts w:hint="eastAsia" w:ascii="宋体" w:hAnsi="宋体" w:cs="宋体"/>
          <w:i/>
          <w:iCs/>
          <w:color w:val="auto"/>
          <w:szCs w:val="21"/>
          <w:highlight w:val="none"/>
          <w:u w:val="single"/>
          <w:lang w:eastAsia="zh-CN"/>
        </w:rPr>
        <w:t xml:space="preserve">有效期内</w:t>
      </w:r>
      <w:r>
        <w:rPr>
          <w:rFonts w:hint="eastAsia" w:ascii="宋体" w:hAnsi="宋体" w:cs="宋体"/>
          <w:i/>
          <w:iCs/>
          <w:color w:val="auto"/>
          <w:szCs w:val="21"/>
          <w:highlight w:val="none"/>
          <w:u w:val="single"/>
          <w:lang w:val="en-US" w:eastAsia="zh-CN"/>
        </w:rPr>
        <w:t xml:space="preserve">的</w:t>
      </w:r>
      <w:r>
        <w:rPr>
          <w:rFonts w:hint="eastAsia" w:ascii="宋体" w:hAnsi="宋体" w:cs="宋体"/>
          <w:i/>
          <w:iCs/>
          <w:color w:val="auto"/>
          <w:szCs w:val="21"/>
          <w:highlight w:val="none"/>
          <w:u w:val="single"/>
        </w:rPr>
        <w:t xml:space="preserve">饮用水卫生安全产品卫生许可批件和疾病预防控制中心检验报告，原件扫描上传）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★（2）成套变频供水设备须具备控制系统应用软件，以实现成套设备智能化管控。（提供变频设备控制系统应用软件注册权证书原件扫描上传）</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3）整套设备控制系统须具备双控制系统（一用一备），当PLC控制系统出现故障无法控制水泵变频器时，可自动切换到备用控制系统实现对变频器进行控制。（提供能够证明双控制系统的产品说明书、实景彩色照片及电气控制原理图加盖投标人公章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（4）变频器对水泵须基于控制系统的闭环控制，保证供水时压力控制误差不超过±0.01MPa，确保储水压力的稳定。（提供CMA认证的第三方检测报告，原件扫描上传）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（5）设备须具有远传检测、监控、监视功能，在监控中心实现监视功能。（提供CMA认证的第三方检测报告，原件扫描上传）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（6）设备泵组轮换功能：工作泵与备用泵能定时轮换运行，自动切换、自动巡检。水泵切换时间与设定时间的偏差不超过±30s，并能够先启先停。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★（7）超高压腔小流量保压功能：设备须具有超高压腔小流量保压功能，在小流量用水时可实现不启泵完成用户端的供水须求。（提供CMA认证的第三方检测报告，原件扫描上传）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（8）远程报警功能：设备出现故障时，控制柜自动向监控中心报警。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（9）设备具有超压保护功能：设备供水压力超过设定压力时，设备可自动停止运行并报警，超压消除后可自动恢复正常运行。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（10）常规自动保护功能：具有对过压、欠压、过流、过载、缺相等故障进行报警及自动保护，对可恢复的故障须能自动、手动控制消除，恢复正常运行。具备报警记忆功能，故障报警应及时准确。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水量补偿功能：储存在超高压腔内的水在高峰用水时可通过综合水力控制单元的双向补偿器补偿到进水端，实现高峰用水的差量补偿；高峰持续时间超过高压腔的补偿能力时，水箱专用取水泵进行水量补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（12）人机界面互动功能：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a.设备触摸屏上须具有供水设备的全手动按键装置：触摸屏上具备泵组自动启动/停止按键，手动启动/停止按键，手动频率设置按键；另控制柜内有应急启动/停止水泵按钮；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设备带有控水图形用户界面的触摸屏：显示从市政进水—水箱—泵组—末端出水的系统运行原理组态示意图。系统运行时，组态示意图管路能直观显示水流和水流方向，并能显示系统运行关键参数如市政进水压力，水箱液位，系统出水压力、水泵运行/停止状态、每台泵运行时间；（提供相关实景彩色照片证明材料加盖投标人公章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c.设备运行状态直观显示：运行曲线显示、运行数据显示、泵运行控制、运行指示等直观显示；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d.修改设备运行参数；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e.数据自动存储：运行参数和故障记录、操作记录自动储存，便于检测检修；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f.报警信息直接在触摸屏上显示；用户账号密码登录。</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1.3智能控制柜技术要求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控制柜面板须具备中文人机界面（彩色液晶显示屏不小于10寸），能实时显示出水口压力、电流、电压、每台变频器工作频率、功率、每台水泵的运行状态、运行时间、故障情况，另具备显示水箱或水池液位功能。设定设备出水口压力，交替换泵时间、每台水泵投入工作或维护状态等参数。具有故障报警的声、光显示。（提供相关实景彩色照片证明材料，加盖投标人公章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（2）控制柜中的电气设备抗电磁干扰性能须符合国家标准，控制系统须有防雷击措施。</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（3）变频器须采用一对一控制模式。（提供相关实景彩色照片证明材料加盖投标人公章原件扫描上传）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★（4）控制柜须符合国家现行标准的规定，达到IP66（参照《民用建筑电气设计标准》GB51348-2019）的安全防护等级。（提供CMA认证的第三方检测报告，原件扫描上传）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（5）控制柜元器件要求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a.控制柜面板上须设有水泵启闭状态显示、功能指示标志，其图形及文字要求应符合有关标准规定；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b.控制柜导线、信号灯、按钮的颜色须符合国家现行标准的有关规定。（GB/T2681、GB/T2682）；</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c.控制柜须具有良好的通风性能。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（6）控制柜具有故障报警、断相、缺相、缺水保护、瞬时电网波动保护、自动巡检测、用户管网爆管保护等功能。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电路保护：主线路与控制线路须做到电气隔离，具备对控制柜主电路的保护，短路断路缺相的保护，控制电路保护，辅助电路保护，主回路的通断执行，过载保护等多方面的控制系统电路保障功能，以确保控制柜稳定运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（8）控制柜须有RS485通讯端口配以太网模块，以便使用部门实现对设备的远程通讯功能。同时配置I/O远程监控模块、数据采集模块。</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1.4水泵要求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（1）设施中的水泵选择符合下列规定：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①</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水泵配置参数要求：9号楼智能变频供水设备参数：主泵参数（2台）：P=5.5kw、Q=30m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/h、H=40m，备用泵参数（1台）：P=5.5kw、Q=30m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/h、H=40m。</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10号楼智能变频供水设备参数：主泵参数：P=4.0kw、Q=17.5m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/h、H=45m（2台），备用泵参数：P=4.0kw、Q=17.5m</w:t>
      </w:r>
      <w:r>
        <w:rPr>
          <w:rFonts w:hint="eastAsia" w:ascii="宋体" w:hAnsi="宋体" w:cs="宋体"/>
          <w:color w:val="auto"/>
          <w:szCs w:val="21"/>
          <w:highlight w:val="none"/>
          <w:vertAlign w:val="superscript"/>
        </w:rPr>
        <w:t xml:space="preserve">3</w:t>
      </w:r>
      <w:r>
        <w:rPr>
          <w:rFonts w:hint="eastAsia" w:ascii="宋体" w:hAnsi="宋体" w:cs="宋体"/>
          <w:color w:val="auto"/>
          <w:szCs w:val="21"/>
          <w:highlight w:val="none"/>
        </w:rPr>
        <w:t xml:space="preserve">/h、H=45m。（1台）</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②</w:t>
      </w:r>
      <w:r>
        <w:rPr>
          <w:rFonts w:hint="eastAsia" w:ascii="宋体" w:hAnsi="宋体" w:cs="宋体"/>
          <w:color w:val="auto"/>
          <w:szCs w:val="21"/>
          <w:highlight w:val="none"/>
        </w:rPr>
        <w:t xml:space="preserve">采用变频调速控制时，水泵额定转速时的工作点须位于水泵高效区的末端。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（2）选用优质不锈钢立式多级离心泵，叶轮、泵轴、外筒、泵盖、进出水端等过流部分为304不锈钢材质，且要求噪声低、节能、维修方便。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★（3）水泵的振动等级达到《泵的振动测量与评价方法》（GB/T29531-2013）规定的A级要求，（提供CMA认证的第三方检测报告，原件扫描上传）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★（4）水泵的噪声等级达到《泵的噪声测量与评价方法》（GB/T29529-2013）规定的A级要求。（提供CMA认证的第三方检测报告，原件扫描上传）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（5）水泵机组采取减振措施。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（6）每台水泵的进出口处安装检修阀，在水泵出口处和检修阀之间装设止回阀。出水汇总管上须配置压力变送器，以及压力开关。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（7）每台水泵设置单独的吸水管。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（8）水泵电机采用F级绝缘或以上。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★（9）水泵水力性能评价应符合GB/T3216-2016《回转动力泵力学性能验收试验1级、2级和3级》的要求满足1级精度。（提供CMA认证的第三方检测报告，原件扫描上传）</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1.5高压补偿调节单元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该单元须包含：蓄能泵，超高压罐、电磁减压阀，气压罐；具有如下功能：设备在正常运行时会通过蓄能泵为超高压罐进行补水，a.</w:t>
      </w:r>
      <w:r>
        <w:rPr>
          <w:rFonts w:hint="eastAsia" w:ascii="宋体" w:hAnsi="宋体" w:cs="宋体"/>
          <w:b/>
          <w:bCs/>
          <w:color w:val="auto"/>
          <w:szCs w:val="21"/>
          <w:highlight w:val="none"/>
        </w:rPr>
        <w:t xml:space="preserve">高峰水量补偿功能</w:t>
      </w:r>
      <w:r>
        <w:rPr>
          <w:rFonts w:hint="eastAsia" w:ascii="宋体" w:hAnsi="宋体" w:cs="宋体"/>
          <w:color w:val="auto"/>
          <w:szCs w:val="21"/>
          <w:highlight w:val="none"/>
        </w:rPr>
        <w:t xml:space="preserve">，当高峰用水时，系统会根据出水端压力变化自动将超高压罐内贮水补偿到进水端，实现高峰用水的差量补偿，同时具备稳定设备出口及管道压力的能力，防止立管回水缓冲，减小水力冲击的作用；b.</w:t>
      </w:r>
      <w:r>
        <w:rPr>
          <w:rFonts w:hint="eastAsia" w:ascii="宋体" w:hAnsi="宋体" w:cs="宋体"/>
          <w:b/>
          <w:bCs/>
          <w:color w:val="auto"/>
          <w:szCs w:val="21"/>
          <w:highlight w:val="none"/>
        </w:rPr>
        <w:t xml:space="preserve">小流量保压功能</w:t>
      </w:r>
      <w:r>
        <w:rPr>
          <w:rFonts w:hint="eastAsia" w:ascii="宋体" w:hAnsi="宋体" w:cs="宋体"/>
          <w:color w:val="auto"/>
          <w:szCs w:val="21"/>
          <w:highlight w:val="none"/>
        </w:rPr>
        <w:t xml:space="preserve">：夜间用水或其他小流量用水时，储存在超高压罐内的水通过电磁减压阀直接供给用户，实现不启泵完成用户端的供水须求，达到节能效果。</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1.6设备底座</w:t>
      </w:r>
      <w:r/>
    </w:p>
    <w:p>
      <w:pPr>
        <w:pStyle w:val="1295"/>
        <w:ind w:firstLine="460"/>
        <w:spacing w:line="360" w:lineRule="auto"/>
        <w:rPr>
          <w:rFonts w:hAnsi="宋体" w:cs="宋体"/>
          <w:color w:val="auto"/>
          <w:spacing w:val="10"/>
          <w:sz w:val="21"/>
          <w:szCs w:val="21"/>
          <w:highlight w:val="none"/>
        </w:rPr>
      </w:pPr>
      <w:r>
        <w:rPr>
          <w:rFonts w:hint="eastAsia" w:hAnsi="宋体" w:cs="宋体"/>
          <w:color w:val="auto"/>
          <w:spacing w:val="10"/>
          <w:sz w:val="21"/>
          <w:szCs w:val="21"/>
          <w:highlight w:val="none"/>
        </w:rPr>
        <w:t xml:space="preserve">整套设备的底座须采用高级喷涂处理，以延长底座使用寿命和确保在潮湿的泵房环境下长时间使用。</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1.7不锈钢电解抛光管路连接单元</w:t>
      </w:r>
      <w:r/>
    </w:p>
    <w:p>
      <w:pPr>
        <w:pStyle w:val="1295"/>
        <w:ind w:firstLine="460"/>
        <w:spacing w:line="360" w:lineRule="auto"/>
        <w:rPr>
          <w:rFonts w:hAnsi="宋体" w:cs="宋体"/>
          <w:color w:val="auto"/>
          <w:spacing w:val="10"/>
          <w:sz w:val="21"/>
          <w:szCs w:val="21"/>
          <w:highlight w:val="none"/>
        </w:rPr>
      </w:pPr>
      <w:r>
        <w:rPr>
          <w:rFonts w:hint="eastAsia" w:hAnsi="宋体" w:cs="宋体"/>
          <w:color w:val="auto"/>
          <w:spacing w:val="10"/>
          <w:sz w:val="21"/>
          <w:szCs w:val="21"/>
          <w:highlight w:val="none"/>
        </w:rPr>
        <w:t xml:space="preserve">整套设备管路连接单元要求采用电解抛光工艺，减少材质表面粗糙度与提高表面层光亮度，使设备在潮湿环境中不容易发生锈蚀。</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1.8支撑板、设备围板单元</w:t>
      </w:r>
      <w:r/>
    </w:p>
    <w:p>
      <w:pPr>
        <w:pStyle w:val="1295"/>
        <w:ind w:firstLine="460"/>
        <w:spacing w:line="360" w:lineRule="auto"/>
        <w:rPr>
          <w:rFonts w:hAnsi="宋体" w:cs="宋体"/>
          <w:color w:val="auto"/>
          <w:spacing w:val="10"/>
          <w:sz w:val="21"/>
          <w:szCs w:val="21"/>
          <w:highlight w:val="none"/>
        </w:rPr>
      </w:pPr>
      <w:r>
        <w:rPr>
          <w:rFonts w:hint="eastAsia" w:hAnsi="宋体" w:cs="宋体"/>
          <w:color w:val="auto"/>
          <w:spacing w:val="10"/>
          <w:sz w:val="21"/>
          <w:szCs w:val="21"/>
          <w:highlight w:val="none"/>
        </w:rPr>
        <w:t xml:space="preserve">设备充分考虑内部元器件的保护和整体美观度，配置标准化的支撑板和设备围板，并应易于维护和更换。</w:t>
      </w:r>
      <w:r/>
    </w:p>
    <w:p>
      <w:pPr>
        <w:ind w:firstLine="422"/>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1.9机械阀门组件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（1）所有管道材质须为食品级304不锈钢材质，厚度符合相关国标要求不低于3mm。</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（2）管道必须经过电解抛光处理。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（3）须采用环保低噪型对夹式止回器：食品级304不锈钢材质，保障水质不会产生二次污染,实现水的单向流动防倒流、水头损失小、静音节能。</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2.智能信息集成单元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（1）智能信息集成单元由组态屏、网关、网络模块、视频存储模块、联动控制模块、工业安全模块组成，用于采集并控制泵房设备、环境、安防、水质等重要数据，并进行泵房现场人机交互显示。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★（2）采集与传输能力：具备通讯采集电能、流量、温湿度、水质数据功能，最小采集周期≤50ms；具备远传通讯功能。（提供具有CMA认证的检测报告，原件扫描上传）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安防联动控制、烟感报警联动控制、水淹关阀联动控制、水淹排水联动控制、水淹断电联控制、水箱人孔和视频联动、爆管急停联动控制的泵房智能化逻辑功能。（提供具有CMA认证的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★（4）支持远程控制，现场设备或其他执行器可远程参数修改。（提供具有CMA认证的检测报告，原件扫描上传）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★（5）应具备数字量、模拟量模块，DI≥12路，DO≥12路，AI≥12路。（提供具有CMA认证的检测报告，原件扫描上传）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（6）防护等级：IP55；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（7）接口：WAN口≥4，LAN口≥4，支持modbus TCP协议；RJ45网口≥5路，RS485接口≥2路。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（8）视频接入:可接入4路支持ONVIF协议或GB28181国标协议的摄像头。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远程控制：支持远程控制；断网缓存，恢复续传：支持历史数据断网续传，支持32G离线数据存储；数据导出：U盘导出，可导出缓存数据、报警数据、系统日志等；系统日志：远控日志、自控日志、异常日志、参数修改日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（10）电源：220VAC,≤300W。</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（11）显示屏尺寸：≥10寸。</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3.门禁系统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（1）产品配置清单</w:t>
      </w:r>
      <w:r/>
    </w:p>
    <w:tbl>
      <w:tblPr>
        <w:tblStyle w:val="972"/>
        <w:tblW w:w="819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4922"/>
        <w:gridCol w:w="1100"/>
        <w:gridCol w:w="1214"/>
      </w:tblGrid>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49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门禁主机</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读卡器</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布防开关</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门禁出门开关</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微动开关</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门禁卡</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3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W w:w="49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磁力锁</w:t>
            </w:r>
            <w:r/>
          </w:p>
        </w:tc>
        <w:tc>
          <w:tcPr>
            <w:tcW w:w="11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21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bl>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★（2）基本要求</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采用门禁一体机，将所有时间日志进行统计存储，开门方式为刷卡。门禁须具备远程联动功能。（提供智能门禁面板软件著作权证书原件扫描上传）</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（3）门禁主机</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1）采用TCP/IP网络和RS485双通讯接口设计，通讯数据采用特殊加密机制强化系统安全，可脱机运行，具有防拆设计；</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2）支持TCP/IP网络通信，网速自适应，通讯数据须采用特殊加密处理。</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（4）读卡器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1）采用PC+ABS材料外壳、亚克力修饰边框设计；</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2）支持RS485；</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3）支持Mifare卡识别，可读取Mifare卡号或Mifare卡内容；</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4）支持在线升级；</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5）支持防拆报警功能。</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（5）布防开关、微动开关、磁力锁</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符合国家标准，满足项目需求。</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4.安防系统</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（1）基本要求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1）二次供水管理平台全部视频监控，可远程调用动态视频回放；本地配置硬盘录像机，录像存储不少于一个月；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2）摄像头可360度方位旋转，确保监控无死角；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3）立即录像、定时录像和视频报警触发录像，将每路视频信号录制成文件进行保存。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（2）产品配置清单</w:t>
      </w:r>
      <w:r/>
    </w:p>
    <w:tbl>
      <w:tblPr>
        <w:tblStyle w:val="972"/>
        <w:tblW w:w="828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5107"/>
        <w:gridCol w:w="1129"/>
        <w:gridCol w:w="1086"/>
      </w:tblGrid>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510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拾音器</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扩音器</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监控球机</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监控枪机</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吊装支架</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NVR（机器+硬盘）</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综合联动控制器</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LED三色警示灯</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W w:w="510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主动红外对射</w:t>
            </w:r>
            <w:r/>
          </w:p>
        </w:tc>
        <w:tc>
          <w:tcPr>
            <w:tcW w:w="112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对</w:t>
            </w:r>
            <w:r/>
          </w:p>
        </w:tc>
        <w:tc>
          <w:tcPr>
            <w:tcW w:w="108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bl>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s="宋体"/>
          <w:color w:val="auto"/>
          <w:sz w:val="21"/>
          <w:szCs w:val="21"/>
          <w:highlight w:val="none"/>
          <w:lang w:bidi="ar"/>
        </w:rPr>
        <w:t xml:space="preserve">拾音器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1）全向监控拾音器；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2）拾音范围不小于70m</w:t>
      </w:r>
      <w:r>
        <w:rPr>
          <w:rFonts w:hint="eastAsia" w:hAnsi="宋体" w:cs="宋体"/>
          <w:color w:val="auto"/>
          <w:sz w:val="21"/>
          <w:szCs w:val="21"/>
          <w:highlight w:val="none"/>
          <w:vertAlign w:val="superscript"/>
        </w:rPr>
        <w:t xml:space="preserve">2</w:t>
      </w:r>
      <w:r>
        <w:rPr>
          <w:rFonts w:hint="eastAsia" w:hAnsi="宋体" w:cs="宋体"/>
          <w:color w:val="auto"/>
          <w:sz w:val="21"/>
          <w:szCs w:val="21"/>
          <w:highlight w:val="none"/>
        </w:rPr>
        <w:t xml:space="preserve">；</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3）音频传输距离不小于3000m；</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4）灵敏度-34dB。</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（4）扩音器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1）有源音柱，输入电压:DC12-15V;</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2）灵敏度:91±3dB;</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3）频率响应:100-17KHz,3-6W。</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（5）监控球机</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1）成像器件1/2.8"Progressive Scan CMOS；有效像素200万；</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2）信噪比＞52dB；分辨率：1280×1080；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3）网络接口内置RJ45网口，支持10M/100M网络数据；</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4）控制接口内置Micro SD卡插槽，支持Micro SD/SDHC/SDXC卡（最大支持128G）。</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（6）监控枪机</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1）视频压缩标准 H.265/H.264 / MJPEG,H.265编码类型 Main Profile,H.264编码类型 BaseLine Profile / Main Profile / High Profile；</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2）视频压缩码率 32 Kbps~16Mbps；</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3）音频压缩标准 G.711/G.722.1/G.726/MP2L2/PCM；</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4）音频压缩码率 64Kbps（G.711） / 16Kbps（G.722.1） / 16Kbps（G.726） / 32-192Kbps（MP2L2）；</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5）大图像尺寸 1920×1080；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6）主码流分辨率与帧率 50Hz: 25fps （1920 × 1080,1280 × 960,1280 × 720）;60Hz: 30fps （1920 × 1080,1280 × 960,1280 ×720）。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（7）NVR（机器+硬盘）</w:t>
      </w:r>
      <w:r/>
    </w:p>
    <w:p>
      <w:pPr>
        <w:pStyle w:val="1295"/>
        <w:spacing w:line="360" w:lineRule="auto"/>
        <w:tabs>
          <w:tab w:val="left" w:pos="600" w:leader="none"/>
          <w:tab w:val="clear" w:pos="4201" w:leader="none"/>
          <w:tab w:val="clear" w:pos="9298" w:leader="none"/>
        </w:tabs>
        <w:rPr>
          <w:rFonts w:hAnsi="宋体" w:cs="宋体"/>
          <w:color w:val="auto"/>
          <w:sz w:val="21"/>
          <w:szCs w:val="21"/>
          <w:highlight w:val="none"/>
          <w:lang w:bidi="ar"/>
        </w:rPr>
      </w:pPr>
      <w:r>
        <w:rPr>
          <w:rFonts w:hint="eastAsia" w:hAnsi="宋体" w:cs="宋体"/>
          <w:color w:val="auto"/>
          <w:sz w:val="21"/>
          <w:szCs w:val="21"/>
          <w:highlight w:val="none"/>
          <w:lang w:bidi="ar"/>
        </w:rPr>
        <w:t xml:space="preserve">1）4路视频，1硬盘位，采用多项IT高新技术；</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2）支持4K超高清显示;</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3）监控级硬盘，缓存：256MB，容量：6TB。</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（8）LED三色警示灯</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黄绿红三色，带蜂鸣器。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（9）主动红外对射</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双光束室内/外光电防盗探测器。</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5.环境监测系统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（1）产品配置清单</w:t>
      </w:r>
      <w:r/>
    </w:p>
    <w:tbl>
      <w:tblPr>
        <w:tblStyle w:val="972"/>
        <w:tblW w:w="8210" w:type="dxa"/>
        <w:tblInd w:w="98" w:type="dxa"/>
        <w:tblLayout w:type="autofit"/>
        <w:tblCellMar>
          <w:left w:w="108" w:type="dxa"/>
          <w:top w:w="0" w:type="dxa"/>
          <w:right w:w="108" w:type="dxa"/>
          <w:bottom w:w="0" w:type="dxa"/>
        </w:tblCellMar>
        <w:tblLook w:val="04A0" w:firstRow="1" w:lastRow="0" w:firstColumn="1" w:lastColumn="0" w:noHBand="0" w:noVBand="1"/>
      </w:tblPr>
      <w:tblGrid>
        <w:gridCol w:w="960"/>
        <w:gridCol w:w="5079"/>
        <w:gridCol w:w="1143"/>
        <w:gridCol w:w="1028"/>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温湿度传感器</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烟雾报警器</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水淹报警器</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07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工业级除湿机</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bl>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（2）温湿度传感器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1）按键设置不小于4.3英寸大屏液晶，探测范围宽，可对温湿度进行测量，使用温度补偿电路，产品工作稳定可靠；</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2）标准86接线盒安装方式；</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3）内置多级参数菜单可调上下限设置；</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4）工业电磁兼容设计；</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5）标准RS485或RS232通讯接口。</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（3）烟雾报警器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1）具备抗干扰功能，适用于各种复杂、恶劣环境；</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2）输出信号：开关型。</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（4）水淹报警器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1）工作湿度：20%RH~100%RH；</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2）工作温度：0~50℃。</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（5）工业级除湿机</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1）产品类型：工业除湿机；</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2）适用面积：不小于130㎡；除湿量：不小于138L/D；</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3）按键方式：轻触式按键；</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4）显示方式：LED数码显示；</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5）湿度1%RH可调功能，湿度设定范围10%-98%RH；</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6）1-24小时定时关机功能；</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7）具备自动化霜系统，低温适用；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8）具备系统故障自动诊断功能，可快速诊断机组运行故障。</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6.不锈钢水箱及水箱液位智能控制系统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（1）基本要求</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1）新建不锈钢水箱尺寸：4*2.5*2.5m，25m³，内部居中分隔，材质要求不得低于304食品级不锈钢材质；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2）水箱进水须采用智能投入式液位计、电动阀、机械浮球阀三重保护系统，且互为备用，确保水箱不会出现溢流而造成水淹泵房事故；</w:t>
      </w:r>
      <w:r/>
    </w:p>
    <w:p>
      <w:pPr>
        <w:ind w:firstLine="420"/>
        <w:spacing w:line="360" w:lineRule="auto"/>
        <w:rPr>
          <w:rFonts w:ascii="宋体" w:hAnsi="宋体" w:cs="宋体"/>
          <w:strike/>
          <w:color w:val="auto"/>
          <w:szCs w:val="21"/>
          <w:highlight w:val="none"/>
        </w:rPr>
      </w:pPr>
      <w:r>
        <w:rPr>
          <w:rFonts w:hint="eastAsia" w:ascii="宋体" w:hAnsi="宋体" w:cs="宋体"/>
          <w:color w:val="auto"/>
          <w:szCs w:val="21"/>
          <w:highlight w:val="none"/>
        </w:rPr>
        <w:t xml:space="preserve">3）水箱智能液位控制具备定时循环功能，确保水箱内部蓄水定时有效循环。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（2）产品配置清单</w:t>
      </w:r>
      <w:r/>
    </w:p>
    <w:tbl>
      <w:tblPr>
        <w:tblStyle w:val="972"/>
        <w:tblW w:w="8339" w:type="dxa"/>
        <w:tblInd w:w="98" w:type="dxa"/>
        <w:tblLayout w:type="autofit"/>
        <w:tblCellMar>
          <w:left w:w="108" w:type="dxa"/>
          <w:top w:w="0" w:type="dxa"/>
          <w:right w:w="108" w:type="dxa"/>
          <w:bottom w:w="0" w:type="dxa"/>
        </w:tblCellMar>
        <w:tblLook w:val="04A0" w:firstRow="1" w:lastRow="0" w:firstColumn="1" w:lastColumn="0" w:noHBand="0" w:noVBand="1"/>
      </w:tblPr>
      <w:tblGrid>
        <w:gridCol w:w="960"/>
        <w:gridCol w:w="5350"/>
        <w:gridCol w:w="1072"/>
        <w:gridCol w:w="957"/>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不锈钢水箱</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智能电动阀门</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过滤器</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投入式液位计</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液位控制系统模块</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（3）不锈钢水箱</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1）尺寸：4*2.5*2.5m，25m³；</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2）材质要求不得低于304食品级不锈钢材质；</w:t>
      </w:r>
      <w:r/>
    </w:p>
    <w:p>
      <w:pPr>
        <w:pStyle w:val="1295"/>
        <w:spacing w:line="360" w:lineRule="auto"/>
        <w:rPr>
          <w:rFonts w:hAnsi="宋体" w:cs="宋体"/>
          <w:b/>
          <w:color w:val="auto"/>
          <w:sz w:val="21"/>
          <w:szCs w:val="21"/>
          <w:highlight w:val="none"/>
        </w:rPr>
      </w:pPr>
      <w:r>
        <w:rPr>
          <w:rFonts w:hint="eastAsia" w:hAnsi="宋体" w:cs="宋体"/>
          <w:color w:val="auto"/>
          <w:sz w:val="21"/>
          <w:szCs w:val="21"/>
          <w:highlight w:val="none"/>
        </w:rPr>
        <w:t xml:space="preserve">3）板材厚度要求：底板、隔板、侧一≥2.5mm，侧二≥2.0mm，其余≥1.5mm；</w:t>
      </w:r>
      <w:r>
        <w:rPr>
          <w:rFonts w:hint="eastAsia" w:hAnsi="宋体" w:cs="宋体"/>
          <w:b/>
          <w:color w:val="auto"/>
          <w:sz w:val="21"/>
          <w:szCs w:val="21"/>
          <w:highlight w:val="none"/>
        </w:rPr>
        <w:t xml:space="preserve">（提供承诺函加盖投标人公章，原件扫描上传）</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4）爬梯采用符合国家标准的镜面方管（25mm*25mm*2.0mm）焊接，材质与箱体一致，厚度不小于2.0mm。整体满焊，焊点处进行抛光处理。</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w:t>
      </w:r>
      <w:r>
        <w:rPr>
          <w:rFonts w:hint="eastAsia" w:ascii="宋体" w:hAnsi="宋体" w:cs="宋体"/>
          <w:b/>
          <w:i/>
          <w:iCs/>
          <w:color w:val="auto"/>
          <w:szCs w:val="21"/>
          <w:highlight w:val="none"/>
          <w:u w:val="single"/>
        </w:rPr>
        <w:t xml:space="preserve">不锈钢水箱须提供卫生行政主管部门颁发有效期内的饮用水卫生安全产品卫生许可批件和疾病预防控制中心检验报告，原件扫描上传。</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（4）智能电动阀门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1）DN100*1.6Mpa；</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2）开关量220V。</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（5）过滤器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1）DN100；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2）材质：铸铁。</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（6）投入式液位计</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1）4-20mA电流信号输出；</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2）量程0-10m。</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（7）液位控制系统模块</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根据用水单元情况精准控制水箱内的液位高度，确保水箱内的水每天至少进行一次循环。</w:t>
      </w:r>
      <w:r/>
    </w:p>
    <w:p>
      <w:pPr>
        <w:ind w:firstLine="420"/>
        <w:keepLines/>
        <w:keepNext/>
        <w:spacing w:line="360" w:lineRule="auto"/>
        <w:rPr>
          <w:rFonts w:ascii="宋体" w:hAnsi="宋体" w:cs="宋体"/>
          <w:b/>
          <w:bCs/>
          <w:i/>
          <w:iCs/>
          <w:color w:val="auto"/>
          <w:szCs w:val="21"/>
          <w:highlight w:val="none"/>
          <w:u w:val="single"/>
        </w:rPr>
        <w:outlineLvl w:val="1"/>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多参数水质检测仪</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多参数水质在线分析系统须集成平台，且将多种水质在线分析参数集成于整机内部，能在触摸屏面板显示器上集中察看和管理；实现水质在线分析、数据远程传送、数据库以及分析软件、系统校准功能；监测参数须能根据用户监测须求，灵活组合、选配、定制。（提供水质检测系统软件著作权证书原件扫描上传）</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（2）测量配置：PH、电导率、余氯、浊度、温度；</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（3）PH：0-14.00分辨率：0.01精度：+1%FS；</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（4）电导率：0-2000us/cm分辨率：1μs/cm精度：+2%FS；</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（5）余氯：0-2.00mg/L分辨率：0.01mg/L精度：+2%FS；</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（6）浊度：0-5NTU分辨率：0.01NTU精度：+3%FS；</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（7）温度：0-100℃分辨率：0.1℃精度+0.5℃；</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（8）支持RS485通讯（Modbus协议）。</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8.甲级防火门</w:t>
      </w:r>
      <w:r/>
    </w:p>
    <w:p>
      <w:pPr>
        <w:pStyle w:val="1295"/>
        <w:spacing w:line="360" w:lineRule="auto"/>
        <w:rPr>
          <w:rFonts w:hAnsi="宋体" w:cs="宋体"/>
          <w:b/>
          <w:bCs/>
          <w:color w:val="auto"/>
          <w:sz w:val="21"/>
          <w:szCs w:val="21"/>
          <w:highlight w:val="none"/>
        </w:rPr>
      </w:pPr>
      <w:r>
        <w:rPr>
          <w:rFonts w:hint="eastAsia" w:hAnsi="宋体" w:cs="宋体"/>
          <w:color w:val="auto"/>
          <w:sz w:val="21"/>
          <w:szCs w:val="21"/>
          <w:highlight w:val="none"/>
        </w:rPr>
        <w:t xml:space="preserve">钢制防火门：尺寸1.8*2.1m（以现场实际为准），</w:t>
      </w:r>
      <w:r>
        <w:rPr>
          <w:rFonts w:hint="eastAsia" w:hAnsi="宋体" w:cs="宋体"/>
          <w:b/>
          <w:bCs/>
          <w:color w:val="auto"/>
          <w:sz w:val="21"/>
          <w:szCs w:val="21"/>
          <w:highlight w:val="none"/>
        </w:rPr>
        <w:t xml:space="preserve">钢板厚度≥0.8mm，含门吸、缓闭式闭门器等所有耐火五金。</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9.临时供水系统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此次改造涉及9号楼和10号楼的正常生活和医疗供水，须充分考虑临床医疗业务的开展，做好改造期间临时供水的保障，确保在改造期间最大限度减少对医患用水的影响。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改造前需制作完备的临时供水方案，方案须包含但不限于以下内容：临时供水的可行性，提前确定临时供水设备规格，临时设备安装位置，临时管路对接，临时电缆铺设，提前预制相关阀门、三通、法兰等其他辅材准备，确定停水次数和每次停水时段和时长（报甲方审批）。</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临时供水系统搭建须遵循安全、节约、环保原则，选择合适的临供设备，确保设备的稳定性和可靠性满足临供要求。</w:t>
      </w:r>
      <w:r/>
    </w:p>
    <w:p>
      <w:pPr>
        <w:pStyle w:val="1295"/>
        <w:ind w:firstLine="422"/>
        <w:spacing w:line="360" w:lineRule="auto"/>
        <w:rPr>
          <w:rFonts w:hAnsi="宋体" w:cs="宋体"/>
          <w:b/>
          <w:i/>
          <w:color w:val="auto"/>
          <w:sz w:val="21"/>
          <w:szCs w:val="21"/>
          <w:highlight w:val="none"/>
          <w:u w:val="single"/>
        </w:rPr>
      </w:pPr>
      <w:r>
        <w:rPr>
          <w:rFonts w:hint="eastAsia" w:hAnsi="宋体" w:cs="宋体"/>
          <w:b/>
          <w:i/>
          <w:color w:val="auto"/>
          <w:sz w:val="21"/>
          <w:szCs w:val="21"/>
          <w:highlight w:val="none"/>
          <w:u w:val="single"/>
        </w:rPr>
        <w:t xml:space="preserve">临时供水水箱要求：</w:t>
      </w:r>
      <w:r>
        <w:rPr>
          <w:rFonts w:hint="eastAsia" w:hAnsi="宋体" w:cs="宋体"/>
          <w:b/>
          <w:i/>
          <w:iCs/>
          <w:color w:val="auto"/>
          <w:sz w:val="21"/>
          <w:szCs w:val="21"/>
          <w:highlight w:val="none"/>
          <w:u w:val="single"/>
        </w:rPr>
        <w:t xml:space="preserve">材质要求不得低于304食品级不锈钢材</w:t>
      </w:r>
      <w:r>
        <w:rPr>
          <w:rFonts w:hint="eastAsia" w:hAnsi="宋体" w:cs="宋体"/>
          <w:b/>
          <w:i/>
          <w:color w:val="auto"/>
          <w:sz w:val="21"/>
          <w:szCs w:val="21"/>
          <w:highlight w:val="none"/>
          <w:u w:val="single"/>
        </w:rPr>
        <w:t xml:space="preserve">质。（提供卫生行政主管部门颁发有效期内的饮用水卫生安全产品卫生许可批件和疾病预防控制中心检验报告，原件扫描上传。）</w:t>
      </w:r>
      <w:r/>
    </w:p>
    <w:p>
      <w:pPr>
        <w:pStyle w:val="1295"/>
        <w:ind w:firstLine="422"/>
        <w:spacing w:line="360" w:lineRule="auto"/>
        <w:rPr>
          <w:rFonts w:hAnsi="宋体" w:cs="宋体"/>
          <w:b/>
          <w:i/>
          <w:color w:val="auto"/>
          <w:sz w:val="21"/>
          <w:szCs w:val="21"/>
          <w:highlight w:val="none"/>
          <w:u w:val="single"/>
        </w:rPr>
      </w:pPr>
      <w:r>
        <w:rPr>
          <w:rFonts w:hint="eastAsia" w:hAnsi="宋体" w:cs="宋体"/>
          <w:b/>
          <w:i/>
          <w:color w:val="auto"/>
          <w:sz w:val="21"/>
          <w:szCs w:val="21"/>
          <w:highlight w:val="none"/>
          <w:u w:val="single"/>
        </w:rPr>
        <w:t xml:space="preserve">临时变频供水设备（可租用）要求：流量、扬程、功率满足临时供水要求。（提供卫生行政主管部门颁发有效期内的饮用水卫生安全产品卫生许可批件和疾病预防控制中心检验报告，原件扫描上传。）</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10.管道、阀门附件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（1）产品配置清单</w:t>
      </w:r>
      <w:r/>
    </w:p>
    <w:tbl>
      <w:tblPr>
        <w:tblStyle w:val="972"/>
        <w:tblW w:w="8225" w:type="dxa"/>
        <w:tblInd w:w="98" w:type="dxa"/>
        <w:tblLayout w:type="autofit"/>
        <w:tblCellMar>
          <w:left w:w="108" w:type="dxa"/>
          <w:top w:w="0" w:type="dxa"/>
          <w:right w:w="108" w:type="dxa"/>
          <w:bottom w:w="0" w:type="dxa"/>
        </w:tblCellMar>
        <w:tblLook w:val="04A0" w:firstRow="1" w:lastRow="0" w:firstColumn="1" w:lastColumn="0" w:noHBand="0" w:noVBand="1"/>
      </w:tblPr>
      <w:tblGrid>
        <w:gridCol w:w="960"/>
        <w:gridCol w:w="5336"/>
        <w:gridCol w:w="871"/>
        <w:gridCol w:w="1058"/>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45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手动蝶阀</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r>
      <w:tr>
        <w:trPr>
          <w:trHeight w:val="45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手动闸阀</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遥控浮球阀</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45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防止倒流器</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r>
    </w:tbl>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（2）基本要求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1）设备与泵房内所用管件采用无缝管件，并符合GB/T12459的规定，管件尺寸与管道相匹配，管道最低厚度不得小于3mm。管件的公称压力或最大允许工作压力不小于其最高工作压力；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2）各种连接法兰的型式、材质、公称压力、尺寸、标记须符合GB/T9119、GB/T9123.1的规定，并与配用的管道、连接件相配合；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3）阀门采用低阻力、密封可靠、操作便捷的阀门。所选蝶阀具备完全关闭切断水流的能力。止回阀选择低阻力静音止回阀；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4）法兰、阀门材质采用不锈钢；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5）水箱连接泵房二次供水设备的输水管道以及泵房内部涉及需要更换的供水管道，要求均采用304不锈钢管，管壁厚度≥3mm,特殊情况除外。</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（3）手动蝶阀</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材质：304不锈；钢DN100，法兰式。</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（4）手动闸阀</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材质：304不锈钢；DN100，法兰式。</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（5）遥控浮球阀</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材质：球墨铸铁；DN100，法兰式。</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（6）止回阀</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材质：304不锈钢；DN150。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（7）法兰</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材质：304不锈钢；DN100。</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（8）倒流防止器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材质：304不锈钢；DN100，法兰式。</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11.电源柜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（1）产品配置清单</w:t>
      </w:r>
      <w:r/>
    </w:p>
    <w:tbl>
      <w:tblPr>
        <w:tblStyle w:val="972"/>
        <w:tblW w:w="8225" w:type="dxa"/>
        <w:tblInd w:w="98" w:type="dxa"/>
        <w:tblLayout w:type="autofit"/>
        <w:tblCellMar>
          <w:left w:w="108" w:type="dxa"/>
          <w:top w:w="0" w:type="dxa"/>
          <w:right w:w="108" w:type="dxa"/>
          <w:bottom w:w="0" w:type="dxa"/>
        </w:tblCellMar>
        <w:tblLook w:val="04A0" w:firstRow="1" w:lastRow="0" w:firstColumn="1" w:lastColumn="0" w:noHBand="0" w:noVBand="1"/>
      </w:tblPr>
      <w:tblGrid>
        <w:gridCol w:w="960"/>
        <w:gridCol w:w="5336"/>
        <w:gridCol w:w="871"/>
        <w:gridCol w:w="1058"/>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总电源柜</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分电源柜</w:t>
            </w:r>
            <w:r/>
          </w:p>
        </w:tc>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（2）基本要求：</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rPr>
        <w:t xml:space="preserve">1）此次改造原总电源柜涉及低区生活热水机房、高区生活热水机房用电，因此必须做好改造期间用电保障，改造前须制作完备的电源柜更换方案；</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2）总电源柜（配置电表带脉冲功能）按照50KW/63A容量配置，配有浪涌保护器；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3）分电源柜采用壁挂式，尺寸为500*600*250mm，20KW/60A容量配置，用于生活热水机房的用电，原件配置应满足实际需求并留有备用。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（3）双电源转换开关技术要求；</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符合国家标准，满足系统运行需要。</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（4）塑壳断路器、微型断路器、中间继电器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符合国家标准，满足系统运行需要。</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电缆桥架设施包含在内。</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12.UPS电源</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（1）容量：2000VA/1600W；</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（2）输入电压范围：115~300V；</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（3）输出电压：220V；</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（4）输出精度：±2%。</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13.能耗分析系统</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（1）电能表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1）采用工业级芯片，内置看门狗，并具有完善的防雷抗干扰措施，保证可靠性；</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2）高隔离电压，电压电流输入信号采用微型精密互感器隔离，耐压达DC2500V；</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3）多电能计量：有正反向总有无功累计电能、各单相电能计量具有2路开关量输出（或定制可选1路继电器输出）、2路开关量输入；</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4）具有1路可选配置的有功或无功电能脉冲输出功能，输入频率：工频，45～65Hz；</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5）电压量程（相电压）：100V、260V、450V等可选；</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6）电流量程：1A、5A等可选；超过5A量程需外配互感器；也可以配置32A；50A；63A外置精密电流互感器； </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7）配套3个互感器。</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（2）流量计</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DN100*1.6MPa带485接口一体式，智能型流量计。</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（3）压力变送器</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1）压力测量范围：0-1.6Mpa；</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2）精度等级：±0.5%；</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3）输出信号：4-20mA；</w:t>
      </w:r>
      <w:r/>
    </w:p>
    <w:p>
      <w:pPr>
        <w:pStyle w:val="1295"/>
        <w:spacing w:line="360" w:lineRule="auto"/>
        <w:rPr>
          <w:rFonts w:hAnsi="宋体" w:cs="宋体"/>
          <w:color w:val="auto"/>
          <w:sz w:val="21"/>
          <w:szCs w:val="21"/>
          <w:highlight w:val="none"/>
          <w:lang w:bidi="ar"/>
        </w:rPr>
      </w:pPr>
      <w:r>
        <w:rPr>
          <w:rFonts w:hint="eastAsia" w:hAnsi="宋体" w:cs="宋体"/>
          <w:color w:val="auto"/>
          <w:sz w:val="21"/>
          <w:szCs w:val="21"/>
          <w:highlight w:val="none"/>
          <w:lang w:bidi="ar"/>
        </w:rPr>
        <w:t xml:space="preserve">4）连接接口：G1/4 DIN3852-G。</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14.紫外线消毒器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1）采用低压高强紫外线灯管；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2）选用304 或316 材质不锈钢作反应器，反应器内壁需进行特殊抛光处理；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3）设备涉水密封圈采用食品级硅胶圈、硅胶垫；</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5）常规设备试验压力不小于1.5MPa，承压不小于1.0MPa。</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i/>
          <w:iCs/>
          <w:color w:val="auto"/>
          <w:szCs w:val="21"/>
          <w:highlight w:val="none"/>
          <w:u w:val="single"/>
        </w:rPr>
        <w:t xml:space="preserve">6）紫外线消毒器须提供卫生行政主管部门颁发有效期内的饮用水卫生安全产品卫生许可批件和疾病预防控制中心检验报告，原件扫描上传。</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15.智慧供水管理平台无缝隙对接</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为实现远程智慧供水管理平台的无缝隙对接，同时具备一定远程监控、检测、网络控制技术及软件设计能力，本项目中所涉及的相关智能设备、成套供水设备等运行数据须上传至医院现有智慧供水管理平台，实现和完善医院生活供水系统的统一远程智慧化管理。</w:t>
      </w:r>
      <w:r>
        <w:rPr>
          <w:rFonts w:hint="eastAsia" w:ascii="宋体" w:hAnsi="宋体" w:cs="宋体"/>
          <w:b/>
          <w:color w:val="auto"/>
          <w:szCs w:val="21"/>
          <w:highlight w:val="none"/>
        </w:rPr>
        <w:t xml:space="preserve">（提供相关智慧供水软件著作权证书和具有CMMI软件成熟度5级认证证书原件扫描上传）</w:t>
      </w:r>
      <w:r/>
    </w:p>
    <w:p>
      <w:pPr>
        <w:ind w:firstLine="42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16.标准化泵房改造要求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（1）原有设备的拆除、迁移及安装</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1）设备拆除、迁移和安装</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本次改造涉及原供水设备的两次拆除（其中一次拆除是临时供水设备使用后拆除）和迁移；新供水设备的安装。原水箱的拆除，新水箱的安装。原电源柜的拆除和新电源柜的安装。原机房中热水循环泵控制柜迁移至新热水泵房。</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2）管道拆除、迁移和安装</w:t>
      </w:r>
      <w:r/>
    </w:p>
    <w:p>
      <w:pPr>
        <w:pStyle w:val="1295"/>
        <w:spacing w:line="360" w:lineRule="auto"/>
        <w:rPr>
          <w:rFonts w:hAnsi="宋体" w:cs="宋体"/>
          <w:color w:val="auto"/>
          <w:sz w:val="21"/>
          <w:szCs w:val="21"/>
          <w:highlight w:val="none"/>
        </w:rPr>
      </w:pPr>
      <w:r>
        <w:rPr>
          <w:rFonts w:hint="eastAsia" w:hAnsi="宋体" w:cs="宋体"/>
          <w:color w:val="auto"/>
          <w:sz w:val="21"/>
          <w:szCs w:val="21"/>
          <w:highlight w:val="none"/>
        </w:rPr>
        <w:t xml:space="preserve">本次改造涉及部分管道拆除和迁移：原有泵房老管道的全部拆除及新管道安装，管道需做隔墙内穿墙处理，套管、封堵、焊接等要符合国家相关要求。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（2）泵房改造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1）泵房要求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①物理隔离冷、热水设备空间，增设15cm加气块墙体；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②更换泵房大门，用双开防盗门；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③泵房内设置除湿，排水等设施。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2）墙面地面要求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①墙地面刷三道聚氨酯防水；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②泵房地面贴砖（600*600mm），防滑瓷砖，地面铺地砖时，铺设地脚线；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③墙面贴砖300*600mm，颜色根据采购人要求施工时确定。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3）顶部吊顶要求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采用铝方通吊顶，面积约62m</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；颜色根据采购人要求施工时确定；预留检修口。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4）设备基础要求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①使用 C20 混凝土抹平，高度统一 300mm，表面平整；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②基础距离周边障碍物最少预留 600mm 的检修空间；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③基础旁预留排水沟，宽*深约300*150，深度不破坏原有防水层，内部进行水泥砂浆粉刷；采用304不锈钢防虫盖板；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④设备基础表面及侧面贴砖。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5）除湿要求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泵房内对于冷凝水较为严重的区域须设置除湿设施。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6）灯光要求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泵房内安装照明设施，主要是白色LED日光灯，灯具安装密度不小于6平方每组，单组功率不小于24w，实现智能化控制（自动开、关灯）。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7）安防要求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①泵房安装甲级防火门。防盗门采用可远传门禁系统；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②安装远传高清视频监控系统。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8）排水要求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①地面必须有排水沟或地漏，防止地上积水；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②改造排水沟，沟宽*深约200*150，内部进行水泥砂浆粉刷，304不锈钢防虫盖板。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9）预埋要求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①预埋应选择暗管，将预埋管统一浇筑于设备基础中；管材选择 PVC 或者镀锌钢管；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②设备前端预埋管伸出高度要低于汇总管 200mm 左右，前端预埋管为 n+2 根（n 为水泵台数）；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③前端预埋管位置距离基础 100mm；如果在基础上，那么离汇总管的距离保持在 100mm 以上。水泵接线预埋管伸出基础高度小于150mm。</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10）泵房标牌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按照国家卫生行业标准 WS436-2013《医院二次供水运行管理》中的要求，包含：《卫生管理组织机构及职责》、《卫生安全运行管理制度》、《岗位责任制》、《清洗消毒制度》、《供水、管水人员预防性健康体检制度及体检不合格调离制度》、《涉水产品、消毒产品索证制度》、《供水、管水人员培训制度》、《供水系统卫生安全发生异常和污染应急处置预案》等。尺寸与现场其他标牌标识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①泵房内工具摆放整齐，方便取用；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②工具摆放位置用黄色油漆标出界限，上方设有工具摆放点标牌。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12）标识牌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各零部件都须有相应标牌，位置清晰可见。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七、项目实施要求</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1、根据实际情况制定总体部署方案，详细列出进度计划；</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2、改造的难点、重点须与采购人保持充分沟通，禁止野蛮施工；</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3、改造安装过程中，做好停水应急预案，并备好应急物资；</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、参与项目的工作人员需具备相应资质，焊工、电工等工种持证上岗作业；</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严禁使用不合格或不符合项目清单要求的材料，一经发现，限期退场，不按要求退场的，造成的损失由中标人负责。使用不符合标准、规格、质量和品牌要求的材料，中标人无条件更换和返工，并按照不合格材料购进总额的30%向发包人支付违约金；</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、投标人须服从现场管理，对工序和材料及时报验，原材料及配件必须符合国家标准，经复试合格后方可使用；</w:t>
      </w:r>
      <w:r/>
    </w:p>
    <w:p>
      <w:pPr>
        <w:ind w:firstLine="422"/>
        <w:spacing w:line="360" w:lineRule="auto"/>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7</w:t>
      </w:r>
      <w:r>
        <w:rPr>
          <w:rFonts w:hint="eastAsia" w:asciiTheme="minorEastAsia" w:hAnsiTheme="minorEastAsia" w:eastAsiaTheme="minorEastAsia"/>
          <w:b/>
          <w:color w:val="auto"/>
          <w:highlight w:val="none"/>
        </w:rPr>
        <w:t xml:space="preserve">、</w:t>
      </w:r>
      <w:r>
        <w:rPr>
          <w:rFonts w:hint="eastAsia" w:asciiTheme="minorEastAsia" w:hAnsiTheme="minorEastAsia" w:eastAsiaTheme="minorEastAsia"/>
          <w:b/>
          <w:i/>
          <w:iCs/>
          <w:color w:val="auto"/>
          <w:highlight w:val="none"/>
          <w:u w:val="single"/>
        </w:rPr>
        <w:t xml:space="preserve">改造时不得影响其他设施、设备的使用及功能，不能影响采购人正常工作开展，尤其是医疗业务正常开展；（投标人提供承诺函）</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、改造安装</w:t>
      </w:r>
      <w:r>
        <w:rPr>
          <w:rFonts w:asciiTheme="minorEastAsia" w:hAnsiTheme="minorEastAsia" w:eastAsiaTheme="minorEastAsia"/>
          <w:color w:val="auto"/>
          <w:highlight w:val="none"/>
        </w:rPr>
        <w:t xml:space="preserve">过程中，</w:t>
      </w:r>
      <w:r>
        <w:rPr>
          <w:rFonts w:hint="eastAsia" w:asciiTheme="minorEastAsia" w:hAnsiTheme="minorEastAsia" w:eastAsiaTheme="minorEastAsia"/>
          <w:color w:val="auto"/>
          <w:highlight w:val="none"/>
        </w:rPr>
        <w:t xml:space="preserve">须</w:t>
      </w:r>
      <w:r>
        <w:rPr>
          <w:rFonts w:asciiTheme="minorEastAsia" w:hAnsiTheme="minorEastAsia" w:eastAsiaTheme="minorEastAsia"/>
          <w:color w:val="auto"/>
          <w:highlight w:val="none"/>
        </w:rPr>
        <w:t xml:space="preserve">采取措施保护现场及周边相关财物、物品、设施等，因</w:t>
      </w:r>
      <w:r>
        <w:rPr>
          <w:rFonts w:hint="eastAsia" w:asciiTheme="minorEastAsia" w:hAnsiTheme="minorEastAsia" w:eastAsiaTheme="minorEastAsia"/>
          <w:color w:val="auto"/>
          <w:highlight w:val="none"/>
        </w:rPr>
        <w:t xml:space="preserve">中标人</w:t>
      </w:r>
      <w:r>
        <w:rPr>
          <w:rFonts w:asciiTheme="minorEastAsia" w:hAnsiTheme="minorEastAsia" w:eastAsiaTheme="minorEastAsia"/>
          <w:color w:val="auto"/>
          <w:highlight w:val="none"/>
        </w:rPr>
        <w:t xml:space="preserve">的不规范操作、误操作等原因造成相关设施的损坏、设备的停用等后果均由</w:t>
      </w:r>
      <w:r>
        <w:rPr>
          <w:rFonts w:hint="eastAsia" w:asciiTheme="minorEastAsia" w:hAnsiTheme="minorEastAsia" w:eastAsiaTheme="minorEastAsia"/>
          <w:color w:val="auto"/>
          <w:highlight w:val="none"/>
        </w:rPr>
        <w:t xml:space="preserve">中标人</w:t>
      </w:r>
      <w:r>
        <w:rPr>
          <w:rFonts w:asciiTheme="minorEastAsia" w:hAnsiTheme="minorEastAsia" w:eastAsiaTheme="minorEastAsia"/>
          <w:color w:val="auto"/>
          <w:highlight w:val="none"/>
        </w:rPr>
        <w:t xml:space="preserve">承担，由</w:t>
      </w:r>
      <w:r>
        <w:rPr>
          <w:rFonts w:hint="eastAsia" w:asciiTheme="minorEastAsia" w:hAnsiTheme="minorEastAsia" w:eastAsiaTheme="minorEastAsia"/>
          <w:color w:val="auto"/>
          <w:highlight w:val="none"/>
        </w:rPr>
        <w:t xml:space="preserve">中标人</w:t>
      </w:r>
      <w:r>
        <w:rPr>
          <w:rFonts w:asciiTheme="minorEastAsia" w:hAnsiTheme="minorEastAsia" w:eastAsiaTheme="minorEastAsia"/>
          <w:color w:val="auto"/>
          <w:highlight w:val="none"/>
        </w:rPr>
        <w:t xml:space="preserve">原样修复并自行承担相关费用</w:t>
      </w:r>
      <w:r>
        <w:rPr>
          <w:rFonts w:hint="eastAsia" w:asciiTheme="minorEastAsia" w:hAnsiTheme="minorEastAsia" w:eastAsiaTheme="minorEastAsia"/>
          <w:color w:val="auto"/>
          <w:highlight w:val="none"/>
        </w:rPr>
        <w:t xml:space="preserve">；</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9、所有</w:t>
      </w:r>
      <w:r>
        <w:rPr>
          <w:rFonts w:hint="eastAsia" w:asciiTheme="minorEastAsia" w:hAnsiTheme="minorEastAsia" w:eastAsiaTheme="minorEastAsia"/>
          <w:color w:val="auto"/>
          <w:highlight w:val="none"/>
        </w:rPr>
        <w:t xml:space="preserve">改造安装过程中产生的垃圾及时清运，费用由中标人承担。</w:t>
      </w:r>
      <w:r/>
    </w:p>
    <w:p>
      <w:pPr>
        <w:pStyle w:val="993"/>
        <w:rPr>
          <w:color w:val="auto"/>
          <w:highlight w:val="none"/>
        </w:rPr>
      </w:pPr>
      <w:r>
        <w:rPr>
          <w:rFonts w:hint="eastAsia"/>
          <w:color w:val="auto"/>
          <w:highlight w:val="none"/>
        </w:rPr>
        <w:t xml:space="preserve">八、质量保证</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中标人应按招标文件规定及响应文件承诺的货物性能、技术要求、质量标准向采购人提供未经使用的全新产品；若技术性能无特殊说明，则按国家有关部门最新颁布的标准及规范为准；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其提供的货物在正确安装、正常使用和保养条件下，在其使用寿命内具有良好的性能；货物验收后，在质量保证期内，中标人应对由于设计、工艺或材料的缺陷所发生的任何不足或故障负责，所须费用由中标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3、中标人提供的货物在质保期内因货物本身的质量问题发生故障，应负责免费更换；对达不到技术要求者，根据实际情况，经双方协商，可按以下办法处理：</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更换：由中标人承担所发生的全部费用；</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贬值处理：由双方合议定价；</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退货处理：中标人应退还采购人支付的合同款，同时应承担该货物的直接费用（运输、保险、检验、货款利息及银行手续费等）。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九、安全管理要求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需全面负责本项目的安全管理工作，在项目履行期间必须实施必要的安全防护措施及防火策略。若因中标人的原因导致任何人员伤亡、财产损失或其他形式的损失事件发生，其责任完全由中标人承担，与采购人无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必须严格遵循采购人及相关部门制定的现场交通管理、噪音控制、环境卫生维护以及防止场外污染的各项规定。特别是在进行动火作业时，应确保所有操作均符合安全标准，并采取有效措施保障改造区域及其周边环境的安全。如因未能遵循上述要求而引发的问题或损害，应由中标人负全责并给予相应赔偿。</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1、免费质保期：三年（自安装验收合格之日起计）。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highlight w:val="none"/>
        </w:rPr>
        <w:t xml:space="preserve">2、</w:t>
      </w:r>
      <w:r>
        <w:rPr>
          <w:rFonts w:ascii="SimSun" w:hAnsi="SimSun" w:eastAsia="SimSun" w:cs="SimSun"/>
          <w:color w:val="000000"/>
          <w:sz w:val="21"/>
        </w:rPr>
        <w:t xml:space="preserve">软件系统需与医院现有系统进行对接，若产生接口费用，由中标人自行承担。在免费质保期内，如软件系统需要进行升级或更新，相关责任与费用也由中标人负责。</w:t>
      </w:r>
      <w:r>
        <w:rPr>
          <w:sz w:val="21"/>
        </w:rPr>
      </w:r>
      <w:r/>
    </w:p>
    <w:p>
      <w:pPr>
        <w:pStyle w:val="1245"/>
        <w:ind w:left="0" w:firstLine="420"/>
        <w:spacing w:line="360" w:lineRule="auto"/>
        <w:widowControl/>
        <w:rPr>
          <w:rFonts w:ascii="宋体" w:hAns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、质保期内提供 7×24 小时的售后服务热线。出现故障或者需要维修时，中标人在接到通知后2小时内到达现场，24小时内处理完毕。</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质保期内，免费提供每月1次设备维护保养。质保期满后，需终身提供售后服务，如维修时发生配件损坏、需要更换时，按材料成本费收取。</w:t>
      </w:r>
      <w:r/>
    </w:p>
    <w:p>
      <w:pPr>
        <w:ind w:firstLine="420"/>
        <w:spacing w:line="360" w:lineRule="auto"/>
        <w:rPr>
          <w:rFonts w:ascii="宋体" w:hAnsi="宋体" w:cs="宋体"/>
          <w:bCs/>
          <w:color w:val="auto"/>
          <w:szCs w:val="21"/>
          <w:highlight w:val="none"/>
          <w:shd w:val="clear" w:color="auto" w:fill="ffffff"/>
        </w:rPr>
      </w:pPr>
      <w:r>
        <w:rPr>
          <w:rFonts w:ascii="宋体" w:hAnsi="宋体" w:cs="宋体"/>
          <w:bCs/>
          <w:color w:val="auto"/>
          <w:szCs w:val="21"/>
          <w:highlight w:val="none"/>
          <w:shd w:val="clear" w:color="auto" w:fill="ffffff"/>
        </w:rPr>
        <w:t xml:space="preserve">5</w:t>
      </w:r>
      <w:r>
        <w:rPr>
          <w:rFonts w:hint="eastAsia" w:ascii="宋体" w:hAnsi="宋体" w:cs="宋体"/>
          <w:bCs/>
          <w:color w:val="auto"/>
          <w:szCs w:val="21"/>
          <w:highlight w:val="none"/>
          <w:shd w:val="clear" w:color="auto" w:fill="ffffff"/>
        </w:rPr>
        <w:t xml:space="preserve">、质保期内，由于质量问题造成的产品损坏，中标人在服务承诺时间内免费维修或更换。对于其他原因造成的损坏，中标人有义务对损坏的硬件有偿更换。在产品质保期内，确属产品质量问题，经维修人员修理后仍达不到质量要求的产品包退包换。中标人的承诺高于此要求的，按中标人的承诺执行。</w:t>
      </w:r>
      <w:r/>
    </w:p>
    <w:p>
      <w:pPr>
        <w:pStyle w:val="1245"/>
        <w:ind w:left="0" w:firstLine="420"/>
        <w:spacing w:line="360" w:lineRule="auto"/>
        <w:widowControl/>
        <w:rPr>
          <w:rFonts w:ascii="宋体" w:hAnsi="宋体" w:cs="宋体"/>
          <w:bCs/>
          <w:color w:val="auto"/>
          <w:highlight w:val="none"/>
          <w:shd w:val="clear" w:color="auto" w:fill="ffffff"/>
        </w:rPr>
      </w:pPr>
      <w:r>
        <w:rPr>
          <w:rFonts w:ascii="宋体" w:hAnsi="宋体" w:cs="宋体"/>
          <w:bCs/>
          <w:color w:val="auto"/>
          <w:highlight w:val="none"/>
          <w:shd w:val="clear" w:color="auto" w:fill="ffffff"/>
        </w:rPr>
        <w:t xml:space="preserve">6</w:t>
      </w:r>
      <w:r>
        <w:rPr>
          <w:rFonts w:hint="eastAsia" w:ascii="宋体" w:hAnsi="宋体" w:cs="宋体"/>
          <w:bCs/>
          <w:color w:val="auto"/>
          <w:highlight w:val="none"/>
          <w:shd w:val="clear" w:color="auto" w:fill="ffffff"/>
        </w:rPr>
        <w:t xml:space="preserve">、质保期结束前，由采购人、中标人对所供货物进行一次全面检查，任何缺陷必须由中标人负责修理，修复后应将缺陷原因、修理内容、完成修理及恢复正常的时间和日期等汇报采购人。</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t xml:space="preserve">7、中标人应免费对采购人技术人员进行操作、保养、维修等方面的培训，并提供免费的技术咨询服务。</w:t>
      </w:r>
      <w:r/>
    </w:p>
    <w:p>
      <w:pPr>
        <w:rPr>
          <w:rFonts w:ascii="宋体" w:hAnsi="宋体" w:cs="宋体"/>
          <w:bCs/>
          <w:color w:val="auto"/>
          <w:szCs w:val="21"/>
          <w:highlight w:val="none"/>
          <w:shd w:val="clear" w:color="auto" w:fill="ffffff"/>
        </w:rPr>
      </w:pPr>
      <w:r>
        <w:rPr>
          <w:rFonts w:hint="eastAsia" w:ascii="宋体" w:hAnsi="宋体" w:cs="宋体"/>
          <w:bCs/>
          <w:color w:val="auto"/>
          <w:szCs w:val="21"/>
          <w:highlight w:val="none"/>
          <w:shd w:val="clear" w:color="auto" w:fill="ffffff"/>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1124"/>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2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24"/>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388"/>
      </w:tblGrid>
      <w:tr>
        <w:trPr>
          <w:jc w:val="center"/>
          <w:trHeight w:val="567"/>
        </w:trPr>
        <w:tc>
          <w:tcPr>
            <w:tcW w:w="1134"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评审项目</w:t>
            </w:r>
            <w:r/>
          </w:p>
        </w:tc>
        <w:tc>
          <w:tcPr>
            <w:tcW w:w="7388" w:type="dxa"/>
            <w:vAlign w:val="center"/>
            <w:textDirection w:val="lrTb"/>
            <w:noWrap/>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710"/>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投标报价（30分）</w:t>
            </w:r>
            <w:r/>
          </w:p>
        </w:tc>
        <w:tc>
          <w:tcPr>
            <w:tcW w:w="7388" w:type="dxa"/>
            <w:vAlign w:val="center"/>
            <w:textDirection w:val="lrTb"/>
            <w:noWrap/>
          </w:tcPr>
          <w:p>
            <w:pPr>
              <w:spacing w:line="40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以满足招标文件要求的最低投标报价为评标基准价，得满分30分，其他投标报价得分=（评标基准价／其他投标报价）×30×100%。（</w:t>
            </w:r>
            <w:r>
              <w:rPr>
                <w:rFonts w:hint="eastAsia" w:ascii="宋体" w:hAnsi="宋体" w:cs="宋体"/>
                <w:color w:val="auto"/>
                <w:szCs w:val="21"/>
                <w:highlight w:val="none"/>
              </w:rPr>
              <w:t xml:space="preserve">结果保留两位有效小数</w:t>
            </w:r>
            <w:r>
              <w:rPr>
                <w:rFonts w:hint="eastAsia" w:ascii="宋体" w:hAnsi="宋体" w:cs="宋体"/>
                <w:bCs/>
                <w:color w:val="auto"/>
                <w:szCs w:val="21"/>
                <w:highlight w:val="none"/>
              </w:rPr>
              <w:t xml:space="preserve">）</w:t>
            </w:r>
            <w:r/>
          </w:p>
          <w:p>
            <w:pPr>
              <w:spacing w:line="40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p>
        </w:tc>
      </w:tr>
      <w:tr>
        <w:trPr>
          <w:jc w:val="center"/>
          <w:trHeight w:val="1710"/>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技术参数响应</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（28分）</w:t>
            </w:r>
            <w:r/>
          </w:p>
        </w:tc>
        <w:tc>
          <w:tcPr>
            <w:tcW w:w="7388" w:type="dxa"/>
            <w:vAlign w:val="center"/>
            <w:textDirection w:val="lrTb"/>
            <w:noWrap/>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评委将根据投标人提供的技术参数偏离表及相关证明材料，与招标文件中的技术参数要求进行比较，技术指标全部满足或高于技术要求的得28分；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1、标“★”号指标，如有一处不满足扣2分，扣完为止；</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2、非标“★”号指标，有一处不满足扣0.1分，扣完为止。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注：按照招标文件中要求提供的相关证明材料进行评分，未要求提供证明材料的按技术偏离表响应情况进行评分。以上相关证明材料需原件扫描上传。</w:t>
            </w:r>
            <w:r>
              <w:rPr>
                <w:sz w:val="21"/>
              </w:rPr>
            </w:r>
            <w:r/>
          </w:p>
        </w:tc>
      </w:tr>
      <w:tr>
        <w:trPr>
          <w:jc w:val="center"/>
          <w:trHeight w:val="416"/>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项目总体部署方案</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（9分）</w:t>
            </w:r>
            <w:r/>
          </w:p>
        </w:tc>
        <w:tc>
          <w:tcPr>
            <w:tcW w:w="7388" w:type="dxa"/>
            <w:vAlign w:val="center"/>
            <w:textDirection w:val="lrTb"/>
            <w:noWrap/>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项目施工总体部署方案，包括进度计划、项目实施重点、难点分析的解决方案；项目实施过程中应急预案等：</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方案计划完整科学、严密、合理，充分考虑医院医疗行业特殊性，描述详细且满足医院实际情况，具有针对性的得9分；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方案计划较完整、合理、严密、描述较为详细，了解医院医疗行业特殊性，不存在实施难度的得6分；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方案计划基本完整、合理、描述一般，基本满足医院实际情况的，得4分；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方案计划不完整、有缺失，与医院实际情况有较大偏差的，得2分；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416"/>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技术方案</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（15分）</w:t>
            </w:r>
            <w:r/>
          </w:p>
        </w:tc>
        <w:tc>
          <w:tcPr>
            <w:tcW w:w="7388" w:type="dxa"/>
            <w:vAlign w:val="center"/>
            <w:textDirection w:val="lrTb"/>
            <w:noWrap/>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投标人根据采购人项目清单和现场实际情况，提供：新供水系统建设（包含但不限于泵房布局、设备运行及控制）技术方案、临时供水系统建设技术方案。</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1、新供水系统建设技术方案：（7分）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（1）方案科学、严密、合理，描述详细，满足医院医疗、生活用水实际情况，且具有针对性的得7分；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（2）方案较合理、严密、描述较为详细，有针对性的，得5分；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（3）方案基本完整、描述一般有缺失或部分有不符合实际情况，得3分；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方案严重违背实际情况或未提供不得分。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2、临时供水系统建设技术方案：（</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（1）方案科学、严密、合理，描述详细，完全满足医院医疗、生活用水特殊性，充分考虑现有机房设备设施、水电管路等实际情况，系统切换时间短，可行性充分，得8分；</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（2）方案较科学、严密、合理，能满足医院医疗、生活用水特殊性，考虑实际情况，系统切换时间较短，具备可行性，得5分；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（3）方案科学、严密、合理性欠缺，基本满足临时供水需求，可行性一般，得3分；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（4）方案科学、严密、合理性较差，对临床业务影响大，与医院实际情况有较大偏差的得1分；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416"/>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安全保护及文明措施（5分）</w:t>
            </w:r>
            <w:r/>
          </w:p>
        </w:tc>
        <w:tc>
          <w:tcPr>
            <w:tcW w:w="7388" w:type="dxa"/>
            <w:vAlign w:val="center"/>
            <w:textDirection w:val="lrTb"/>
            <w:noWrap/>
          </w:tcPr>
          <w:p>
            <w:pPr>
              <w:spacing w:line="4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1、安全文明措施科学、严密、合理，有针对医院特殊场所施工降噪、减少气味、确保动火安全的切实有效可行的措施，描述详细且具有针对性的，得5分；</w:t>
            </w:r>
            <w:r/>
          </w:p>
          <w:p>
            <w:pPr>
              <w:spacing w:line="40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2、安全文明措施基本合理、描述较详细、存在可操作性，有针对医院特殊场所施工降噪、减少气味、确保动火安全的基本措施，得3分；</w:t>
            </w:r>
            <w:r/>
          </w:p>
          <w:p>
            <w:pPr>
              <w:spacing w:line="400" w:lineRule="exact"/>
              <w:rPr>
                <w:rFonts w:ascii="宋体" w:hAnsi="宋体" w:cs="宋体"/>
                <w:color w:val="auto"/>
                <w:spacing w:val="-11"/>
                <w:szCs w:val="21"/>
                <w:highlight w:val="none"/>
              </w:rPr>
            </w:pPr>
            <w:r>
              <w:rPr>
                <w:rFonts w:hint="eastAsia" w:ascii="宋体" w:hAnsi="宋体" w:cs="宋体"/>
                <w:color w:val="auto"/>
                <w:spacing w:val="-11"/>
                <w:szCs w:val="21"/>
                <w:highlight w:val="none"/>
              </w:rPr>
              <w:t xml:space="preserve">3、安全文明措施具有部分不合理项、描述一般、存在一定的实施难度，得1分；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4、未提供不得分。</w:t>
            </w:r>
            <w:r/>
          </w:p>
        </w:tc>
      </w:tr>
      <w:tr>
        <w:trPr>
          <w:jc w:val="center"/>
          <w:trHeight w:val="600"/>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售后服务方案</w:t>
            </w:r>
            <w:r/>
          </w:p>
          <w:p>
            <w:pPr>
              <w:jc w:val="center"/>
              <w:spacing w:line="400" w:lineRule="exact"/>
              <w:widowControl/>
              <w:rPr>
                <w:rFonts w:ascii="宋体" w:hAnsi="宋体" w:cs="宋体"/>
                <w:color w:val="auto"/>
                <w:highlight w:val="none"/>
              </w:rPr>
            </w:pPr>
            <w:r>
              <w:rPr>
                <w:rFonts w:hint="eastAsia" w:ascii="宋体" w:hAnsi="宋体" w:cs="宋体"/>
                <w:color w:val="auto"/>
                <w:szCs w:val="21"/>
                <w:highlight w:val="none"/>
              </w:rPr>
              <w:t xml:space="preserve">（4分）</w:t>
            </w:r>
            <w:r/>
          </w:p>
        </w:tc>
        <w:tc>
          <w:tcPr>
            <w:tcW w:w="7388" w:type="dxa"/>
            <w:vAlign w:val="center"/>
            <w:textDirection w:val="lrTb"/>
            <w:noWrap/>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售后服务方案：包括售后服务、应急响应方案、备品备件的供应渠道、培训体系以及质保期满后，成套给水设备的维保情况及售后服务保障是否有信息化管理方式等内容进行综合评审。</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方案全面、严密、合理，充分考虑医院医疗行业特殊性，描述详细且满足医院实际情况，切实可行得4分；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方案较合理、严密，了解医院医疗行业特殊性，描述较为详细且不存在实施难度的得2分；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方案基本合理、描述一般，基本满足医院实际情况，得1分；</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835"/>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售后能力（4分）</w:t>
            </w:r>
            <w:r/>
          </w:p>
        </w:tc>
        <w:tc>
          <w:tcPr>
            <w:tcW w:w="7388" w:type="dxa"/>
            <w:vAlign w:val="center"/>
            <w:textDirection w:val="lrTb"/>
            <w:noWrap/>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1、本项目免费质保期3年，在此基础上每增加1年得1分，满分3分。（提供承诺函原件扫描上传）</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投标人或所投核心产品制造商通过CTEAS1001-2017《CTEAS售后服务体系完善程度认证评价规范》认证，获得12星级认证得1分，获得7星级认证得0.5分，获得7星级以下，不得分，满分1分。（提供相关证明材料原件扫描上传）</w:t>
            </w:r>
            <w:r/>
          </w:p>
        </w:tc>
      </w:tr>
      <w:tr>
        <w:trPr>
          <w:jc w:val="center"/>
          <w:trHeight w:val="402"/>
        </w:trPr>
        <w:tc>
          <w:tcPr>
            <w:tcW w:w="1134" w:type="dxa"/>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7388" w:type="dxa"/>
            <w:vAlign w:val="center"/>
            <w:textDirection w:val="lrTb"/>
            <w:noWrap/>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2021年1月1日至今（以验收报告时间为准），投标人或所投核心产品制造商，承担过与本项目类似业绩的，每提供一项业绩证明材料得1分，最多得5分。</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注：（1）完整的业绩证明文件应包含中标通知书、合同、验收报告，缺一不可；（2）合同内容必须完整清晰。（提供业绩证明文件原件扫描上传）</w:t>
            </w:r>
            <w:r/>
          </w:p>
        </w:tc>
      </w:tr>
    </w:tbl>
    <w:p>
      <w:pPr>
        <w:ind w:firstLine="2100"/>
        <w:rPr>
          <w:rFonts w:ascii="宋体" w:hAnsi="宋体" w:cs="宋体"/>
          <w:color w:val="auto"/>
          <w:highlight w:val="none"/>
        </w:rPr>
      </w:pPr>
      <w:r>
        <w:rPr>
          <w:rFonts w:hint="eastAsia" w:ascii="宋体" w:hAnsi="宋体" w:cs="宋体"/>
          <w:color w:val="auto"/>
          <w:highlight w:val="none"/>
        </w:rPr>
        <w:br w:type="page" w:clear="all"/>
      </w:r>
      <w:bookmarkEnd w:id="47"/>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63"/>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963"/>
        <w:numPr>
          <w:ilvl w:val="1"/>
          <w:numId w:val="0"/>
        </w:numPr>
        <w:jc w:val="center"/>
        <w:spacing w:before="240" w:after="240"/>
        <w:rPr>
          <w:rFonts w:ascii="宋体" w:hAnsi="宋体" w:cs="宋体"/>
          <w:color w:val="auto"/>
          <w:highlight w:val="none"/>
        </w:rPr>
      </w:pPr>
      <w:r/>
      <w:bookmarkStart w:id="48" w:name="_Toc19020"/>
      <w:r>
        <w:rPr>
          <w:rFonts w:hint="eastAsia" w:ascii="宋体" w:hAnsi="宋体" w:cs="宋体"/>
          <w:color w:val="auto"/>
          <w:highlight w:val="none"/>
        </w:rPr>
        <w:t xml:space="preserve">一、资格审查响应对照表</w:t>
      </w:r>
      <w:bookmarkEnd w:id="48"/>
      <w:r/>
      <w:r/>
    </w:p>
    <w:tbl>
      <w:tblPr>
        <w:tblStyle w:val="972"/>
        <w:tblW w:w="890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5870"/>
        <w:gridCol w:w="2239"/>
      </w:tblGrid>
      <w:tr>
        <w:trPr>
          <w:trHeight w:val="567"/>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870"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239"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67"/>
        </w:trPr>
        <w:tc>
          <w:tcPr>
            <w:gridSpan w:val="3"/>
            <w:tcW w:w="890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67"/>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870"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2239"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870" w:type="dxa"/>
            <w:vAlign w:val="center"/>
            <w:textDirection w:val="lrTb"/>
            <w:noWrap w:val="false"/>
          </w:tcPr>
          <w:p>
            <w:pPr>
              <w:pStyle w:val="1013"/>
              <w:jc w:val="left"/>
              <w:spacing w:line="360" w:lineRule="auto"/>
              <w:rPr>
                <w:rFonts w:ascii="宋体" w:hAnsi="宋体" w:cs="宋体"/>
                <w:iCs/>
                <w:color w:val="auto"/>
                <w:szCs w:val="21"/>
                <w:highlight w:val="none"/>
              </w:rPr>
            </w:pPr>
            <w:r>
              <w:rPr>
                <w:rFonts w:hint="eastAsia" w:ascii="宋体" w:hAnsi="宋体" w:cs="宋体"/>
                <w:color w:val="auto"/>
                <w:sz w:val="21"/>
                <w:szCs w:val="21"/>
                <w:highlight w:val="none"/>
              </w:rPr>
              <w:t xml:space="preserve">上一年度的财务报告情况（成立不满一年无需提供）</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870" w:type="dxa"/>
            <w:vAlign w:val="center"/>
            <w:textDirection w:val="lrTb"/>
            <w:noWrap w:val="false"/>
          </w:tcPr>
          <w:p>
            <w:pPr>
              <w:pStyle w:val="1013"/>
              <w:jc w:val="left"/>
              <w:spacing w:line="360" w:lineRule="auto"/>
              <w:rPr>
                <w:rFonts w:ascii="宋体" w:hAnsi="宋体" w:cs="宋体"/>
                <w:iCs/>
                <w:color w:val="auto"/>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870" w:type="dxa"/>
            <w:vAlign w:val="center"/>
            <w:textDirection w:val="lrTb"/>
            <w:noWrap w:val="false"/>
          </w:tcPr>
          <w:p>
            <w:pPr>
              <w:pStyle w:val="1013"/>
              <w:jc w:val="left"/>
              <w:spacing w:line="360" w:lineRule="auto"/>
              <w:rPr>
                <w:rFonts w:ascii="宋体" w:hAnsi="宋体" w:cs="宋体"/>
                <w:iCs/>
                <w:color w:val="auto"/>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870" w:type="dxa"/>
            <w:vAlign w:val="center"/>
            <w:textDirection w:val="lrTb"/>
            <w:noWrap w:val="false"/>
          </w:tcPr>
          <w:p>
            <w:pPr>
              <w:pStyle w:val="1013"/>
              <w:jc w:val="left"/>
              <w:spacing w:line="360" w:lineRule="auto"/>
              <w:rPr>
                <w:rFonts w:ascii="宋体" w:hAnsi="宋体" w:cs="宋体"/>
                <w:iCs/>
                <w:color w:val="auto"/>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870" w:type="dxa"/>
            <w:vAlign w:val="center"/>
            <w:textDirection w:val="lrTb"/>
            <w:noWrap w:val="false"/>
          </w:tcPr>
          <w:p>
            <w:pPr>
              <w:pStyle w:val="1013"/>
              <w:jc w:val="left"/>
              <w:spacing w:line="360" w:lineRule="auto"/>
              <w:rPr>
                <w:rFonts w:ascii="宋体" w:hAnsi="宋体" w:cs="宋体"/>
                <w:iCs/>
                <w:color w:val="auto"/>
                <w:szCs w:val="21"/>
                <w:highlight w:val="none"/>
              </w:rPr>
            </w:pPr>
            <w:r>
              <w:rPr>
                <w:rFonts w:hint="eastAsia" w:ascii="宋体" w:hAnsi="宋体" w:cs="宋体"/>
                <w:color w:val="auto"/>
                <w:sz w:val="21"/>
                <w:szCs w:val="21"/>
                <w:highlight w:val="none"/>
              </w:rPr>
              <w:t xml:space="preserve">供应商信用承诺函；</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870" w:type="dxa"/>
            <w:vAlign w:val="center"/>
            <w:textDirection w:val="lrTb"/>
            <w:noWrap w:val="false"/>
          </w:tcPr>
          <w:p>
            <w:pPr>
              <w:pStyle w:val="1013"/>
              <w:jc w:val="left"/>
              <w:spacing w:line="360" w:lineRule="auto"/>
              <w:rPr>
                <w:rFonts w:ascii="宋体" w:hAnsi="宋体" w:cs="宋体"/>
                <w:color w:val="auto"/>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gridSpan w:val="3"/>
            <w:tcW w:w="8902"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67"/>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870"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gridSpan w:val="3"/>
            <w:tcW w:w="8902"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87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gridSpan w:val="3"/>
            <w:tcW w:w="8902"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67"/>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87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87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23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963"/>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963"/>
        <w:numPr>
          <w:ilvl w:val="1"/>
          <w:numId w:val="0"/>
        </w:numPr>
        <w:ind w:left="851" w:hanging="567"/>
        <w:jc w:val="center"/>
        <w:spacing w:before="240" w:after="240"/>
        <w:rPr>
          <w:rFonts w:ascii="宋体" w:hAnsi="宋体" w:cs="宋体"/>
          <w:color w:val="auto"/>
          <w:szCs w:val="32"/>
          <w:highlight w:val="none"/>
        </w:rPr>
      </w:pPr>
      <w:r>
        <w:rPr>
          <w:rFonts w:hint="eastAsia" w:ascii="宋体" w:hAnsi="宋体" w:cs="宋体"/>
          <w:color w:val="auto"/>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963"/>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124"/>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63"/>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6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26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6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49"/>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3"/>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9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953"/>
        <w:gridCol w:w="1749"/>
        <w:gridCol w:w="1098"/>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3"/>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972"/>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735"/>
        <w:gridCol w:w="1766"/>
        <w:gridCol w:w="1227"/>
      </w:tblGrid>
      <w:tr>
        <w:trPr>
          <w:jc w:val="center"/>
          <w:trHeight w:val="680"/>
        </w:trPr>
        <w:tc>
          <w:tcPr>
            <w:tcBorders>
              <w:left w:val="single" w:color="auto" w:sz="4" w:space="0"/>
            </w:tcBorders>
            <w:tcW w:w="466"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78"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03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03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963"/>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963"/>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963"/>
        <w:numPr>
          <w:ilvl w:val="1"/>
          <w:numId w:val="0"/>
        </w:numPr>
        <w:ind w:left="850" w:hanging="567"/>
        <w:spacing w:line="360" w:lineRule="auto"/>
        <w:rPr>
          <w:rFonts w:ascii="宋体" w:hAnsi="宋体" w:cs="宋体"/>
          <w:color w:val="auto"/>
          <w:highlight w:val="none"/>
        </w:rPr>
      </w:pPr>
      <w:r>
        <w:rPr>
          <w:rStyle w:val="1021"/>
          <w:rFonts w:hint="eastAsia" w:ascii="宋体" w:hAnsi="宋体" w:cs="宋体"/>
          <w:b w:val="0"/>
          <w:bCs w:val="0"/>
          <w:color w:val="auto"/>
          <w:szCs w:val="21"/>
          <w:highlight w:val="none"/>
        </w:rPr>
        <w:t xml:space="preserve">中小微企业划型标准如下：</w:t>
      </w:r>
      <w:r/>
    </w:p>
    <w:tbl>
      <w:tblPr>
        <w:tblStyle w:val="972"/>
        <w:tblW w:w="91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55" w:type="dxa"/>
            <w:vAlign w:val="center"/>
            <w:textDirection w:val="lrTb"/>
            <w:noWrap w:val="false"/>
          </w:tcPr>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jc w:val="center"/>
              <w:widowControl/>
              <w:rPr>
                <w:rStyle w:val="1021"/>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计量</w:t>
            </w:r>
            <w:r/>
          </w:p>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jc w:val="center"/>
              <w:widowControl/>
              <w:rPr>
                <w:rFonts w:ascii="宋体" w:hAnsi="宋体" w:cs="宋体"/>
                <w:color w:val="auto"/>
                <w:sz w:val="21"/>
                <w:szCs w:val="21"/>
                <w:highlight w:val="none"/>
              </w:rPr>
            </w:pPr>
            <w:r>
              <w:rPr>
                <w:rStyle w:val="1021"/>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color w:val="auto"/>
                <w:sz w:val="21"/>
                <w:szCs w:val="21"/>
                <w:highlight w:val="none"/>
              </w:rPr>
            </w:pPr>
            <w:r>
              <w:rPr>
                <w:rStyle w:val="1021"/>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3"/>
              <w:ind w:firstLine="211"/>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3"/>
              <w:widowControl/>
              <w:rPr>
                <w:rFonts w:ascii="宋体" w:hAnsi="宋体" w:cs="宋体"/>
                <w:b/>
                <w:color w:val="auto"/>
                <w:sz w:val="21"/>
                <w:szCs w:val="21"/>
                <w:highlight w:val="none"/>
              </w:rPr>
            </w:pPr>
            <w:r>
              <w:rPr>
                <w:rStyle w:val="1021"/>
                <w:rFonts w:hint="eastAsia" w:ascii="宋体" w:hAnsi="宋体" w:cs="宋体"/>
                <w:b w:val="0"/>
                <w:color w:val="auto"/>
                <w:sz w:val="21"/>
                <w:szCs w:val="21"/>
                <w:highlight w:val="none"/>
              </w:rPr>
              <w:t xml:space="preserve">X＜10</w:t>
            </w:r>
            <w:r/>
          </w:p>
        </w:tc>
      </w:tr>
    </w:tbl>
    <w:p>
      <w:pPr>
        <w:pStyle w:val="1013"/>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1"/>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3"/>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jc w:val="left"/>
        <w:rPr>
          <w:rFonts w:ascii="宋体" w:hAnsi="宋体" w:cs="宋体"/>
          <w:color w:val="auto"/>
          <w:highlight w:val="none"/>
        </w:rPr>
      </w:pPr>
      <w:r>
        <w:rPr>
          <w:rFonts w:ascii="宋体" w:hAnsi="宋体" w:cs="宋体"/>
          <w:color w:val="auto"/>
          <w:highlight w:val="none"/>
        </w:rPr>
      </w:r>
      <w:r/>
    </w:p>
    <w:p>
      <w:pPr>
        <w:ind w:firstLine="210"/>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3"/>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1020"/>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993"/>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pStyle w:val="983"/>
              <w:jc w:val="center"/>
              <w:spacing w:line="300" w:lineRule="auto"/>
              <w:rPr>
                <w:rFonts w:ascii="宋体" w:hAnsi="宋体" w:eastAsia="宋体" w:cs="宋体"/>
                <w:color w:val="auto"/>
                <w:highlight w:val="none"/>
              </w:rPr>
            </w:pPr>
            <w:r>
              <w:rPr>
                <w:rFonts w:hint="eastAsia" w:ascii="宋体" w:hAnsi="宋体" w:eastAsia="宋体" w:cs="宋体"/>
                <w:b/>
                <w:color w:val="auto"/>
                <w:sz w:val="21"/>
                <w:szCs w:val="21"/>
                <w:highlight w:val="none"/>
              </w:rPr>
              <w:t xml:space="preserve">是否小微企业</w:t>
            </w:r>
            <w:r/>
          </w:p>
        </w:tc>
        <w:tc>
          <w:tcPr>
            <w:tcW w:w="5811" w:type="dxa"/>
            <w:vAlign w:val="center"/>
            <w:textDirection w:val="lrTb"/>
            <w:noWrap w:val="false"/>
          </w:tcPr>
          <w:p>
            <w:pPr>
              <w:pStyle w:val="983"/>
              <w:ind w:firstLine="420"/>
              <w:spacing w:line="300" w:lineRule="auto"/>
              <w:rPr>
                <w:rFonts w:ascii="宋体" w:hAnsi="宋体" w:eastAsia="宋体" w:cs="宋体"/>
                <w:color w:val="auto"/>
                <w:highlight w:val="none"/>
              </w:rPr>
            </w:pPr>
            <w:r>
              <w:rPr>
                <w:rFonts w:hint="eastAsia" w:ascii="宋体" w:hAnsi="宋体" w:eastAsia="宋体" w:cs="宋体"/>
                <w:b/>
                <w:bCs/>
                <w:color w:val="auto"/>
                <w:sz w:val="21"/>
                <w:szCs w:val="21"/>
                <w:highlight w:val="none"/>
              </w:rPr>
              <w:t xml:space="preserve">□是             □否</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439"/>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439"/>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439"/>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439"/>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五、投标产品配置及分项报价表</w:t>
      </w:r>
      <w:r/>
    </w:p>
    <w:tbl>
      <w:tblPr>
        <w:tblStyle w:val="972"/>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0"/>
        <w:gridCol w:w="1533"/>
        <w:gridCol w:w="1560"/>
        <w:gridCol w:w="1701"/>
        <w:gridCol w:w="1476"/>
      </w:tblGrid>
      <w:tr>
        <w:trPr>
          <w:cantSplit/>
          <w:jc w:val="center"/>
          <w:trHeight w:val="805"/>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cantSplit/>
          <w:jc w:val="center"/>
          <w:trHeight w:val="72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货物名称及规格、型号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产地/品牌</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总价（元）</w:t>
            </w:r>
            <w:r/>
          </w:p>
        </w:tc>
      </w:tr>
      <w:tr>
        <w:trPr>
          <w:cantSplit/>
          <w:jc w:val="center"/>
          <w:trHeight w:val="805"/>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spacing w:after="20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after="200"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805"/>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805"/>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805"/>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jc w:val="center"/>
              <w:spacing w:after="20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794"/>
        </w:trPr>
        <w:tc>
          <w:tcPr>
            <w:gridSpan w:val="4"/>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合计（元）：</w:t>
            </w:r>
            <w:r/>
            <w:r>
              <w:rPr>
                <w:rFonts w:ascii="宋体" w:hAnsi="宋体" w:cs="宋体"/>
                <w:color w:val="auto"/>
                <w:szCs w:val="21"/>
                <w:highlight w:val="none"/>
              </w:rPr>
            </w:r>
            <w:r/>
            <w:r>
              <w:rPr>
                <w:rFonts w:ascii="宋体" w:hAnsi="宋体" w:cs="宋体"/>
                <w:color w:val="auto"/>
                <w:szCs w:val="21"/>
                <w:highlight w:val="none"/>
              </w:rP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after="20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ind w:firstLine="2319"/>
        <w:rPr>
          <w:rFonts w:ascii="宋体" w:hAnsi="宋体" w:cs="宋体"/>
          <w:b/>
          <w:color w:val="auto"/>
          <w:szCs w:val="21"/>
          <w:highlight w:val="none"/>
        </w:rPr>
      </w:pPr>
      <w:r>
        <w:rPr>
          <w:rFonts w:ascii="宋体" w:hAnsi="宋体" w:cs="宋体"/>
          <w:b/>
          <w:color w:val="auto"/>
          <w:szCs w:val="21"/>
          <w:highlight w:val="none"/>
        </w:rPr>
      </w:r>
      <w:r/>
    </w:p>
    <w:p>
      <w:pPr>
        <w:ind w:firstLine="3092"/>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972"/>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Pr>
        <w:tc>
          <w:tcPr>
            <w:tcW w:w="9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3"/>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972"/>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49" w:name="_Hlt26955064"/>
      <w:r/>
      <w:bookmarkEnd w:id="49"/>
      <w:r/>
      <w:bookmarkStart w:id="50" w:name="_Hlt26580838"/>
      <w:r/>
      <w:bookmarkEnd w:id="50"/>
      <w:r/>
      <w:bookmarkStart w:id="51" w:name="_Hlt26955056"/>
      <w:r/>
      <w:bookmarkEnd w:id="51"/>
      <w:r/>
      <w:bookmarkStart w:id="52" w:name="_Hlt26671343"/>
      <w:r/>
      <w:bookmarkEnd w:id="52"/>
      <w:r/>
      <w:bookmarkStart w:id="53" w:name="_Hlt24879081"/>
      <w:r/>
      <w:bookmarkEnd w:id="53"/>
      <w:r/>
      <w:bookmarkStart w:id="54" w:name="_Hlt26782999"/>
      <w:r/>
      <w:bookmarkEnd w:id="54"/>
      <w:r/>
      <w:bookmarkStart w:id="55" w:name="_Hlt26671372"/>
      <w:r/>
      <w:bookmarkEnd w:id="55"/>
      <w:r/>
      <w:bookmarkStart w:id="56" w:name="_Hlt26609391"/>
      <w:r/>
      <w:bookmarkEnd w:id="56"/>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64"/>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3"/>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963"/>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97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389"/>
        <w:gridCol w:w="1292"/>
        <w:gridCol w:w="1301"/>
        <w:gridCol w:w="1435"/>
        <w:gridCol w:w="1272"/>
        <w:gridCol w:w="991"/>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963"/>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446"/>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3"/>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9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0"/>
        <w:gridCol w:w="4332"/>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5714" cy="131433"/>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157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1pt;height:10.3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ascii="宋体" w:hAnsi="宋体" w:cs="宋体"/>
      </w:rPr>
      <w:t xml:space="preserve">JSZC-321000-JSZX-G2024-0017</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left"/>
    </w:pPr>
    <w:r>
      <w:rPr>
        <w:rFonts w:hint="eastAsia" w:ascii="宋体" w:hAnsi="宋体"/>
        <w:szCs w:val="21"/>
      </w:rPr>
      <w:t xml:space="preserve">JSZC-321000-JSZX-G2024-0017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4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5"/>
      <w:isLgl/>
      <w:suff w:val="tab"/>
      <w:lvlText w:val="%1.%2"/>
      <w:lvlJc w:val="left"/>
      <w:pPr>
        <w:ind w:left="0" w:firstLine="0"/>
        <w:tabs>
          <w:tab w:val="left" w:pos="851" w:leader="none"/>
        </w:tabs>
      </w:pPr>
    </w:lvl>
    <w:lvl w:ilvl="2">
      <w:start w:val="1"/>
      <w:numFmt w:val="decimal"/>
      <w:pStyle w:val="1272"/>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bullet"/>
      <w:pStyle w:val="13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4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7">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spacing w:val="0"/>
        <w:position w:val="0"/>
        <w:sz w:val="21"/>
        <w:szCs w:val="32"/>
        <w:u w:val="none"/>
        <w:vertAlign w:val="baseline"/>
      </w:rPr>
    </w:lvl>
    <w:lvl w:ilvl="1">
      <w:start w:val="1"/>
      <w:numFmt w:val="decimal"/>
      <w:pStyle w:val="963"/>
      <w:isLgl w:val="false"/>
      <w:suff w:val="space"/>
      <w:lvlText w:val="%1.%2"/>
      <w:lvlJc w:val="left"/>
      <w:pPr>
        <w:ind w:left="851" w:hanging="567"/>
      </w:pPr>
      <w:rPr>
        <w:rFonts w:hint="default" w:ascii="Arial" w:hAnsi="Arial" w:eastAsia="黑体"/>
        <w:b/>
        <w:i w:val="0"/>
        <w:sz w:val="28"/>
        <w:szCs w:val="28"/>
      </w:rPr>
    </w:lvl>
    <w:lvl w:ilvl="2">
      <w:start w:val="1"/>
      <w:numFmt w:val="decimal"/>
      <w:pStyle w:val="964"/>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7"/>
  </w:num>
  <w:num w:numId="2">
    <w:abstractNumId w:val="6"/>
  </w:num>
  <w:num w:numId="3">
    <w:abstractNumId w:val="2"/>
  </w:num>
  <w:num w:numId="4">
    <w:abstractNumId w:val="4"/>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2 Char"/>
    <w:basedOn w:val="971"/>
    <w:link w:val="963"/>
    <w:uiPriority w:val="9"/>
    <w:rPr>
      <w:rFonts w:ascii="Arial" w:hAnsi="Arial" w:eastAsia="Arial" w:cs="Arial"/>
      <w:sz w:val="34"/>
    </w:rPr>
  </w:style>
  <w:style w:type="character" w:styleId="813">
    <w:name w:val="Heading 3 Char"/>
    <w:basedOn w:val="971"/>
    <w:link w:val="964"/>
    <w:uiPriority w:val="9"/>
    <w:rPr>
      <w:rFonts w:ascii="Arial" w:hAnsi="Arial" w:eastAsia="Arial" w:cs="Arial"/>
      <w:sz w:val="30"/>
      <w:szCs w:val="30"/>
    </w:rPr>
  </w:style>
  <w:style w:type="character" w:styleId="814">
    <w:name w:val="Heading 4 Char"/>
    <w:basedOn w:val="971"/>
    <w:link w:val="965"/>
    <w:uiPriority w:val="9"/>
    <w:rPr>
      <w:rFonts w:ascii="Arial" w:hAnsi="Arial" w:eastAsia="Arial" w:cs="Arial"/>
      <w:b/>
      <w:bCs/>
      <w:sz w:val="26"/>
      <w:szCs w:val="26"/>
    </w:rPr>
  </w:style>
  <w:style w:type="character" w:styleId="815">
    <w:name w:val="Heading 5 Char"/>
    <w:basedOn w:val="971"/>
    <w:link w:val="966"/>
    <w:uiPriority w:val="9"/>
    <w:rPr>
      <w:rFonts w:ascii="Arial" w:hAnsi="Arial" w:eastAsia="Arial" w:cs="Arial"/>
      <w:b/>
      <w:bCs/>
      <w:sz w:val="24"/>
      <w:szCs w:val="24"/>
    </w:rPr>
  </w:style>
  <w:style w:type="character" w:styleId="816">
    <w:name w:val="Heading 6 Char"/>
    <w:basedOn w:val="971"/>
    <w:link w:val="967"/>
    <w:uiPriority w:val="9"/>
    <w:rPr>
      <w:rFonts w:ascii="Arial" w:hAnsi="Arial" w:eastAsia="Arial" w:cs="Arial"/>
      <w:b/>
      <w:bCs/>
      <w:sz w:val="22"/>
      <w:szCs w:val="22"/>
    </w:rPr>
  </w:style>
  <w:style w:type="character" w:styleId="817">
    <w:name w:val="Heading 7 Char"/>
    <w:basedOn w:val="971"/>
    <w:link w:val="968"/>
    <w:uiPriority w:val="9"/>
    <w:rPr>
      <w:rFonts w:ascii="Arial" w:hAnsi="Arial" w:eastAsia="Arial" w:cs="Arial"/>
      <w:b/>
      <w:bCs/>
      <w:i/>
      <w:iCs/>
      <w:sz w:val="22"/>
      <w:szCs w:val="22"/>
    </w:rPr>
  </w:style>
  <w:style w:type="character" w:styleId="818">
    <w:name w:val="Heading 8 Char"/>
    <w:basedOn w:val="971"/>
    <w:link w:val="969"/>
    <w:uiPriority w:val="9"/>
    <w:rPr>
      <w:rFonts w:ascii="Arial" w:hAnsi="Arial" w:eastAsia="Arial" w:cs="Arial"/>
      <w:i/>
      <w:iCs/>
      <w:sz w:val="22"/>
      <w:szCs w:val="22"/>
    </w:rPr>
  </w:style>
  <w:style w:type="character" w:styleId="819">
    <w:name w:val="Heading 9 Char"/>
    <w:basedOn w:val="971"/>
    <w:link w:val="970"/>
    <w:uiPriority w:val="9"/>
    <w:rPr>
      <w:rFonts w:ascii="Arial" w:hAnsi="Arial" w:eastAsia="Arial" w:cs="Arial"/>
      <w:i/>
      <w:iCs/>
      <w:sz w:val="21"/>
      <w:szCs w:val="21"/>
    </w:rPr>
  </w:style>
  <w:style w:type="character" w:styleId="820">
    <w:name w:val="Title Char"/>
    <w:basedOn w:val="971"/>
    <w:link w:val="1016"/>
    <w:uiPriority w:val="10"/>
    <w:rPr>
      <w:sz w:val="48"/>
      <w:szCs w:val="48"/>
    </w:rPr>
  </w:style>
  <w:style w:type="paragraph" w:styleId="821">
    <w:name w:val="Subtitle"/>
    <w:basedOn w:val="961"/>
    <w:next w:val="961"/>
    <w:link w:val="822"/>
    <w:uiPriority w:val="11"/>
    <w:qFormat/>
    <w:pPr>
      <w:spacing w:before="200" w:after="200"/>
    </w:pPr>
    <w:rPr>
      <w:sz w:val="24"/>
      <w:szCs w:val="24"/>
    </w:rPr>
  </w:style>
  <w:style w:type="character" w:styleId="822">
    <w:name w:val="Subtitle Char"/>
    <w:basedOn w:val="971"/>
    <w:link w:val="821"/>
    <w:uiPriority w:val="11"/>
    <w:rPr>
      <w:sz w:val="24"/>
      <w:szCs w:val="24"/>
    </w:rPr>
  </w:style>
  <w:style w:type="paragraph" w:styleId="823">
    <w:name w:val="Quote"/>
    <w:basedOn w:val="961"/>
    <w:next w:val="961"/>
    <w:link w:val="824"/>
    <w:uiPriority w:val="29"/>
    <w:qFormat/>
    <w:pPr>
      <w:ind w:left="720" w:right="720"/>
    </w:pPr>
    <w:rPr>
      <w:i/>
    </w:rPr>
  </w:style>
  <w:style w:type="character" w:styleId="824">
    <w:name w:val="Quote Char"/>
    <w:link w:val="823"/>
    <w:uiPriority w:val="29"/>
    <w:rPr>
      <w:i/>
    </w:rPr>
  </w:style>
  <w:style w:type="paragraph" w:styleId="825">
    <w:name w:val="Intense Quote"/>
    <w:basedOn w:val="961"/>
    <w:next w:val="96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1"/>
    <w:link w:val="999"/>
    <w:uiPriority w:val="99"/>
  </w:style>
  <w:style w:type="character" w:styleId="828">
    <w:name w:val="Footer Char"/>
    <w:basedOn w:val="971"/>
    <w:link w:val="998"/>
    <w:uiPriority w:val="99"/>
  </w:style>
  <w:style w:type="character" w:styleId="829">
    <w:name w:val="Caption Char"/>
    <w:basedOn w:val="977"/>
    <w:link w:val="998"/>
    <w:uiPriority w:val="99"/>
  </w:style>
  <w:style w:type="table" w:styleId="830">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Footnote Text Char"/>
    <w:link w:val="1003"/>
    <w:uiPriority w:val="99"/>
    <w:rPr>
      <w:sz w:val="18"/>
    </w:rPr>
  </w:style>
  <w:style w:type="character" w:styleId="956">
    <w:name w:val="footnote reference"/>
    <w:basedOn w:val="971"/>
    <w:uiPriority w:val="99"/>
    <w:unhideWhenUsed/>
    <w:rPr>
      <w:vertAlign w:val="superscript"/>
    </w:rPr>
  </w:style>
  <w:style w:type="paragraph" w:styleId="957">
    <w:name w:val="endnote text"/>
    <w:basedOn w:val="96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basedOn w:val="971"/>
    <w:uiPriority w:val="99"/>
    <w:semiHidden/>
    <w:unhideWhenUsed/>
    <w:rPr>
      <w:vertAlign w:val="superscript"/>
    </w:rPr>
  </w:style>
  <w:style w:type="paragraph" w:styleId="960">
    <w:name w:val="TOC Heading"/>
    <w:uiPriority w:val="39"/>
    <w:unhideWhenUsed/>
  </w:style>
  <w:style w:type="paragraph" w:styleId="96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62">
    <w:name w:val="Heading 1"/>
    <w:basedOn w:val="961"/>
    <w:next w:val="961"/>
    <w:link w:val="1032"/>
    <w:uiPriority w:val="0"/>
    <w:qFormat/>
    <w:pPr>
      <w:keepLines/>
      <w:keepNext/>
      <w:spacing w:before="340" w:after="330" w:line="578" w:lineRule="auto"/>
      <w:outlineLvl w:val="0"/>
    </w:pPr>
    <w:rPr>
      <w:b/>
      <w:bCs/>
      <w:sz w:val="44"/>
      <w:szCs w:val="44"/>
    </w:rPr>
  </w:style>
  <w:style w:type="paragraph" w:styleId="963">
    <w:name w:val="Heading 2"/>
    <w:basedOn w:val="961"/>
    <w:next w:val="961"/>
    <w:link w:val="1033"/>
    <w:uiPriority w:val="0"/>
    <w:qFormat/>
    <w:pPr>
      <w:numPr>
        <w:ilvl w:val="1"/>
        <w:numId w:val="1"/>
      </w:numPr>
      <w:jc w:val="left"/>
      <w:keepLines/>
      <w:keepNext/>
      <w:outlineLvl w:val="1"/>
    </w:pPr>
    <w:rPr>
      <w:rFonts w:ascii="Arial" w:hAnsi="Arial"/>
      <w:b/>
      <w:bCs/>
      <w:sz w:val="28"/>
      <w:szCs w:val="36"/>
    </w:rPr>
  </w:style>
  <w:style w:type="paragraph" w:styleId="964">
    <w:name w:val="Heading 3"/>
    <w:basedOn w:val="961"/>
    <w:next w:val="961"/>
    <w:link w:val="1031"/>
    <w:uiPriority w:val="0"/>
    <w:qFormat/>
    <w:pPr>
      <w:numPr>
        <w:ilvl w:val="2"/>
        <w:numId w:val="1"/>
      </w:numPr>
      <w:jc w:val="left"/>
      <w:keepLines/>
      <w:keepNext/>
      <w:outlineLvl w:val="2"/>
    </w:pPr>
    <w:rPr>
      <w:rFonts w:ascii="Arial" w:hAnsi="Arial" w:eastAsia="黑体"/>
      <w:b/>
      <w:bCs/>
      <w:sz w:val="30"/>
      <w:szCs w:val="32"/>
    </w:rPr>
  </w:style>
  <w:style w:type="paragraph" w:styleId="965">
    <w:name w:val="Heading 4"/>
    <w:basedOn w:val="961"/>
    <w:next w:val="973"/>
    <w:link w:val="1034"/>
    <w:uiPriority w:val="0"/>
    <w:qFormat/>
    <w:pPr>
      <w:spacing w:before="280" w:after="290" w:line="377" w:lineRule="auto"/>
      <w:outlineLvl w:val="3"/>
    </w:pPr>
    <w:rPr>
      <w:rFonts w:ascii="Arial" w:hAnsi="Arial" w:eastAsia="黑体"/>
      <w:b/>
      <w:bCs/>
      <w:sz w:val="28"/>
      <w:szCs w:val="28"/>
    </w:rPr>
  </w:style>
  <w:style w:type="paragraph" w:styleId="966">
    <w:name w:val="Heading 5"/>
    <w:basedOn w:val="961"/>
    <w:next w:val="961"/>
    <w:link w:val="1036"/>
    <w:uiPriority w:val="0"/>
    <w:qFormat/>
    <w:pPr>
      <w:keepLines/>
      <w:keepNext/>
      <w:spacing w:before="280" w:after="290" w:line="376" w:lineRule="auto"/>
      <w:outlineLvl w:val="4"/>
    </w:pPr>
    <w:rPr>
      <w:rFonts w:ascii="Calibri" w:hAnsi="Calibri"/>
      <w:b/>
      <w:bCs/>
      <w:sz w:val="28"/>
      <w:szCs w:val="28"/>
    </w:rPr>
  </w:style>
  <w:style w:type="paragraph" w:styleId="967">
    <w:name w:val="Heading 6"/>
    <w:basedOn w:val="961"/>
    <w:next w:val="961"/>
    <w:link w:val="1037"/>
    <w:uiPriority w:val="0"/>
    <w:qFormat/>
    <w:pPr>
      <w:ind w:left="1152" w:hanging="1152"/>
      <w:keepLines/>
      <w:keepNext/>
      <w:spacing w:before="240" w:after="64" w:line="320" w:lineRule="auto"/>
      <w:outlineLvl w:val="5"/>
    </w:pPr>
    <w:rPr>
      <w:rFonts w:ascii="Cambria" w:hAnsi="Cambria"/>
      <w:b/>
      <w:bCs/>
      <w:sz w:val="24"/>
      <w:szCs w:val="24"/>
    </w:rPr>
  </w:style>
  <w:style w:type="paragraph" w:styleId="968">
    <w:name w:val="Heading 7"/>
    <w:basedOn w:val="961"/>
    <w:next w:val="961"/>
    <w:link w:val="1038"/>
    <w:uiPriority w:val="0"/>
    <w:qFormat/>
    <w:pPr>
      <w:ind w:left="1296" w:hanging="1296"/>
      <w:keepLines/>
      <w:keepNext/>
      <w:spacing w:before="240" w:after="64" w:line="320" w:lineRule="auto"/>
      <w:outlineLvl w:val="6"/>
    </w:pPr>
    <w:rPr>
      <w:b/>
      <w:bCs/>
      <w:sz w:val="24"/>
      <w:szCs w:val="24"/>
    </w:rPr>
  </w:style>
  <w:style w:type="paragraph" w:styleId="969">
    <w:name w:val="Heading 8"/>
    <w:basedOn w:val="961"/>
    <w:next w:val="961"/>
    <w:link w:val="1039"/>
    <w:uiPriority w:val="0"/>
    <w:qFormat/>
    <w:pPr>
      <w:ind w:left="1440" w:hanging="1440"/>
      <w:keepLines/>
      <w:keepNext/>
      <w:spacing w:before="240" w:after="64" w:line="320" w:lineRule="auto"/>
      <w:outlineLvl w:val="7"/>
    </w:pPr>
    <w:rPr>
      <w:rFonts w:ascii="Cambria" w:hAnsi="Cambria"/>
      <w:sz w:val="24"/>
      <w:szCs w:val="24"/>
    </w:rPr>
  </w:style>
  <w:style w:type="paragraph" w:styleId="970">
    <w:name w:val="Heading 9"/>
    <w:basedOn w:val="961"/>
    <w:next w:val="961"/>
    <w:link w:val="1040"/>
    <w:uiPriority w:val="0"/>
    <w:qFormat/>
    <w:pPr>
      <w:ind w:left="1584" w:hanging="1584"/>
      <w:keepLines/>
      <w:keepNext/>
      <w:spacing w:before="240" w:after="64" w:line="320" w:lineRule="auto"/>
      <w:outlineLvl w:val="8"/>
    </w:pPr>
    <w:rPr>
      <w:rFonts w:ascii="Cambria" w:hAnsi="Cambria"/>
      <w:sz w:val="20"/>
      <w:szCs w:val="21"/>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Normal Indent"/>
    <w:basedOn w:val="961"/>
    <w:link w:val="1035"/>
    <w:uiPriority w:val="99"/>
    <w:unhideWhenUsed/>
    <w:qFormat/>
    <w:pPr>
      <w:ind w:firstLine="420"/>
    </w:pPr>
  </w:style>
  <w:style w:type="paragraph" w:styleId="974">
    <w:name w:val="List 3"/>
    <w:basedOn w:val="961"/>
    <w:uiPriority w:val="0"/>
    <w:qFormat/>
    <w:pPr>
      <w:ind w:left="400" w:hanging="200"/>
      <w:spacing w:line="440" w:lineRule="exact"/>
    </w:pPr>
    <w:rPr>
      <w:szCs w:val="21"/>
    </w:rPr>
  </w:style>
  <w:style w:type="paragraph" w:styleId="975">
    <w:name w:val="toc 7"/>
    <w:basedOn w:val="961"/>
    <w:next w:val="961"/>
    <w:uiPriority w:val="0"/>
    <w:qFormat/>
    <w:pPr>
      <w:ind w:left="1260"/>
      <w:jc w:val="left"/>
      <w:spacing w:line="440" w:lineRule="exact"/>
    </w:pPr>
    <w:rPr>
      <w:szCs w:val="21"/>
    </w:rPr>
  </w:style>
  <w:style w:type="paragraph" w:styleId="976">
    <w:name w:val="List Number 2"/>
    <w:basedOn w:val="961"/>
    <w:uiPriority w:val="0"/>
    <w:qFormat/>
    <w:pPr>
      <w:spacing w:line="440" w:lineRule="exact"/>
    </w:pPr>
    <w:rPr>
      <w:sz w:val="28"/>
      <w:szCs w:val="20"/>
    </w:rPr>
  </w:style>
  <w:style w:type="paragraph" w:styleId="977">
    <w:name w:val="Caption"/>
    <w:basedOn w:val="961"/>
    <w:next w:val="961"/>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78">
    <w:name w:val="Document Map"/>
    <w:basedOn w:val="961"/>
    <w:link w:val="1041"/>
    <w:uiPriority w:val="0"/>
    <w:qFormat/>
    <w:rPr>
      <w:rFonts w:ascii="宋体"/>
      <w:sz w:val="18"/>
      <w:szCs w:val="18"/>
    </w:rPr>
  </w:style>
  <w:style w:type="paragraph" w:styleId="979">
    <w:name w:val="toa heading"/>
    <w:basedOn w:val="961"/>
    <w:next w:val="961"/>
    <w:uiPriority w:val="0"/>
    <w:qFormat/>
    <w:pPr>
      <w:spacing w:before="120" w:line="440" w:lineRule="exact"/>
    </w:pPr>
    <w:rPr>
      <w:rFonts w:ascii="Arial" w:hAnsi="Arial" w:cs="Arial"/>
      <w:sz w:val="24"/>
      <w:szCs w:val="24"/>
    </w:rPr>
  </w:style>
  <w:style w:type="paragraph" w:styleId="980">
    <w:name w:val="annotation text"/>
    <w:basedOn w:val="961"/>
    <w:link w:val="1042"/>
    <w:uiPriority w:val="99"/>
    <w:unhideWhenUsed/>
    <w:qFormat/>
    <w:pPr>
      <w:jc w:val="left"/>
    </w:pPr>
    <w:rPr>
      <w:sz w:val="20"/>
      <w:szCs w:val="24"/>
    </w:rPr>
  </w:style>
  <w:style w:type="paragraph" w:styleId="981">
    <w:name w:val="Body Text 3"/>
    <w:basedOn w:val="961"/>
    <w:link w:val="1043"/>
    <w:uiPriority w:val="0"/>
    <w:qFormat/>
    <w:rPr>
      <w:rFonts w:ascii="宋体"/>
      <w:sz w:val="24"/>
      <w:szCs w:val="20"/>
    </w:rPr>
  </w:style>
  <w:style w:type="paragraph" w:styleId="982">
    <w:name w:val="List Bullet 3"/>
    <w:basedOn w:val="961"/>
    <w:uiPriority w:val="0"/>
    <w:qFormat/>
    <w:pPr>
      <w:ind w:left="465" w:hanging="465"/>
      <w:jc w:val="left"/>
      <w:spacing w:after="120" w:line="360" w:lineRule="auto"/>
      <w:widowControl/>
      <w:tabs>
        <w:tab w:val="left" w:pos="465" w:leader="none"/>
      </w:tabs>
    </w:pPr>
    <w:rPr>
      <w:rFonts w:cs="Arial"/>
      <w:sz w:val="20"/>
      <w:szCs w:val="20"/>
    </w:rPr>
  </w:style>
  <w:style w:type="paragraph" w:styleId="983">
    <w:name w:val="Body Text"/>
    <w:basedOn w:val="961"/>
    <w:next w:val="961"/>
    <w:link w:val="1044"/>
    <w:uiPriority w:val="99"/>
    <w:qFormat/>
    <w:rPr>
      <w:rFonts w:ascii="楷体_GB2312" w:hAnsi="Arial" w:eastAsia="楷体_GB2312"/>
      <w:sz w:val="28"/>
      <w:szCs w:val="28"/>
    </w:rPr>
  </w:style>
  <w:style w:type="paragraph" w:styleId="984">
    <w:name w:val="Body Text Indent"/>
    <w:basedOn w:val="961"/>
    <w:link w:val="1045"/>
    <w:uiPriority w:val="0"/>
    <w:qFormat/>
    <w:pPr>
      <w:ind w:left="420"/>
      <w:spacing w:after="120"/>
    </w:pPr>
    <w:rPr>
      <w:sz w:val="20"/>
      <w:szCs w:val="24"/>
    </w:rPr>
  </w:style>
  <w:style w:type="paragraph" w:styleId="985">
    <w:name w:val="List 2"/>
    <w:basedOn w:val="961"/>
    <w:uiPriority w:val="0"/>
    <w:qFormat/>
    <w:pPr>
      <w:ind w:left="200" w:hanging="200"/>
      <w:spacing w:line="440" w:lineRule="exact"/>
    </w:pPr>
    <w:rPr>
      <w:szCs w:val="21"/>
    </w:rPr>
  </w:style>
  <w:style w:type="paragraph" w:styleId="986">
    <w:name w:val="List Continue"/>
    <w:basedOn w:val="961"/>
    <w:uiPriority w:val="0"/>
    <w:qFormat/>
    <w:pPr>
      <w:ind w:left="420"/>
      <w:jc w:val="left"/>
      <w:spacing w:after="120" w:line="360" w:lineRule="auto"/>
      <w:widowControl/>
    </w:pPr>
    <w:rPr>
      <w:sz w:val="20"/>
      <w:szCs w:val="20"/>
    </w:rPr>
  </w:style>
  <w:style w:type="paragraph" w:styleId="987">
    <w:name w:val="Block Text"/>
    <w:basedOn w:val="961"/>
    <w:uiPriority w:val="0"/>
    <w:qFormat/>
    <w:pPr>
      <w:ind w:left="237" w:right="216" w:firstLine="420"/>
      <w:spacing w:line="360" w:lineRule="auto"/>
    </w:pPr>
    <w:rPr>
      <w:rFonts w:ascii="宋体" w:hAnsi="宋体"/>
      <w:sz w:val="24"/>
      <w:szCs w:val="21"/>
    </w:rPr>
  </w:style>
  <w:style w:type="paragraph" w:styleId="988">
    <w:name w:val="List Bullet 2"/>
    <w:basedOn w:val="961"/>
    <w:uiPriority w:val="99"/>
    <w:unhideWhenUsed/>
    <w:qFormat/>
    <w:pPr>
      <w:ind w:left="780" w:hanging="360"/>
      <w:tabs>
        <w:tab w:val="left" w:pos="780" w:leader="none"/>
      </w:tabs>
    </w:pPr>
  </w:style>
  <w:style w:type="paragraph" w:styleId="989">
    <w:name w:val="HTML Address"/>
    <w:basedOn w:val="961"/>
    <w:link w:val="1046"/>
    <w:uiPriority w:val="0"/>
    <w:qFormat/>
    <w:pPr>
      <w:spacing w:line="440" w:lineRule="exact"/>
    </w:pPr>
    <w:rPr>
      <w:i/>
      <w:iCs/>
      <w:szCs w:val="21"/>
    </w:rPr>
  </w:style>
  <w:style w:type="paragraph" w:styleId="990">
    <w:name w:val="index 4"/>
    <w:basedOn w:val="961"/>
    <w:next w:val="961"/>
    <w:uiPriority w:val="0"/>
    <w:unhideWhenUsed/>
    <w:qFormat/>
    <w:pPr>
      <w:ind w:left="600"/>
    </w:pPr>
    <w:rPr>
      <w:rFonts w:ascii="Calibri" w:hAnsi="Calibri"/>
    </w:rPr>
  </w:style>
  <w:style w:type="paragraph" w:styleId="991">
    <w:name w:val="toc 5"/>
    <w:basedOn w:val="961"/>
    <w:next w:val="961"/>
    <w:uiPriority w:val="0"/>
    <w:qFormat/>
    <w:pPr>
      <w:ind w:left="840"/>
      <w:jc w:val="left"/>
      <w:spacing w:line="440" w:lineRule="exact"/>
    </w:pPr>
    <w:rPr>
      <w:szCs w:val="21"/>
    </w:rPr>
  </w:style>
  <w:style w:type="paragraph" w:styleId="992">
    <w:name w:val="toc 3"/>
    <w:basedOn w:val="961"/>
    <w:next w:val="961"/>
    <w:uiPriority w:val="39"/>
    <w:unhideWhenUsed/>
    <w:qFormat/>
    <w:pPr>
      <w:ind w:left="840"/>
    </w:pPr>
    <w:rPr>
      <w:rFonts w:ascii="Calibri" w:hAnsi="Calibri"/>
    </w:rPr>
  </w:style>
  <w:style w:type="paragraph" w:styleId="993">
    <w:name w:val="Plain Text"/>
    <w:basedOn w:val="961"/>
    <w:link w:val="1047"/>
    <w:uiPriority w:val="0"/>
    <w:qFormat/>
    <w:pPr>
      <w:ind w:firstLine="424"/>
      <w:spacing w:line="360" w:lineRule="auto"/>
    </w:pPr>
    <w:rPr>
      <w:rFonts w:ascii="宋体" w:hAnsi="宋体" w:cs="宋体"/>
      <w:b/>
      <w:szCs w:val="21"/>
    </w:rPr>
  </w:style>
  <w:style w:type="paragraph" w:styleId="994">
    <w:name w:val="toc 8"/>
    <w:basedOn w:val="961"/>
    <w:next w:val="961"/>
    <w:uiPriority w:val="0"/>
    <w:qFormat/>
    <w:pPr>
      <w:ind w:left="1470"/>
      <w:jc w:val="left"/>
      <w:spacing w:line="440" w:lineRule="exact"/>
    </w:pPr>
    <w:rPr>
      <w:szCs w:val="21"/>
    </w:rPr>
  </w:style>
  <w:style w:type="paragraph" w:styleId="995">
    <w:name w:val="Date"/>
    <w:basedOn w:val="961"/>
    <w:next w:val="961"/>
    <w:link w:val="1048"/>
    <w:uiPriority w:val="0"/>
    <w:qFormat/>
    <w:pPr>
      <w:spacing w:line="440" w:lineRule="exact"/>
    </w:pPr>
    <w:rPr>
      <w:sz w:val="24"/>
      <w:szCs w:val="24"/>
    </w:rPr>
  </w:style>
  <w:style w:type="paragraph" w:styleId="996">
    <w:name w:val="Body Text Indent 2"/>
    <w:basedOn w:val="961"/>
    <w:link w:val="1049"/>
    <w:uiPriority w:val="0"/>
    <w:qFormat/>
    <w:pPr>
      <w:ind w:firstLine="562"/>
      <w:spacing w:line="480" w:lineRule="exact"/>
    </w:pPr>
    <w:rPr>
      <w:rFonts w:ascii="楷体_GB2312" w:eastAsia="楷体_GB2312"/>
      <w:b/>
      <w:bCs/>
      <w:sz w:val="28"/>
      <w:szCs w:val="24"/>
    </w:rPr>
  </w:style>
  <w:style w:type="paragraph" w:styleId="997">
    <w:name w:val="Balloon Text"/>
    <w:basedOn w:val="961"/>
    <w:link w:val="1050"/>
    <w:uiPriority w:val="99"/>
    <w:unhideWhenUsed/>
    <w:qFormat/>
    <w:rPr>
      <w:sz w:val="18"/>
      <w:szCs w:val="18"/>
    </w:rPr>
  </w:style>
  <w:style w:type="paragraph" w:styleId="998">
    <w:name w:val="Footer"/>
    <w:basedOn w:val="961"/>
    <w:link w:val="1051"/>
    <w:uiPriority w:val="0"/>
    <w:unhideWhenUsed/>
    <w:qFormat/>
    <w:pPr>
      <w:jc w:val="left"/>
      <w:tabs>
        <w:tab w:val="center" w:pos="4153" w:leader="none"/>
        <w:tab w:val="right" w:pos="8306" w:leader="none"/>
      </w:tabs>
    </w:pPr>
    <w:rPr>
      <w:sz w:val="18"/>
      <w:szCs w:val="18"/>
    </w:rPr>
  </w:style>
  <w:style w:type="paragraph" w:styleId="999">
    <w:name w:val="Header"/>
    <w:basedOn w:val="961"/>
    <w:link w:val="105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0">
    <w:name w:val="toc 1"/>
    <w:basedOn w:val="961"/>
    <w:next w:val="961"/>
    <w:uiPriority w:val="39"/>
    <w:unhideWhenUsed/>
    <w:qFormat/>
    <w:rPr>
      <w:rFonts w:ascii="Calibri" w:hAnsi="Calibri"/>
    </w:rPr>
  </w:style>
  <w:style w:type="paragraph" w:styleId="1001">
    <w:name w:val="toc 4"/>
    <w:basedOn w:val="961"/>
    <w:next w:val="961"/>
    <w:uiPriority w:val="0"/>
    <w:unhideWhenUsed/>
    <w:qFormat/>
    <w:pPr>
      <w:ind w:left="1260"/>
    </w:pPr>
    <w:rPr>
      <w:rFonts w:ascii="Calibri" w:hAnsi="Calibri"/>
    </w:rPr>
  </w:style>
  <w:style w:type="paragraph" w:styleId="1002">
    <w:name w:val="List"/>
    <w:basedOn w:val="961"/>
    <w:uiPriority w:val="0"/>
    <w:qFormat/>
    <w:pPr>
      <w:ind w:left="200" w:hanging="200"/>
      <w:spacing w:line="440" w:lineRule="exact"/>
    </w:pPr>
    <w:rPr>
      <w:szCs w:val="21"/>
    </w:rPr>
  </w:style>
  <w:style w:type="paragraph" w:styleId="1003">
    <w:name w:val="footnote text"/>
    <w:basedOn w:val="961"/>
    <w:link w:val="1053"/>
    <w:uiPriority w:val="0"/>
    <w:qFormat/>
    <w:pPr>
      <w:jc w:val="left"/>
      <w:spacing w:line="440" w:lineRule="exact"/>
      <w:widowControl/>
    </w:pPr>
    <w:rPr>
      <w:sz w:val="20"/>
      <w:szCs w:val="20"/>
    </w:rPr>
  </w:style>
  <w:style w:type="paragraph" w:styleId="1004">
    <w:name w:val="toc 6"/>
    <w:basedOn w:val="961"/>
    <w:next w:val="961"/>
    <w:uiPriority w:val="0"/>
    <w:qFormat/>
    <w:pPr>
      <w:ind w:left="1050"/>
      <w:jc w:val="left"/>
      <w:spacing w:line="440" w:lineRule="exact"/>
    </w:pPr>
    <w:rPr>
      <w:szCs w:val="21"/>
    </w:rPr>
  </w:style>
  <w:style w:type="paragraph" w:styleId="1005">
    <w:name w:val="Body Text Indent 3"/>
    <w:basedOn w:val="961"/>
    <w:link w:val="1054"/>
    <w:uiPriority w:val="0"/>
    <w:qFormat/>
    <w:pPr>
      <w:ind w:left="645" w:firstLine="645"/>
      <w:spacing w:line="440" w:lineRule="exact"/>
    </w:pPr>
    <w:rPr>
      <w:rFonts w:ascii="Arial" w:hAnsi="Arial" w:eastAsia="方正仿宋_GB18030"/>
      <w:color w:val="ffff00"/>
      <w:sz w:val="32"/>
      <w:szCs w:val="32"/>
    </w:rPr>
  </w:style>
  <w:style w:type="paragraph" w:styleId="1006">
    <w:name w:val="table of figures"/>
    <w:basedOn w:val="961"/>
    <w:next w:val="961"/>
    <w:uiPriority w:val="0"/>
    <w:qFormat/>
    <w:pPr>
      <w:ind w:left="840" w:hanging="420"/>
    </w:pPr>
    <w:rPr>
      <w:sz w:val="24"/>
      <w:szCs w:val="24"/>
    </w:rPr>
  </w:style>
  <w:style w:type="paragraph" w:styleId="1007">
    <w:name w:val="toc 2"/>
    <w:basedOn w:val="961"/>
    <w:next w:val="961"/>
    <w:uiPriority w:val="39"/>
    <w:unhideWhenUsed/>
    <w:qFormat/>
    <w:pPr>
      <w:ind w:left="420"/>
    </w:pPr>
    <w:rPr>
      <w:rFonts w:ascii="Calibri" w:hAnsi="Calibri"/>
    </w:rPr>
  </w:style>
  <w:style w:type="paragraph" w:styleId="1008">
    <w:name w:val="toc 9"/>
    <w:basedOn w:val="961"/>
    <w:next w:val="961"/>
    <w:uiPriority w:val="0"/>
    <w:qFormat/>
    <w:pPr>
      <w:ind w:left="1680"/>
      <w:jc w:val="left"/>
      <w:spacing w:line="440" w:lineRule="exact"/>
    </w:pPr>
    <w:rPr>
      <w:szCs w:val="21"/>
    </w:rPr>
  </w:style>
  <w:style w:type="paragraph" w:styleId="1009">
    <w:name w:val="Body Text 2"/>
    <w:basedOn w:val="961"/>
    <w:link w:val="1055"/>
    <w:uiPriority w:val="0"/>
    <w:qFormat/>
    <w:pPr>
      <w:jc w:val="center"/>
      <w:spacing w:line="440" w:lineRule="exact"/>
      <w:widowControl/>
    </w:pPr>
    <w:rPr>
      <w:rFonts w:ascii="楷体_GB2312" w:hAnsi="宋体" w:eastAsia="楷体_GB2312"/>
      <w:sz w:val="28"/>
      <w:szCs w:val="28"/>
    </w:rPr>
  </w:style>
  <w:style w:type="paragraph" w:styleId="1010">
    <w:name w:val="List 4"/>
    <w:basedOn w:val="961"/>
    <w:uiPriority w:val="0"/>
    <w:qFormat/>
    <w:pPr>
      <w:ind w:left="100" w:hanging="200"/>
      <w:spacing w:line="440" w:lineRule="exact"/>
    </w:pPr>
    <w:rPr>
      <w:szCs w:val="21"/>
    </w:rPr>
  </w:style>
  <w:style w:type="paragraph" w:styleId="1011">
    <w:name w:val="List Continue 2"/>
    <w:basedOn w:val="961"/>
    <w:uiPriority w:val="0"/>
    <w:qFormat/>
    <w:pPr>
      <w:ind w:left="840"/>
      <w:spacing w:after="120" w:line="440" w:lineRule="exact"/>
    </w:pPr>
    <w:rPr>
      <w:szCs w:val="24"/>
    </w:rPr>
  </w:style>
  <w:style w:type="paragraph" w:styleId="1012">
    <w:name w:val="HTML Preformatted"/>
    <w:basedOn w:val="961"/>
    <w:link w:val="1056"/>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3">
    <w:name w:val="Normal (Web)"/>
    <w:basedOn w:val="961"/>
    <w:uiPriority w:val="99"/>
    <w:unhideWhenUsed/>
    <w:qFormat/>
    <w:rPr>
      <w:sz w:val="24"/>
    </w:rPr>
  </w:style>
  <w:style w:type="paragraph" w:styleId="1014">
    <w:name w:val="List Continue 3"/>
    <w:basedOn w:val="961"/>
    <w:uiPriority w:val="0"/>
    <w:qFormat/>
    <w:pPr>
      <w:ind w:left="1260"/>
      <w:spacing w:after="120" w:line="440" w:lineRule="exact"/>
    </w:pPr>
    <w:rPr>
      <w:szCs w:val="20"/>
    </w:rPr>
  </w:style>
  <w:style w:type="paragraph" w:styleId="1015">
    <w:name w:val="index 1"/>
    <w:basedOn w:val="961"/>
    <w:next w:val="961"/>
    <w:uiPriority w:val="0"/>
    <w:qFormat/>
    <w:pPr>
      <w:spacing w:line="240" w:lineRule="atLeast"/>
    </w:pPr>
    <w:rPr>
      <w:b/>
      <w:bCs/>
      <w:szCs w:val="21"/>
    </w:rPr>
  </w:style>
  <w:style w:type="paragraph" w:styleId="1016">
    <w:name w:val="Title"/>
    <w:basedOn w:val="961"/>
    <w:link w:val="1057"/>
    <w:uiPriority w:val="0"/>
    <w:qFormat/>
    <w:pPr>
      <w:jc w:val="center"/>
      <w:spacing w:before="240" w:after="60" w:line="440" w:lineRule="exact"/>
      <w:outlineLvl w:val="0"/>
    </w:pPr>
    <w:rPr>
      <w:rFonts w:ascii="Arial" w:hAnsi="Arial" w:eastAsia="黑体"/>
      <w:b/>
      <w:bCs/>
      <w:sz w:val="44"/>
      <w:szCs w:val="32"/>
    </w:rPr>
  </w:style>
  <w:style w:type="paragraph" w:styleId="1017">
    <w:name w:val="annotation subject"/>
    <w:basedOn w:val="980"/>
    <w:next w:val="980"/>
    <w:link w:val="1058"/>
    <w:uiPriority w:val="0"/>
    <w:unhideWhenUsed/>
    <w:qFormat/>
    <w:rPr>
      <w:b/>
      <w:bCs/>
      <w:szCs w:val="20"/>
    </w:rPr>
  </w:style>
  <w:style w:type="paragraph" w:styleId="1018">
    <w:name w:val="Body Text First Indent"/>
    <w:basedOn w:val="983"/>
    <w:link w:val="1059"/>
    <w:uiPriority w:val="0"/>
    <w:qFormat/>
    <w:pPr>
      <w:ind w:left="300" w:firstLine="420"/>
      <w:spacing w:after="120"/>
    </w:pPr>
    <w:rPr>
      <w:rFonts w:ascii="宋体" w:hAnsi="Verdana"/>
      <w:lang w:val="en-GB"/>
    </w:rPr>
  </w:style>
  <w:style w:type="paragraph" w:styleId="1019">
    <w:name w:val="Body Text First Indent 2"/>
    <w:basedOn w:val="984"/>
    <w:link w:val="1060"/>
    <w:uiPriority w:val="0"/>
    <w:qFormat/>
    <w:pPr>
      <w:ind w:firstLine="420"/>
    </w:pPr>
  </w:style>
  <w:style w:type="table" w:styleId="1020">
    <w:name w:val="Table Grid"/>
    <w:basedOn w:val="97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name w:val="Strong"/>
    <w:uiPriority w:val="0"/>
    <w:qFormat/>
    <w:rPr>
      <w:rFonts w:ascii="Tahoma" w:hAnsi="Tahoma" w:eastAsia="宋体"/>
      <w:b/>
      <w:bCs/>
      <w:spacing w:val="10"/>
      <w:sz w:val="24"/>
      <w:lang w:val="en-US" w:eastAsia="zh-CN" w:bidi="ar-SA"/>
    </w:rPr>
  </w:style>
  <w:style w:type="character" w:styleId="1022">
    <w:name w:val="page number"/>
    <w:uiPriority w:val="0"/>
    <w:qFormat/>
  </w:style>
  <w:style w:type="character" w:styleId="1023">
    <w:name w:val="FollowedHyperlink"/>
    <w:uiPriority w:val="99"/>
    <w:unhideWhenUsed/>
    <w:qFormat/>
    <w:rPr>
      <w:color w:val="333333"/>
      <w:u w:val="none"/>
    </w:rPr>
  </w:style>
  <w:style w:type="character" w:styleId="1024">
    <w:name w:val="Emphasis"/>
    <w:uiPriority w:val="0"/>
    <w:qFormat/>
    <w:rPr>
      <w:rFonts w:ascii="Times New Roman" w:hAnsi="Times New Roman"/>
      <w:i/>
      <w:iCs/>
      <w:sz w:val="21"/>
      <w:szCs w:val="20"/>
    </w:rPr>
  </w:style>
  <w:style w:type="character" w:styleId="1025">
    <w:name w:val="HTML Definition"/>
    <w:uiPriority w:val="99"/>
    <w:unhideWhenUsed/>
    <w:qFormat/>
    <w:rPr>
      <w:i/>
    </w:rPr>
  </w:style>
  <w:style w:type="character" w:styleId="1026">
    <w:name w:val="Hyperlink"/>
    <w:uiPriority w:val="99"/>
    <w:unhideWhenUsed/>
    <w:qFormat/>
    <w:rPr>
      <w:color w:val="333333"/>
      <w:u w:val="none"/>
    </w:rPr>
  </w:style>
  <w:style w:type="character" w:styleId="1027">
    <w:name w:val="HTML Code"/>
    <w:uiPriority w:val="99"/>
    <w:unhideWhenUsed/>
    <w:qFormat/>
    <w:rPr>
      <w:rFonts w:ascii="Consolas" w:hAnsi="Consolas" w:eastAsia="Consolas" w:cs="Consolas"/>
      <w:color w:val="c7254e"/>
      <w:sz w:val="21"/>
      <w:szCs w:val="21"/>
      <w:shd w:val="clear" w:color="auto" w:fill="f9f2f4"/>
    </w:rPr>
  </w:style>
  <w:style w:type="character" w:styleId="1028">
    <w:name w:val="annotation reference"/>
    <w:uiPriority w:val="99"/>
    <w:unhideWhenUsed/>
    <w:qFormat/>
    <w:rPr>
      <w:sz w:val="21"/>
      <w:szCs w:val="21"/>
    </w:rPr>
  </w:style>
  <w:style w:type="character" w:styleId="1029">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0">
    <w:name w:val="HTML Sample"/>
    <w:uiPriority w:val="99"/>
    <w:unhideWhenUsed/>
    <w:qFormat/>
    <w:rPr>
      <w:rFonts w:hint="default" w:ascii="Consolas" w:hAnsi="Consolas" w:eastAsia="Consolas" w:cs="Consolas"/>
      <w:sz w:val="21"/>
      <w:szCs w:val="21"/>
    </w:rPr>
  </w:style>
  <w:style w:type="character" w:styleId="1031" w:customStyle="1">
    <w:name w:val="标题 3 Char"/>
    <w:link w:val="964"/>
    <w:uiPriority w:val="0"/>
    <w:qFormat/>
    <w:rPr>
      <w:rFonts w:ascii="Arial" w:hAnsi="Arial" w:eastAsia="黑体"/>
      <w:b/>
      <w:bCs/>
      <w:sz w:val="30"/>
      <w:szCs w:val="32"/>
    </w:rPr>
  </w:style>
  <w:style w:type="character" w:styleId="1032" w:customStyle="1">
    <w:name w:val="标题 1 Char"/>
    <w:link w:val="962"/>
    <w:uiPriority w:val="0"/>
    <w:qFormat/>
    <w:rPr>
      <w:b/>
      <w:bCs/>
      <w:sz w:val="44"/>
      <w:szCs w:val="44"/>
    </w:rPr>
  </w:style>
  <w:style w:type="character" w:styleId="1033" w:customStyle="1">
    <w:name w:val="标题 2 Char"/>
    <w:link w:val="963"/>
    <w:uiPriority w:val="0"/>
    <w:qFormat/>
    <w:rPr>
      <w:rFonts w:ascii="Arial" w:hAnsi="Arial"/>
      <w:b/>
      <w:bCs/>
      <w:sz w:val="28"/>
      <w:szCs w:val="36"/>
    </w:rPr>
  </w:style>
  <w:style w:type="character" w:styleId="1034" w:customStyle="1">
    <w:name w:val="标题 4 Char"/>
    <w:link w:val="965"/>
    <w:uiPriority w:val="0"/>
    <w:qFormat/>
    <w:rPr>
      <w:rFonts w:ascii="Arial" w:hAnsi="Arial" w:eastAsia="黑体" w:cs="Arial"/>
      <w:b/>
      <w:bCs/>
      <w:sz w:val="28"/>
      <w:szCs w:val="28"/>
    </w:rPr>
  </w:style>
  <w:style w:type="character" w:styleId="1035" w:customStyle="1">
    <w:name w:val="正文缩进 Char"/>
    <w:link w:val="973"/>
    <w:uiPriority w:val="99"/>
    <w:qFormat/>
  </w:style>
  <w:style w:type="character" w:styleId="1036" w:customStyle="1">
    <w:name w:val="标题 5 Char"/>
    <w:link w:val="966"/>
    <w:uiPriority w:val="0"/>
    <w:qFormat/>
    <w:rPr>
      <w:rFonts w:ascii="Calibri" w:hAnsi="Calibri" w:eastAsia="宋体" w:cs="Times New Roman"/>
      <w:b/>
      <w:bCs/>
      <w:sz w:val="28"/>
      <w:szCs w:val="28"/>
    </w:rPr>
  </w:style>
  <w:style w:type="character" w:styleId="1037" w:customStyle="1">
    <w:name w:val="标题 6 Char"/>
    <w:link w:val="967"/>
    <w:uiPriority w:val="0"/>
    <w:qFormat/>
    <w:rPr>
      <w:rFonts w:ascii="Cambria" w:hAnsi="Cambria" w:eastAsia="宋体" w:cs="Times New Roman"/>
      <w:b/>
      <w:bCs/>
      <w:sz w:val="24"/>
      <w:szCs w:val="24"/>
    </w:rPr>
  </w:style>
  <w:style w:type="character" w:styleId="1038" w:customStyle="1">
    <w:name w:val="标题 7 Char"/>
    <w:link w:val="968"/>
    <w:uiPriority w:val="0"/>
    <w:qFormat/>
    <w:rPr>
      <w:rFonts w:ascii="Times New Roman" w:hAnsi="Times New Roman" w:eastAsia="宋体" w:cs="Times New Roman"/>
      <w:b/>
      <w:bCs/>
      <w:sz w:val="24"/>
      <w:szCs w:val="24"/>
    </w:rPr>
  </w:style>
  <w:style w:type="character" w:styleId="1039" w:customStyle="1">
    <w:name w:val="标题 8 Char"/>
    <w:link w:val="969"/>
    <w:uiPriority w:val="0"/>
    <w:qFormat/>
    <w:rPr>
      <w:rFonts w:ascii="Cambria" w:hAnsi="Cambria" w:eastAsia="宋体" w:cs="Times New Roman"/>
      <w:sz w:val="24"/>
      <w:szCs w:val="24"/>
    </w:rPr>
  </w:style>
  <w:style w:type="character" w:styleId="1040" w:customStyle="1">
    <w:name w:val="标题 9 Char"/>
    <w:link w:val="970"/>
    <w:uiPriority w:val="0"/>
    <w:qFormat/>
    <w:rPr>
      <w:rFonts w:ascii="Cambria" w:hAnsi="Cambria" w:eastAsia="宋体" w:cs="Times New Roman"/>
      <w:sz w:val="20"/>
      <w:szCs w:val="21"/>
    </w:rPr>
  </w:style>
  <w:style w:type="character" w:styleId="1041" w:customStyle="1">
    <w:name w:val="文档结构图 Char"/>
    <w:link w:val="978"/>
    <w:uiPriority w:val="0"/>
    <w:qFormat/>
    <w:rPr>
      <w:rFonts w:ascii="宋体" w:hAnsi="Times New Roman"/>
      <w:sz w:val="18"/>
      <w:szCs w:val="18"/>
    </w:rPr>
  </w:style>
  <w:style w:type="character" w:styleId="1042" w:customStyle="1">
    <w:name w:val="批注文字 Char1"/>
    <w:link w:val="980"/>
    <w:uiPriority w:val="99"/>
    <w:qFormat/>
    <w:rPr>
      <w:rFonts w:ascii="Times New Roman" w:hAnsi="Times New Roman" w:eastAsia="宋体" w:cs="Times New Roman"/>
      <w:szCs w:val="24"/>
    </w:rPr>
  </w:style>
  <w:style w:type="character" w:styleId="1043" w:customStyle="1">
    <w:name w:val="正文文本 3 Char"/>
    <w:link w:val="981"/>
    <w:uiPriority w:val="0"/>
    <w:qFormat/>
    <w:rPr>
      <w:rFonts w:ascii="宋体" w:hAnsi="Times New Roman"/>
      <w:sz w:val="24"/>
    </w:rPr>
  </w:style>
  <w:style w:type="character" w:styleId="1044" w:customStyle="1">
    <w:name w:val="正文文本 Char"/>
    <w:link w:val="983"/>
    <w:uiPriority w:val="99"/>
    <w:qFormat/>
    <w:rPr>
      <w:rFonts w:ascii="楷体_GB2312" w:hAnsi="Arial" w:eastAsia="楷体_GB2312" w:cs="Times New Roman"/>
      <w:sz w:val="28"/>
      <w:szCs w:val="28"/>
    </w:rPr>
  </w:style>
  <w:style w:type="character" w:styleId="1045" w:customStyle="1">
    <w:name w:val="正文文本缩进 Char"/>
    <w:link w:val="984"/>
    <w:uiPriority w:val="0"/>
    <w:qFormat/>
    <w:rPr>
      <w:rFonts w:ascii="Times New Roman" w:hAnsi="Times New Roman"/>
      <w:szCs w:val="24"/>
    </w:rPr>
  </w:style>
  <w:style w:type="character" w:styleId="1046" w:customStyle="1">
    <w:name w:val="HTML 地址 Char"/>
    <w:link w:val="989"/>
    <w:uiPriority w:val="0"/>
    <w:qFormat/>
    <w:rPr>
      <w:i/>
      <w:iCs/>
      <w:sz w:val="21"/>
      <w:szCs w:val="21"/>
    </w:rPr>
  </w:style>
  <w:style w:type="character" w:styleId="1047" w:customStyle="1">
    <w:name w:val="纯文本 Char"/>
    <w:link w:val="993"/>
    <w:uiPriority w:val="0"/>
    <w:qFormat/>
    <w:rPr>
      <w:rFonts w:ascii="宋体" w:hAnsi="宋体" w:cs="宋体"/>
      <w:b/>
      <w:sz w:val="21"/>
      <w:szCs w:val="21"/>
    </w:rPr>
  </w:style>
  <w:style w:type="character" w:styleId="1048" w:customStyle="1">
    <w:name w:val="日期 Char"/>
    <w:link w:val="995"/>
    <w:uiPriority w:val="0"/>
    <w:qFormat/>
    <w:rPr>
      <w:sz w:val="24"/>
      <w:szCs w:val="24"/>
    </w:rPr>
  </w:style>
  <w:style w:type="character" w:styleId="1049" w:customStyle="1">
    <w:name w:val="正文文本缩进 2 Char"/>
    <w:link w:val="996"/>
    <w:uiPriority w:val="0"/>
    <w:qFormat/>
    <w:rPr>
      <w:rFonts w:ascii="楷体_GB2312" w:hAnsi="Times New Roman" w:eastAsia="楷体_GB2312"/>
      <w:b/>
      <w:bCs/>
      <w:sz w:val="28"/>
      <w:szCs w:val="24"/>
    </w:rPr>
  </w:style>
  <w:style w:type="character" w:styleId="1050" w:customStyle="1">
    <w:name w:val="批注框文本 Char"/>
    <w:link w:val="997"/>
    <w:uiPriority w:val="99"/>
    <w:qFormat/>
    <w:rPr>
      <w:sz w:val="18"/>
      <w:szCs w:val="18"/>
    </w:rPr>
  </w:style>
  <w:style w:type="character" w:styleId="1051" w:customStyle="1">
    <w:name w:val="页脚 Char"/>
    <w:link w:val="998"/>
    <w:uiPriority w:val="0"/>
    <w:qFormat/>
    <w:rPr>
      <w:rFonts w:ascii="Times New Roman" w:hAnsi="Times New Roman" w:eastAsia="宋体" w:cs="Times New Roman"/>
      <w:sz w:val="18"/>
      <w:szCs w:val="18"/>
    </w:rPr>
  </w:style>
  <w:style w:type="character" w:styleId="1052" w:customStyle="1">
    <w:name w:val="页眉 Char"/>
    <w:link w:val="999"/>
    <w:uiPriority w:val="0"/>
    <w:qFormat/>
    <w:rPr>
      <w:rFonts w:ascii="Times New Roman" w:hAnsi="Times New Roman" w:eastAsia="宋体" w:cs="Times New Roman"/>
      <w:sz w:val="18"/>
      <w:szCs w:val="18"/>
    </w:rPr>
  </w:style>
  <w:style w:type="character" w:styleId="1053" w:customStyle="1">
    <w:name w:val="脚注文本 Char"/>
    <w:basedOn w:val="971"/>
    <w:link w:val="1003"/>
    <w:uiPriority w:val="0"/>
    <w:qFormat/>
  </w:style>
  <w:style w:type="character" w:styleId="1054" w:customStyle="1">
    <w:name w:val="正文文本缩进 3 Char"/>
    <w:link w:val="1005"/>
    <w:uiPriority w:val="0"/>
    <w:qFormat/>
    <w:rPr>
      <w:rFonts w:ascii="Arial" w:hAnsi="Arial" w:eastAsia="方正仿宋_GB18030" w:cs="Arial"/>
      <w:color w:val="ffff00"/>
      <w:sz w:val="32"/>
      <w:szCs w:val="32"/>
    </w:rPr>
  </w:style>
  <w:style w:type="character" w:styleId="1055" w:customStyle="1">
    <w:name w:val="正文文本 2 Char"/>
    <w:link w:val="1009"/>
    <w:uiPriority w:val="0"/>
    <w:qFormat/>
    <w:rPr>
      <w:rFonts w:ascii="楷体_GB2312" w:hAnsi="宋体" w:eastAsia="楷体_GB2312" w:cs="宋体"/>
      <w:sz w:val="28"/>
      <w:szCs w:val="28"/>
    </w:rPr>
  </w:style>
  <w:style w:type="character" w:styleId="1056" w:customStyle="1">
    <w:name w:val="HTML 预设格式 Char"/>
    <w:link w:val="1012"/>
    <w:uiPriority w:val="99"/>
    <w:qFormat/>
    <w:rPr>
      <w:rFonts w:ascii="宋体" w:hAnsi="宋体"/>
      <w:sz w:val="24"/>
      <w:szCs w:val="24"/>
    </w:rPr>
  </w:style>
  <w:style w:type="character" w:styleId="1057" w:customStyle="1">
    <w:name w:val="标题 Char"/>
    <w:link w:val="1016"/>
    <w:uiPriority w:val="0"/>
    <w:qFormat/>
    <w:rPr>
      <w:rFonts w:ascii="Arial" w:hAnsi="Arial" w:eastAsia="黑体"/>
      <w:b/>
      <w:bCs/>
      <w:sz w:val="44"/>
      <w:szCs w:val="32"/>
    </w:rPr>
  </w:style>
  <w:style w:type="character" w:styleId="1058" w:customStyle="1">
    <w:name w:val="批注主题 Char"/>
    <w:link w:val="1017"/>
    <w:uiPriority w:val="0"/>
    <w:qFormat/>
    <w:rPr>
      <w:b/>
      <w:bCs/>
    </w:rPr>
  </w:style>
  <w:style w:type="character" w:styleId="1059" w:customStyle="1">
    <w:name w:val="正文首行缩进 Char"/>
    <w:link w:val="1018"/>
    <w:uiPriority w:val="0"/>
    <w:qFormat/>
    <w:rPr>
      <w:rFonts w:ascii="宋体" w:hAnsi="Verdana" w:eastAsia="楷体_GB2312" w:cs="Times New Roman"/>
      <w:sz w:val="28"/>
      <w:szCs w:val="28"/>
      <w:lang w:val="en-GB"/>
    </w:rPr>
  </w:style>
  <w:style w:type="character" w:styleId="1060" w:customStyle="1">
    <w:name w:val="正文首行缩进 2 Char"/>
    <w:basedOn w:val="1045"/>
    <w:link w:val="1019"/>
    <w:uiPriority w:val="0"/>
    <w:qFormat/>
    <w:rPr>
      <w:rFonts w:ascii="Times New Roman" w:hAnsi="Times New Roman"/>
      <w:szCs w:val="24"/>
    </w:rPr>
  </w:style>
  <w:style w:type="character" w:styleId="1061" w:customStyle="1">
    <w:name w:val="Char Char9"/>
    <w:uiPriority w:val="0"/>
    <w:qFormat/>
    <w:rPr>
      <w:rFonts w:ascii="等线 Light" w:hAnsi="等线 Light" w:eastAsia="等线 Light" w:cs="Times New Roman"/>
      <w:b/>
      <w:bCs/>
      <w:sz w:val="28"/>
      <w:szCs w:val="28"/>
    </w:rPr>
  </w:style>
  <w:style w:type="character" w:styleId="1062" w:customStyle="1">
    <w:name w:val="纯文本 Char1"/>
    <w:uiPriority w:val="0"/>
    <w:qFormat/>
    <w:rPr>
      <w:rFonts w:ascii="宋体" w:hAnsi="Courier New"/>
      <w:sz w:val="21"/>
    </w:rPr>
  </w:style>
  <w:style w:type="character" w:styleId="1063" w:customStyle="1">
    <w:name w:val="font21"/>
    <w:uiPriority w:val="0"/>
    <w:qFormat/>
    <w:rPr>
      <w:rFonts w:hint="eastAsia" w:ascii="仿宋_GB2312" w:hAnsi="Times New Roman" w:eastAsia="仿宋_GB2312" w:cs="仿宋_GB2312"/>
      <w:color w:val="000000"/>
      <w:sz w:val="22"/>
      <w:szCs w:val="22"/>
      <w:u w:val="none"/>
    </w:rPr>
  </w:style>
  <w:style w:type="character" w:styleId="1064" w:customStyle="1">
    <w:name w:val="font101"/>
    <w:uiPriority w:val="0"/>
    <w:qFormat/>
    <w:rPr>
      <w:rFonts w:hint="eastAsia" w:ascii="宋体" w:hAnsi="宋体" w:eastAsia="宋体" w:cs="宋体"/>
      <w:b/>
      <w:color w:val="000000"/>
      <w:sz w:val="18"/>
      <w:szCs w:val="18"/>
      <w:u w:val="none"/>
    </w:rPr>
  </w:style>
  <w:style w:type="character" w:styleId="1065" w:customStyle="1">
    <w:name w:val="文档结构图 Char1"/>
    <w:uiPriority w:val="99"/>
    <w:semiHidden/>
    <w:qFormat/>
    <w:rPr>
      <w:rFonts w:ascii="宋体"/>
      <w:sz w:val="18"/>
      <w:szCs w:val="18"/>
    </w:rPr>
  </w:style>
  <w:style w:type="character" w:styleId="1066" w:customStyle="1">
    <w:name w:val="正文1 Char Char"/>
    <w:link w:val="1067"/>
    <w:uiPriority w:val="99"/>
    <w:qFormat/>
    <w:rPr>
      <w:rFonts w:ascii="微软雅黑" w:hAnsi="微软雅黑" w:eastAsia="微软雅黑"/>
      <w:sz w:val="24"/>
    </w:rPr>
  </w:style>
  <w:style w:type="paragraph" w:styleId="1067" w:customStyle="1">
    <w:name w:val="正文1"/>
    <w:basedOn w:val="961"/>
    <w:link w:val="1066"/>
    <w:uiPriority w:val="99"/>
    <w:qFormat/>
    <w:pPr>
      <w:ind w:firstLine="480"/>
      <w:spacing w:line="440" w:lineRule="exact"/>
    </w:pPr>
    <w:rPr>
      <w:rFonts w:ascii="微软雅黑" w:hAnsi="微软雅黑" w:eastAsia="微软雅黑"/>
      <w:sz w:val="24"/>
      <w:szCs w:val="20"/>
    </w:rPr>
  </w:style>
  <w:style w:type="character" w:styleId="1068" w:customStyle="1">
    <w:name w:val="一级缩进 Char"/>
    <w:link w:val="1069"/>
    <w:uiPriority w:val="0"/>
    <w:qFormat/>
    <w:rPr>
      <w:rFonts w:eastAsia="仿宋_GB2312"/>
      <w:sz w:val="32"/>
      <w:szCs w:val="32"/>
      <w:lang w:val="en-US" w:eastAsia="zh-CN" w:bidi="ar-SA"/>
    </w:rPr>
  </w:style>
  <w:style w:type="paragraph" w:styleId="1069" w:customStyle="1">
    <w:name w:val="一级缩进"/>
    <w:link w:val="1068"/>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0" w:customStyle="1">
    <w:name w:val="font11"/>
    <w:uiPriority w:val="0"/>
    <w:qFormat/>
    <w:rPr>
      <w:rFonts w:hint="eastAsia" w:ascii="宋体" w:hAnsi="宋体" w:eastAsia="宋体" w:cs="宋体"/>
      <w:color w:val="000000"/>
      <w:sz w:val="20"/>
      <w:szCs w:val="20"/>
      <w:u w:val="none"/>
    </w:rPr>
  </w:style>
  <w:style w:type="character" w:styleId="1071" w:customStyle="1">
    <w:name w:val="hover4"/>
    <w:uiPriority w:val="0"/>
    <w:qFormat/>
    <w:rPr>
      <w:color w:val="999999"/>
    </w:rPr>
  </w:style>
  <w:style w:type="character" w:styleId="1072" w:customStyle="1">
    <w:name w:val="font111"/>
    <w:uiPriority w:val="0"/>
    <w:qFormat/>
    <w:rPr>
      <w:rFonts w:hint="eastAsia" w:ascii="宋体" w:hAnsi="宋体" w:eastAsia="宋体" w:cs="宋体"/>
      <w:color w:val="ff0000"/>
      <w:sz w:val="18"/>
      <w:szCs w:val="18"/>
      <w:u w:val="none"/>
    </w:rPr>
  </w:style>
  <w:style w:type="character" w:styleId="1073" w:customStyle="1">
    <w:name w:val="font241"/>
    <w:uiPriority w:val="0"/>
    <w:qFormat/>
    <w:rPr>
      <w:rFonts w:hint="eastAsia" w:ascii="宋体" w:hAnsi="宋体" w:eastAsia="宋体" w:cs="宋体"/>
      <w:color w:val="000000"/>
      <w:sz w:val="20"/>
      <w:szCs w:val="20"/>
      <w:u w:val="none"/>
    </w:rPr>
  </w:style>
  <w:style w:type="character" w:styleId="1074" w:customStyle="1">
    <w:name w:val="_Style 113"/>
    <w:uiPriority w:val="19"/>
    <w:qFormat/>
    <w:rPr>
      <w:rFonts w:ascii="Times New Roman" w:hAnsi="Times New Roman"/>
      <w:i/>
      <w:iCs/>
      <w:color w:val="808080"/>
      <w:sz w:val="21"/>
      <w:szCs w:val="20"/>
    </w:rPr>
  </w:style>
  <w:style w:type="character" w:styleId="1075" w:customStyle="1">
    <w:name w:val="Default Char Char"/>
    <w:link w:val="1076"/>
    <w:uiPriority w:val="0"/>
    <w:qFormat/>
    <w:rPr>
      <w:rFonts w:eastAsia="等线"/>
      <w:color w:val="000000"/>
      <w:sz w:val="24"/>
      <w:szCs w:val="24"/>
      <w:lang w:val="en-US" w:eastAsia="zh-CN" w:bidi="ar-SA"/>
    </w:rPr>
  </w:style>
  <w:style w:type="paragraph" w:styleId="1076" w:customStyle="1">
    <w:name w:val="Default"/>
    <w:next w:val="961"/>
    <w:link w:val="1075"/>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77" w:customStyle="1">
    <w:name w:val="px14"/>
    <w:basedOn w:val="971"/>
    <w:uiPriority w:val="0"/>
    <w:qFormat/>
  </w:style>
  <w:style w:type="character" w:styleId="1078" w:customStyle="1">
    <w:name w:val="正文 Char Char"/>
    <w:uiPriority w:val="0"/>
    <w:qFormat/>
    <w:rPr>
      <w:rFonts w:ascii="Arial Unicode MS" w:hAnsi="Arial Unicode MS" w:eastAsia="Arial Unicode MS"/>
      <w:b/>
      <w:bCs/>
      <w:sz w:val="32"/>
      <w:szCs w:val="32"/>
    </w:rPr>
  </w:style>
  <w:style w:type="character" w:styleId="1079" w:customStyle="1">
    <w:name w:val="正文 编号 Char Char"/>
    <w:link w:val="1080"/>
    <w:uiPriority w:val="0"/>
    <w:qFormat/>
    <w:rPr>
      <w:rFonts w:ascii="Arial Unicode MS" w:hAnsi="Arial Unicode MS"/>
      <w:b/>
      <w:bCs/>
      <w:sz w:val="24"/>
      <w:szCs w:val="44"/>
    </w:rPr>
  </w:style>
  <w:style w:type="paragraph" w:styleId="1080" w:customStyle="1">
    <w:name w:val="正文 编号"/>
    <w:basedOn w:val="1067"/>
    <w:link w:val="1079"/>
    <w:uiPriority w:val="0"/>
    <w:qFormat/>
    <w:pPr>
      <w:ind w:firstLine="200"/>
      <w:spacing w:line="312" w:lineRule="auto"/>
      <w:tabs>
        <w:tab w:val="left" w:pos="1395" w:leader="none"/>
      </w:tabs>
    </w:pPr>
    <w:rPr>
      <w:rFonts w:ascii="Arial Unicode MS" w:hAnsi="Arial Unicode MS" w:eastAsia="宋体"/>
      <w:b/>
      <w:bCs/>
      <w:szCs w:val="44"/>
    </w:rPr>
  </w:style>
  <w:style w:type="character" w:styleId="1081" w:customStyle="1">
    <w:name w:val="Char Char11"/>
    <w:uiPriority w:val="0"/>
    <w:qFormat/>
    <w:rPr>
      <w:rFonts w:ascii="Arial" w:hAnsi="Arial" w:eastAsia="宋体" w:cs="Times New Roman"/>
      <w:b/>
      <w:bCs/>
      <w:sz w:val="28"/>
      <w:szCs w:val="36"/>
    </w:rPr>
  </w:style>
  <w:style w:type="character" w:styleId="1082" w:customStyle="1">
    <w:name w:val="正文文本 3 Char1"/>
    <w:uiPriority w:val="99"/>
    <w:semiHidden/>
    <w:qFormat/>
    <w:rPr>
      <w:sz w:val="16"/>
      <w:szCs w:val="16"/>
    </w:rPr>
  </w:style>
  <w:style w:type="character" w:styleId="1083" w:customStyle="1">
    <w:name w:val="font231"/>
    <w:uiPriority w:val="0"/>
    <w:qFormat/>
    <w:rPr>
      <w:rFonts w:hint="eastAsia" w:ascii="宋体" w:hAnsi="宋体" w:eastAsia="宋体" w:cs="宋体"/>
      <w:color w:val="000000"/>
      <w:sz w:val="20"/>
      <w:szCs w:val="20"/>
      <w:u w:val="none"/>
    </w:rPr>
  </w:style>
  <w:style w:type="character" w:styleId="1084" w:customStyle="1">
    <w:name w:val="无间隔 Char"/>
    <w:link w:val="1085"/>
    <w:uiPriority w:val="0"/>
    <w:qFormat/>
    <w:rPr>
      <w:sz w:val="21"/>
      <w:szCs w:val="22"/>
      <w:lang w:val="en-US" w:eastAsia="zh-CN" w:bidi="ar-SA"/>
    </w:rPr>
  </w:style>
  <w:style w:type="paragraph" w:styleId="1085" w:customStyle="1">
    <w:name w:val="msonospacing"/>
    <w:link w:val="1084"/>
    <w:uiPriority w:val="0"/>
    <w:qFormat/>
    <w:pPr>
      <w:jc w:val="both"/>
      <w:widowControl w:val="off"/>
    </w:pPr>
    <w:rPr>
      <w:rFonts w:ascii="Times New Roman" w:hAnsi="Times New Roman" w:eastAsia="宋体" w:cs="Times New Roman"/>
      <w:sz w:val="21"/>
      <w:szCs w:val="22"/>
      <w:lang w:val="en-US" w:eastAsia="zh-CN" w:bidi="ar-SA"/>
    </w:rPr>
  </w:style>
  <w:style w:type="character" w:styleId="1086" w:customStyle="1">
    <w:name w:val="表格样式居左 Char"/>
    <w:link w:val="1087"/>
    <w:uiPriority w:val="0"/>
    <w:qFormat/>
    <w:rPr>
      <w:rFonts w:eastAsia="仿宋_GB2312"/>
      <w:bCs/>
      <w:color w:val="000000"/>
      <w:sz w:val="21"/>
      <w:szCs w:val="44"/>
      <w:lang w:val="en-US" w:eastAsia="zh-CN" w:bidi="ar-SA"/>
    </w:rPr>
  </w:style>
  <w:style w:type="paragraph" w:styleId="1087" w:customStyle="1">
    <w:name w:val="表格样式居左"/>
    <w:link w:val="1086"/>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88" w:customStyle="1">
    <w:name w:val="font171"/>
    <w:uiPriority w:val="0"/>
    <w:qFormat/>
    <w:rPr>
      <w:rFonts w:hint="eastAsia" w:ascii="宋体" w:hAnsi="宋体" w:eastAsia="宋体" w:cs="宋体"/>
      <w:color w:val="000000"/>
      <w:sz w:val="20"/>
      <w:szCs w:val="20"/>
      <w:u w:val="none"/>
    </w:rPr>
  </w:style>
  <w:style w:type="character" w:styleId="1089" w:customStyle="1">
    <w:name w:val="H2 Char"/>
    <w:uiPriority w:val="0"/>
    <w:qFormat/>
    <w:rPr>
      <w:rFonts w:ascii="Arial" w:hAnsi="Arial" w:eastAsia="黑体" w:cs="Times New Roman"/>
      <w:b/>
      <w:bCs/>
      <w:sz w:val="32"/>
      <w:szCs w:val="32"/>
    </w:rPr>
  </w:style>
  <w:style w:type="character" w:styleId="1090" w:customStyle="1">
    <w:name w:val="ca-161"/>
    <w:uiPriority w:val="0"/>
    <w:qFormat/>
    <w:rPr>
      <w:rFonts w:hint="eastAsia" w:ascii="宋体" w:hAnsi="宋体" w:eastAsia="宋体"/>
      <w:spacing w:val="0"/>
      <w:sz w:val="21"/>
      <w:szCs w:val="21"/>
    </w:rPr>
  </w:style>
  <w:style w:type="character" w:styleId="1091" w:customStyle="1">
    <w:name w:val="font91"/>
    <w:uiPriority w:val="0"/>
    <w:qFormat/>
    <w:rPr>
      <w:rFonts w:hint="eastAsia" w:ascii="宋体" w:hAnsi="宋体" w:eastAsia="宋体" w:cs="宋体"/>
      <w:color w:val="000000"/>
      <w:sz w:val="16"/>
      <w:szCs w:val="16"/>
      <w:u w:val="none"/>
    </w:rPr>
  </w:style>
  <w:style w:type="character" w:styleId="1092" w:customStyle="1">
    <w:name w:val="font161"/>
    <w:uiPriority w:val="0"/>
    <w:qFormat/>
    <w:rPr>
      <w:rFonts w:hint="eastAsia" w:ascii="宋体" w:hAnsi="宋体" w:eastAsia="宋体" w:cs="宋体"/>
      <w:b/>
      <w:color w:val="ff0000"/>
      <w:sz w:val="20"/>
      <w:szCs w:val="20"/>
      <w:u w:val="none"/>
    </w:rPr>
  </w:style>
  <w:style w:type="character" w:styleId="1093" w:customStyle="1">
    <w:name w:val="Char Char12"/>
    <w:uiPriority w:val="0"/>
    <w:qFormat/>
    <w:rPr>
      <w:b/>
      <w:bCs/>
      <w:sz w:val="44"/>
      <w:szCs w:val="44"/>
    </w:rPr>
  </w:style>
  <w:style w:type="character" w:styleId="1094" w:customStyle="1">
    <w:name w:val="正文缩进 Char1"/>
    <w:uiPriority w:val="0"/>
    <w:qFormat/>
    <w:rPr>
      <w:rFonts w:ascii="Times New Roman" w:hAnsi="Times New Roman" w:eastAsia="宋体" w:cs="Times New Roman"/>
      <w:szCs w:val="20"/>
    </w:rPr>
  </w:style>
  <w:style w:type="character" w:styleId="1095" w:customStyle="1">
    <w:name w:val="top_title1"/>
    <w:uiPriority w:val="0"/>
    <w:qFormat/>
    <w:rPr>
      <w:b/>
      <w:bCs/>
      <w:color w:val="333333"/>
      <w:sz w:val="24"/>
      <w:szCs w:val="24"/>
    </w:rPr>
  </w:style>
  <w:style w:type="character" w:styleId="1096" w:customStyle="1">
    <w:name w:val="列出段落 Char"/>
    <w:link w:val="1097"/>
    <w:uiPriority w:val="99"/>
    <w:qFormat/>
    <w:rPr>
      <w:rFonts w:ascii="Calibri" w:hAnsi="Calibri" w:eastAsia="宋体" w:cs="Times New Roman"/>
    </w:rPr>
  </w:style>
  <w:style w:type="paragraph" w:styleId="1097" w:customStyle="1">
    <w:name w:val="列出段落1"/>
    <w:basedOn w:val="961"/>
    <w:link w:val="1096"/>
    <w:uiPriority w:val="99"/>
    <w:qFormat/>
    <w:pPr>
      <w:ind w:firstLine="200"/>
    </w:pPr>
    <w:rPr>
      <w:rFonts w:ascii="Calibri" w:hAnsi="Calibri"/>
      <w:sz w:val="20"/>
      <w:szCs w:val="20"/>
    </w:rPr>
  </w:style>
  <w:style w:type="character" w:styleId="1098" w:customStyle="1">
    <w:name w:val="批注主题 Char1"/>
    <w:uiPriority w:val="99"/>
    <w:semiHidden/>
    <w:qFormat/>
    <w:rPr>
      <w:rFonts w:ascii="Times New Roman" w:hAnsi="Times New Roman" w:eastAsia="宋体" w:cs="Times New Roman"/>
      <w:b/>
      <w:bCs/>
      <w:szCs w:val="24"/>
    </w:rPr>
  </w:style>
  <w:style w:type="character" w:styleId="1099" w:customStyle="1">
    <w:name w:val="NormalCharacter"/>
    <w:uiPriority w:val="0"/>
    <w:qFormat/>
    <w:rPr>
      <w:sz w:val="21"/>
      <w:szCs w:val="22"/>
      <w:lang w:val="en-US" w:eastAsia="zh-CN" w:bidi="ar-SA"/>
    </w:rPr>
  </w:style>
  <w:style w:type="character" w:styleId="1100" w:customStyle="1">
    <w:name w:val="批注文字 Char"/>
    <w:uiPriority w:val="99"/>
    <w:qFormat/>
    <w:rPr>
      <w:sz w:val="21"/>
      <w:szCs w:val="22"/>
    </w:rPr>
  </w:style>
  <w:style w:type="character" w:styleId="1101" w:customStyle="1">
    <w:name w:val="font221"/>
    <w:uiPriority w:val="0"/>
    <w:qFormat/>
    <w:rPr>
      <w:rFonts w:hint="eastAsia" w:ascii="宋体" w:hAnsi="宋体" w:eastAsia="宋体" w:cs="宋体"/>
      <w:b/>
      <w:color w:val="000000"/>
      <w:sz w:val="20"/>
      <w:szCs w:val="20"/>
      <w:u w:val="none"/>
    </w:rPr>
  </w:style>
  <w:style w:type="character" w:styleId="1102" w:customStyle="1">
    <w:name w:val="apple-style-span"/>
    <w:uiPriority w:val="0"/>
    <w:qFormat/>
  </w:style>
  <w:style w:type="character" w:styleId="1103" w:customStyle="1">
    <w:name w:val="stone1"/>
    <w:uiPriority w:val="0"/>
    <w:qFormat/>
    <w:rPr>
      <w:vanish/>
    </w:rPr>
  </w:style>
  <w:style w:type="character" w:styleId="1104" w:customStyle="1">
    <w:name w:val="Blockquote Char Char"/>
    <w:link w:val="1105"/>
    <w:uiPriority w:val="0"/>
    <w:qFormat/>
    <w:rPr>
      <w:sz w:val="24"/>
    </w:rPr>
  </w:style>
  <w:style w:type="paragraph" w:styleId="1105" w:customStyle="1">
    <w:name w:val="Blockquote"/>
    <w:basedOn w:val="961"/>
    <w:link w:val="1104"/>
    <w:uiPriority w:val="0"/>
    <w:qFormat/>
    <w:pPr>
      <w:ind w:left="360" w:right="360"/>
      <w:jc w:val="left"/>
      <w:spacing w:before="100" w:after="100" w:line="440" w:lineRule="exact"/>
    </w:pPr>
    <w:rPr>
      <w:sz w:val="24"/>
      <w:szCs w:val="20"/>
    </w:rPr>
  </w:style>
  <w:style w:type="character" w:styleId="1106" w:customStyle="1">
    <w:name w:val="font211"/>
    <w:uiPriority w:val="0"/>
    <w:qFormat/>
    <w:rPr>
      <w:rFonts w:hint="eastAsia" w:ascii="宋体" w:hAnsi="宋体" w:eastAsia="宋体" w:cs="宋体"/>
      <w:color w:val="ff0000"/>
      <w:sz w:val="20"/>
      <w:szCs w:val="20"/>
      <w:u w:val="none"/>
      <w:vertAlign w:val="superscript"/>
    </w:rPr>
  </w:style>
  <w:style w:type="character" w:styleId="1107" w:customStyle="1">
    <w:name w:val="font191"/>
    <w:uiPriority w:val="0"/>
    <w:qFormat/>
    <w:rPr>
      <w:rFonts w:ascii="Wingdings 2" w:hAnsi="Wingdings 2" w:eastAsia="Wingdings 2" w:cs="Wingdings 2"/>
      <w:color w:val="000000"/>
      <w:sz w:val="20"/>
      <w:szCs w:val="20"/>
      <w:u w:val="none"/>
    </w:rPr>
  </w:style>
  <w:style w:type="character" w:styleId="1108" w:customStyle="1">
    <w:name w:val="标题 5 字符"/>
    <w:uiPriority w:val="0"/>
    <w:semiHidden/>
    <w:qFormat/>
    <w:rPr>
      <w:rFonts w:ascii="Calibri" w:hAnsi="Calibri"/>
      <w:b/>
      <w:bCs/>
      <w:sz w:val="28"/>
      <w:szCs w:val="28"/>
    </w:rPr>
  </w:style>
  <w:style w:type="character" w:styleId="1109" w:customStyle="1">
    <w:name w:val="Char Char10"/>
    <w:uiPriority w:val="0"/>
    <w:qFormat/>
    <w:rPr>
      <w:rFonts w:ascii="Arial" w:hAnsi="Arial" w:eastAsia="黑体" w:cs="Times New Roman"/>
      <w:b/>
      <w:bCs/>
      <w:sz w:val="30"/>
      <w:szCs w:val="32"/>
    </w:rPr>
  </w:style>
  <w:style w:type="character" w:styleId="1110" w:customStyle="1">
    <w:name w:val="font61"/>
    <w:uiPriority w:val="0"/>
    <w:qFormat/>
    <w:rPr>
      <w:rFonts w:hint="eastAsia" w:ascii="宋体" w:hAnsi="宋体" w:eastAsia="宋体" w:cs="宋体"/>
      <w:color w:val="000000"/>
      <w:sz w:val="20"/>
      <w:szCs w:val="20"/>
      <w:u w:val="none"/>
    </w:rPr>
  </w:style>
  <w:style w:type="character" w:styleId="1111" w:customStyle="1">
    <w:name w:val="font71"/>
    <w:uiPriority w:val="0"/>
    <w:qFormat/>
    <w:rPr>
      <w:rFonts w:hint="eastAsia" w:ascii="宋体" w:hAnsi="宋体" w:eastAsia="宋体" w:cs="宋体"/>
      <w:color w:val="000000"/>
      <w:sz w:val="20"/>
      <w:szCs w:val="20"/>
      <w:u w:val="none"/>
    </w:rPr>
  </w:style>
  <w:style w:type="character" w:styleId="1112" w:customStyle="1">
    <w:name w:val="标题03 Char"/>
    <w:link w:val="1113"/>
    <w:uiPriority w:val="0"/>
    <w:qFormat/>
    <w:rPr>
      <w:rFonts w:ascii="宋体" w:hAnsi="宋体"/>
      <w:b/>
      <w:szCs w:val="21"/>
    </w:rPr>
  </w:style>
  <w:style w:type="paragraph" w:styleId="1113" w:customStyle="1">
    <w:name w:val="标题03"/>
    <w:basedOn w:val="961"/>
    <w:link w:val="1112"/>
    <w:uiPriority w:val="0"/>
    <w:qFormat/>
    <w:pPr>
      <w:spacing w:after="120" w:line="440" w:lineRule="exact"/>
      <w:outlineLvl w:val="2"/>
    </w:pPr>
    <w:rPr>
      <w:rFonts w:ascii="宋体" w:hAnsi="宋体"/>
      <w:b/>
      <w:sz w:val="20"/>
      <w:szCs w:val="21"/>
    </w:rPr>
  </w:style>
  <w:style w:type="character" w:styleId="1114" w:customStyle="1">
    <w:name w:val="标题01 Char"/>
    <w:link w:val="1115"/>
    <w:uiPriority w:val="0"/>
    <w:qFormat/>
    <w:rPr>
      <w:rFonts w:ascii="宋体" w:hAnsi="宋体"/>
      <w:b/>
      <w:szCs w:val="21"/>
    </w:rPr>
  </w:style>
  <w:style w:type="paragraph" w:styleId="1115" w:customStyle="1">
    <w:name w:val="标题01"/>
    <w:basedOn w:val="961"/>
    <w:link w:val="1114"/>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16" w:customStyle="1">
    <w:name w:val="Char Char8"/>
    <w:uiPriority w:val="0"/>
    <w:qFormat/>
    <w:rPr>
      <w:rFonts w:ascii="Calibri" w:hAnsi="Calibri" w:eastAsia="宋体" w:cs="Times New Roman"/>
      <w:b/>
      <w:bCs/>
      <w:sz w:val="28"/>
      <w:szCs w:val="28"/>
    </w:rPr>
  </w:style>
  <w:style w:type="character" w:styleId="1117" w:customStyle="1">
    <w:name w:val="fo Char"/>
    <w:uiPriority w:val="0"/>
    <w:qFormat/>
    <w:rPr>
      <w:sz w:val="18"/>
      <w:szCs w:val="18"/>
    </w:rPr>
  </w:style>
  <w:style w:type="character" w:styleId="1118" w:customStyle="1">
    <w:name w:val="批注框文本 Char1"/>
    <w:uiPriority w:val="99"/>
    <w:semiHidden/>
    <w:qFormat/>
    <w:rPr>
      <w:rFonts w:ascii="Times New Roman" w:hAnsi="Times New Roman"/>
      <w:sz w:val="18"/>
      <w:szCs w:val="18"/>
    </w:rPr>
  </w:style>
  <w:style w:type="character" w:styleId="1119" w:customStyle="1">
    <w:name w:val="节 Char Char1"/>
    <w:uiPriority w:val="0"/>
    <w:qFormat/>
    <w:rPr>
      <w:rFonts w:ascii="宋体" w:hAnsi="宋体"/>
      <w:b/>
      <w:bCs/>
      <w:color w:val="000000"/>
      <w:sz w:val="28"/>
      <w:szCs w:val="28"/>
    </w:rPr>
  </w:style>
  <w:style w:type="character" w:styleId="1120" w:customStyle="1">
    <w:name w:val="表格文字 Char"/>
    <w:link w:val="1121"/>
    <w:uiPriority w:val="0"/>
    <w:qFormat/>
    <w:rPr>
      <w:szCs w:val="21"/>
    </w:rPr>
  </w:style>
  <w:style w:type="paragraph" w:styleId="1121" w:customStyle="1">
    <w:name w:val="表格文字"/>
    <w:basedOn w:val="961"/>
    <w:link w:val="1120"/>
    <w:uiPriority w:val="0"/>
    <w:qFormat/>
    <w:pPr>
      <w:jc w:val="left"/>
    </w:pPr>
    <w:rPr>
      <w:sz w:val="20"/>
      <w:szCs w:val="21"/>
    </w:rPr>
  </w:style>
  <w:style w:type="character" w:styleId="1122" w:customStyle="1">
    <w:name w:val="font201"/>
    <w:uiPriority w:val="0"/>
    <w:qFormat/>
    <w:rPr>
      <w:rFonts w:hint="default" w:ascii="Times New Roman" w:hAnsi="Times New Roman" w:cs="Times New Roman"/>
      <w:color w:val="000000"/>
      <w:sz w:val="20"/>
      <w:szCs w:val="20"/>
      <w:u w:val="none"/>
    </w:rPr>
  </w:style>
  <w:style w:type="character" w:styleId="1123" w:customStyle="1">
    <w:name w:val="普通正文 Char"/>
    <w:link w:val="1124"/>
    <w:uiPriority w:val="0"/>
    <w:qFormat/>
    <w:rPr>
      <w:rFonts w:ascii="Arial" w:hAnsi="Arial"/>
      <w:sz w:val="24"/>
      <w:szCs w:val="24"/>
    </w:rPr>
  </w:style>
  <w:style w:type="paragraph" w:styleId="1124" w:customStyle="1">
    <w:name w:val="普通正文"/>
    <w:basedOn w:val="1125"/>
    <w:link w:val="1123"/>
    <w:uiPriority w:val="0"/>
    <w:qFormat/>
    <w:pPr>
      <w:ind w:firstLine="480"/>
      <w:jc w:val="left"/>
      <w:spacing w:before="120" w:after="120" w:line="360" w:lineRule="auto"/>
    </w:pPr>
    <w:rPr>
      <w:rFonts w:ascii="Arial" w:hAnsi="Arial"/>
      <w:sz w:val="24"/>
      <w:szCs w:val="24"/>
    </w:rPr>
  </w:style>
  <w:style w:type="paragraph" w:styleId="1125" w:customStyle="1">
    <w:name w:val="正文11"/>
    <w:next w:val="1126"/>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标题 31"/>
    <w:basedOn w:val="961"/>
    <w:next w:val="961"/>
    <w:uiPriority w:val="0"/>
    <w:qFormat/>
    <w:pPr>
      <w:keepLines/>
      <w:keepNext/>
      <w:spacing w:before="260" w:after="260" w:line="416" w:lineRule="auto"/>
      <w:outlineLvl w:val="2"/>
    </w:pPr>
    <w:rPr>
      <w:b/>
      <w:bCs/>
      <w:sz w:val="32"/>
      <w:szCs w:val="32"/>
    </w:rPr>
  </w:style>
  <w:style w:type="character" w:styleId="1127" w:customStyle="1">
    <w:name w:val="font41"/>
    <w:uiPriority w:val="0"/>
    <w:qFormat/>
    <w:rPr>
      <w:rFonts w:hint="eastAsia" w:ascii="宋体" w:hAnsi="宋体" w:eastAsia="宋体"/>
      <w:color w:val="000000"/>
      <w:sz w:val="32"/>
      <w:szCs w:val="32"/>
      <w:u w:val="none"/>
    </w:rPr>
  </w:style>
  <w:style w:type="character" w:styleId="1128" w:customStyle="1">
    <w:name w:val="font01"/>
    <w:uiPriority w:val="0"/>
    <w:qFormat/>
    <w:rPr>
      <w:rFonts w:hint="eastAsia" w:ascii="宋体" w:hAnsi="宋体" w:eastAsia="宋体"/>
      <w:color w:val="000000"/>
      <w:sz w:val="24"/>
      <w:szCs w:val="24"/>
      <w:u w:val="none"/>
    </w:rPr>
  </w:style>
  <w:style w:type="character" w:styleId="1129" w:customStyle="1">
    <w:name w:val="long_text"/>
    <w:basedOn w:val="971"/>
    <w:uiPriority w:val="0"/>
    <w:qFormat/>
  </w:style>
  <w:style w:type="character" w:styleId="1130" w:customStyle="1">
    <w:name w:val="表格样式居中 Char"/>
    <w:link w:val="1131"/>
    <w:uiPriority w:val="0"/>
    <w:qFormat/>
    <w:rPr>
      <w:rFonts w:ascii="宋体" w:hAnsi="宋体"/>
      <w:bCs/>
      <w:sz w:val="21"/>
      <w:szCs w:val="21"/>
      <w:lang w:val="zh-CN" w:eastAsia="zh-CN" w:bidi="ar-SA"/>
    </w:rPr>
  </w:style>
  <w:style w:type="paragraph" w:styleId="1131" w:customStyle="1">
    <w:name w:val="表格样式居中"/>
    <w:link w:val="1130"/>
    <w:uiPriority w:val="0"/>
    <w:qFormat/>
    <w:pPr>
      <w:jc w:val="center"/>
      <w:spacing w:line="360" w:lineRule="auto"/>
    </w:pPr>
    <w:rPr>
      <w:rFonts w:ascii="宋体" w:hAnsi="宋体" w:eastAsia="宋体" w:cs="Times New Roman"/>
      <w:bCs/>
      <w:sz w:val="21"/>
      <w:szCs w:val="21"/>
      <w:lang w:val="zh-CN" w:eastAsia="zh-CN" w:bidi="ar-SA"/>
    </w:rPr>
  </w:style>
  <w:style w:type="character" w:styleId="1132" w:customStyle="1">
    <w:name w:val="font131"/>
    <w:uiPriority w:val="0"/>
    <w:qFormat/>
    <w:rPr>
      <w:rFonts w:ascii="Wingdings 2" w:hAnsi="Wingdings 2" w:eastAsia="Wingdings 2" w:cs="Wingdings 2"/>
      <w:color w:val="000000"/>
      <w:sz w:val="20"/>
      <w:szCs w:val="20"/>
      <w:u w:val="none"/>
    </w:rPr>
  </w:style>
  <w:style w:type="character" w:styleId="1133" w:customStyle="1">
    <w:name w:val="Heading 1 Char"/>
    <w:uiPriority w:val="0"/>
    <w:qFormat/>
    <w:rPr>
      <w:rFonts w:ascii="Times New Roman" w:hAnsi="Times New Roman" w:eastAsia="宋体" w:cs="Times New Roman"/>
      <w:b/>
      <w:bCs/>
      <w:sz w:val="44"/>
      <w:szCs w:val="44"/>
    </w:rPr>
  </w:style>
  <w:style w:type="character" w:styleId="1134" w:customStyle="1">
    <w:name w:val="font51"/>
    <w:uiPriority w:val="0"/>
    <w:qFormat/>
    <w:rPr>
      <w:rFonts w:hint="eastAsia" w:ascii="宋体" w:hAnsi="宋体" w:eastAsia="宋体" w:cs="宋体"/>
      <w:b/>
      <w:color w:val="000000"/>
      <w:sz w:val="20"/>
      <w:szCs w:val="20"/>
      <w:u w:val="none"/>
    </w:rPr>
  </w:style>
  <w:style w:type="character" w:styleId="1135" w:customStyle="1">
    <w:name w:val="font5 Char"/>
    <w:uiPriority w:val="0"/>
    <w:qFormat/>
    <w:rPr>
      <w:rFonts w:ascii="宋体" w:eastAsia="宋体"/>
      <w:sz w:val="28"/>
      <w:szCs w:val="28"/>
      <w:lang w:val="en-US" w:eastAsia="zh-CN"/>
    </w:rPr>
  </w:style>
  <w:style w:type="character" w:styleId="1136" w:customStyle="1">
    <w:name w:val="font141"/>
    <w:uiPriority w:val="0"/>
    <w:qFormat/>
    <w:rPr>
      <w:rFonts w:hint="eastAsia" w:ascii="宋体" w:hAnsi="宋体" w:eastAsia="宋体" w:cs="宋体"/>
      <w:color w:val="ff0000"/>
      <w:sz w:val="20"/>
      <w:szCs w:val="20"/>
      <w:u w:val="none"/>
      <w:vertAlign w:val="superscript"/>
    </w:rPr>
  </w:style>
  <w:style w:type="character" w:styleId="1137" w:customStyle="1">
    <w:name w:val="正文文本缩进 Char1"/>
    <w:uiPriority w:val="99"/>
    <w:semiHidden/>
    <w:qFormat/>
  </w:style>
  <w:style w:type="character" w:styleId="1138" w:customStyle="1">
    <w:name w:val="正文文本缩进 2 Char1"/>
    <w:uiPriority w:val="99"/>
    <w:semiHidden/>
    <w:qFormat/>
  </w:style>
  <w:style w:type="character" w:styleId="1139" w:customStyle="1">
    <w:name w:val="段落 Char1"/>
    <w:link w:val="1140"/>
    <w:uiPriority w:val="0"/>
    <w:qFormat/>
    <w:rPr>
      <w:rFonts w:eastAsia="仿宋_GB2312"/>
      <w:sz w:val="32"/>
      <w:szCs w:val="32"/>
      <w:lang w:val="en-US" w:eastAsia="zh-CN" w:bidi="ar-SA"/>
    </w:rPr>
  </w:style>
  <w:style w:type="paragraph" w:styleId="1140" w:customStyle="1">
    <w:name w:val="段落"/>
    <w:link w:val="1139"/>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1" w:customStyle="1">
    <w:name w:val="font81"/>
    <w:uiPriority w:val="0"/>
    <w:qFormat/>
    <w:rPr>
      <w:rFonts w:ascii="Symbol" w:hAnsi="Symbol" w:cs="Symbol"/>
      <w:color w:val="000000"/>
      <w:sz w:val="20"/>
      <w:szCs w:val="20"/>
      <w:u w:val="none"/>
    </w:rPr>
  </w:style>
  <w:style w:type="character" w:styleId="1142" w:customStyle="1">
    <w:name w:val="unnamed11"/>
    <w:uiPriority w:val="99"/>
    <w:qFormat/>
    <w:rPr>
      <w:rFonts w:hint="eastAsia" w:ascii="宋体" w:hAnsi="宋体" w:eastAsia="宋体"/>
      <w:sz w:val="21"/>
      <w:szCs w:val="21"/>
    </w:rPr>
  </w:style>
  <w:style w:type="character" w:styleId="1143" w:customStyle="1">
    <w:name w:val="项目排列 Char"/>
    <w:link w:val="1144"/>
    <w:uiPriority w:val="0"/>
    <w:qFormat/>
    <w:rPr>
      <w:sz w:val="24"/>
      <w:szCs w:val="24"/>
    </w:rPr>
  </w:style>
  <w:style w:type="paragraph" w:styleId="1144" w:customStyle="1">
    <w:name w:val="项目排列"/>
    <w:basedOn w:val="961"/>
    <w:link w:val="1143"/>
    <w:uiPriority w:val="0"/>
    <w:qFormat/>
    <w:pPr>
      <w:numPr>
        <w:ilvl w:val="0"/>
        <w:numId w:val="2"/>
      </w:numPr>
      <w:spacing w:line="300" w:lineRule="auto"/>
      <w:tabs>
        <w:tab w:val="left" w:pos="900" w:leader="none"/>
      </w:tabs>
    </w:pPr>
    <w:rPr>
      <w:sz w:val="24"/>
      <w:szCs w:val="24"/>
    </w:rPr>
  </w:style>
  <w:style w:type="character" w:styleId="1145" w:customStyle="1">
    <w:name w:val="标题02 Char"/>
    <w:link w:val="1146"/>
    <w:uiPriority w:val="0"/>
    <w:qFormat/>
    <w:rPr>
      <w:rFonts w:ascii="宋体" w:hAnsi="宋体"/>
      <w:b/>
      <w:szCs w:val="21"/>
    </w:rPr>
  </w:style>
  <w:style w:type="paragraph" w:styleId="1146" w:customStyle="1">
    <w:name w:val="标题02"/>
    <w:basedOn w:val="961"/>
    <w:link w:val="1145"/>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47" w:customStyle="1">
    <w:name w:val="font151"/>
    <w:uiPriority w:val="0"/>
    <w:qFormat/>
    <w:rPr>
      <w:rFonts w:ascii="Calibri" w:hAnsi="Calibri" w:cs="Calibri"/>
      <w:color w:val="000000"/>
      <w:sz w:val="20"/>
      <w:szCs w:val="20"/>
      <w:u w:val="none"/>
    </w:rPr>
  </w:style>
  <w:style w:type="character" w:styleId="1148" w:customStyle="1">
    <w:name w:val="font31"/>
    <w:uiPriority w:val="0"/>
    <w:qFormat/>
    <w:rPr>
      <w:rFonts w:hint="eastAsia" w:ascii="宋体" w:hAnsi="宋体" w:eastAsia="宋体" w:cs="宋体"/>
      <w:color w:val="000000"/>
      <w:sz w:val="20"/>
      <w:szCs w:val="20"/>
      <w:u w:val="none"/>
    </w:rPr>
  </w:style>
  <w:style w:type="character" w:styleId="1149" w:customStyle="1">
    <w:name w:val="_Style 4"/>
    <w:uiPriority w:val="19"/>
    <w:qFormat/>
    <w:rPr>
      <w:rFonts w:ascii="仿宋_GB2312" w:eastAsia="仿宋_GB2312"/>
      <w:b/>
      <w:i/>
      <w:iCs/>
      <w:color w:val="808080"/>
      <w:sz w:val="32"/>
      <w:szCs w:val="32"/>
    </w:rPr>
  </w:style>
  <w:style w:type="character" w:styleId="1150" w:customStyle="1">
    <w:name w:val="intro1"/>
    <w:uiPriority w:val="0"/>
    <w:qFormat/>
    <w:rPr>
      <w:rFonts w:ascii="Trebuchet MS"/>
      <w:sz w:val="21"/>
      <w:szCs w:val="21"/>
    </w:rPr>
  </w:style>
  <w:style w:type="character" w:styleId="1151" w:customStyle="1">
    <w:name w:val="txt4"/>
    <w:basedOn w:val="971"/>
    <w:uiPriority w:val="0"/>
    <w:qFormat/>
  </w:style>
  <w:style w:type="character" w:styleId="1152" w:customStyle="1">
    <w:name w:val="apple-converted-space"/>
    <w:uiPriority w:val="0"/>
    <w:qFormat/>
  </w:style>
  <w:style w:type="character" w:styleId="1153"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4" w:customStyle="1">
    <w:name w:val="font122"/>
    <w:uiPriority w:val="0"/>
    <w:qFormat/>
    <w:rPr>
      <w:rFonts w:hint="default" w:ascii="Arial" w:hAnsi="Arial" w:cs="Arial"/>
      <w:color w:val="000000"/>
      <w:sz w:val="22"/>
      <w:szCs w:val="22"/>
      <w:u w:val="none"/>
    </w:rPr>
  </w:style>
  <w:style w:type="character" w:styleId="1155" w:customStyle="1">
    <w:name w:val="Char Char5"/>
    <w:uiPriority w:val="0"/>
    <w:qFormat/>
    <w:rPr>
      <w:rFonts w:ascii="Calibri" w:hAnsi="Calibri" w:eastAsia="宋体"/>
      <w:b/>
      <w:bCs/>
      <w:sz w:val="28"/>
      <w:szCs w:val="28"/>
      <w:lang w:val="en-US" w:eastAsia="zh-CN" w:bidi="ar-SA"/>
    </w:rPr>
  </w:style>
  <w:style w:type="character" w:styleId="1156" w:customStyle="1">
    <w:name w:val="Variable"/>
    <w:uiPriority w:val="0"/>
    <w:qFormat/>
    <w:rPr>
      <w:i/>
    </w:rPr>
  </w:style>
  <w:style w:type="character" w:styleId="1157" w:customStyle="1">
    <w:name w:val="样式1 Char"/>
    <w:link w:val="1158"/>
    <w:uiPriority w:val="0"/>
    <w:qFormat/>
    <w:rPr>
      <w:rFonts w:ascii="宋体" w:hAnsi="宋体"/>
      <w:szCs w:val="21"/>
    </w:rPr>
  </w:style>
  <w:style w:type="paragraph" w:styleId="1158" w:customStyle="1">
    <w:name w:val="样式1"/>
    <w:basedOn w:val="961"/>
    <w:link w:val="1157"/>
    <w:uiPriority w:val="0"/>
    <w:qFormat/>
    <w:pPr>
      <w:ind w:left="720" w:hanging="720"/>
      <w:spacing w:line="440" w:lineRule="exact"/>
      <w:tabs>
        <w:tab w:val="left" w:pos="709" w:leader="none"/>
      </w:tabs>
    </w:pPr>
    <w:rPr>
      <w:rFonts w:ascii="宋体" w:hAnsi="宋体"/>
      <w:sz w:val="20"/>
      <w:szCs w:val="21"/>
    </w:rPr>
  </w:style>
  <w:style w:type="character" w:styleId="1159" w:customStyle="1">
    <w:name w:val="标题 2 Char Char"/>
    <w:uiPriority w:val="0"/>
    <w:qFormat/>
    <w:rPr>
      <w:rFonts w:ascii="Arial" w:hAnsi="Arial" w:eastAsia="黑体"/>
      <w:b/>
      <w:bCs/>
      <w:sz w:val="32"/>
      <w:szCs w:val="32"/>
      <w:lang w:val="en-US" w:eastAsia="zh-CN" w:bidi="ar-SA"/>
    </w:rPr>
  </w:style>
  <w:style w:type="character" w:styleId="1160" w:customStyle="1">
    <w:name w:val="Char Char51"/>
    <w:uiPriority w:val="0"/>
    <w:qFormat/>
    <w:rPr>
      <w:rFonts w:ascii="Calibri" w:hAnsi="Calibri" w:eastAsia="宋体"/>
      <w:b/>
      <w:bCs/>
      <w:sz w:val="28"/>
      <w:szCs w:val="28"/>
      <w:lang w:val="en-US" w:eastAsia="zh-CN" w:bidi="ar-SA"/>
    </w:rPr>
  </w:style>
  <w:style w:type="paragraph" w:styleId="1161" w:customStyle="1">
    <w:name w:val="列出段落11"/>
    <w:basedOn w:val="961"/>
    <w:uiPriority w:val="0"/>
    <w:qFormat/>
    <w:pPr>
      <w:ind w:firstLine="420"/>
      <w:spacing w:line="440" w:lineRule="exact"/>
    </w:pPr>
    <w:rPr>
      <w:rFonts w:ascii="Calibri" w:hAnsi="Calibri"/>
    </w:rPr>
  </w:style>
  <w:style w:type="paragraph" w:styleId="1162" w:customStyle="1">
    <w:name w:val="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3" w:customStyle="1">
    <w:name w:val="字元 字元1 Char Char1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4" w:customStyle="1">
    <w:name w:val="Char Char2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5" w:customStyle="1">
    <w:name w:val="Preformatted"/>
    <w:basedOn w:val="961"/>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6" w:customStyle="1">
    <w:name w:val="正文再缩近"/>
    <w:basedOn w:val="961"/>
    <w:uiPriority w:val="0"/>
    <w:qFormat/>
    <w:pPr>
      <w:ind w:firstLine="400"/>
      <w:jc w:val="left"/>
      <w:spacing w:line="440" w:lineRule="exact"/>
    </w:pPr>
    <w:rPr>
      <w:rFonts w:ascii="华文细黑" w:hAnsi="华文细黑" w:cs="Arial"/>
      <w:szCs w:val="21"/>
    </w:rPr>
  </w:style>
  <w:style w:type="paragraph" w:styleId="1167" w:customStyle="1">
    <w:name w:val="xl27"/>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68" w:customStyle="1">
    <w:name w:val="xl72"/>
    <w:basedOn w:val="961"/>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69" w:customStyle="1">
    <w:name w:val="字元 字元21"/>
    <w:basedOn w:val="961"/>
    <w:uiPriority w:val="0"/>
    <w:qFormat/>
    <w:pPr>
      <w:jc w:val="left"/>
      <w:spacing w:after="160" w:line="240" w:lineRule="exact"/>
      <w:widowControl/>
    </w:pPr>
    <w:rPr>
      <w:szCs w:val="24"/>
    </w:rPr>
  </w:style>
  <w:style w:type="paragraph" w:styleId="1170" w:customStyle="1">
    <w:name w:val="xl79"/>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1" w:customStyle="1">
    <w:name w:val="xl44593"/>
    <w:basedOn w:val="96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2" w:customStyle="1">
    <w:name w:val="Char Char Char Char Char Char Char Char Char Char Char1 Char Char Char Char Char Char Char Char Char Char Char Char"/>
    <w:basedOn w:val="961"/>
    <w:uiPriority w:val="0"/>
    <w:qFormat/>
    <w:pPr>
      <w:spacing w:line="440" w:lineRule="exact"/>
    </w:pPr>
    <w:rPr>
      <w:szCs w:val="20"/>
    </w:rPr>
  </w:style>
  <w:style w:type="paragraph" w:styleId="1173" w:customStyle="1">
    <w:name w:val="字元1 Char Char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74" w:customStyle="1">
    <w:name w:val="xl44607"/>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5" w:customStyle="1">
    <w:name w:val="xl44598"/>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6" w:customStyle="1">
    <w:name w:val="xl44591"/>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7" w:customStyle="1">
    <w:name w:val="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78" w:customStyle="1">
    <w:name w:val="font0"/>
    <w:basedOn w:val="961"/>
    <w:uiPriority w:val="0"/>
    <w:qFormat/>
    <w:pPr>
      <w:jc w:val="left"/>
      <w:spacing w:before="100" w:beforeAutospacing="1" w:after="100" w:afterAutospacing="1" w:line="440" w:lineRule="exact"/>
      <w:widowControl/>
    </w:pPr>
    <w:rPr>
      <w:rFonts w:hint="eastAsia" w:ascii="宋体" w:hAnsi="宋体"/>
      <w:sz w:val="24"/>
      <w:szCs w:val="24"/>
    </w:rPr>
  </w:style>
  <w:style w:type="paragraph" w:styleId="1179" w:customStyle="1">
    <w:name w:val="Char Char Char Char Char Char Char"/>
    <w:basedOn w:val="978"/>
    <w:uiPriority w:val="0"/>
    <w:qFormat/>
    <w:pPr>
      <w:shd w:val="clear" w:color="auto" w:fill="000080"/>
    </w:pPr>
    <w:rPr>
      <w:rFonts w:ascii="Times New Roman"/>
      <w:sz w:val="21"/>
      <w:szCs w:val="20"/>
    </w:rPr>
  </w:style>
  <w:style w:type="paragraph" w:styleId="1180" w:customStyle="1">
    <w:name w:val="xl6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1" w:customStyle="1">
    <w:name w:val="xl77"/>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2" w:customStyle="1">
    <w:name w:val="标题6"/>
    <w:basedOn w:val="967"/>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3" w:customStyle="1">
    <w:name w:val="样式 样式 标题1 + 行距: 单倍行距 + 段前: 7.8 磅 段后: 7.8 磅"/>
    <w:basedOn w:val="961"/>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4" w:customStyle="1">
    <w:name w:val="列表编号 2A"/>
    <w:basedOn w:val="961"/>
    <w:uiPriority w:val="0"/>
    <w:qFormat/>
    <w:pPr>
      <w:spacing w:line="440" w:lineRule="exact"/>
      <w:tabs>
        <w:tab w:val="left" w:pos="845" w:leader="none"/>
      </w:tabs>
    </w:pPr>
    <w:rPr>
      <w:sz w:val="28"/>
      <w:szCs w:val="20"/>
    </w:rPr>
  </w:style>
  <w:style w:type="paragraph" w:styleId="1185" w:customStyle="1">
    <w:name w:val="默认段落字体 Para Char Char Char Char"/>
    <w:basedOn w:val="961"/>
    <w:uiPriority w:val="0"/>
    <w:qFormat/>
    <w:pPr>
      <w:spacing w:line="440" w:lineRule="exact"/>
    </w:pPr>
    <w:rPr>
      <w:rFonts w:ascii="Arial" w:hAnsi="Arial" w:cs="Arial"/>
      <w:szCs w:val="21"/>
    </w:rPr>
  </w:style>
  <w:style w:type="paragraph" w:styleId="1186" w:customStyle="1">
    <w:name w:val="xl44596"/>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7"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88" w:customStyle="1">
    <w:name w:val="2册标题1"/>
    <w:basedOn w:val="961"/>
    <w:next w:val="961"/>
    <w:uiPriority w:val="0"/>
    <w:qFormat/>
    <w:pPr>
      <w:jc w:val="center"/>
      <w:spacing w:line="440" w:lineRule="exact"/>
      <w:outlineLvl w:val="0"/>
    </w:pPr>
    <w:rPr>
      <w:rFonts w:ascii="Arial" w:hAnsi="Arial" w:eastAsia="黑体"/>
      <w:sz w:val="36"/>
      <w:szCs w:val="32"/>
    </w:rPr>
  </w:style>
  <w:style w:type="paragraph" w:styleId="1189" w:customStyle="1">
    <w:name w:val="xl51"/>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0" w:customStyle="1">
    <w:name w:val="二级目录"/>
    <w:next w:val="961"/>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1" w:customStyle="1">
    <w:name w:val="xl44604"/>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2" w:customStyle="1">
    <w:name w:val="列出段落3"/>
    <w:basedOn w:val="961"/>
    <w:uiPriority w:val="34"/>
    <w:qFormat/>
    <w:pPr>
      <w:ind w:firstLine="420"/>
      <w:spacing w:line="440" w:lineRule="exact"/>
    </w:pPr>
    <w:rPr>
      <w:szCs w:val="24"/>
    </w:rPr>
  </w:style>
  <w:style w:type="paragraph" w:styleId="1193" w:customStyle="1">
    <w:name w:val="字元 字元1 Char Char1 字元 字元 Char Char1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94" w:customStyle="1">
    <w:name w:val="xl63"/>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5" w:customStyle="1">
    <w:name w:val="标题5"/>
    <w:basedOn w:val="966"/>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196" w:customStyle="1">
    <w:name w:val="xl34"/>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97" w:customStyle="1">
    <w:name w:val="封面样式4"/>
    <w:basedOn w:val="961"/>
    <w:uiPriority w:val="0"/>
    <w:qFormat/>
    <w:pPr>
      <w:ind w:firstLine="420"/>
      <w:spacing w:line="440" w:lineRule="exact"/>
    </w:pPr>
    <w:rPr>
      <w:rFonts w:ascii="华文细黑" w:hAnsi="华文细黑"/>
      <w:szCs w:val="24"/>
    </w:rPr>
  </w:style>
  <w:style w:type="paragraph" w:styleId="1198" w:customStyle="1">
    <w:name w:val="Char Char 字元 字元 Char Char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99" w:customStyle="1">
    <w:name w:val="Body Text(ch)"/>
    <w:basedOn w:val="961"/>
    <w:next w:val="983"/>
    <w:uiPriority w:val="0"/>
    <w:qFormat/>
    <w:pPr>
      <w:spacing w:after="120" w:line="440" w:lineRule="exact"/>
    </w:pPr>
    <w:rPr>
      <w:rFonts w:ascii="宋体" w:hAnsi="宋体" w:cs="宋体"/>
      <w:bCs/>
      <w:iCs/>
      <w:szCs w:val="24"/>
    </w:rPr>
  </w:style>
  <w:style w:type="paragraph" w:styleId="1200" w:customStyle="1">
    <w:name w:val="xl39"/>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1" w:customStyle="1">
    <w:name w:val="Char Char2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02" w:customStyle="1">
    <w:name w:val="Char Char1 Char Char Char Char Char Char Char Char Char Char Char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03" w:customStyle="1">
    <w:name w:val="xl3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4"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5" w:customStyle="1">
    <w:name w:val="xl50"/>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06" w:customStyle="1">
    <w:name w:val="强调文字"/>
    <w:basedOn w:val="961"/>
    <w:uiPriority w:val="0"/>
    <w:qFormat/>
    <w:pPr>
      <w:ind w:firstLine="480"/>
      <w:spacing w:line="440" w:lineRule="exact"/>
    </w:pPr>
    <w:rPr>
      <w:rFonts w:ascii="华文细黑" w:hAnsi="华文细黑" w:eastAsia="黑体" w:cs="Arial"/>
      <w:color w:val="800000"/>
      <w:sz w:val="24"/>
      <w:szCs w:val="28"/>
    </w:rPr>
  </w:style>
  <w:style w:type="paragraph" w:styleId="1207" w:customStyle="1">
    <w:name w:val="xl5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08"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_Style 123"/>
    <w:basedOn w:val="961"/>
    <w:uiPriority w:val="0"/>
    <w:qFormat/>
    <w:pPr>
      <w:jc w:val="left"/>
      <w:spacing w:after="160" w:line="240" w:lineRule="exact"/>
      <w:widowControl/>
    </w:pPr>
    <w:rPr>
      <w:szCs w:val="24"/>
    </w:rPr>
  </w:style>
  <w:style w:type="paragraph" w:styleId="1210" w:customStyle="1">
    <w:name w:val="Style1"/>
    <w:basedOn w:val="961"/>
    <w:uiPriority w:val="0"/>
    <w:qFormat/>
    <w:pPr>
      <w:spacing w:after="120"/>
      <w:widowControl/>
      <w:tabs>
        <w:tab w:val="left" w:pos="-720" w:leader="none"/>
      </w:tabs>
    </w:pPr>
    <w:rPr>
      <w:spacing w:val="-3"/>
      <w:sz w:val="24"/>
      <w:szCs w:val="20"/>
      <w:lang w:val="en-AU" w:eastAsia="en-US"/>
    </w:rPr>
  </w:style>
  <w:style w:type="paragraph" w:styleId="1211" w:customStyle="1">
    <w:name w:val="正文3"/>
    <w:uiPriority w:val="0"/>
    <w:qFormat/>
    <w:pPr>
      <w:jc w:val="both"/>
    </w:pPr>
    <w:rPr>
      <w:rFonts w:ascii="Calibri" w:hAnsi="Calibri" w:eastAsia="宋体" w:cs="Calibri"/>
      <w:sz w:val="21"/>
      <w:szCs w:val="21"/>
      <w:lang w:val="en-US" w:eastAsia="zh-CN" w:bidi="ar-SA"/>
    </w:rPr>
  </w:style>
  <w:style w:type="paragraph" w:styleId="1212" w:customStyle="1">
    <w:name w:val="模板普通正文"/>
    <w:basedOn w:val="1213"/>
    <w:next w:val="1188"/>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3" w:customStyle="1">
    <w:name w:val="xl5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4" w:customStyle="1">
    <w:name w:val="小标题"/>
    <w:basedOn w:val="961"/>
    <w:uiPriority w:val="0"/>
    <w:qFormat/>
    <w:pPr>
      <w:jc w:val="center"/>
      <w:spacing w:before="120" w:line="360" w:lineRule="auto"/>
    </w:pPr>
    <w:rPr>
      <w:color w:val="0000ff"/>
      <w:sz w:val="24"/>
      <w:szCs w:val="20"/>
      <w:u w:val="single"/>
    </w:rPr>
  </w:style>
  <w:style w:type="paragraph" w:styleId="1215" w:customStyle="1">
    <w:name w:val="xl29"/>
    <w:basedOn w:val="961"/>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16" w:customStyle="1">
    <w:name w:val="xl25"/>
    <w:basedOn w:val="961"/>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17" w:customStyle="1">
    <w:name w:val="4"/>
    <w:basedOn w:val="961"/>
    <w:next w:val="1005"/>
    <w:uiPriority w:val="0"/>
    <w:qFormat/>
    <w:pPr>
      <w:ind w:firstLine="420"/>
      <w:spacing w:line="360" w:lineRule="auto"/>
    </w:pPr>
    <w:rPr>
      <w:color w:val="ff0000"/>
      <w:sz w:val="24"/>
      <w:szCs w:val="24"/>
    </w:rPr>
  </w:style>
  <w:style w:type="paragraph" w:styleId="1218" w:customStyle="1">
    <w:name w:val="CD 正文"/>
    <w:basedOn w:val="961"/>
    <w:uiPriority w:val="0"/>
    <w:qFormat/>
    <w:pPr>
      <w:jc w:val="left"/>
    </w:pPr>
    <w:rPr>
      <w:rFonts w:ascii="Arial" w:hAnsi="Arial" w:eastAsia="微软雅黑" w:cs="Arial"/>
      <w:szCs w:val="21"/>
    </w:rPr>
  </w:style>
  <w:style w:type="paragraph" w:styleId="1219" w:customStyle="1">
    <w:name w:val="xl41"/>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0" w:customStyle="1">
    <w:name w:val="font6"/>
    <w:basedOn w:val="961"/>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1" w:customStyle="1">
    <w:name w:val="xl75"/>
    <w:basedOn w:val="961"/>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3" w:customStyle="1">
    <w:name w:val="Char Char4 Char Char 字元 字元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24" w:customStyle="1">
    <w:name w:val="Char Char1 Char Char Char Char Char Char Char Char Char Char Char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25" w:customStyle="1">
    <w:name w:val="p17"/>
    <w:basedOn w:val="961"/>
    <w:uiPriority w:val="0"/>
    <w:qFormat/>
    <w:pPr>
      <w:ind w:left="5250"/>
      <w:spacing w:line="440" w:lineRule="exact"/>
      <w:widowControl/>
    </w:pPr>
    <w:rPr>
      <w:sz w:val="28"/>
      <w:szCs w:val="28"/>
    </w:rPr>
  </w:style>
  <w:style w:type="paragraph" w:styleId="1226" w:customStyle="1">
    <w:name w:val="注"/>
    <w:basedOn w:val="1067"/>
    <w:uiPriority w:val="0"/>
    <w:qFormat/>
    <w:pPr>
      <w:ind w:left="510" w:hanging="510"/>
      <w:jc w:val="center"/>
      <w:spacing w:line="300" w:lineRule="atLeast"/>
    </w:pPr>
    <w:rPr>
      <w:rFonts w:ascii="Times New Roman" w:hAnsi="Arial Unicode MS" w:eastAsia="Arial Unicode MS"/>
      <w:b/>
      <w:bCs/>
      <w:sz w:val="18"/>
      <w:szCs w:val="32"/>
    </w:rPr>
  </w:style>
  <w:style w:type="paragraph" w:styleId="1227" w:customStyle="1">
    <w:name w:val="字元 字元1"/>
    <w:basedOn w:val="961"/>
    <w:uiPriority w:val="0"/>
    <w:qFormat/>
    <w:pPr>
      <w:ind w:left="360" w:hanging="360"/>
      <w:spacing w:line="440" w:lineRule="exact"/>
      <w:tabs>
        <w:tab w:val="left" w:pos="360" w:leader="none"/>
      </w:tabs>
    </w:pPr>
    <w:rPr>
      <w:sz w:val="24"/>
      <w:szCs w:val="24"/>
    </w:rPr>
  </w:style>
  <w:style w:type="paragraph" w:styleId="1228" w:customStyle="1">
    <w:name w:val="xl40"/>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29" w:customStyle="1">
    <w:name w:val="Address"/>
    <w:basedOn w:val="961"/>
    <w:next w:val="961"/>
    <w:uiPriority w:val="0"/>
    <w:qFormat/>
    <w:pPr>
      <w:jc w:val="left"/>
      <w:spacing w:line="440" w:lineRule="exact"/>
    </w:pPr>
    <w:rPr>
      <w:i/>
      <w:sz w:val="24"/>
      <w:szCs w:val="20"/>
    </w:rPr>
  </w:style>
  <w:style w:type="paragraph" w:styleId="123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1" w:customStyle="1">
    <w:name w:val="xl93"/>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2" w:customStyle="1">
    <w:name w:val="Char Char Char Char1"/>
    <w:basedOn w:val="978"/>
    <w:uiPriority w:val="0"/>
    <w:qFormat/>
    <w:pPr>
      <w:spacing w:line="360" w:lineRule="auto"/>
      <w:shd w:val="clear" w:color="auto" w:fill="000080"/>
    </w:pPr>
    <w:rPr>
      <w:rFonts w:ascii="Tahoma" w:hAnsi="Tahoma" w:cs="Tahoma"/>
      <w:sz w:val="24"/>
      <w:szCs w:val="24"/>
    </w:rPr>
  </w:style>
  <w:style w:type="paragraph" w:styleId="1233" w:customStyle="1">
    <w:name w:val="Char Char 字元 字元 Char Char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34" w:customStyle="1">
    <w:name w:val="xl70"/>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5" w:customStyle="1">
    <w:name w:val="Char Char Char Char"/>
    <w:basedOn w:val="978"/>
    <w:uiPriority w:val="0"/>
    <w:qFormat/>
    <w:pPr>
      <w:spacing w:line="360" w:lineRule="auto"/>
      <w:shd w:val="clear" w:color="auto" w:fill="000080"/>
    </w:pPr>
    <w:rPr>
      <w:rFonts w:ascii="Tahoma" w:hAnsi="Tahoma"/>
      <w:sz w:val="24"/>
      <w:szCs w:val="24"/>
    </w:rPr>
  </w:style>
  <w:style w:type="paragraph" w:styleId="1236"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37" w:customStyle="1">
    <w:name w:val="font5"/>
    <w:basedOn w:val="961"/>
    <w:uiPriority w:val="0"/>
    <w:qFormat/>
    <w:pPr>
      <w:jc w:val="left"/>
      <w:spacing w:before="100" w:beforeAutospacing="1" w:after="100" w:afterAutospacing="1" w:line="440" w:lineRule="exact"/>
      <w:widowControl/>
    </w:pPr>
    <w:rPr>
      <w:rFonts w:ascii="宋体" w:hAnsi="宋体" w:cs="宋体"/>
      <w:sz w:val="28"/>
      <w:szCs w:val="28"/>
    </w:rPr>
  </w:style>
  <w:style w:type="paragraph" w:styleId="1238" w:customStyle="1">
    <w:name w:val="封面样式1"/>
    <w:basedOn w:val="961"/>
    <w:uiPriority w:val="0"/>
    <w:qFormat/>
    <w:pPr>
      <w:ind w:firstLine="630"/>
      <w:jc w:val="left"/>
      <w:spacing w:line="440" w:lineRule="exact"/>
    </w:pPr>
    <w:rPr>
      <w:rFonts w:ascii="华文细黑" w:hAnsi="华文细黑" w:cs="Arial"/>
      <w:szCs w:val="21"/>
    </w:rPr>
  </w:style>
  <w:style w:type="paragraph" w:styleId="1239" w:customStyle="1">
    <w:name w:val="xl3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0" w:customStyle="1">
    <w:name w:val="CM54"/>
    <w:basedOn w:val="1076"/>
    <w:next w:val="1076"/>
    <w:uiPriority w:val="0"/>
    <w:qFormat/>
    <w:pPr>
      <w:spacing w:line="398" w:lineRule="atLeast"/>
    </w:pPr>
    <w:rPr>
      <w:rFonts w:ascii="宋体" w:eastAsia="宋体"/>
      <w:color w:val="auto"/>
    </w:rPr>
  </w:style>
  <w:style w:type="paragraph" w:styleId="1241" w:customStyle="1">
    <w:name w:val="英文正文"/>
    <w:basedOn w:val="961"/>
    <w:uiPriority w:val="0"/>
    <w:qFormat/>
    <w:pPr>
      <w:spacing w:line="460" w:lineRule="exact"/>
    </w:pPr>
    <w:rPr>
      <w:sz w:val="28"/>
      <w:szCs w:val="24"/>
    </w:rPr>
  </w:style>
  <w:style w:type="paragraph" w:styleId="1242" w:customStyle="1">
    <w:name w:val="字元 字元1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43" w:customStyle="1">
    <w:name w:val="标题1"/>
    <w:basedOn w:val="961"/>
    <w:next w:val="96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4" w:customStyle="1">
    <w:name w:val="List Paragraph1"/>
    <w:basedOn w:val="961"/>
    <w:uiPriority w:val="0"/>
    <w:qFormat/>
    <w:pPr>
      <w:ind w:firstLine="420"/>
    </w:pPr>
    <w:rPr>
      <w:szCs w:val="20"/>
    </w:rPr>
  </w:style>
  <w:style w:type="paragraph" w:styleId="1245">
    <w:name w:val="List Paragraph"/>
    <w:basedOn w:val="961"/>
    <w:uiPriority w:val="0"/>
    <w:qFormat/>
    <w:pPr>
      <w:ind w:left="720"/>
    </w:pPr>
    <w:rPr>
      <w:szCs w:val="21"/>
    </w:rPr>
  </w:style>
  <w:style w:type="paragraph" w:styleId="1246" w:customStyle="1">
    <w:name w:val="表头"/>
    <w:basedOn w:val="961"/>
    <w:uiPriority w:val="0"/>
    <w:qFormat/>
    <w:pPr>
      <w:jc w:val="left"/>
      <w:spacing w:before="60" w:after="60" w:line="420" w:lineRule="atLeast"/>
    </w:pPr>
    <w:rPr>
      <w:rFonts w:ascii="黑体" w:eastAsia="黑体"/>
      <w:b/>
      <w:szCs w:val="20"/>
    </w:rPr>
  </w:style>
  <w:style w:type="paragraph" w:styleId="1247" w:customStyle="1">
    <w:name w:val="xl86"/>
    <w:basedOn w:val="961"/>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48" w:customStyle="1">
    <w:name w:val="修订1"/>
    <w:uiPriority w:val="99"/>
    <w:semiHidden/>
    <w:qFormat/>
    <w:rPr>
      <w:rFonts w:ascii="Calibri" w:hAnsi="Calibri" w:eastAsia="宋体" w:cs="Times New Roman"/>
      <w:sz w:val="28"/>
      <w:szCs w:val="22"/>
      <w:lang w:val="en-US" w:eastAsia="zh-CN" w:bidi="ar-SA"/>
    </w:rPr>
  </w:style>
  <w:style w:type="paragraph" w:styleId="1249" w:customStyle="1">
    <w:name w:val="默认段落字体 Para Char Char"/>
    <w:basedOn w:val="961"/>
    <w:uiPriority w:val="0"/>
    <w:qFormat/>
    <w:pPr>
      <w:spacing w:line="440" w:lineRule="exact"/>
    </w:pPr>
    <w:rPr>
      <w:szCs w:val="20"/>
    </w:rPr>
  </w:style>
  <w:style w:type="paragraph" w:styleId="1250" w:customStyle="1">
    <w:name w:val="CM26"/>
    <w:basedOn w:val="1076"/>
    <w:next w:val="1076"/>
    <w:uiPriority w:val="0"/>
    <w:qFormat/>
    <w:pPr>
      <w:spacing w:line="400" w:lineRule="atLeast"/>
    </w:pPr>
    <w:rPr>
      <w:rFonts w:ascii="宋体" w:eastAsia="宋体"/>
      <w:color w:val="auto"/>
    </w:rPr>
  </w:style>
  <w:style w:type="paragraph" w:styleId="1251" w:customStyle="1">
    <w:name w:val="xl57"/>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2" w:customStyle="1">
    <w:name w:val="正文格式"/>
    <w:basedOn w:val="961"/>
    <w:uiPriority w:val="0"/>
    <w:qFormat/>
    <w:pPr>
      <w:ind w:firstLine="482"/>
      <w:spacing w:line="400" w:lineRule="exact"/>
      <w:widowControl/>
    </w:pPr>
    <w:rPr>
      <w:rFonts w:ascii="Arial" w:hAnsi="Arial" w:eastAsia="新宋体" w:cs="Arial"/>
      <w:sz w:val="24"/>
      <w:szCs w:val="20"/>
    </w:rPr>
  </w:style>
  <w:style w:type="paragraph" w:styleId="1253" w:customStyle="1">
    <w:name w:val="xl89"/>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4" w:customStyle="1">
    <w:name w:val="Char Char1 Char Char Char Char Char Char Char Char"/>
    <w:basedOn w:val="961"/>
    <w:uiPriority w:val="0"/>
    <w:qFormat/>
    <w:pPr>
      <w:jc w:val="left"/>
      <w:spacing w:after="160" w:line="240" w:lineRule="exact"/>
      <w:widowControl/>
    </w:pPr>
    <w:rPr>
      <w:rFonts w:ascii="Verdana" w:hAnsi="Verdana" w:cs="宋体"/>
      <w:sz w:val="20"/>
      <w:szCs w:val="20"/>
      <w:lang w:eastAsia="en-US"/>
    </w:rPr>
  </w:style>
  <w:style w:type="paragraph" w:styleId="1255" w:customStyle="1">
    <w:name w:val="Char Char1 Char Char Char Char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56" w:customStyle="1">
    <w:name w:val="xl7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7" w:customStyle="1">
    <w:name w:val="xl44608"/>
    <w:basedOn w:val="961"/>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58" w:customStyle="1">
    <w:name w:val="xl44592"/>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9" w:customStyle="1">
    <w:name w:val="xl28"/>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0" w:customStyle="1">
    <w:name w:val="样式3"/>
    <w:basedOn w:val="993"/>
    <w:uiPriority w:val="0"/>
    <w:qFormat/>
    <w:pPr>
      <w:spacing w:line="440" w:lineRule="exact"/>
    </w:pPr>
  </w:style>
  <w:style w:type="paragraph" w:styleId="1261" w:customStyle="1">
    <w:name w:val="xl3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2" w:customStyle="1">
    <w:name w:val="font12"/>
    <w:basedOn w:val="961"/>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3" w:customStyle="1">
    <w:name w:val="font8"/>
    <w:basedOn w:val="961"/>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4" w:customStyle="1">
    <w:name w:val="font9"/>
    <w:basedOn w:val="961"/>
    <w:uiPriority w:val="0"/>
    <w:qFormat/>
    <w:pPr>
      <w:jc w:val="left"/>
      <w:spacing w:before="100" w:beforeAutospacing="1" w:after="100" w:afterAutospacing="1" w:line="440" w:lineRule="exact"/>
      <w:widowControl/>
    </w:pPr>
    <w:rPr>
      <w:color w:val="ff0000"/>
      <w:sz w:val="20"/>
      <w:szCs w:val="20"/>
    </w:rPr>
  </w:style>
  <w:style w:type="paragraph" w:styleId="1265" w:customStyle="1">
    <w:name w:val="xl6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6" w:customStyle="1">
    <w:name w:val="Char"/>
    <w:basedOn w:val="961"/>
    <w:uiPriority w:val="0"/>
    <w:qFormat/>
    <w:pPr>
      <w:ind w:firstLine="200"/>
      <w:tabs>
        <w:tab w:val="left" w:pos="360" w:leader="none"/>
      </w:tabs>
    </w:pPr>
    <w:rPr>
      <w:sz w:val="28"/>
      <w:szCs w:val="30"/>
    </w:rPr>
  </w:style>
  <w:style w:type="paragraph" w:styleId="1267" w:customStyle="1">
    <w:name w:val="Heading Left"/>
    <w:basedOn w:val="961"/>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68" w:customStyle="1">
    <w:name w:val="xl44603"/>
    <w:basedOn w:val="961"/>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69" w:customStyle="1">
    <w:name w:val="普通 (Web)"/>
    <w:basedOn w:val="961"/>
    <w:uiPriority w:val="0"/>
    <w:qFormat/>
    <w:pPr>
      <w:jc w:val="left"/>
      <w:spacing w:before="100" w:beforeAutospacing="1" w:after="100" w:afterAutospacing="1" w:line="440" w:lineRule="exact"/>
      <w:widowControl/>
    </w:pPr>
    <w:rPr>
      <w:rFonts w:ascii="宋体" w:hAnsi="宋体" w:cs="宋体"/>
      <w:sz w:val="24"/>
      <w:szCs w:val="24"/>
    </w:rPr>
  </w:style>
  <w:style w:type="paragraph" w:styleId="1270" w:customStyle="1">
    <w:name w:val="字元1 Char Char 字元 字元 字元 Char Char 字元 字元 Char Char 字元 字元 Char Char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71" w:customStyle="1">
    <w:name w:val="Char Char Char Char Char Char Char Char Char Char Char Char Char Char Char1 Char"/>
    <w:basedOn w:val="961"/>
    <w:uiPriority w:val="0"/>
    <w:qFormat/>
    <w:pPr>
      <w:spacing w:line="312" w:lineRule="atLeast"/>
    </w:pPr>
    <w:rPr>
      <w:b/>
      <w:bCs/>
      <w:sz w:val="36"/>
      <w:szCs w:val="32"/>
    </w:rPr>
  </w:style>
  <w:style w:type="paragraph" w:styleId="1272" w:customStyle="1">
    <w:name w:val="正文 1.1.1"/>
    <w:basedOn w:val="961"/>
    <w:next w:val="961"/>
    <w:uiPriority w:val="0"/>
    <w:qFormat/>
    <w:pPr>
      <w:numPr>
        <w:ilvl w:val="2"/>
        <w:numId w:val="4"/>
      </w:numPr>
      <w:outlineLvl w:val="2"/>
    </w:pPr>
    <w:rPr>
      <w:rFonts w:hAnsi="宋体"/>
      <w:color w:val="ff0000"/>
    </w:rPr>
  </w:style>
  <w:style w:type="paragraph" w:styleId="1273" w:customStyle="1">
    <w:name w:val="xl44594"/>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4" w:customStyle="1">
    <w:name w:val="msonormal"/>
    <w:basedOn w:val="961"/>
    <w:uiPriority w:val="0"/>
    <w:qFormat/>
    <w:pPr>
      <w:jc w:val="left"/>
      <w:spacing w:before="100" w:beforeAutospacing="1" w:after="100" w:afterAutospacing="1"/>
      <w:widowControl/>
    </w:pPr>
    <w:rPr>
      <w:rFonts w:ascii="宋体" w:hAnsi="宋体" w:cs="宋体"/>
      <w:sz w:val="24"/>
      <w:szCs w:val="24"/>
    </w:rPr>
  </w:style>
  <w:style w:type="paragraph" w:styleId="1275" w:customStyle="1">
    <w:name w:val="表格"/>
    <w:basedOn w:val="961"/>
    <w:uiPriority w:val="0"/>
    <w:qFormat/>
    <w:pPr>
      <w:jc w:val="center"/>
      <w:spacing w:line="440" w:lineRule="exact"/>
    </w:pPr>
    <w:rPr>
      <w:rFonts w:ascii="华文细黑" w:hAnsi="华文细黑"/>
      <w:szCs w:val="20"/>
    </w:rPr>
  </w:style>
  <w:style w:type="paragraph" w:styleId="1276" w:customStyle="1">
    <w:name w:val="正文文本1"/>
    <w:basedOn w:val="961"/>
    <w:uiPriority w:val="0"/>
    <w:qFormat/>
    <w:pPr>
      <w:jc w:val="left"/>
      <w:spacing w:after="60" w:line="440" w:lineRule="exact"/>
      <w:tabs>
        <w:tab w:val="right" w:pos="2520" w:leader="none"/>
        <w:tab w:val="left" w:pos="2880" w:leader="none"/>
      </w:tabs>
    </w:pPr>
    <w:rPr>
      <w:sz w:val="22"/>
      <w:szCs w:val="20"/>
    </w:rPr>
  </w:style>
  <w:style w:type="paragraph" w:styleId="1277" w:customStyle="1">
    <w:name w:val="unnamed1"/>
    <w:basedOn w:val="961"/>
    <w:uiPriority w:val="0"/>
    <w:qFormat/>
    <w:pPr>
      <w:jc w:val="left"/>
      <w:spacing w:before="100" w:beforeAutospacing="1" w:after="100" w:afterAutospacing="1" w:line="288" w:lineRule="auto"/>
      <w:widowControl/>
    </w:pPr>
    <w:rPr>
      <w:rFonts w:hint="eastAsia" w:ascii="宋体" w:hAnsi="宋体"/>
      <w:szCs w:val="21"/>
    </w:rPr>
  </w:style>
  <w:style w:type="paragraph" w:styleId="1278" w:customStyle="1">
    <w:name w:val="字元 字元1 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79" w:customStyle="1">
    <w:name w:val="Char Char Char Char Char Char Char Char Char"/>
    <w:basedOn w:val="961"/>
    <w:uiPriority w:val="0"/>
    <w:qFormat/>
    <w:pPr>
      <w:spacing w:line="440" w:lineRule="exact"/>
    </w:pPr>
    <w:rPr>
      <w:rFonts w:ascii="Tahoma" w:hAnsi="Tahoma" w:cs="Tahoma"/>
      <w:sz w:val="24"/>
      <w:szCs w:val="20"/>
    </w:rPr>
  </w:style>
  <w:style w:type="paragraph" w:styleId="1280" w:customStyle="1">
    <w:name w:val="Char12"/>
    <w:basedOn w:val="961"/>
    <w:uiPriority w:val="0"/>
    <w:qFormat/>
    <w:pPr>
      <w:ind w:left="1350" w:hanging="1350"/>
      <w:tabs>
        <w:tab w:val="left" w:pos="1350" w:leader="none"/>
      </w:tabs>
    </w:pPr>
    <w:rPr>
      <w:sz w:val="24"/>
      <w:szCs w:val="24"/>
    </w:rPr>
  </w:style>
  <w:style w:type="paragraph" w:styleId="1281" w:customStyle="1">
    <w:name w:val="xl44601"/>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2" w:customStyle="1">
    <w:name w:val="xl44599"/>
    <w:basedOn w:val="9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3" w:customStyle="1">
    <w:name w:val="标题9"/>
    <w:basedOn w:val="970"/>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4" w:customStyle="1">
    <w:name w:val="xl35"/>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5" w:customStyle="1">
    <w:name w:val="Char Char Char Char Char Char Char11"/>
    <w:basedOn w:val="961"/>
    <w:uiPriority w:val="0"/>
    <w:qFormat/>
    <w:pPr>
      <w:spacing w:line="440" w:lineRule="exact"/>
    </w:pPr>
    <w:rPr>
      <w:szCs w:val="20"/>
    </w:rPr>
  </w:style>
  <w:style w:type="paragraph" w:styleId="1286" w:customStyle="1">
    <w:name w:val="font10"/>
    <w:basedOn w:val="961"/>
    <w:uiPriority w:val="0"/>
    <w:qFormat/>
    <w:pPr>
      <w:jc w:val="left"/>
      <w:spacing w:before="100" w:beforeAutospacing="1" w:after="100" w:afterAutospacing="1" w:line="440" w:lineRule="exact"/>
      <w:widowControl/>
    </w:pPr>
    <w:rPr>
      <w:rFonts w:eastAsia="Arial Unicode MS"/>
      <w:sz w:val="20"/>
      <w:szCs w:val="20"/>
    </w:rPr>
  </w:style>
  <w:style w:type="paragraph" w:styleId="1287" w:customStyle="1">
    <w:name w:val="Table Paragraph"/>
    <w:basedOn w:val="961"/>
    <w:uiPriority w:val="1"/>
    <w:qFormat/>
    <w:rPr>
      <w:rFonts w:ascii="Calibri" w:hAnsi="Calibri"/>
      <w:lang w:eastAsia="en-US"/>
    </w:rPr>
  </w:style>
  <w:style w:type="paragraph" w:styleId="1288" w:customStyle="1">
    <w:name w:val="xl44602"/>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Char5 Char Char Char Char Char Char"/>
    <w:basedOn w:val="961"/>
    <w:uiPriority w:val="0"/>
    <w:qFormat/>
    <w:pPr>
      <w:spacing w:line="440" w:lineRule="exact"/>
    </w:pPr>
    <w:rPr>
      <w:rFonts w:ascii="Tahoma" w:hAnsi="Tahoma"/>
      <w:sz w:val="24"/>
      <w:szCs w:val="20"/>
    </w:rPr>
  </w:style>
  <w:style w:type="paragraph" w:styleId="1290" w:customStyle="1">
    <w:name w:val="table_lines"/>
    <w:basedOn w:val="961"/>
    <w:uiPriority w:val="0"/>
    <w:qFormat/>
    <w:pPr>
      <w:jc w:val="left"/>
      <w:spacing w:line="440" w:lineRule="exact"/>
      <w:widowControl/>
    </w:pPr>
    <w:rPr>
      <w:sz w:val="20"/>
      <w:szCs w:val="20"/>
      <w:lang w:val="de-DE" w:eastAsia="de-DE"/>
    </w:rPr>
  </w:style>
  <w:style w:type="paragraph" w:styleId="1291" w:customStyle="1">
    <w:name w:val="CM91"/>
    <w:basedOn w:val="1076"/>
    <w:next w:val="1076"/>
    <w:uiPriority w:val="0"/>
    <w:qFormat/>
    <w:pPr>
      <w:spacing w:after="160"/>
    </w:pPr>
    <w:rPr>
      <w:rFonts w:ascii="宋体" w:eastAsia="宋体"/>
      <w:color w:val="auto"/>
    </w:rPr>
  </w:style>
  <w:style w:type="paragraph" w:styleId="1292" w:customStyle="1">
    <w:name w:val="xl59"/>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3" w:customStyle="1">
    <w:name w:val="Char Char4 Char Char 字元 字元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94" w:customStyle="1">
    <w:name w:val="xl64"/>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5"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96">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297" w:customStyle="1">
    <w:name w:val="xl76"/>
    <w:basedOn w:val="961"/>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298" w:customStyle="1">
    <w:name w:val="Char Char Char1 Char Char Char Char1"/>
    <w:basedOn w:val="961"/>
    <w:uiPriority w:val="0"/>
    <w:qFormat/>
    <w:pPr>
      <w:jc w:val="left"/>
      <w:spacing w:after="160" w:line="240" w:lineRule="exact"/>
      <w:widowControl/>
    </w:pPr>
    <w:rPr>
      <w:rFonts w:ascii="宋体" w:hAnsi="宋体" w:cs="宋体"/>
      <w:b/>
      <w:sz w:val="28"/>
      <w:szCs w:val="28"/>
    </w:rPr>
  </w:style>
  <w:style w:type="paragraph" w:styleId="1299" w:customStyle="1">
    <w:name w:val="xl65"/>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0" w:customStyle="1">
    <w:name w:val="正文－恩普"/>
    <w:basedOn w:val="973"/>
    <w:uiPriority w:val="0"/>
    <w:qFormat/>
    <w:pPr>
      <w:ind w:firstLine="200"/>
      <w:spacing w:line="360" w:lineRule="auto"/>
      <w:framePr w:wrap="around" w:vAnchor="text" w:hAnchor="text" w:y="1"/>
    </w:pPr>
    <w:rPr>
      <w:sz w:val="24"/>
      <w:szCs w:val="24"/>
    </w:rPr>
  </w:style>
  <w:style w:type="paragraph" w:styleId="1301" w:customStyle="1">
    <w:name w:val="xl37"/>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2" w:customStyle="1">
    <w:name w:val="xl92"/>
    <w:basedOn w:val="961"/>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3" w:customStyle="1">
    <w:name w:val="Char11"/>
    <w:basedOn w:val="961"/>
    <w:uiPriority w:val="0"/>
    <w:qFormat/>
    <w:pPr>
      <w:ind w:left="840" w:hanging="420"/>
      <w:spacing w:line="440" w:lineRule="exact"/>
      <w:tabs>
        <w:tab w:val="left" w:pos="840" w:leader="none"/>
      </w:tabs>
    </w:pPr>
    <w:rPr>
      <w:sz w:val="24"/>
      <w:szCs w:val="24"/>
    </w:rPr>
  </w:style>
  <w:style w:type="paragraph" w:styleId="1304" w:customStyle="1">
    <w:name w:val="xl45"/>
    <w:basedOn w:val="961"/>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5" w:customStyle="1">
    <w:name w:val="正文 1.1"/>
    <w:basedOn w:val="961"/>
    <w:next w:val="1272"/>
    <w:uiPriority w:val="0"/>
    <w:qFormat/>
    <w:pPr>
      <w:numPr>
        <w:ilvl w:val="1"/>
        <w:numId w:val="4"/>
      </w:numPr>
      <w:ind w:firstLine="550"/>
      <w:outlineLvl w:val="1"/>
    </w:pPr>
    <w:rPr>
      <w:rFonts w:ascii="仿宋" w:hAnsi="仿宋"/>
      <w:b/>
    </w:rPr>
  </w:style>
  <w:style w:type="paragraph" w:styleId="1306" w:customStyle="1">
    <w:name w:val="文档正文"/>
    <w:basedOn w:val="961"/>
    <w:uiPriority w:val="0"/>
    <w:qFormat/>
    <w:pPr>
      <w:ind w:firstLine="567"/>
      <w:spacing w:line="480" w:lineRule="atLeast"/>
    </w:pPr>
    <w:rPr>
      <w:rFonts w:ascii="仿宋_GB2312" w:eastAsia="仿宋_GB2312"/>
      <w:sz w:val="28"/>
      <w:szCs w:val="24"/>
    </w:rPr>
  </w:style>
  <w:style w:type="paragraph" w:styleId="1307" w:customStyle="1">
    <w:name w:val="目录"/>
    <w:basedOn w:val="961"/>
    <w:uiPriority w:val="0"/>
    <w:qFormat/>
    <w:pPr>
      <w:jc w:val="center"/>
      <w:spacing w:line="440" w:lineRule="exact"/>
      <w:widowControl/>
    </w:pPr>
    <w:rPr>
      <w:rFonts w:ascii="宋体"/>
      <w:b/>
      <w:sz w:val="36"/>
      <w:szCs w:val="20"/>
    </w:rPr>
  </w:style>
  <w:style w:type="paragraph" w:styleId="1308" w:customStyle="1">
    <w:name w:val="正文缩进1"/>
    <w:basedOn w:val="961"/>
    <w:uiPriority w:val="0"/>
    <w:qFormat/>
    <w:pPr>
      <w:ind w:firstLine="420"/>
      <w:jc w:val="left"/>
      <w:spacing w:line="360" w:lineRule="auto"/>
      <w:widowControl/>
    </w:pPr>
    <w:rPr>
      <w:rFonts w:ascii="宋体"/>
      <w:sz w:val="20"/>
      <w:szCs w:val="20"/>
    </w:rPr>
  </w:style>
  <w:style w:type="paragraph" w:styleId="1309" w:customStyle="1">
    <w:name w:val="xl44"/>
    <w:basedOn w:val="961"/>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0" w:customStyle="1">
    <w:name w:val="表格内容"/>
    <w:basedOn w:val="961"/>
    <w:uiPriority w:val="0"/>
    <w:qFormat/>
    <w:pPr>
      <w:jc w:val="left"/>
      <w:spacing w:before="40" w:line="440" w:lineRule="exact"/>
    </w:pPr>
    <w:rPr>
      <w:sz w:val="24"/>
      <w:szCs w:val="20"/>
    </w:rPr>
  </w:style>
  <w:style w:type="paragraph" w:styleId="1311" w:customStyle="1">
    <w:name w:val="字元 字元1 Char Char1 字元 字元 Char Char3"/>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12" w:customStyle="1">
    <w:name w:val="Report Text"/>
    <w:basedOn w:val="961"/>
    <w:uiPriority w:val="0"/>
    <w:qFormat/>
    <w:pPr>
      <w:ind w:left="1080"/>
      <w:jc w:val="left"/>
      <w:spacing w:after="138" w:line="440" w:lineRule="exact"/>
      <w:widowControl/>
    </w:pPr>
    <w:rPr>
      <w:sz w:val="22"/>
      <w:szCs w:val="20"/>
      <w:lang w:val="en-GB" w:eastAsia="en-US"/>
    </w:rPr>
  </w:style>
  <w:style w:type="paragraph" w:styleId="131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4" w:customStyle="1">
    <w:name w:val="xl44597"/>
    <w:basedOn w:val="9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5" w:customStyle="1">
    <w:name w:val="xl80"/>
    <w:basedOn w:val="961"/>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16"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17" w:customStyle="1">
    <w:name w:val="Char Char3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18" w:customStyle="1">
    <w:name w:val="Char1"/>
    <w:basedOn w:val="961"/>
    <w:uiPriority w:val="0"/>
    <w:qFormat/>
    <w:rPr>
      <w:rFonts w:ascii="仿宋_GB2312" w:eastAsia="仿宋_GB2312"/>
      <w:b/>
      <w:sz w:val="32"/>
      <w:szCs w:val="32"/>
    </w:rPr>
  </w:style>
  <w:style w:type="paragraph" w:styleId="1319" w:customStyle="1">
    <w:name w:val="xl60"/>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0" w:customStyle="1">
    <w:name w:val="文档标题"/>
    <w:basedOn w:val="961"/>
    <w:uiPriority w:val="0"/>
    <w:qFormat/>
    <w:pPr>
      <w:jc w:val="center"/>
      <w:spacing w:line="300" w:lineRule="auto"/>
    </w:pPr>
    <w:rPr>
      <w:rFonts w:ascii="Arial" w:hAnsi="Arial" w:eastAsia="黑体" w:cs="Arial"/>
      <w:b/>
      <w:sz w:val="48"/>
      <w:szCs w:val="32"/>
    </w:rPr>
  </w:style>
  <w:style w:type="paragraph" w:styleId="1321" w:customStyle="1">
    <w:name w:val="字元 字元1 Char Char1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22" w:customStyle="1">
    <w:name w:val="字元 字元1 Char Char1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23" w:customStyle="1">
    <w:name w:val="ListBullet2"/>
    <w:basedOn w:val="961"/>
    <w:uiPriority w:val="0"/>
    <w:qFormat/>
    <w:pPr>
      <w:numPr>
        <w:ilvl w:val="0"/>
        <w:numId w:val="5"/>
      </w:numPr>
    </w:pPr>
  </w:style>
  <w:style w:type="paragraph" w:styleId="1324" w:customStyle="1">
    <w:name w:val="表左"/>
    <w:basedOn w:val="961"/>
    <w:uiPriority w:val="0"/>
    <w:qFormat/>
    <w:pPr>
      <w:spacing w:line="420" w:lineRule="atLeast"/>
    </w:pPr>
    <w:rPr>
      <w:szCs w:val="20"/>
    </w:rPr>
  </w:style>
  <w:style w:type="paragraph" w:styleId="1325" w:customStyle="1">
    <w:name w:val="可研 + 首行缩进:  2 字符"/>
    <w:basedOn w:val="961"/>
    <w:uiPriority w:val="0"/>
    <w:qFormat/>
    <w:pPr>
      <w:ind w:firstLine="200"/>
      <w:spacing w:before="120" w:line="288" w:lineRule="auto"/>
    </w:pPr>
    <w:rPr>
      <w:rFonts w:eastAsia="方正仿宋_GB18030"/>
      <w:sz w:val="24"/>
      <w:szCs w:val="20"/>
    </w:rPr>
  </w:style>
  <w:style w:type="paragraph" w:styleId="1326" w:customStyle="1">
    <w:name w:val="font7"/>
    <w:basedOn w:val="961"/>
    <w:uiPriority w:val="0"/>
    <w:qFormat/>
    <w:pPr>
      <w:jc w:val="left"/>
      <w:spacing w:before="100" w:beforeAutospacing="1" w:after="100" w:afterAutospacing="1" w:line="440" w:lineRule="exact"/>
      <w:widowControl/>
    </w:pPr>
    <w:rPr>
      <w:rFonts w:ascii="宋体" w:hAnsi="宋体" w:cs="宋体"/>
      <w:sz w:val="18"/>
      <w:szCs w:val="18"/>
    </w:rPr>
  </w:style>
  <w:style w:type="paragraph" w:styleId="1327" w:customStyle="1">
    <w:name w:val="Char Char Char Char Char Char"/>
    <w:basedOn w:val="961"/>
    <w:uiPriority w:val="0"/>
    <w:qFormat/>
    <w:pPr>
      <w:spacing w:line="440" w:lineRule="exact"/>
    </w:pPr>
    <w:rPr>
      <w:rFonts w:ascii="Tahoma" w:hAnsi="Tahoma"/>
      <w:sz w:val="24"/>
      <w:szCs w:val="20"/>
    </w:rPr>
  </w:style>
  <w:style w:type="paragraph" w:styleId="1328" w:customStyle="1">
    <w:name w:val="xl74"/>
    <w:basedOn w:val="961"/>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29" w:customStyle="1">
    <w:name w:val="字元 字元2"/>
    <w:basedOn w:val="961"/>
    <w:uiPriority w:val="0"/>
    <w:qFormat/>
    <w:pPr>
      <w:jc w:val="left"/>
      <w:spacing w:after="160" w:line="240" w:lineRule="exact"/>
      <w:widowControl/>
    </w:pPr>
    <w:rPr>
      <w:szCs w:val="24"/>
    </w:rPr>
  </w:style>
  <w:style w:type="paragraph" w:styleId="1330" w:customStyle="1">
    <w:name w:val="Char Char3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31" w:customStyle="1">
    <w:name w:val="Char1 Char Char Char Char Char Char"/>
    <w:basedOn w:val="961"/>
    <w:uiPriority w:val="0"/>
    <w:qFormat/>
    <w:rPr>
      <w:szCs w:val="24"/>
    </w:rPr>
  </w:style>
  <w:style w:type="paragraph" w:styleId="1332" w:customStyle="1">
    <w:name w:val="xl44606"/>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3" w:customStyle="1">
    <w:name w:val="Default Paragraph Font Para Char"/>
    <w:basedOn w:val="961"/>
    <w:uiPriority w:val="0"/>
    <w:qFormat/>
    <w:pPr>
      <w:jc w:val="left"/>
      <w:spacing w:after="160" w:line="240" w:lineRule="exact"/>
      <w:widowControl/>
    </w:pPr>
    <w:rPr>
      <w:rFonts w:ascii="Verdana" w:hAnsi="Verdana"/>
      <w:sz w:val="20"/>
      <w:szCs w:val="20"/>
      <w:lang w:eastAsia="en-US"/>
    </w:rPr>
  </w:style>
  <w:style w:type="paragraph" w:styleId="1334" w:customStyle="1">
    <w:name w:val="_Style 2"/>
    <w:basedOn w:val="961"/>
    <w:uiPriority w:val="34"/>
    <w:qFormat/>
    <w:pPr>
      <w:ind w:firstLine="420"/>
    </w:pPr>
    <w:rPr>
      <w:szCs w:val="24"/>
    </w:rPr>
  </w:style>
  <w:style w:type="paragraph" w:styleId="1335" w:customStyle="1">
    <w:name w:val="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36" w:customStyle="1">
    <w:name w:val="xl26"/>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7" w:customStyle="1">
    <w:name w:val="xl49"/>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38" w:customStyle="1">
    <w:name w:val="p0"/>
    <w:basedOn w:val="961"/>
    <w:uiPriority w:val="0"/>
    <w:qFormat/>
    <w:pPr>
      <w:widowControl/>
    </w:pPr>
    <w:rPr>
      <w:szCs w:val="21"/>
    </w:rPr>
  </w:style>
  <w:style w:type="paragraph" w:styleId="1339" w:customStyle="1">
    <w:name w:val="列表段落1"/>
    <w:basedOn w:val="961"/>
    <w:uiPriority w:val="99"/>
    <w:qFormat/>
    <w:pPr>
      <w:ind w:left="79" w:firstLine="420"/>
      <w:spacing w:line="360" w:lineRule="auto"/>
      <w:widowControl/>
    </w:pPr>
    <w:rPr>
      <w:rFonts w:ascii="等线" w:hAnsi="等线" w:eastAsia="等线"/>
    </w:rPr>
  </w:style>
  <w:style w:type="paragraph" w:styleId="1340" w:customStyle="1">
    <w:name w:val="Zchn Zchn"/>
    <w:basedOn w:val="978"/>
    <w:uiPriority w:val="0"/>
    <w:qFormat/>
    <w:pPr>
      <w:spacing w:line="360" w:lineRule="auto"/>
      <w:shd w:val="clear" w:color="auto" w:fill="000080"/>
    </w:pPr>
    <w:rPr>
      <w:rFonts w:ascii="Tahoma" w:hAnsi="Tahoma"/>
      <w:sz w:val="24"/>
      <w:szCs w:val="24"/>
    </w:rPr>
  </w:style>
  <w:style w:type="paragraph" w:styleId="1341" w:customStyle="1">
    <w:name w:val="正文蓝"/>
    <w:basedOn w:val="973"/>
    <w:uiPriority w:val="0"/>
    <w:qFormat/>
    <w:pPr>
      <w:ind w:firstLine="482"/>
      <w:spacing w:line="288" w:lineRule="auto"/>
    </w:pPr>
    <w:rPr>
      <w:rFonts w:ascii="方正仿宋_GB18030" w:hAnsi="宋体" w:eastAsia="方正仿宋_GB18030" w:cs="宋体"/>
      <w:bCs/>
      <w:color w:val="0000ff"/>
      <w:sz w:val="24"/>
      <w:szCs w:val="20"/>
    </w:rPr>
  </w:style>
  <w:style w:type="paragraph" w:styleId="1342" w:customStyle="1">
    <w:name w:val="Char5 Char Char Char Char Char Char1"/>
    <w:basedOn w:val="961"/>
    <w:uiPriority w:val="0"/>
    <w:qFormat/>
    <w:pPr>
      <w:spacing w:line="440" w:lineRule="exact"/>
    </w:pPr>
    <w:rPr>
      <w:rFonts w:ascii="Tahoma" w:hAnsi="Tahoma"/>
      <w:sz w:val="24"/>
      <w:szCs w:val="20"/>
    </w:rPr>
  </w:style>
  <w:style w:type="paragraph" w:styleId="1343" w:customStyle="1">
    <w:name w:val="封面样式3"/>
    <w:basedOn w:val="961"/>
    <w:uiPriority w:val="0"/>
    <w:qFormat/>
    <w:pPr>
      <w:ind w:firstLine="420"/>
      <w:spacing w:line="440" w:lineRule="exact"/>
    </w:pPr>
    <w:rPr>
      <w:rFonts w:ascii="华文细黑" w:hAnsi="华文细黑"/>
      <w:szCs w:val="24"/>
    </w:rPr>
  </w:style>
  <w:style w:type="paragraph" w:styleId="1344" w:customStyle="1">
    <w:name w:val="Char Char Char"/>
    <w:basedOn w:val="961"/>
    <w:uiPriority w:val="0"/>
    <w:qFormat/>
    <w:pPr>
      <w:jc w:val="left"/>
      <w:spacing w:line="440" w:lineRule="exact"/>
      <w:widowControl/>
    </w:pPr>
    <w:rPr>
      <w:rFonts w:ascii="Tahoma" w:hAnsi="Tahoma" w:cs="宋体"/>
      <w:sz w:val="24"/>
      <w:szCs w:val="20"/>
    </w:rPr>
  </w:style>
  <w:style w:type="paragraph" w:styleId="1345" w:customStyle="1">
    <w:name w:val="xl56"/>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46" w:customStyle="1">
    <w:name w:val="Char Char Char Char Char Char1"/>
    <w:basedOn w:val="961"/>
    <w:uiPriority w:val="0"/>
    <w:qFormat/>
    <w:pPr>
      <w:spacing w:line="440" w:lineRule="exact"/>
    </w:pPr>
    <w:rPr>
      <w:rFonts w:ascii="Tahoma" w:hAnsi="Tahoma"/>
      <w:sz w:val="24"/>
      <w:szCs w:val="20"/>
    </w:rPr>
  </w:style>
  <w:style w:type="paragraph" w:styleId="1347" w:customStyle="1">
    <w:name w:val="Char Char Char Char Char Char Char Char1"/>
    <w:basedOn w:val="961"/>
    <w:uiPriority w:val="0"/>
    <w:qFormat/>
    <w:pPr>
      <w:jc w:val="left"/>
      <w:spacing w:after="160" w:line="240" w:lineRule="exact"/>
      <w:widowControl/>
    </w:pPr>
    <w:rPr>
      <w:rFonts w:ascii="Verdana" w:hAnsi="Verdana" w:cs="宋体"/>
      <w:sz w:val="20"/>
      <w:szCs w:val="20"/>
      <w:lang w:eastAsia="en-US"/>
    </w:rPr>
  </w:style>
  <w:style w:type="paragraph" w:styleId="1348" w:customStyle="1">
    <w:name w:val="简单回函地址"/>
    <w:basedOn w:val="961"/>
    <w:uiPriority w:val="0"/>
    <w:qFormat/>
    <w:pPr>
      <w:spacing w:line="440" w:lineRule="exact"/>
    </w:pPr>
    <w:rPr>
      <w:szCs w:val="24"/>
    </w:rPr>
  </w:style>
  <w:style w:type="paragraph" w:styleId="1349" w:customStyle="1">
    <w:name w:val="xl90"/>
    <w:basedOn w:val="961"/>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0" w:customStyle="1">
    <w:name w:val="xl4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1" w:customStyle="1">
    <w:name w:val="xl82"/>
    <w:basedOn w:val="961"/>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2" w:customStyle="1">
    <w:name w:val="xl36"/>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3" w:customStyle="1">
    <w:name w:val="xl88"/>
    <w:basedOn w:val="961"/>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4" w:customStyle="1">
    <w:name w:val="默认段落字体 Para Char Char Char Char Char Char Char"/>
    <w:basedOn w:val="978"/>
    <w:uiPriority w:val="0"/>
    <w:qFormat/>
    <w:pPr>
      <w:ind w:left="357"/>
      <w:jc w:val="left"/>
      <w:spacing w:line="436" w:lineRule="exact"/>
      <w:shd w:val="clear" w:color="auto" w:fill="000080"/>
      <w:outlineLvl w:val="3"/>
    </w:pPr>
    <w:rPr>
      <w:rFonts w:ascii="Tahoma" w:hAnsi="Tahoma"/>
      <w:b/>
      <w:sz w:val="24"/>
      <w:szCs w:val="24"/>
    </w:rPr>
  </w:style>
  <w:style w:type="paragraph" w:styleId="1355" w:customStyle="1">
    <w:name w:val="xl7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56" w:customStyle="1">
    <w:name w:val="xl84"/>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57" w:customStyle="1">
    <w:name w:val="CM29"/>
    <w:basedOn w:val="1076"/>
    <w:next w:val="1076"/>
    <w:uiPriority w:val="0"/>
    <w:qFormat/>
    <w:pPr>
      <w:spacing w:line="400" w:lineRule="atLeast"/>
    </w:pPr>
    <w:rPr>
      <w:rFonts w:ascii="宋体" w:eastAsia="宋体"/>
      <w:color w:val="auto"/>
    </w:rPr>
  </w:style>
  <w:style w:type="paragraph" w:styleId="1358" w:customStyle="1">
    <w:name w:val="字元 字元1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59" w:customStyle="1">
    <w:name w:val="Char3"/>
    <w:basedOn w:val="978"/>
    <w:uiPriority w:val="0"/>
    <w:qFormat/>
    <w:pPr>
      <w:spacing w:line="360" w:lineRule="auto"/>
      <w:shd w:val="clear" w:color="auto" w:fill="000080"/>
    </w:pPr>
    <w:rPr>
      <w:rFonts w:ascii="Tahoma" w:hAnsi="Tahoma" w:cs="Tahoma"/>
      <w:sz w:val="24"/>
      <w:szCs w:val="24"/>
    </w:rPr>
  </w:style>
  <w:style w:type="paragraph" w:styleId="1360" w:customStyle="1">
    <w:name w:val="_Style 3"/>
    <w:basedOn w:val="961"/>
    <w:uiPriority w:val="0"/>
    <w:qFormat/>
    <w:pPr>
      <w:ind w:firstLine="420"/>
      <w:spacing w:line="440" w:lineRule="exact"/>
    </w:pPr>
    <w:rPr>
      <w:szCs w:val="24"/>
    </w:rPr>
  </w:style>
  <w:style w:type="paragraph" w:styleId="1361" w:customStyle="1">
    <w:name w:val="Char Char3"/>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62" w:customStyle="1">
    <w:name w:val="_Style 49"/>
    <w:basedOn w:val="961"/>
    <w:next w:val="993"/>
    <w:uiPriority w:val="0"/>
    <w:qFormat/>
    <w:pPr>
      <w:spacing w:line="440" w:lineRule="exact"/>
    </w:pPr>
    <w:rPr>
      <w:rFonts w:ascii="宋体" w:hAnsi="Courier New"/>
      <w:sz w:val="24"/>
      <w:szCs w:val="20"/>
    </w:rPr>
  </w:style>
  <w:style w:type="paragraph" w:styleId="1363" w:customStyle="1">
    <w:name w:val="字元 字元1 Char Char1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64" w:customStyle="1">
    <w:name w:val="bodytextindent3"/>
    <w:basedOn w:val="961"/>
    <w:uiPriority w:val="0"/>
    <w:qFormat/>
    <w:pPr>
      <w:jc w:val="left"/>
      <w:spacing w:before="100" w:beforeAutospacing="1" w:after="100" w:afterAutospacing="1" w:line="440" w:lineRule="exact"/>
      <w:widowControl/>
    </w:pPr>
    <w:rPr>
      <w:rFonts w:ascii="宋体" w:hAnsi="宋体" w:cs="宋体"/>
      <w:sz w:val="24"/>
      <w:szCs w:val="24"/>
    </w:rPr>
  </w:style>
  <w:style w:type="paragraph" w:styleId="1365" w:customStyle="1">
    <w:name w:val="Char Char Char Char Char Char Char Char Char Char"/>
    <w:basedOn w:val="961"/>
    <w:uiPriority w:val="0"/>
    <w:qFormat/>
    <w:pPr>
      <w:spacing w:line="360" w:lineRule="auto"/>
    </w:pPr>
    <w:rPr>
      <w:sz w:val="24"/>
      <w:szCs w:val="20"/>
    </w:rPr>
  </w:style>
  <w:style w:type="paragraph" w:styleId="1366" w:customStyle="1">
    <w:name w:val="table_1stline"/>
    <w:basedOn w:val="961"/>
    <w:uiPriority w:val="0"/>
    <w:qFormat/>
    <w:pPr>
      <w:jc w:val="left"/>
      <w:spacing w:before="120" w:line="440" w:lineRule="exact"/>
      <w:widowControl/>
    </w:pPr>
    <w:rPr>
      <w:bCs/>
      <w:sz w:val="20"/>
      <w:szCs w:val="20"/>
      <w:lang w:val="de-DE" w:eastAsia="de-DE"/>
    </w:rPr>
  </w:style>
  <w:style w:type="paragraph" w:styleId="1367" w:customStyle="1">
    <w:name w:val="xl44605"/>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8" w:customStyle="1">
    <w:name w:val="1"/>
    <w:basedOn w:val="961"/>
    <w:uiPriority w:val="0"/>
    <w:qFormat/>
    <w:pPr>
      <w:jc w:val="left"/>
      <w:spacing w:after="160" w:line="240" w:lineRule="exact"/>
      <w:widowControl/>
    </w:pPr>
    <w:rPr>
      <w:szCs w:val="24"/>
    </w:rPr>
  </w:style>
  <w:style w:type="paragraph" w:styleId="1369" w:customStyle="1">
    <w:name w:val="xl30"/>
    <w:basedOn w:val="961"/>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0" w:customStyle="1">
    <w:name w:val="xl83"/>
    <w:basedOn w:val="961"/>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1" w:customStyle="1">
    <w:name w:val="xl44595"/>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2" w:customStyle="1">
    <w:name w:val="WPS Plain"/>
    <w:uiPriority w:val="0"/>
    <w:qFormat/>
    <w:rPr>
      <w:rFonts w:ascii="Times New Roman" w:hAnsi="Times New Roman" w:eastAsia="宋体" w:cs="Times New Roman"/>
      <w:lang w:val="en-US" w:eastAsia="zh-CN" w:bidi="ar-SA"/>
    </w:rPr>
  </w:style>
  <w:style w:type="paragraph" w:styleId="1373" w:customStyle="1">
    <w:name w:val="表格标题"/>
    <w:basedOn w:val="961"/>
    <w:uiPriority w:val="0"/>
    <w:qFormat/>
    <w:pPr>
      <w:jc w:val="center"/>
      <w:spacing w:line="440" w:lineRule="exact"/>
    </w:pPr>
    <w:rPr>
      <w:rFonts w:ascii="Arial" w:hAnsi="Arial" w:eastAsia="义启中圆体"/>
      <w:b/>
      <w:sz w:val="24"/>
      <w:szCs w:val="20"/>
    </w:rPr>
  </w:style>
  <w:style w:type="paragraph" w:styleId="1374" w:customStyle="1">
    <w:name w:val="xl55"/>
    <w:basedOn w:val="961"/>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5" w:customStyle="1">
    <w:name w:val="Char Char Char Char Char Char Char1"/>
    <w:basedOn w:val="961"/>
    <w:uiPriority w:val="0"/>
    <w:qFormat/>
    <w:pPr>
      <w:spacing w:line="440" w:lineRule="exact"/>
    </w:pPr>
    <w:rPr>
      <w:rFonts w:ascii="方正仿宋_GB18030" w:eastAsia="方正仿宋_GB18030"/>
      <w:b/>
      <w:sz w:val="32"/>
      <w:szCs w:val="32"/>
    </w:rPr>
  </w:style>
  <w:style w:type="paragraph" w:styleId="1376" w:customStyle="1">
    <w:name w:val="标题8"/>
    <w:basedOn w:val="969"/>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77" w:customStyle="1">
    <w:name w:val="Char Char Char Char Char Char Char Char"/>
    <w:basedOn w:val="961"/>
    <w:uiPriority w:val="0"/>
    <w:qFormat/>
    <w:pPr>
      <w:jc w:val="left"/>
      <w:spacing w:after="160" w:line="240" w:lineRule="exact"/>
      <w:widowControl/>
    </w:pPr>
    <w:rPr>
      <w:rFonts w:ascii="Verdana" w:hAnsi="Verdana"/>
      <w:sz w:val="20"/>
      <w:szCs w:val="20"/>
      <w:lang w:eastAsia="en-US"/>
    </w:rPr>
  </w:style>
  <w:style w:type="paragraph" w:styleId="1378" w:customStyle="1">
    <w:name w:val="xl44600"/>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xl46"/>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0" w:customStyle="1">
    <w:name w:val="Main_heading"/>
    <w:basedOn w:val="961"/>
    <w:next w:val="961"/>
    <w:uiPriority w:val="0"/>
    <w:qFormat/>
    <w:pPr>
      <w:jc w:val="left"/>
      <w:spacing w:before="240" w:after="240" w:line="240" w:lineRule="atLeast"/>
      <w:widowControl/>
    </w:pPr>
    <w:rPr>
      <w:rFonts w:eastAsia="MS PGothic"/>
      <w:b/>
      <w:sz w:val="28"/>
      <w:szCs w:val="20"/>
      <w:lang w:eastAsia="ja-JP"/>
    </w:rPr>
  </w:style>
  <w:style w:type="paragraph" w:styleId="1381" w:customStyle="1">
    <w:name w:val="Char2"/>
    <w:basedOn w:val="961"/>
    <w:uiPriority w:val="0"/>
    <w:qFormat/>
    <w:pPr>
      <w:spacing w:line="440" w:lineRule="exact"/>
    </w:pPr>
    <w:rPr>
      <w:rFonts w:ascii="Tahoma" w:hAnsi="Tahoma"/>
      <w:sz w:val="24"/>
      <w:szCs w:val="20"/>
    </w:rPr>
  </w:style>
  <w:style w:type="paragraph" w:styleId="1382" w:customStyle="1">
    <w:name w:val="字元 字元"/>
    <w:basedOn w:val="961"/>
    <w:uiPriority w:val="0"/>
    <w:qFormat/>
    <w:pPr>
      <w:ind w:left="360" w:hanging="360"/>
      <w:spacing w:line="440" w:lineRule="exact"/>
      <w:tabs>
        <w:tab w:val="left" w:pos="360" w:leader="none"/>
      </w:tabs>
    </w:pPr>
    <w:rPr>
      <w:sz w:val="24"/>
      <w:szCs w:val="24"/>
    </w:rPr>
  </w:style>
  <w:style w:type="paragraph" w:styleId="1383" w:customStyle="1">
    <w:name w:val="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84" w:customStyle="1">
    <w:name w:val="xl58"/>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5" w:customStyle="1">
    <w:name w:val="标题2"/>
    <w:basedOn w:val="963"/>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86" w:customStyle="1">
    <w:name w:val="Char1 Char Char Char"/>
    <w:basedOn w:val="961"/>
    <w:uiPriority w:val="0"/>
    <w:qFormat/>
    <w:pPr>
      <w:spacing w:line="440" w:lineRule="exact"/>
    </w:pPr>
    <w:rPr>
      <w:rFonts w:ascii="Tahoma" w:hAnsi="Tahoma" w:cs="Tahoma"/>
      <w:sz w:val="24"/>
      <w:szCs w:val="20"/>
    </w:rPr>
  </w:style>
  <w:style w:type="paragraph" w:styleId="1387" w:customStyle="1">
    <w:name w:val="1 Char Char Char Char Char Char Char"/>
    <w:basedOn w:val="961"/>
    <w:uiPriority w:val="0"/>
    <w:qFormat/>
    <w:pPr>
      <w:spacing w:line="360" w:lineRule="auto"/>
    </w:pPr>
    <w:rPr>
      <w:rFonts w:ascii="方正仿宋_GB18030" w:hAnsi="宋体" w:eastAsia="方正仿宋_GB18030" w:cs="宋体"/>
      <w:szCs w:val="21"/>
    </w:rPr>
  </w:style>
  <w:style w:type="paragraph" w:styleId="1388" w:customStyle="1">
    <w:name w:val="xl91"/>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89" w:customStyle="1">
    <w:name w:val="正文2"/>
    <w:uiPriority w:val="0"/>
    <w:qFormat/>
    <w:pPr>
      <w:jc w:val="both"/>
    </w:pPr>
    <w:rPr>
      <w:rFonts w:ascii="Times New Roman" w:hAnsi="Times New Roman" w:eastAsia="宋体" w:cs="Times New Roman"/>
      <w:sz w:val="21"/>
      <w:lang w:val="en-US" w:eastAsia="zh-CN" w:bidi="ar-SA"/>
    </w:rPr>
  </w:style>
  <w:style w:type="paragraph" w:styleId="1390" w:customStyle="1">
    <w:name w:val="xl47"/>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1" w:customStyle="1">
    <w:name w:val="图标"/>
    <w:basedOn w:val="961"/>
    <w:next w:val="961"/>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2" w:customStyle="1">
    <w:name w:val="字元1 Char Char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93" w:customStyle="1">
    <w:name w:val="默认段落字体 Para Char Char Char Char Char Char Char Char Char1 Char Char Char Char Char Char Char"/>
    <w:basedOn w:val="978"/>
    <w:uiPriority w:val="0"/>
    <w:qFormat/>
    <w:pPr>
      <w:spacing w:line="440" w:lineRule="exact"/>
      <w:shd w:val="clear" w:color="auto" w:fill="000080"/>
    </w:pPr>
    <w:rPr>
      <w:rFonts w:ascii="Tahoma" w:hAnsi="Tahoma" w:cs="Tahoma"/>
      <w:sz w:val="24"/>
      <w:szCs w:val="24"/>
    </w:rPr>
  </w:style>
  <w:style w:type="paragraph" w:styleId="1394" w:customStyle="1">
    <w:name w:val="标题3"/>
    <w:basedOn w:val="961"/>
    <w:next w:val="961"/>
    <w:uiPriority w:val="0"/>
    <w:qFormat/>
    <w:pPr>
      <w:ind w:firstLine="624"/>
      <w:spacing w:line="590" w:lineRule="atLeast"/>
    </w:pPr>
    <w:rPr>
      <w:rFonts w:ascii="方正黑体_GBK" w:hAnsi="宋体" w:eastAsia="方正黑体_GBK" w:cs="宋体"/>
      <w:sz w:val="32"/>
      <w:szCs w:val="32"/>
    </w:rPr>
  </w:style>
  <w:style w:type="paragraph" w:styleId="1395" w:customStyle="1">
    <w:name w:val="字元 字元1 Char Char1 字元 字元 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96" w:customStyle="1">
    <w:name w:val="xl6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97" w:customStyle="1">
    <w:name w:val="Char Char Char Char Char Char Char Char Char Char Char Char Char Char Char1 Char1"/>
    <w:basedOn w:val="961"/>
    <w:uiPriority w:val="0"/>
    <w:qFormat/>
    <w:pPr>
      <w:spacing w:line="312" w:lineRule="atLeast"/>
    </w:pPr>
    <w:rPr>
      <w:b/>
      <w:bCs/>
      <w:sz w:val="36"/>
      <w:szCs w:val="32"/>
    </w:rPr>
  </w:style>
  <w:style w:type="paragraph" w:styleId="1398"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99" w:customStyle="1">
    <w:name w:val="落款"/>
    <w:basedOn w:val="961"/>
    <w:uiPriority w:val="0"/>
    <w:qFormat/>
    <w:pPr>
      <w:ind w:firstLine="420"/>
      <w:spacing w:line="440" w:lineRule="exact"/>
    </w:pPr>
    <w:rPr>
      <w:rFonts w:ascii="华文细黑" w:hAnsi="华文细黑"/>
      <w:szCs w:val="24"/>
    </w:rPr>
  </w:style>
  <w:style w:type="paragraph" w:styleId="1400" w:customStyle="1">
    <w:name w:val="xl24"/>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1" w:customStyle="1">
    <w:name w:val="字元1 Char Char 字元 字元 字元 Char Char 字元 字元 Char Char 字元 字元 Char Char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2" w:customStyle="1">
    <w:name w:val="xl3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3" w:customStyle="1">
    <w:name w:val="xl69"/>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4" w:customStyle="1">
    <w:name w:val="Char Char3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5" w:customStyle="1">
    <w:name w:val="默认段落字体 Para Char Char Char Char Char Char Char Char Char Char Char Char Char Char Char Char Char Char Char"/>
    <w:basedOn w:val="961"/>
    <w:uiPriority w:val="0"/>
    <w:qFormat/>
    <w:pPr>
      <w:spacing w:line="440" w:lineRule="exact"/>
    </w:pPr>
    <w:rPr>
      <w:rFonts w:ascii="Tahoma" w:hAnsi="Tahoma"/>
      <w:sz w:val="24"/>
      <w:szCs w:val="20"/>
    </w:rPr>
  </w:style>
  <w:style w:type="paragraph" w:styleId="1406" w:customStyle="1">
    <w:name w:val="纯文本11"/>
    <w:basedOn w:val="961"/>
    <w:uiPriority w:val="0"/>
    <w:qFormat/>
    <w:pPr>
      <w:spacing w:line="440" w:lineRule="exact"/>
    </w:pPr>
    <w:rPr>
      <w:rFonts w:hint="eastAsia" w:ascii="宋体" w:hAnsi="Courier New" w:eastAsia="楷体_GB2312"/>
      <w:sz w:val="28"/>
      <w:szCs w:val="20"/>
    </w:rPr>
  </w:style>
  <w:style w:type="paragraph" w:styleId="1407" w:customStyle="1">
    <w:name w:val="字元 字元1 Char Char1 字元 字元 Char Char2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8" w:customStyle="1">
    <w:name w:val="xl81"/>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09" w:customStyle="1">
    <w:name w:val="字元 字元1 Char Char1 字元 字元 Char Char1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0" w:customStyle="1">
    <w:name w:val="强调文字2"/>
    <w:basedOn w:val="1206"/>
    <w:uiPriority w:val="0"/>
    <w:qFormat/>
  </w:style>
  <w:style w:type="paragraph" w:styleId="1411" w:customStyle="1">
    <w:name w:val="CM4"/>
    <w:basedOn w:val="1076"/>
    <w:next w:val="1076"/>
    <w:uiPriority w:val="0"/>
    <w:qFormat/>
    <w:rPr>
      <w:rFonts w:ascii="宋体" w:eastAsia="宋体"/>
      <w:color w:val="auto"/>
    </w:rPr>
  </w:style>
  <w:style w:type="paragraph" w:styleId="1412" w:customStyle="1">
    <w:name w:val="xl94"/>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3" w:customStyle="1">
    <w:name w:val="xl54"/>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4" w:customStyle="1">
    <w:name w:val="字元 字元1 Char Char1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5" w:customStyle="1">
    <w:name w:val="xl4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16" w:customStyle="1">
    <w:name w:val="xl48"/>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17" w:customStyle="1">
    <w:name w:val="Char Char3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8" w:customStyle="1">
    <w:name w:val="技标1"/>
    <w:basedOn w:val="962"/>
    <w:uiPriority w:val="0"/>
    <w:qFormat/>
    <w:pPr>
      <w:jc w:val="center"/>
      <w:keepLines w:val="0"/>
      <w:keepNext w:val="0"/>
      <w:spacing w:before="720" w:after="120" w:line="420" w:lineRule="atLeast"/>
    </w:pPr>
    <w:rPr>
      <w:bCs w:val="0"/>
      <w:sz w:val="32"/>
      <w:szCs w:val="20"/>
    </w:rPr>
  </w:style>
  <w:style w:type="paragraph" w:styleId="1419" w:customStyle="1">
    <w:name w:val="xl67"/>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0" w:customStyle="1">
    <w:name w:val="Char Char1 Char Char Char Char Char Char Char"/>
    <w:basedOn w:val="961"/>
    <w:uiPriority w:val="0"/>
    <w:qFormat/>
    <w:pPr>
      <w:spacing w:line="440" w:lineRule="exact"/>
    </w:pPr>
    <w:rPr>
      <w:rFonts w:ascii="Tahoma" w:hAnsi="Tahoma" w:cs="Tahoma"/>
      <w:sz w:val="24"/>
      <w:szCs w:val="24"/>
    </w:rPr>
  </w:style>
  <w:style w:type="paragraph" w:styleId="1421"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2" w:customStyle="1">
    <w:name w:val="表中"/>
    <w:basedOn w:val="961"/>
    <w:uiPriority w:val="0"/>
    <w:qFormat/>
    <w:pPr>
      <w:jc w:val="center"/>
      <w:spacing w:line="400" w:lineRule="atLeast"/>
    </w:pPr>
    <w:rPr>
      <w:szCs w:val="20"/>
    </w:rPr>
  </w:style>
  <w:style w:type="paragraph" w:styleId="1423" w:customStyle="1">
    <w:name w:val="xl66"/>
    <w:basedOn w:val="961"/>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4"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5" w:customStyle="1">
    <w:name w:val="Char Char2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26" w:customStyle="1">
    <w:name w:val="TOC 标题1"/>
    <w:basedOn w:val="962"/>
    <w:next w:val="961"/>
    <w:uiPriority w:val="39"/>
    <w:qFormat/>
    <w:pPr>
      <w:jc w:val="left"/>
      <w:spacing w:before="480" w:after="0" w:line="276" w:lineRule="auto"/>
      <w:widowControl/>
      <w:outlineLvl w:val="9"/>
    </w:pPr>
    <w:rPr>
      <w:rFonts w:ascii="Cambria" w:hAnsi="Cambria"/>
      <w:color w:val="365f91"/>
      <w:sz w:val="28"/>
      <w:szCs w:val="28"/>
    </w:rPr>
  </w:style>
  <w:style w:type="paragraph" w:styleId="1427" w:customStyle="1">
    <w:name w:val="Char Char Char1 Char Char Char Char"/>
    <w:basedOn w:val="961"/>
    <w:uiPriority w:val="0"/>
    <w:qFormat/>
    <w:pPr>
      <w:jc w:val="left"/>
      <w:spacing w:after="160" w:line="240" w:lineRule="exact"/>
      <w:widowControl/>
    </w:pPr>
    <w:rPr>
      <w:rFonts w:ascii="宋体" w:hAnsi="宋体"/>
      <w:b/>
      <w:sz w:val="28"/>
      <w:szCs w:val="28"/>
    </w:rPr>
  </w:style>
  <w:style w:type="paragraph" w:styleId="1428" w:customStyle="1">
    <w:name w:val="字元 字元1 Char Char1 字元 字元 Char Char1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29" w:customStyle="1">
    <w:name w:val="Char Char3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30" w:customStyle="1">
    <w:name w:val="Char Char Char Char Char Char Char Char Char Char Char Char Char Char Char Char Char Char"/>
    <w:basedOn w:val="961"/>
    <w:uiPriority w:val="0"/>
    <w:qFormat/>
    <w:pPr>
      <w:jc w:val="center"/>
      <w:spacing w:line="480" w:lineRule="exact"/>
    </w:pPr>
    <w:rPr>
      <w:color w:val="000000"/>
      <w:sz w:val="28"/>
      <w:szCs w:val="52"/>
    </w:rPr>
  </w:style>
  <w:style w:type="paragraph" w:styleId="1431" w:customStyle="1">
    <w:name w:val="中文正文"/>
    <w:basedOn w:val="1241"/>
    <w:uiPriority w:val="0"/>
    <w:qFormat/>
    <w:rPr>
      <w:sz w:val="24"/>
    </w:rPr>
  </w:style>
  <w:style w:type="paragraph" w:styleId="1432" w:customStyle="1">
    <w:name w:val="xl87"/>
    <w:basedOn w:val="961"/>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3" w:customStyle="1">
    <w:name w:val="xl85"/>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4" w:customStyle="1">
    <w:name w:val="xl73"/>
    <w:basedOn w:val="961"/>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5" w:customStyle="1">
    <w:name w:val="Char Char2 Char"/>
    <w:basedOn w:val="961"/>
    <w:uiPriority w:val="0"/>
    <w:qFormat/>
    <w:pPr>
      <w:ind w:left="390" w:hanging="390"/>
      <w:keepLines/>
      <w:keepNext/>
      <w:pageBreakBefore/>
      <w:tabs>
        <w:tab w:val="left" w:pos="390" w:leader="none"/>
      </w:tabs>
    </w:pPr>
    <w:rPr>
      <w:rFonts w:ascii="Tahoma" w:hAnsi="Tahoma"/>
      <w:sz w:val="24"/>
      <w:szCs w:val="20"/>
    </w:rPr>
  </w:style>
  <w:style w:type="paragraph" w:styleId="1436" w:customStyle="1">
    <w:name w:val="Char Char Char Char2"/>
    <w:basedOn w:val="961"/>
    <w:uiPriority w:val="0"/>
    <w:qFormat/>
    <w:rPr>
      <w:szCs w:val="24"/>
    </w:rPr>
  </w:style>
  <w:style w:type="paragraph" w:styleId="1437" w:customStyle="1">
    <w:name w:val="标题4"/>
    <w:basedOn w:val="961"/>
    <w:next w:val="990"/>
    <w:uiPriority w:val="0"/>
    <w:qFormat/>
    <w:pPr>
      <w:ind w:firstLine="200"/>
      <w:spacing w:line="360" w:lineRule="auto"/>
      <w:outlineLvl w:val="3"/>
    </w:pPr>
    <w:rPr>
      <w:b/>
      <w:bCs/>
      <w:sz w:val="24"/>
      <w:szCs w:val="24"/>
    </w:rPr>
  </w:style>
  <w:style w:type="character" w:styleId="1438" w:customStyle="1">
    <w:name w:val="ql-font-arial"/>
    <w:basedOn w:val="971"/>
    <w:uiPriority w:val="0"/>
    <w:qFormat/>
  </w:style>
  <w:style w:type="paragraph" w:styleId="1439" w:customStyle="1">
    <w:name w:val="正文（缩进）"/>
    <w:basedOn w:val="961"/>
    <w:next w:val="961"/>
    <w:uiPriority w:val="99"/>
    <w:qFormat/>
    <w:pPr>
      <w:ind w:firstLine="480"/>
    </w:pPr>
  </w:style>
  <w:style w:type="character" w:styleId="1440" w:customStyle="1">
    <w:name w:val="Char Char91"/>
    <w:uiPriority w:val="0"/>
    <w:qFormat/>
    <w:rPr>
      <w:rFonts w:ascii="等线 Light" w:hAnsi="等线 Light" w:eastAsia="等线 Light" w:cs="Times New Roman"/>
      <w:b/>
      <w:bCs/>
      <w:sz w:val="28"/>
      <w:szCs w:val="28"/>
    </w:rPr>
  </w:style>
  <w:style w:type="character" w:styleId="1441" w:customStyle="1">
    <w:name w:val="Char Char111"/>
    <w:uiPriority w:val="0"/>
    <w:qFormat/>
    <w:rPr>
      <w:rFonts w:ascii="Arial" w:hAnsi="Arial" w:eastAsia="宋体" w:cs="Times New Roman"/>
      <w:b/>
      <w:bCs/>
      <w:sz w:val="28"/>
      <w:szCs w:val="36"/>
    </w:rPr>
  </w:style>
  <w:style w:type="character" w:styleId="1442" w:customStyle="1">
    <w:name w:val="Char Char121"/>
    <w:uiPriority w:val="0"/>
    <w:qFormat/>
    <w:rPr>
      <w:b/>
      <w:bCs/>
      <w:sz w:val="44"/>
      <w:szCs w:val="44"/>
    </w:rPr>
  </w:style>
  <w:style w:type="character" w:styleId="1443" w:customStyle="1">
    <w:name w:val="Char Char101"/>
    <w:uiPriority w:val="0"/>
    <w:qFormat/>
    <w:rPr>
      <w:rFonts w:ascii="Arial" w:hAnsi="Arial" w:eastAsia="黑体" w:cs="Times New Roman"/>
      <w:b/>
      <w:bCs/>
      <w:sz w:val="30"/>
      <w:szCs w:val="32"/>
    </w:rPr>
  </w:style>
  <w:style w:type="character" w:styleId="1444" w:customStyle="1">
    <w:name w:val="Char Char81"/>
    <w:uiPriority w:val="0"/>
    <w:qFormat/>
    <w:rPr>
      <w:rFonts w:ascii="Calibri" w:hAnsi="Calibri" w:eastAsia="宋体" w:cs="Times New Roman"/>
      <w:b/>
      <w:bCs/>
      <w:sz w:val="28"/>
      <w:szCs w:val="28"/>
    </w:rPr>
  </w:style>
  <w:style w:type="paragraph" w:styleId="1445" w:customStyle="1">
    <w:name w:val="列出段落2"/>
    <w:basedOn w:val="961"/>
    <w:uiPriority w:val="0"/>
    <w:qFormat/>
    <w:pPr>
      <w:ind w:firstLine="420"/>
    </w:pPr>
    <w:rPr>
      <w:szCs w:val="20"/>
    </w:rPr>
  </w:style>
  <w:style w:type="paragraph" w:styleId="1446" w:customStyle="1">
    <w:name w:val="正文缩进11"/>
    <w:basedOn w:val="961"/>
    <w:next w:val="1447"/>
    <w:uiPriority w:val="0"/>
    <w:qFormat/>
    <w:pPr>
      <w:ind w:firstLine="420"/>
      <w:jc w:val="left"/>
      <w:spacing w:line="360" w:lineRule="auto"/>
      <w:widowControl/>
    </w:pPr>
    <w:rPr>
      <w:rFonts w:ascii="宋体"/>
      <w:sz w:val="20"/>
      <w:szCs w:val="20"/>
    </w:rPr>
  </w:style>
  <w:style w:type="paragraph" w:styleId="1447" w:customStyle="1">
    <w:name w:val="正文文本缩进1"/>
    <w:basedOn w:val="961"/>
    <w:next w:val="1446"/>
    <w:uiPriority w:val="0"/>
    <w:qFormat/>
    <w:pPr>
      <w:ind w:left="420"/>
      <w:spacing w:line="360" w:lineRule="auto"/>
    </w:pPr>
    <w:rPr>
      <w:sz w:val="20"/>
      <w:szCs w:val="24"/>
    </w:rPr>
  </w:style>
  <w:style w:type="paragraph" w:styleId="1448" w:customStyle="1">
    <w:name w:val="Char1 Char Char Char Char Char Char1"/>
    <w:basedOn w:val="961"/>
    <w:uiPriority w:val="0"/>
    <w:qFormat/>
    <w:rPr>
      <w:szCs w:val="24"/>
    </w:rPr>
  </w:style>
  <w:style w:type="paragraph" w:styleId="1449" w:customStyle="1">
    <w:name w:val="ListBullet21"/>
    <w:basedOn w:val="961"/>
    <w:uiPriority w:val="0"/>
    <w:qFormat/>
    <w:pPr>
      <w:numPr>
        <w:ilvl w:val="0"/>
        <w:numId w:val="6"/>
      </w:numPr>
    </w:pPr>
  </w:style>
  <w:style w:type="paragraph" w:styleId="1450" w:customStyle="1">
    <w:name w:val="页眉1"/>
    <w:basedOn w:val="9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1" w:customStyle="1">
    <w:name w:val="页脚1"/>
    <w:basedOn w:val="961"/>
    <w:uiPriority w:val="99"/>
    <w:unhideWhenUsed/>
    <w:qFormat/>
    <w:pPr>
      <w:jc w:val="left"/>
      <w:tabs>
        <w:tab w:val="center" w:pos="4153" w:leader="none"/>
        <w:tab w:val="right" w:pos="8306" w:leader="none"/>
      </w:tabs>
    </w:pPr>
    <w:rPr>
      <w:sz w:val="18"/>
      <w:szCs w:val="18"/>
    </w:rPr>
  </w:style>
  <w:style w:type="paragraph" w:styleId="1452" w:customStyle="1">
    <w:name w:val="列出段落4"/>
    <w:basedOn w:val="961"/>
    <w:uiPriority w:val="0"/>
    <w:qFormat/>
    <w:pPr>
      <w:ind w:left="720"/>
    </w:pPr>
    <w:rPr>
      <w:szCs w:val="21"/>
    </w:rPr>
  </w:style>
  <w:style w:type="numbering" w:styleId="1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144</cp:revision>
  <dcterms:created xsi:type="dcterms:W3CDTF">2023-03-16T06:43:00Z</dcterms:created>
  <dcterms:modified xsi:type="dcterms:W3CDTF">2024-12-26T05:17:03Z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33A3AD0C94124959811CBEFECBF37255_13</vt:lpwstr>
  </property>
</Properties>
</file>