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spacing w:line="360" w:lineRule="auto"/>
        <w:rPr>
          <w:rFonts w:hAnsi="宋体" w:eastAsia="宋体" w:cs="宋体"/>
          <w:color w:val="auto"/>
          <w:sz w:val="21"/>
          <w:highlight w:val="none"/>
        </w:rPr>
      </w:pPr>
      <w:r>
        <w:rPr>
          <w:rFonts w:hAnsi="宋体" w:eastAsia="宋体" w:cs="宋体"/>
          <w:color w:val="auto"/>
          <w:sz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72"/>
          <w:highlight w:val="none"/>
        </w:rPr>
      </w:pPr>
      <w:r>
        <w:rPr>
          <w:rFonts w:ascii="宋体" w:hAnsi="宋体" w:cs="宋体"/>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江苏省政府采购 </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招 标 文 件</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630"/>
        <w:spacing w:line="360" w:lineRule="auto"/>
        <w:rPr>
          <w:rFonts w:ascii="宋体" w:hAnsi="宋体" w:cs="宋体"/>
          <w:color w:val="auto"/>
          <w:highlight w:val="none"/>
        </w:rPr>
      </w:pPr>
      <w:r>
        <w:rPr>
          <w:rFonts w:ascii="宋体" w:hAnsi="宋体" w:cs="宋体"/>
          <w:color w:val="auto"/>
          <w:highlight w:val="none"/>
        </w:rPr>
      </w:r>
      <w:r/>
    </w:p>
    <w:p>
      <w:pPr>
        <w:ind w:firstLine="630"/>
        <w:spacing w:line="360" w:lineRule="auto"/>
        <w:rPr>
          <w:rFonts w:ascii="宋体" w:hAnsi="宋体" w:cs="宋体"/>
          <w:color w:val="auto"/>
          <w:highlight w:val="none"/>
        </w:rPr>
      </w:pPr>
      <w:r>
        <w:rPr>
          <w:rFonts w:ascii="宋体" w:hAnsi="宋体" w:cs="宋体"/>
          <w:color w:val="auto"/>
          <w:highlight w:val="none"/>
        </w:rPr>
      </w:r>
      <w:r/>
    </w:p>
    <w:p>
      <w:pPr>
        <w:ind w:firstLine="63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ind w:firstLine="1650"/>
        <w:spacing w:line="360" w:lineRule="auto"/>
        <w:rPr>
          <w:rFonts w:ascii="宋体" w:hAnsi="宋体" w:cs="宋体"/>
          <w:color w:val="auto"/>
          <w:sz w:val="30"/>
          <w:highlight w:val="none"/>
        </w:rPr>
      </w:pPr>
      <w:r>
        <w:rPr>
          <w:rFonts w:hint="eastAsia" w:ascii="宋体" w:hAnsi="宋体" w:cs="宋体"/>
          <w:color w:val="auto"/>
          <w:sz w:val="30"/>
          <w:highlight w:val="none"/>
        </w:rPr>
        <w:t xml:space="preserve">招标编号：</w:t>
      </w:r>
      <w:r>
        <w:rPr>
          <w:rFonts w:hint="eastAsia" w:ascii="宋体" w:hAnsi="宋体" w:cs="宋体"/>
          <w:color w:val="auto"/>
          <w:sz w:val="30"/>
          <w:highlight w:val="none"/>
          <w:lang w:eastAsia="zh-CN"/>
        </w:rPr>
        <w:t xml:space="preserve">JSZC-320000-CJZB-G2025-0146</w:t>
      </w:r>
      <w:r>
        <w:rPr>
          <w:rFonts w:hint="eastAsia" w:ascii="宋体" w:hAnsi="宋体" w:cs="宋体"/>
          <w:color w:val="auto"/>
          <w:sz w:val="30"/>
          <w:highlight w:val="none"/>
        </w:rPr>
        <w:t xml:space="preserve">号</w:t>
      </w:r>
      <w:r/>
    </w:p>
    <w:p>
      <w:pPr>
        <w:ind w:firstLine="1650"/>
        <w:spacing w:line="360" w:lineRule="auto"/>
        <w:rPr>
          <w:rFonts w:ascii="宋体" w:hAnsi="宋体" w:cs="宋体"/>
          <w:color w:val="auto"/>
          <w:sz w:val="30"/>
          <w:highlight w:val="none"/>
        </w:rPr>
      </w:pPr>
      <w:r>
        <w:rPr>
          <w:rFonts w:hint="eastAsia" w:ascii="宋体" w:hAnsi="宋体" w:cs="宋体"/>
          <w:color w:val="auto"/>
          <w:sz w:val="30"/>
          <w:highlight w:val="none"/>
        </w:rPr>
        <w:t xml:space="preserve">招标内容：景德路院区停车场设施更新</w:t>
      </w:r>
      <w:r/>
    </w:p>
    <w:p>
      <w:pPr>
        <w:spacing w:line="360" w:lineRule="auto"/>
        <w:rPr>
          <w:rFonts w:ascii="宋体" w:hAnsi="宋体" w:cs="宋体"/>
          <w:color w:val="auto"/>
          <w:sz w:val="30"/>
          <w:szCs w:val="28"/>
          <w:highlight w:val="none"/>
        </w:rPr>
      </w:pPr>
      <w:r>
        <w:rPr>
          <w:rFonts w:hint="eastAsia" w:ascii="宋体" w:hAnsi="宋体" w:cs="宋体"/>
          <w:color w:val="auto"/>
          <w:sz w:val="30"/>
          <w:highlight w:val="none"/>
        </w:rPr>
        <w:t xml:space="preserve">           项目类别：</w:t>
      </w:r>
      <w:r>
        <w:rPr>
          <w:rFonts w:hint="eastAsia" w:ascii="宋体" w:hAnsi="宋体" w:cs="宋体"/>
          <w:color w:val="auto"/>
          <w:sz w:val="30"/>
          <w:szCs w:val="28"/>
          <w:highlight w:val="none"/>
        </w:rPr>
        <w:t xml:space="preserve">货物类</w:t>
      </w:r>
      <w:r/>
    </w:p>
    <w:p>
      <w:pPr>
        <w:ind w:firstLine="1650"/>
        <w:spacing w:line="360" w:lineRule="auto"/>
        <w:rPr>
          <w:rFonts w:ascii="宋体" w:hAnsi="宋体" w:cs="宋体"/>
          <w:color w:val="auto"/>
          <w:sz w:val="30"/>
          <w:highlight w:val="none"/>
        </w:rPr>
      </w:pPr>
      <w:r>
        <w:rPr>
          <w:rFonts w:hint="eastAsia" w:ascii="宋体" w:hAnsi="宋体" w:cs="宋体"/>
          <w:color w:val="auto"/>
          <w:sz w:val="30"/>
          <w:highlight w:val="none"/>
        </w:rPr>
        <w:t xml:space="preserve">采购单位：苏州大学附属儿童医院</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color w:val="auto"/>
          <w:sz w:val="28"/>
          <w:highlight w:val="none"/>
        </w:rPr>
      </w:pPr>
      <w:r>
        <w:rPr>
          <w:rFonts w:hint="eastAsia" w:ascii="宋体" w:hAnsi="宋体" w:cs="宋体"/>
          <w:color w:val="auto"/>
          <w:sz w:val="28"/>
          <w:highlight w:val="none"/>
        </w:rPr>
        <w:t xml:space="preserve">苏州市创杰招投标咨询服务有限公司</w:t>
      </w:r>
      <w:r/>
    </w:p>
    <w:p>
      <w:pPr>
        <w:jc w:val="center"/>
        <w:spacing w:line="360" w:lineRule="auto"/>
        <w:rPr>
          <w:rFonts w:ascii="宋体" w:hAnsi="宋体" w:cs="宋体"/>
          <w:color w:val="auto"/>
          <w:sz w:val="28"/>
          <w:highlight w:val="none"/>
        </w:rPr>
      </w:pPr>
      <w:r>
        <w:rPr>
          <w:rFonts w:hint="eastAsia" w:ascii="宋体" w:hAnsi="宋体" w:cs="宋体"/>
          <w:color w:val="auto"/>
          <w:sz w:val="28"/>
          <w:highlight w:val="none"/>
        </w:rPr>
        <w:t xml:space="preserve">二○二五年八月</w:t>
      </w:r>
      <w:r/>
    </w:p>
    <w:p>
      <w:pPr>
        <w:jc w:val="center"/>
        <w:pageBreakBefore/>
        <w:spacing w:line="360" w:lineRule="auto"/>
        <w:rPr>
          <w:rFonts w:ascii="宋体" w:hAnsi="宋体" w:cs="宋体"/>
          <w:color w:val="auto"/>
          <w:highlight w:val="none"/>
        </w:rPr>
      </w:pPr>
      <w:r>
        <w:rPr>
          <w:rFonts w:hint="eastAsia" w:ascii="宋体" w:hAnsi="宋体" w:cs="宋体"/>
          <w:b/>
          <w:color w:val="auto"/>
          <w:sz w:val="32"/>
          <w:highlight w:val="none"/>
        </w:rPr>
        <w:t xml:space="preserve">前附表</w:t>
      </w:r>
      <w:r/>
    </w:p>
    <w:tbl>
      <w:tblPr>
        <w:tblStyle w:val="676"/>
        <w:tblW w:w="0" w:type="auto"/>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2"/>
        <w:gridCol w:w="2018"/>
        <w:gridCol w:w="6552"/>
      </w:tblGrid>
      <w:tr>
        <w:trPr/>
        <w:tc>
          <w:tcPr>
            <w:tcW w:w="682" w:type="dxa"/>
            <w:vAlign w:val="center"/>
            <w:textDirection w:val="lrTb"/>
            <w:noWrap/>
          </w:tcPr>
          <w:p>
            <w:pPr>
              <w:spacing w:line="360" w:lineRule="auto"/>
              <w:rPr>
                <w:rFonts w:ascii="宋体" w:hAnsi="宋体" w:cs="宋体"/>
                <w:b/>
                <w:color w:val="auto"/>
                <w:highlight w:val="none"/>
              </w:rPr>
            </w:pPr>
            <w:r>
              <w:rPr>
                <w:rFonts w:hint="eastAsia" w:ascii="宋体" w:hAnsi="宋体" w:cs="宋体"/>
                <w:b/>
                <w:color w:val="auto"/>
                <w:highlight w:val="none"/>
              </w:rPr>
              <w:t xml:space="preserve">项号</w:t>
            </w:r>
            <w:r/>
          </w:p>
        </w:tc>
        <w:tc>
          <w:tcPr>
            <w:tcW w:w="2018" w:type="dxa"/>
            <w:vAlign w:val="center"/>
            <w:textDirection w:val="lrTb"/>
            <w:noWrap/>
          </w:tcPr>
          <w:p>
            <w:pPr>
              <w:spacing w:line="360" w:lineRule="auto"/>
              <w:rPr>
                <w:rFonts w:ascii="宋体" w:hAnsi="宋体" w:cs="宋体"/>
                <w:b/>
                <w:color w:val="auto"/>
                <w:highlight w:val="none"/>
              </w:rPr>
            </w:pPr>
            <w:r>
              <w:rPr>
                <w:rFonts w:hint="eastAsia" w:ascii="宋体" w:hAnsi="宋体" w:cs="宋体"/>
                <w:b/>
                <w:color w:val="auto"/>
                <w:highlight w:val="none"/>
              </w:rPr>
              <w:t xml:space="preserve">名称</w:t>
            </w:r>
            <w:r/>
          </w:p>
        </w:tc>
        <w:tc>
          <w:tcPr>
            <w:tcW w:w="6552" w:type="dxa"/>
            <w:textDirection w:val="lrTb"/>
            <w:noWrap/>
          </w:tcPr>
          <w:p>
            <w:pPr>
              <w:spacing w:line="360" w:lineRule="auto"/>
              <w:rPr>
                <w:rFonts w:ascii="宋体" w:hAnsi="宋体" w:cs="宋体"/>
                <w:b/>
                <w:color w:val="auto"/>
                <w:highlight w:val="none"/>
              </w:rPr>
            </w:pPr>
            <w:r>
              <w:rPr>
                <w:rFonts w:hint="eastAsia" w:ascii="宋体" w:hAnsi="宋体" w:cs="宋体"/>
                <w:b/>
                <w:color w:val="auto"/>
                <w:highlight w:val="none"/>
              </w:rPr>
              <w:t xml:space="preserve">内      容</w:t>
            </w:r>
            <w:r/>
          </w:p>
        </w:tc>
      </w:tr>
      <w:tr>
        <w:trPr>
          <w:trHeight w:val="256"/>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2018"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招标编号</w:t>
            </w:r>
            <w:r/>
          </w:p>
        </w:tc>
        <w:tc>
          <w:tcPr>
            <w:tcW w:w="6552" w:type="dxa"/>
            <w:textDirection w:val="lrTb"/>
            <w:noWrap/>
          </w:tcPr>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JSZC-320000-CJZB-G2025-0146</w:t>
            </w:r>
            <w:r/>
          </w:p>
        </w:tc>
      </w:tr>
      <w:tr>
        <w:trPr>
          <w:trHeight w:val="289"/>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W w:w="2018" w:type="dxa"/>
            <w:vAlign w:val="center"/>
            <w:textDirection w:val="lrTb"/>
            <w:noWrap/>
          </w:tcPr>
          <w:p>
            <w:pPr>
              <w:pStyle w:val="883"/>
              <w:jc w:val="left"/>
              <w:spacing w:line="360" w:lineRule="auto"/>
              <w:rPr>
                <w:rFonts w:eastAsia="宋体" w:cs="宋体"/>
                <w:color w:val="auto"/>
                <w:sz w:val="21"/>
                <w:szCs w:val="21"/>
                <w:highlight w:val="none"/>
              </w:rPr>
            </w:pPr>
            <w:r>
              <w:rPr>
                <w:rFonts w:hint="eastAsia" w:eastAsia="宋体" w:cs="宋体"/>
                <w:color w:val="auto"/>
                <w:sz w:val="21"/>
                <w:szCs w:val="21"/>
                <w:highlight w:val="none"/>
              </w:rPr>
              <w:t xml:space="preserve">招标内容</w:t>
            </w:r>
            <w:r/>
          </w:p>
        </w:tc>
        <w:tc>
          <w:tcPr>
            <w:tcW w:w="6552" w:type="dxa"/>
            <w:vAlign w:val="center"/>
            <w:textDirection w:val="lrTb"/>
            <w:noWrap/>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景德路院区停车场设施更新</w:t>
            </w:r>
            <w:r/>
          </w:p>
        </w:tc>
      </w:tr>
      <w:tr>
        <w:trPr>
          <w:trHeight w:val="323"/>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3</w:t>
            </w:r>
            <w:r/>
          </w:p>
        </w:tc>
        <w:tc>
          <w:tcPr>
            <w:tcW w:w="2018" w:type="dxa"/>
            <w:vAlign w:val="center"/>
            <w:textDirection w:val="lrTb"/>
            <w:noWrap/>
          </w:tcPr>
          <w:p>
            <w:pPr>
              <w:pStyle w:val="883"/>
              <w:spacing w:line="360" w:lineRule="auto"/>
              <w:rPr>
                <w:rFonts w:eastAsia="宋体" w:cs="宋体"/>
                <w:color w:val="auto"/>
                <w:sz w:val="21"/>
                <w:highlight w:val="none"/>
              </w:rPr>
            </w:pPr>
            <w:r>
              <w:rPr>
                <w:rFonts w:hint="eastAsia" w:eastAsia="宋体" w:cs="宋体"/>
                <w:color w:val="auto"/>
                <w:sz w:val="21"/>
                <w:highlight w:val="none"/>
              </w:rPr>
              <w:t xml:space="preserve">投标有效期</w:t>
            </w:r>
            <w:r/>
          </w:p>
        </w:tc>
        <w:tc>
          <w:tcPr>
            <w:tcW w:w="6552" w:type="dxa"/>
            <w:textDirection w:val="lrTb"/>
            <w:noWrap/>
          </w:tcPr>
          <w:p>
            <w:pPr>
              <w:pStyle w:val="883"/>
              <w:spacing w:line="360" w:lineRule="auto"/>
              <w:rPr>
                <w:rFonts w:eastAsia="宋体" w:cs="宋体"/>
                <w:color w:val="auto"/>
                <w:sz w:val="21"/>
                <w:highlight w:val="none"/>
              </w:rPr>
            </w:pPr>
            <w:r>
              <w:rPr>
                <w:rFonts w:hint="eastAsia" w:eastAsia="宋体" w:cs="宋体"/>
                <w:color w:val="auto"/>
                <w:sz w:val="21"/>
                <w:highlight w:val="none"/>
              </w:rPr>
              <w:t xml:space="preserve">九十天（日历日）</w:t>
            </w:r>
            <w:r/>
          </w:p>
        </w:tc>
      </w:tr>
      <w:tr>
        <w:trPr>
          <w:trHeight w:val="438"/>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4</w:t>
            </w:r>
            <w:r/>
          </w:p>
        </w:tc>
        <w:tc>
          <w:tcPr>
            <w:tcW w:w="2018" w:type="dxa"/>
            <w:vAlign w:val="center"/>
            <w:textDirection w:val="lrTb"/>
            <w:noWrap/>
          </w:tcPr>
          <w:p>
            <w:pPr>
              <w:pStyle w:val="883"/>
              <w:spacing w:line="360" w:lineRule="auto"/>
              <w:rPr>
                <w:rFonts w:eastAsia="宋体" w:cs="宋体"/>
                <w:color w:val="auto"/>
                <w:sz w:val="21"/>
                <w:highlight w:val="none"/>
              </w:rPr>
            </w:pPr>
            <w:r>
              <w:rPr>
                <w:rFonts w:hint="eastAsia" w:eastAsia="宋体" w:cs="宋体"/>
                <w:color w:val="auto"/>
                <w:sz w:val="21"/>
                <w:highlight w:val="none"/>
              </w:rPr>
              <w:t xml:space="preserve">投标保证金</w:t>
            </w:r>
            <w:r/>
          </w:p>
        </w:tc>
        <w:tc>
          <w:tcPr>
            <w:tcW w:w="6552" w:type="dxa"/>
            <w:textDirection w:val="lrTb"/>
            <w:noWrap/>
          </w:tcPr>
          <w:p>
            <w:pPr>
              <w:ind w:right="-16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投标保证金数额：</w:t>
            </w:r>
            <w:r>
              <w:rPr>
                <w:rFonts w:hint="eastAsia" w:ascii="宋体" w:hAnsi="宋体" w:cs="宋体"/>
                <w:b/>
                <w:bCs/>
                <w:color w:val="auto"/>
                <w:szCs w:val="22"/>
                <w:highlight w:val="none"/>
              </w:rPr>
              <w:t xml:space="preserve">不需提交，招标文件中有关投标保证金的规定均不适用。投标（响应）人应在投标（响应）文件中提交《投标（响应）保证承诺书》（详见附件），否则为无效投标。</w:t>
            </w:r>
            <w:r/>
          </w:p>
        </w:tc>
      </w:tr>
      <w:tr>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5</w:t>
            </w:r>
            <w:r/>
          </w:p>
        </w:tc>
        <w:tc>
          <w:tcPr>
            <w:tcW w:w="2018" w:type="dxa"/>
            <w:vAlign w:val="center"/>
            <w:textDirection w:val="lrTb"/>
            <w:noWrap/>
          </w:tcPr>
          <w:p>
            <w:pPr>
              <w:pStyle w:val="871"/>
              <w:spacing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W w:w="6552" w:type="dxa"/>
            <w:textDirection w:val="lrTb"/>
            <w:noWrap/>
          </w:tcPr>
          <w:p>
            <w:pPr>
              <w:pStyle w:val="871"/>
              <w:spacing w:line="360" w:lineRule="auto"/>
              <w:rPr>
                <w:rFonts w:ascii="宋体" w:hAnsi="宋体" w:cs="宋体"/>
                <w:color w:val="auto"/>
                <w:sz w:val="21"/>
                <w:highlight w:val="none"/>
              </w:rPr>
            </w:pPr>
            <w:r>
              <w:rPr>
                <w:rFonts w:hint="eastAsia" w:ascii="宋体" w:hAnsi="宋体" w:cs="宋体"/>
                <w:color w:val="auto"/>
                <w:sz w:val="21"/>
                <w:highlight w:val="none"/>
              </w:rPr>
              <w:t xml:space="preserve">苏州市创杰招投标咨询服务有限公司</w:t>
            </w:r>
            <w:r/>
          </w:p>
          <w:p>
            <w:pPr>
              <w:pStyle w:val="871"/>
              <w:spacing w:line="360" w:lineRule="auto"/>
              <w:rPr>
                <w:rFonts w:ascii="宋体" w:hAnsi="宋体" w:cs="宋体"/>
                <w:color w:val="auto"/>
                <w:sz w:val="21"/>
                <w:highlight w:val="none"/>
              </w:rPr>
            </w:pPr>
            <w:r>
              <w:rPr>
                <w:rFonts w:hint="eastAsia" w:ascii="宋体" w:hAnsi="宋体" w:cs="宋体"/>
                <w:color w:val="auto"/>
                <w:sz w:val="21"/>
                <w:highlight w:val="none"/>
              </w:rPr>
              <w:t xml:space="preserve">地  址： 苏州市干将西路399号银海大厦303室   邮编：215002</w:t>
            </w:r>
            <w:r/>
          </w:p>
          <w:p>
            <w:pPr>
              <w:spacing w:line="360" w:lineRule="auto"/>
              <w:rPr>
                <w:rFonts w:ascii="宋体" w:hAnsi="宋体" w:cs="宋体"/>
                <w:color w:val="auto"/>
                <w:highlight w:val="none"/>
              </w:rPr>
            </w:pPr>
            <w:r>
              <w:rPr>
                <w:rFonts w:hint="eastAsia" w:ascii="宋体" w:hAnsi="宋体" w:cs="宋体"/>
                <w:color w:val="auto"/>
                <w:highlight w:val="none"/>
              </w:rPr>
              <w:t xml:space="preserve">电话/传真：0512-65238816  65238892    </w:t>
            </w:r>
            <w:r/>
          </w:p>
          <w:p>
            <w:pPr>
              <w:spacing w:line="360" w:lineRule="auto"/>
              <w:rPr>
                <w:rFonts w:ascii="宋体" w:hAnsi="宋体" w:cs="宋体"/>
                <w:color w:val="auto"/>
                <w:highlight w:val="none"/>
              </w:rPr>
            </w:pPr>
            <w:r>
              <w:rPr>
                <w:rFonts w:hint="eastAsia" w:ascii="宋体" w:hAnsi="宋体" w:cs="宋体"/>
                <w:color w:val="auto"/>
                <w:highlight w:val="none"/>
              </w:rPr>
              <w:t xml:space="preserve">联系人：路丽丽   </w:t>
            </w:r>
            <w:r>
              <w:rPr>
                <w:rFonts w:hint="eastAsia" w:ascii="宋体" w:hAnsi="宋体" w:cs="宋体"/>
                <w:color w:val="auto"/>
                <w:szCs w:val="22"/>
                <w:highlight w:val="none"/>
              </w:rPr>
              <w:t xml:space="preserve">潘莉莉</w:t>
            </w:r>
            <w:r/>
          </w:p>
        </w:tc>
      </w:tr>
      <w:tr>
        <w:trPr/>
        <w:tc>
          <w:tcPr>
            <w:tcW w:w="682" w:type="dxa"/>
            <w:vAlign w:val="center"/>
            <w:textDirection w:val="lrTb"/>
            <w:noWrap/>
          </w:tcPr>
          <w:p>
            <w:pPr>
              <w:pStyle w:val="871"/>
              <w:spacing w:line="360" w:lineRule="auto"/>
              <w:rPr>
                <w:rFonts w:ascii="宋体" w:hAnsi="宋体" w:cs="宋体"/>
                <w:color w:val="auto"/>
                <w:sz w:val="21"/>
                <w:highlight w:val="none"/>
              </w:rPr>
            </w:pPr>
            <w:r>
              <w:rPr>
                <w:rFonts w:hint="eastAsia" w:ascii="宋体" w:hAnsi="宋体" w:cs="宋体"/>
                <w:color w:val="auto"/>
                <w:sz w:val="21"/>
                <w:highlight w:val="none"/>
              </w:rPr>
              <w:t xml:space="preserve">6</w:t>
            </w:r>
            <w:r/>
          </w:p>
        </w:tc>
        <w:tc>
          <w:tcPr>
            <w:tcW w:w="201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highlight w:val="none"/>
              </w:rPr>
              <w:t xml:space="preserve">投标答疑</w:t>
            </w:r>
            <w:r/>
          </w:p>
        </w:tc>
        <w:tc>
          <w:tcPr>
            <w:tcW w:w="6552" w:type="dxa"/>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投标单位对招标文件如有疑问，请将疑问于</w:t>
            </w:r>
            <w:r>
              <w:rPr>
                <w:rFonts w:hint="eastAsia" w:ascii="宋体" w:hAnsi="宋体" w:cs="宋体"/>
                <w:color w:val="auto"/>
                <w:highlight w:val="none"/>
              </w:rPr>
              <w:t xml:space="preserve">2025年</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日</w:t>
            </w:r>
            <w:r>
              <w:rPr>
                <w:rFonts w:hint="eastAsia" w:ascii="宋体" w:hAnsi="宋体" w:cs="宋体"/>
                <w:color w:val="auto"/>
                <w:szCs w:val="21"/>
                <w:highlight w:val="none"/>
                <w:lang w:val="zh-CN"/>
              </w:rPr>
              <w:t xml:space="preserve">17：00前以书面形式递交或传真至苏州市创杰招投标咨询服务有限公司。 </w:t>
            </w:r>
            <w:r/>
          </w:p>
        </w:tc>
      </w:tr>
      <w:tr>
        <w:trPr>
          <w:trHeight w:val="816"/>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W w:w="2018" w:type="dxa"/>
            <w:vAlign w:val="center"/>
            <w:textDirection w:val="lrTb"/>
            <w:noWrap/>
          </w:tcPr>
          <w:p>
            <w:pPr>
              <w:jc w:val="center"/>
              <w:spacing w:line="360" w:lineRule="auto"/>
              <w:tabs>
                <w:tab w:val="left" w:pos="3600" w:leader="none"/>
              </w:tabs>
              <w:rPr>
                <w:rFonts w:ascii="宋体" w:hAnsi="宋体" w:cs="宋体"/>
                <w:color w:val="auto"/>
                <w:szCs w:val="21"/>
                <w:highlight w:val="none"/>
              </w:rPr>
            </w:pPr>
            <w:r>
              <w:rPr>
                <w:rFonts w:hint="eastAsia" w:ascii="宋体" w:hAnsi="宋体" w:cs="宋体"/>
                <w:color w:val="auto"/>
                <w:highlight w:val="none"/>
              </w:rPr>
              <w:t xml:space="preserve">采购方</w:t>
            </w:r>
            <w:r/>
          </w:p>
        </w:tc>
        <w:tc>
          <w:tcPr>
            <w:tcW w:w="6552" w:type="dxa"/>
            <w:textDirection w:val="lrTb"/>
            <w:noWrap/>
          </w:tcPr>
          <w:p>
            <w:pPr>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苏州大学附属儿童医院</w:t>
            </w:r>
            <w:r/>
          </w:p>
          <w:p>
            <w:pPr>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联系人：沈力     联系电话： 0512-80692972  </w:t>
            </w:r>
            <w:r/>
          </w:p>
        </w:tc>
      </w:tr>
      <w:tr>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W w:w="2018"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投标文件份数</w:t>
            </w:r>
            <w:r/>
          </w:p>
        </w:tc>
        <w:tc>
          <w:tcPr>
            <w:tcW w:w="6552"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正本份数为一份     副本份数为三份</w:t>
            </w:r>
            <w:r/>
          </w:p>
          <w:p>
            <w:pP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全套</w:t>
            </w:r>
            <w:r>
              <w:rPr>
                <w:rFonts w:hint="eastAsia" w:ascii="宋体" w:hAnsi="宋体" w:cs="宋体"/>
                <w:b/>
                <w:bCs/>
                <w:color w:val="auto"/>
                <w:szCs w:val="21"/>
                <w:highlight w:val="none"/>
              </w:rPr>
              <w:t xml:space="preserve">纸质</w:t>
            </w:r>
            <w:r>
              <w:rPr>
                <w:rFonts w:hint="eastAsia" w:ascii="宋体" w:hAnsi="宋体" w:cs="宋体"/>
                <w:b/>
                <w:bCs/>
                <w:color w:val="auto"/>
                <w:szCs w:val="21"/>
                <w:highlight w:val="none"/>
                <w:lang w:val="zh-CN"/>
              </w:rPr>
              <w:t xml:space="preserve">投标文件包括投标书一（报价部分）一正三副、投标书二（技术部分、资格证明文件）一正三副；</w:t>
            </w:r>
            <w:r/>
          </w:p>
          <w:p>
            <w:pPr>
              <w:spacing w:line="360" w:lineRule="auto"/>
              <w:rPr>
                <w:rFonts w:ascii="宋体" w:hAnsi="宋体" w:cs="宋体"/>
                <w:color w:val="auto"/>
                <w:sz w:val="24"/>
                <w:szCs w:val="24"/>
                <w:highlight w:val="none"/>
              </w:rPr>
            </w:pPr>
            <w:r>
              <w:rPr>
                <w:rFonts w:hint="eastAsia" w:ascii="宋体" w:hAnsi="宋体" w:cs="宋体"/>
                <w:b/>
                <w:bCs/>
                <w:color w:val="auto"/>
                <w:szCs w:val="21"/>
                <w:highlight w:val="none"/>
                <w:lang w:val="zh-CN"/>
              </w:rPr>
              <w:t xml:space="preserve">电子档文件包含投标文件中的所有内容，电子档含盖章版PDF扫描件文稿，存储在U盘等存储介质中，单独密封随投标文件一起递交，U盘等存储介质不退还。</w:t>
            </w:r>
            <w:r/>
          </w:p>
        </w:tc>
      </w:tr>
      <w:tr>
        <w:trPr>
          <w:trHeight w:val="440"/>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W w:w="2018"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投标时间</w:t>
            </w:r>
            <w:r/>
          </w:p>
        </w:tc>
        <w:tc>
          <w:tcPr>
            <w:tcW w:w="6552"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2025年</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26</w:t>
            </w:r>
            <w:r>
              <w:rPr>
                <w:rFonts w:hint="eastAsia" w:ascii="宋体" w:hAnsi="宋体" w:cs="宋体"/>
                <w:color w:val="auto"/>
                <w:highlight w:val="none"/>
              </w:rPr>
              <w:t xml:space="preserve">日</w:t>
            </w:r>
            <w:r>
              <w:rPr>
                <w:rFonts w:hint="eastAsia" w:ascii="宋体" w:hAnsi="宋体" w:cs="宋体"/>
                <w:color w:val="auto"/>
                <w:szCs w:val="22"/>
                <w:highlight w:val="none"/>
                <w:lang w:val="en-US" w:eastAsia="zh-CN"/>
              </w:rPr>
              <w:t xml:space="preserve">9</w:t>
            </w:r>
            <w:r>
              <w:rPr>
                <w:rFonts w:hint="eastAsia" w:ascii="宋体" w:hAnsi="宋体" w:cs="宋体"/>
                <w:color w:val="auto"/>
                <w:szCs w:val="22"/>
                <w:highlight w:val="none"/>
              </w:rPr>
              <w:t xml:space="preserve">：</w:t>
            </w:r>
            <w:r>
              <w:rPr>
                <w:rFonts w:hint="eastAsia" w:ascii="宋体" w:hAnsi="宋体" w:cs="宋体"/>
                <w:color w:val="auto"/>
                <w:szCs w:val="22"/>
                <w:highlight w:val="none"/>
                <w:lang w:val="en-US" w:eastAsia="zh-CN"/>
              </w:rPr>
              <w:t xml:space="preserve">0</w:t>
            </w:r>
            <w:r>
              <w:rPr>
                <w:rFonts w:hint="eastAsia" w:ascii="宋体" w:hAnsi="宋体" w:cs="宋体"/>
                <w:color w:val="auto"/>
                <w:highlight w:val="none"/>
              </w:rPr>
              <w:t xml:space="preserve">0—</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0（北京时间）</w:t>
            </w:r>
            <w:r/>
          </w:p>
        </w:tc>
      </w:tr>
      <w:tr>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W w:w="2018"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投标文件递交地点</w:t>
            </w:r>
            <w:r/>
          </w:p>
        </w:tc>
        <w:tc>
          <w:tcPr>
            <w:tcW w:w="6552"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2"/>
                <w:highlight w:val="none"/>
              </w:rPr>
              <w:t xml:space="preserve">苏州市干将西路399号银海大厦302A会议室</w:t>
            </w:r>
            <w:r/>
          </w:p>
        </w:tc>
      </w:tr>
      <w:tr>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W w:w="2018" w:type="dxa"/>
            <w:vAlign w:val="center"/>
            <w:textDirection w:val="lrTb"/>
            <w:noWrap/>
          </w:tcPr>
          <w:p>
            <w:pPr>
              <w:pStyle w:val="883"/>
              <w:spacing w:line="360" w:lineRule="auto"/>
              <w:rPr>
                <w:rFonts w:eastAsia="宋体" w:cs="宋体"/>
                <w:color w:val="auto"/>
                <w:sz w:val="21"/>
                <w:highlight w:val="none"/>
              </w:rPr>
            </w:pPr>
            <w:r>
              <w:rPr>
                <w:rFonts w:hint="eastAsia" w:eastAsia="宋体" w:cs="宋体"/>
                <w:color w:val="auto"/>
                <w:sz w:val="21"/>
                <w:highlight w:val="none"/>
              </w:rPr>
              <w:t xml:space="preserve">开标</w:t>
            </w:r>
            <w:r/>
          </w:p>
        </w:tc>
        <w:tc>
          <w:tcPr>
            <w:tcW w:w="6552"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时间：2025年</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26</w:t>
            </w:r>
            <w:r>
              <w:rPr>
                <w:rFonts w:hint="eastAsia" w:ascii="宋体" w:hAnsi="宋体" w:cs="宋体"/>
                <w:color w:val="auto"/>
                <w:highlight w:val="none"/>
              </w:rPr>
              <w:t xml:space="preserve">日</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0（北京时间）</w:t>
            </w:r>
            <w:r/>
          </w:p>
          <w:p>
            <w:pPr>
              <w:spacing w:line="360" w:lineRule="auto"/>
              <w:rPr>
                <w:rFonts w:ascii="宋体" w:hAnsi="宋体" w:cs="宋体"/>
                <w:color w:val="auto"/>
                <w:highlight w:val="none"/>
              </w:rPr>
            </w:pPr>
            <w:r>
              <w:rPr>
                <w:rFonts w:hint="eastAsia" w:ascii="宋体" w:hAnsi="宋体" w:cs="宋体"/>
                <w:color w:val="auto"/>
                <w:highlight w:val="none"/>
              </w:rPr>
              <w:t xml:space="preserve">地点：</w:t>
            </w:r>
            <w:r>
              <w:rPr>
                <w:rFonts w:hint="eastAsia" w:ascii="宋体" w:hAnsi="宋体" w:cs="宋体"/>
                <w:color w:val="auto"/>
                <w:szCs w:val="22"/>
                <w:highlight w:val="none"/>
              </w:rPr>
              <w:t xml:space="preserve">苏州市干将西路399号银海大厦302A会议室</w:t>
            </w:r>
            <w:r/>
          </w:p>
        </w:tc>
      </w:tr>
      <w:tr>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W w:w="2018"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中标服务费</w:t>
            </w:r>
            <w:r/>
          </w:p>
        </w:tc>
        <w:tc>
          <w:tcPr>
            <w:tcW w:w="655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由中标单位在领取中标通知书时付清。</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预算金额100万元以下部分，费率为该部分预算金额的1.5%；</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预算金额100万元（含）－500万元部分，费率为该部分预算金额的1.1%；</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预算金额500万元（含）-1000万元部分，费率为该部分预算金额的0.8%；</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预算金额1000万元（含）-5000万元部分，费率为该部分预算金额的0.5%；</w:t>
            </w:r>
            <w:r/>
          </w:p>
          <w:p>
            <w:pPr>
              <w:spacing w:line="360" w:lineRule="auto"/>
              <w:rPr>
                <w:rFonts w:ascii="宋体" w:hAnsi="宋体" w:cs="宋体"/>
                <w:color w:val="auto"/>
                <w:highlight w:val="none"/>
              </w:rPr>
            </w:pPr>
            <w:r>
              <w:rPr>
                <w:rFonts w:hint="eastAsia" w:ascii="宋体" w:hAnsi="宋体" w:cs="宋体"/>
                <w:color w:val="auto"/>
                <w:highlight w:val="none"/>
              </w:rPr>
              <w:t xml:space="preserve">预算金额5000万元以上部分，费率为该部分预算金额的0.25%。</w:t>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中标服务费为贰万叁仟捌佰元整。</w:t>
            </w:r>
            <w:r/>
          </w:p>
        </w:tc>
      </w:tr>
      <w:tr>
        <w:trPr>
          <w:trHeight w:val="262"/>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13</w:t>
            </w:r>
            <w:r/>
          </w:p>
        </w:tc>
        <w:tc>
          <w:tcPr>
            <w:tcW w:w="2018"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W w:w="6552" w:type="dxa"/>
            <w:textDirection w:val="lrTb"/>
            <w:noWrap/>
          </w:tcPr>
          <w:p>
            <w:pPr>
              <w:pStyle w:val="1152"/>
              <w:spacing w:line="360" w:lineRule="auto"/>
              <w:rPr>
                <w:rFonts w:ascii="宋体" w:hAnsi="宋体" w:cs="宋体"/>
                <w:color w:val="auto"/>
                <w:highlight w:val="none"/>
              </w:rPr>
            </w:pPr>
            <w:r>
              <w:rPr>
                <w:rFonts w:hint="eastAsia" w:ascii="宋体" w:hAnsi="宋体" w:cs="宋体"/>
                <w:color w:val="auto"/>
                <w:highlight w:val="none"/>
              </w:rPr>
              <w:t xml:space="preserve">根据质量与价格的比较</w:t>
            </w:r>
            <w:r/>
          </w:p>
        </w:tc>
      </w:tr>
      <w:tr>
        <w:trPr>
          <w:trHeight w:val="262"/>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14</w:t>
            </w:r>
            <w:r/>
          </w:p>
        </w:tc>
        <w:tc>
          <w:tcPr>
            <w:tcW w:w="2018"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W w:w="6552"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用综合评分方法得分最高的投标单位为中标单位</w:t>
            </w:r>
            <w:r/>
          </w:p>
        </w:tc>
      </w:tr>
      <w:tr>
        <w:trPr>
          <w:trHeight w:val="262"/>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15</w:t>
            </w:r>
            <w:r/>
          </w:p>
        </w:tc>
        <w:tc>
          <w:tcPr>
            <w:tcW w:w="2018" w:type="dxa"/>
            <w:vAlign w:val="center"/>
            <w:textDirection w:val="lrTb"/>
            <w:noWrap/>
          </w:tcPr>
          <w:p>
            <w:pPr>
              <w:spacing w:line="312" w:lineRule="auto"/>
              <w:rPr>
                <w:rFonts w:ascii="宋体" w:hAnsi="宋体" w:cs="宋体"/>
                <w:color w:val="auto"/>
                <w:highlight w:val="none"/>
              </w:rPr>
            </w:pPr>
            <w:r>
              <w:rPr>
                <w:rFonts w:hint="eastAsia" w:ascii="宋体" w:hAnsi="宋体" w:cs="宋体"/>
                <w:color w:val="auto"/>
                <w:szCs w:val="21"/>
                <w:highlight w:val="none"/>
                <w:lang w:val="zh-CN"/>
              </w:rPr>
              <w:t xml:space="preserve">履约保证金</w:t>
            </w:r>
            <w:r/>
          </w:p>
        </w:tc>
        <w:tc>
          <w:tcPr>
            <w:tcW w:w="6552" w:type="dxa"/>
            <w:vAlign w:val="center"/>
            <w:textDirection w:val="lrTb"/>
            <w:noWrap/>
          </w:tcPr>
          <w:p>
            <w:pPr>
              <w:jc w:val="left"/>
              <w:spacing w:line="312" w:lineRule="auto"/>
              <w:rPr>
                <w:rFonts w:ascii="宋体" w:hAnsi="宋体" w:cs="宋体"/>
                <w:color w:val="auto"/>
                <w:highlight w:val="none"/>
              </w:rPr>
            </w:pPr>
            <w:r>
              <w:rPr>
                <w:rFonts w:hint="eastAsia" w:ascii="宋体" w:hAnsi="宋体"/>
                <w:color w:val="auto"/>
                <w:szCs w:val="21"/>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color w:val="auto"/>
                <w:szCs w:val="21"/>
                <w:highlight w:val="none"/>
              </w:rPr>
              <w:t xml:space="preserve">本项目采购人未要求收取履约保证金。</w:t>
            </w:r>
            <w:r/>
          </w:p>
        </w:tc>
      </w:tr>
      <w:tr>
        <w:trPr>
          <w:trHeight w:val="262"/>
        </w:trPr>
        <w:tc>
          <w:tcPr>
            <w:tcW w:w="682"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W w:w="2018"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中标服务费交纳账号</w:t>
            </w:r>
            <w:r/>
          </w:p>
        </w:tc>
        <w:tc>
          <w:tcPr>
            <w:tcW w:w="6552"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中标服务费缴纳账号：</w:t>
            </w:r>
            <w:r/>
          </w:p>
          <w:p>
            <w:pPr>
              <w:spacing w:line="360" w:lineRule="auto"/>
              <w:rPr>
                <w:rFonts w:ascii="宋体" w:hAnsi="宋体" w:cs="宋体"/>
                <w:color w:val="auto"/>
                <w:highlight w:val="none"/>
              </w:rPr>
            </w:pPr>
            <w:r>
              <w:rPr>
                <w:rFonts w:hint="eastAsia" w:ascii="宋体" w:hAnsi="宋体" w:cs="宋体"/>
                <w:color w:val="auto"/>
                <w:highlight w:val="none"/>
              </w:rPr>
              <w:t xml:space="preserve">账户名：苏州市创杰招投标咨询服务有限公司</w:t>
            </w:r>
            <w:r/>
          </w:p>
          <w:p>
            <w:pPr>
              <w:ind w:left="462" w:hanging="600"/>
              <w:spacing w:line="360" w:lineRule="auto"/>
              <w:rPr>
                <w:rFonts w:ascii="宋体" w:hAnsi="宋体" w:cs="宋体"/>
                <w:color w:val="auto"/>
                <w:highlight w:val="none"/>
              </w:rPr>
            </w:pPr>
            <w:r>
              <w:rPr>
                <w:rFonts w:hint="eastAsia" w:ascii="宋体" w:hAnsi="宋体" w:cs="宋体"/>
                <w:color w:val="auto"/>
                <w:highlight w:val="none"/>
              </w:rPr>
              <w:t xml:space="preserve"> 开户行：江苏银行苏州金阊支行</w:t>
            </w:r>
            <w:r/>
          </w:p>
          <w:p>
            <w:pPr>
              <w:spacing w:line="360" w:lineRule="auto"/>
              <w:rPr>
                <w:rFonts w:ascii="宋体" w:hAnsi="宋体" w:cs="宋体"/>
                <w:color w:val="auto"/>
                <w:highlight w:val="none"/>
              </w:rPr>
            </w:pPr>
            <w:r>
              <w:rPr>
                <w:rFonts w:hint="eastAsia" w:ascii="宋体" w:hAnsi="宋体" w:cs="宋体"/>
                <w:color w:val="auto"/>
                <w:highlight w:val="none"/>
              </w:rPr>
              <w:t xml:space="preserve">账　号：30100188000004892</w:t>
            </w:r>
            <w:r/>
          </w:p>
          <w:p>
            <w:pPr>
              <w:pStyle w:val="1021"/>
              <w:spacing w:line="360" w:lineRule="auto"/>
              <w:rPr>
                <w:rFonts w:ascii="宋体" w:hAnsi="宋体" w:cs="宋体"/>
                <w:color w:val="auto"/>
                <w:highlight w:val="none"/>
              </w:rPr>
            </w:pPr>
            <w:r>
              <w:rPr>
                <w:rFonts w:hint="eastAsia" w:ascii="宋体" w:hAnsi="宋体" w:cs="宋体"/>
                <w:color w:val="auto"/>
                <w:highlight w:val="none"/>
              </w:rPr>
              <w:t xml:space="preserve">注：汇款单上需注明投标单位名称、标号、金额</w:t>
            </w:r>
            <w:r/>
          </w:p>
        </w:tc>
      </w:tr>
    </w:tbl>
    <w:p>
      <w:pPr>
        <w:jc w:val="center"/>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ascii="宋体" w:hAnsi="宋体" w:cs="宋体"/>
          <w:color w:val="auto"/>
          <w:sz w:val="72"/>
          <w:szCs w:val="72"/>
          <w:highlight w:val="none"/>
        </w:rPr>
      </w:pPr>
      <w:r>
        <w:rPr>
          <w:rFonts w:hint="eastAsia" w:ascii="宋体" w:hAnsi="宋体" w:cs="宋体"/>
          <w:color w:val="auto"/>
          <w:sz w:val="72"/>
          <w:szCs w:val="72"/>
          <w:highlight w:val="none"/>
        </w:rPr>
        <w:t xml:space="preserve">总目录</w:t>
      </w:r>
      <w:r/>
    </w:p>
    <w:p>
      <w:pPr>
        <w:pStyle w:val="890"/>
        <w:rPr>
          <w:rFonts w:cs="宋体"/>
          <w:color w:val="auto"/>
          <w:sz w:val="21"/>
          <w:highlight w:val="none"/>
        </w:rPr>
      </w:pPr>
      <w:r>
        <w:rPr>
          <w:rFonts w:cs="宋体"/>
          <w:color w:val="auto"/>
          <w:sz w:val="21"/>
          <w:highlight w:val="none"/>
        </w:rPr>
      </w:r>
      <w:r/>
    </w:p>
    <w:p>
      <w:pPr>
        <w:pStyle w:val="890"/>
        <w:rPr>
          <w:rFonts w:cs="宋体"/>
          <w:color w:val="auto"/>
          <w:sz w:val="36"/>
          <w:szCs w:val="36"/>
          <w:highlight w:val="none"/>
        </w:rPr>
      </w:pPr>
      <w:r>
        <w:rPr>
          <w:rFonts w:hint="eastAsia" w:cs="宋体"/>
          <w:color w:val="auto"/>
          <w:sz w:val="36"/>
          <w:szCs w:val="36"/>
          <w:highlight w:val="none"/>
        </w:rPr>
        <w:fldChar w:fldCharType="begin"/>
      </w:r>
      <w:r>
        <w:rPr>
          <w:rFonts w:hint="eastAsia" w:cs="宋体"/>
          <w:color w:val="auto"/>
          <w:sz w:val="36"/>
          <w:szCs w:val="36"/>
          <w:highlight w:val="none"/>
        </w:rPr>
        <w:instrText xml:space="preserve"> TOC \o "1-1" \h \z \u </w:instrText>
      </w:r>
      <w:r>
        <w:rPr>
          <w:rFonts w:hint="eastAsia" w:cs="宋体"/>
          <w:color w:val="auto"/>
          <w:sz w:val="36"/>
          <w:szCs w:val="36"/>
          <w:highlight w:val="none"/>
        </w:rPr>
        <w:fldChar w:fldCharType="separate"/>
      </w:r>
      <w:r>
        <w:rPr>
          <w:color w:val="auto"/>
          <w:highlight w:val="none"/>
        </w:rPr>
        <w:fldChar w:fldCharType="begin"/>
      </w:r>
      <w:r>
        <w:rPr>
          <w:color w:val="auto"/>
          <w:highlight w:val="none"/>
        </w:rPr>
        <w:instrText xml:space="preserve"> HYPERLINK \l "_Toc2154297" </w:instrText>
      </w:r>
      <w:r>
        <w:rPr>
          <w:color w:val="auto"/>
          <w:highlight w:val="none"/>
        </w:rPr>
        <w:fldChar w:fldCharType="separate"/>
      </w:r>
      <w:r>
        <w:rPr>
          <w:rStyle w:val="913"/>
          <w:rFonts w:hint="eastAsia" w:cs="宋体"/>
          <w:color w:val="auto"/>
          <w:sz w:val="36"/>
          <w:szCs w:val="36"/>
          <w:highlight w:val="none"/>
        </w:rPr>
        <w:t xml:space="preserve">第一章 投标邀请函</w:t>
      </w:r>
      <w:r>
        <w:rPr>
          <w:rStyle w:val="913"/>
          <w:rFonts w:hint="eastAsia" w:cs="宋体"/>
          <w:color w:val="auto"/>
          <w:sz w:val="36"/>
          <w:szCs w:val="36"/>
          <w:highlight w:val="none"/>
        </w:rPr>
        <w:fldChar w:fldCharType="end"/>
      </w:r>
      <w:r/>
    </w:p>
    <w:p>
      <w:pPr>
        <w:pStyle w:val="890"/>
        <w:rPr>
          <w:rFonts w:cs="宋体"/>
          <w:color w:val="auto"/>
          <w:sz w:val="36"/>
          <w:szCs w:val="36"/>
          <w:highlight w:val="none"/>
        </w:rPr>
      </w:pPr>
      <w:r>
        <w:rPr>
          <w:color w:val="auto"/>
          <w:highlight w:val="none"/>
        </w:rPr>
        <w:fldChar w:fldCharType="begin"/>
      </w:r>
      <w:r>
        <w:rPr>
          <w:color w:val="auto"/>
          <w:highlight w:val="none"/>
        </w:rPr>
        <w:instrText xml:space="preserve"> HYPERLINK \l "_Toc2154298" </w:instrText>
      </w:r>
      <w:r>
        <w:rPr>
          <w:color w:val="auto"/>
          <w:highlight w:val="none"/>
        </w:rPr>
        <w:fldChar w:fldCharType="separate"/>
      </w:r>
      <w:r>
        <w:rPr>
          <w:rStyle w:val="913"/>
          <w:rFonts w:hint="eastAsia" w:cs="宋体"/>
          <w:color w:val="auto"/>
          <w:sz w:val="36"/>
          <w:szCs w:val="36"/>
          <w:highlight w:val="none"/>
        </w:rPr>
        <w:t xml:space="preserve">第二章 采购内容</w:t>
      </w:r>
      <w:r>
        <w:rPr>
          <w:rStyle w:val="913"/>
          <w:rFonts w:hint="eastAsia" w:cs="宋体"/>
          <w:color w:val="auto"/>
          <w:sz w:val="36"/>
          <w:szCs w:val="36"/>
          <w:highlight w:val="none"/>
        </w:rPr>
        <w:fldChar w:fldCharType="end"/>
      </w:r>
      <w:r/>
    </w:p>
    <w:p>
      <w:pPr>
        <w:pStyle w:val="890"/>
        <w:rPr>
          <w:rFonts w:cs="宋体"/>
          <w:color w:val="auto"/>
          <w:sz w:val="36"/>
          <w:szCs w:val="36"/>
          <w:highlight w:val="none"/>
        </w:rPr>
      </w:pPr>
      <w:r>
        <w:rPr>
          <w:color w:val="auto"/>
          <w:highlight w:val="none"/>
        </w:rPr>
        <w:fldChar w:fldCharType="begin"/>
      </w:r>
      <w:r>
        <w:rPr>
          <w:color w:val="auto"/>
          <w:highlight w:val="none"/>
        </w:rPr>
        <w:instrText xml:space="preserve"> HYPERLINK \l "_Toc2154299" </w:instrText>
      </w:r>
      <w:r>
        <w:rPr>
          <w:color w:val="auto"/>
          <w:highlight w:val="none"/>
        </w:rPr>
        <w:fldChar w:fldCharType="separate"/>
      </w:r>
      <w:r>
        <w:rPr>
          <w:rStyle w:val="913"/>
          <w:rFonts w:hint="eastAsia" w:cs="宋体"/>
          <w:color w:val="auto"/>
          <w:sz w:val="36"/>
          <w:szCs w:val="36"/>
          <w:highlight w:val="none"/>
        </w:rPr>
        <w:t xml:space="preserve">第三章 投标单位须知</w:t>
      </w:r>
      <w:r>
        <w:rPr>
          <w:rStyle w:val="913"/>
          <w:rFonts w:hint="eastAsia" w:cs="宋体"/>
          <w:color w:val="auto"/>
          <w:sz w:val="36"/>
          <w:szCs w:val="36"/>
          <w:highlight w:val="none"/>
        </w:rPr>
        <w:fldChar w:fldCharType="end"/>
      </w:r>
      <w:r/>
    </w:p>
    <w:p>
      <w:pPr>
        <w:pStyle w:val="890"/>
        <w:rPr>
          <w:rFonts w:cs="宋体"/>
          <w:color w:val="auto"/>
          <w:sz w:val="36"/>
          <w:szCs w:val="36"/>
          <w:highlight w:val="none"/>
        </w:rPr>
      </w:pPr>
      <w:r>
        <w:rPr>
          <w:color w:val="auto"/>
          <w:highlight w:val="none"/>
        </w:rPr>
        <w:fldChar w:fldCharType="begin"/>
      </w:r>
      <w:r>
        <w:rPr>
          <w:color w:val="auto"/>
          <w:highlight w:val="none"/>
        </w:rPr>
        <w:instrText xml:space="preserve"> HYPERLINK \l "_Toc2154300" </w:instrText>
      </w:r>
      <w:r>
        <w:rPr>
          <w:color w:val="auto"/>
          <w:highlight w:val="none"/>
        </w:rPr>
        <w:fldChar w:fldCharType="separate"/>
      </w:r>
      <w:r>
        <w:rPr>
          <w:rStyle w:val="913"/>
          <w:rFonts w:hint="eastAsia" w:cs="宋体"/>
          <w:bCs/>
          <w:color w:val="auto"/>
          <w:sz w:val="36"/>
          <w:szCs w:val="36"/>
          <w:highlight w:val="none"/>
        </w:rPr>
        <w:t xml:space="preserve">第四章 投标文件格式</w:t>
      </w:r>
      <w:r>
        <w:rPr>
          <w:rStyle w:val="913"/>
          <w:rFonts w:hint="eastAsia" w:cs="宋体"/>
          <w:bCs/>
          <w:color w:val="auto"/>
          <w:sz w:val="36"/>
          <w:szCs w:val="36"/>
          <w:highlight w:val="none"/>
        </w:rPr>
        <w:fldChar w:fldCharType="end"/>
      </w:r>
      <w:r/>
    </w:p>
    <w:p>
      <w:pPr>
        <w:pStyle w:val="890"/>
        <w:rPr>
          <w:rFonts w:cs="宋体"/>
          <w:color w:val="auto"/>
          <w:sz w:val="36"/>
          <w:szCs w:val="36"/>
          <w:highlight w:val="none"/>
        </w:rPr>
      </w:pPr>
      <w:r>
        <w:rPr>
          <w:color w:val="auto"/>
          <w:highlight w:val="none"/>
        </w:rPr>
        <w:fldChar w:fldCharType="begin"/>
      </w:r>
      <w:r>
        <w:rPr>
          <w:color w:val="auto"/>
          <w:highlight w:val="none"/>
        </w:rPr>
        <w:instrText xml:space="preserve"> HYPERLINK \l "_Toc2154303" </w:instrText>
      </w:r>
      <w:r>
        <w:rPr>
          <w:color w:val="auto"/>
          <w:highlight w:val="none"/>
        </w:rPr>
        <w:fldChar w:fldCharType="separate"/>
      </w:r>
      <w:r>
        <w:rPr>
          <w:rStyle w:val="913"/>
          <w:rFonts w:hint="eastAsia" w:cs="宋体"/>
          <w:color w:val="auto"/>
          <w:sz w:val="36"/>
          <w:szCs w:val="36"/>
          <w:highlight w:val="none"/>
        </w:rPr>
        <w:t xml:space="preserve">第五章合同一般条款</w:t>
      </w:r>
      <w:r>
        <w:rPr>
          <w:rStyle w:val="913"/>
          <w:rFonts w:hint="eastAsia" w:cs="宋体"/>
          <w:color w:val="auto"/>
          <w:sz w:val="36"/>
          <w:szCs w:val="36"/>
          <w:highlight w:val="none"/>
        </w:rPr>
        <w:fldChar w:fldCharType="end"/>
      </w:r>
      <w:r/>
    </w:p>
    <w:p>
      <w:pPr>
        <w:pStyle w:val="890"/>
        <w:rPr>
          <w:rFonts w:cs="宋体"/>
          <w:color w:val="auto"/>
          <w:sz w:val="36"/>
          <w:szCs w:val="36"/>
          <w:highlight w:val="none"/>
        </w:rPr>
      </w:pPr>
      <w:r>
        <w:rPr>
          <w:color w:val="auto"/>
          <w:highlight w:val="none"/>
        </w:rPr>
        <w:fldChar w:fldCharType="begin"/>
      </w:r>
      <w:r>
        <w:rPr>
          <w:color w:val="auto"/>
          <w:highlight w:val="none"/>
        </w:rPr>
        <w:instrText xml:space="preserve"> HYPERLINK \l "_Toc2154304" </w:instrText>
      </w:r>
      <w:r>
        <w:rPr>
          <w:color w:val="auto"/>
          <w:highlight w:val="none"/>
        </w:rPr>
        <w:fldChar w:fldCharType="separate"/>
      </w:r>
      <w:r>
        <w:rPr>
          <w:rStyle w:val="913"/>
          <w:rFonts w:hint="eastAsia" w:cs="宋体"/>
          <w:color w:val="auto"/>
          <w:sz w:val="36"/>
          <w:szCs w:val="36"/>
          <w:highlight w:val="none"/>
        </w:rPr>
        <w:t xml:space="preserve">第六章 合同特殊条款</w:t>
      </w:r>
      <w:r>
        <w:rPr>
          <w:rStyle w:val="913"/>
          <w:rFonts w:hint="eastAsia" w:cs="宋体"/>
          <w:color w:val="auto"/>
          <w:sz w:val="36"/>
          <w:szCs w:val="36"/>
          <w:highlight w:val="none"/>
        </w:rPr>
        <w:fldChar w:fldCharType="end"/>
      </w:r>
      <w:r/>
    </w:p>
    <w:p>
      <w:pPr>
        <w:pStyle w:val="890"/>
        <w:rPr>
          <w:rFonts w:cs="宋体"/>
          <w:color w:val="auto"/>
          <w:sz w:val="36"/>
          <w:szCs w:val="36"/>
          <w:highlight w:val="none"/>
        </w:rPr>
      </w:pPr>
      <w:r>
        <w:rPr>
          <w:color w:val="auto"/>
          <w:highlight w:val="none"/>
        </w:rPr>
        <w:fldChar w:fldCharType="begin"/>
      </w:r>
      <w:r>
        <w:rPr>
          <w:color w:val="auto"/>
          <w:highlight w:val="none"/>
        </w:rPr>
        <w:instrText xml:space="preserve"> HYPERLINK \l "_Toc2154305" </w:instrText>
      </w:r>
      <w:r>
        <w:rPr>
          <w:color w:val="auto"/>
          <w:highlight w:val="none"/>
        </w:rPr>
        <w:fldChar w:fldCharType="separate"/>
      </w:r>
      <w:r>
        <w:rPr>
          <w:rStyle w:val="913"/>
          <w:rFonts w:hint="eastAsia" w:cs="宋体"/>
          <w:color w:val="auto"/>
          <w:sz w:val="36"/>
          <w:szCs w:val="36"/>
          <w:highlight w:val="none"/>
        </w:rPr>
        <w:t xml:space="preserve">第七章 评分办法、评分标准</w:t>
      </w:r>
      <w:r>
        <w:rPr>
          <w:rStyle w:val="913"/>
          <w:rFonts w:hint="eastAsia" w:cs="宋体"/>
          <w:color w:val="auto"/>
          <w:sz w:val="36"/>
          <w:szCs w:val="36"/>
          <w:highlight w:val="none"/>
        </w:rPr>
        <w:fldChar w:fldCharType="end"/>
      </w:r>
      <w:r/>
    </w:p>
    <w:p>
      <w:pPr>
        <w:pStyle w:val="678"/>
        <w:ind w:firstLine="0"/>
        <w:jc w:val="center"/>
        <w:spacing w:line="800" w:lineRule="exact"/>
        <w:rPr>
          <w:rFonts w:ascii="宋体" w:hAnsi="宋体" w:eastAsia="宋体" w:cs="宋体"/>
          <w:color w:val="auto"/>
          <w:sz w:val="21"/>
          <w:highlight w:val="none"/>
        </w:rPr>
      </w:pPr>
      <w:r>
        <w:rPr>
          <w:rFonts w:hint="eastAsia" w:ascii="宋体" w:hAnsi="宋体" w:eastAsia="宋体" w:cs="宋体"/>
          <w:color w:val="auto"/>
          <w:sz w:val="36"/>
          <w:szCs w:val="36"/>
          <w:highlight w:val="none"/>
        </w:rPr>
        <w:fldChar w:fldCharType="end"/>
      </w:r>
      <w:r/>
    </w:p>
    <w:p>
      <w:pPr>
        <w:pStyle w:val="678"/>
        <w:ind w:firstLine="0"/>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678"/>
        <w:ind w:firstLine="0"/>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tabs>
          <w:tab w:val="left" w:pos="6602" w:leader="none"/>
        </w:tabs>
        <w:rPr>
          <w:rFonts w:ascii="宋体" w:hAnsi="宋体" w:cs="宋体"/>
          <w:color w:val="auto"/>
          <w:highlight w:val="none"/>
        </w:rPr>
      </w:pPr>
      <w:r>
        <w:rPr>
          <w:rFonts w:hint="eastAsia" w:ascii="宋体" w:hAnsi="宋体" w:cs="宋体"/>
          <w:color w:val="auto"/>
          <w:highlight w:val="none"/>
        </w:rPr>
        <w:tab/>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49"/>
        <w:jc w:val="center"/>
        <w:pageBreakBefore/>
        <w:spacing w:before="0" w:after="0" w:line="360" w:lineRule="auto"/>
        <w:rPr>
          <w:rFonts w:ascii="宋体" w:hAnsi="宋体" w:eastAsia="宋体" w:cs="宋体"/>
          <w:color w:val="auto"/>
          <w:highlight w:val="none"/>
        </w:rPr>
      </w:pPr>
      <w:r/>
      <w:bookmarkStart w:id="0" w:name="_Toc221605136"/>
      <w:r/>
      <w:bookmarkStart w:id="1" w:name="_Toc222198305"/>
      <w:r/>
      <w:bookmarkStart w:id="2" w:name="_Toc229880443"/>
      <w:r/>
      <w:bookmarkStart w:id="3" w:name="_Toc221604906"/>
      <w:r/>
      <w:bookmarkStart w:id="4" w:name="_Toc228616320"/>
      <w:r/>
      <w:bookmarkStart w:id="5" w:name="_Toc227047088"/>
      <w:r/>
      <w:bookmarkStart w:id="6" w:name="_Toc196471461"/>
      <w:r/>
      <w:bookmarkStart w:id="7" w:name="_Toc221701293"/>
      <w:r/>
      <w:bookmarkStart w:id="8" w:name="_Toc226971666"/>
      <w:r/>
      <w:bookmarkStart w:id="9" w:name="_Toc227034735"/>
      <w:r/>
      <w:bookmarkStart w:id="10" w:name="_Toc228616404"/>
      <w:r/>
      <w:bookmarkStart w:id="11" w:name="_Toc221586154"/>
      <w:r/>
      <w:bookmarkStart w:id="12" w:name="_Toc536633985"/>
      <w:r/>
      <w:bookmarkStart w:id="13" w:name="_Toc2154297"/>
      <w:r>
        <w:rPr>
          <w:rFonts w:hint="eastAsia" w:ascii="宋体" w:hAnsi="宋体" w:eastAsia="宋体" w:cs="宋体"/>
          <w:color w:val="auto"/>
          <w:highlight w:val="none"/>
        </w:rPr>
        <w:t xml:space="preserve">第一章 </w:t>
      </w:r>
      <w:bookmarkEnd w:id="0"/>
      <w:r/>
      <w:bookmarkEnd w:id="1"/>
      <w:r/>
      <w:bookmarkEnd w:id="2"/>
      <w:r/>
      <w:bookmarkEnd w:id="3"/>
      <w:r/>
      <w:bookmarkEnd w:id="4"/>
      <w:r/>
      <w:bookmarkEnd w:id="5"/>
      <w:r/>
      <w:bookmarkEnd w:id="6"/>
      <w:r/>
      <w:bookmarkEnd w:id="7"/>
      <w:r/>
      <w:bookmarkEnd w:id="8"/>
      <w:r/>
      <w:bookmarkEnd w:id="9"/>
      <w:r/>
      <w:bookmarkEnd w:id="10"/>
      <w:r/>
      <w:bookmarkEnd w:id="11"/>
      <w:r>
        <w:rPr>
          <w:rFonts w:hint="eastAsia" w:ascii="宋体" w:hAnsi="宋体" w:eastAsia="宋体" w:cs="宋体"/>
          <w:color w:val="auto"/>
          <w:highlight w:val="none"/>
        </w:rPr>
        <w:t xml:space="preserve">投标邀请函</w:t>
      </w:r>
      <w:bookmarkEnd w:id="12"/>
      <w:r/>
      <w:bookmarkEnd w:id="1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苏州市创杰招投标咨询服务有限公司受苏州大学附属儿童医院的委托，就其景德路院区停车场设施更新政府采购项目进行国内公开招标，欢迎符合资格条件的供应商前来参与。</w:t>
      </w:r>
      <w:r/>
    </w:p>
    <w:p>
      <w:pPr>
        <w:ind w:firstLine="420"/>
        <w:keepLines/>
        <w:keepNex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一、</w:t>
      </w:r>
      <w:r>
        <w:rPr>
          <w:rFonts w:hint="eastAsia" w:ascii="宋体" w:hAnsi="宋体" w:cs="宋体"/>
          <w:b/>
          <w:color w:val="auto"/>
          <w:szCs w:val="21"/>
          <w:highlight w:val="none"/>
        </w:rPr>
        <w:t xml:space="preserve">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JSZC-320000-CJZB-G2025-0146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项目名称：景德路院区停车场设施更新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预算金额：人民币壹佰捌拾万元整（￥1800000.00）</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最高限价：人民币壹佰捌拾万元整（￥1800000.00）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1、按照要求完成产品的制造、运输、装卸、现场安装调试、验收、取得特种设备使用证及售后服务等工作。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2、交货地点：采购单位指定地点。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3、合同履行期限：在合同签订生效后90天内送货到位并安装调试结束；免费质保期为验收之日起≥3年。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w:t>
      </w:r>
      <w:r>
        <w:rPr>
          <w:rFonts w:hint="eastAsia" w:ascii="宋体" w:hAnsi="宋体" w:cs="宋体"/>
          <w:color w:val="auto"/>
          <w:szCs w:val="21"/>
          <w:highlight w:val="none"/>
        </w:rPr>
        <w:t xml:space="preserve">接受联合体投标。</w:t>
      </w:r>
      <w:r/>
    </w:p>
    <w:p>
      <w:pPr>
        <w:ind w:firstLine="422"/>
        <w:keepLines/>
        <w:keepNext/>
        <w:spacing w:line="360" w:lineRule="auto"/>
        <w:rPr>
          <w:rFonts w:ascii="宋体" w:hAnsi="宋体" w:cs="宋体"/>
          <w:b/>
          <w:color w:val="auto"/>
          <w:szCs w:val="21"/>
          <w:highlight w:val="none"/>
        </w:rPr>
      </w:pPr>
      <w:r/>
      <w:bookmarkStart w:id="14" w:name="_Toc28359003"/>
      <w:r/>
      <w:bookmarkStart w:id="15" w:name="_Toc35393791"/>
      <w:r/>
      <w:bookmarkStart w:id="16" w:name="_Toc35393622"/>
      <w:r/>
      <w:bookmarkStart w:id="17" w:name="_Toc28359080"/>
      <w:r>
        <w:rPr>
          <w:rFonts w:hint="eastAsia" w:ascii="宋体" w:hAnsi="宋体" w:cs="宋体"/>
          <w:b/>
          <w:color w:val="auto"/>
          <w:szCs w:val="21"/>
          <w:highlight w:val="none"/>
        </w:rPr>
        <w:t xml:space="preserve">二、申请人的资格要求：</w:t>
      </w:r>
      <w:bookmarkEnd w:id="14"/>
      <w:r/>
      <w:bookmarkEnd w:id="15"/>
      <w:r/>
      <w:bookmarkEnd w:id="16"/>
      <w:r/>
      <w:bookmarkEnd w:id="1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ind w:firstLine="420"/>
        <w:spacing w:line="360" w:lineRule="auto"/>
        <w:rPr>
          <w:rFonts w:ascii="宋体" w:hAnsi="宋体" w:cs="宋体"/>
          <w:color w:val="auto"/>
          <w:szCs w:val="21"/>
          <w:highlight w:val="none"/>
        </w:rPr>
      </w:pPr>
      <w:r/>
      <w:bookmarkStart w:id="18" w:name="_Toc28359081"/>
      <w:r/>
      <w:bookmarkStart w:id="19" w:name="_Toc28359004"/>
      <w:r>
        <w:rPr>
          <w:rFonts w:hint="eastAsia" w:ascii="宋体" w:hAnsi="宋体" w:cs="宋体"/>
          <w:color w:val="auto"/>
          <w:szCs w:val="21"/>
          <w:highlight w:val="none"/>
        </w:rPr>
        <w:t xml:space="preserve">2.落实政府采购政策需满足的资格要求：根据《政府采购促进中小企业发展管理办法》的相关规定，</w:t>
      </w:r>
      <w:r>
        <w:rPr>
          <w:rFonts w:hint="eastAsia" w:ascii="宋体" w:hAnsi="宋体" w:cs="宋体"/>
          <w:b/>
          <w:bCs/>
          <w:color w:val="auto"/>
          <w:szCs w:val="21"/>
          <w:highlight w:val="none"/>
        </w:rPr>
        <w:t xml:space="preserve">本项目非专门面向中小企业采购，所属行业为工业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bookmarkStart w:id="20" w:name="_Toc35393623"/>
      <w:r/>
      <w:bookmarkStart w:id="21" w:name="_Toc35393792"/>
      <w:r>
        <w:rPr>
          <w:rFonts w:hint="eastAsia" w:ascii="宋体" w:hAnsi="宋体" w:cs="宋体"/>
          <w:color w:val="auto"/>
          <w:szCs w:val="21"/>
          <w:highlight w:val="none"/>
        </w:rPr>
        <w:t xml:space="preserve">未被“信用中国”网站（WWW.creditchina.gov.cn）或“中国政府采购网”网站（www.ccgp.gov.cn）列入失信被执行人、重大税收违法案件当事人名单、政府采购严重失信行为记录名单；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6.为采购项目提供整体设计、规范编制或者项目管理、监理、检测等服务的供应商，不得再参加该采购项目的其他采购活动。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7.法人的分支机构不得参加投标（除银行、保险、石油石化、电力、电信等行业特殊情况外）。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其他特定资格要求：所投产品的制造商具有中华人民共和国特种设备制造许可证(起重机械类，明细表中含升降横移类机械式停车设备)及中华人民共和国特种设备安装改造维修许可证(起重机械类，明细表中为机械式停车设备的安装、维修)；若为新证，具有中华人民共和国特种设备生产许可证，并提供特种设备型式试验报告（升降横移类机械式停车设备）。</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w:t>
      </w:r>
      <w:bookmarkEnd w:id="18"/>
      <w:r/>
      <w:bookmarkEnd w:id="19"/>
      <w:r/>
      <w:bookmarkEnd w:id="20"/>
      <w:r/>
      <w:bookmarkEnd w:id="21"/>
      <w:r>
        <w:rPr>
          <w:rFonts w:hint="eastAsia" w:ascii="宋体" w:hAnsi="宋体" w:cs="宋体"/>
          <w:b/>
          <w:bCs/>
          <w:color w:val="auto"/>
          <w:szCs w:val="21"/>
          <w:highlight w:val="none"/>
        </w:rPr>
        <w:t xml:space="preserve">招标文件的获取</w:t>
      </w:r>
      <w:r/>
    </w:p>
    <w:p>
      <w:pPr>
        <w:ind w:firstLine="420"/>
        <w:spacing w:line="360" w:lineRule="auto"/>
        <w:rPr>
          <w:rFonts w:ascii="宋体" w:hAnsi="宋体" w:cs="宋体"/>
          <w:color w:val="auto"/>
          <w:szCs w:val="21"/>
          <w:highlight w:val="none"/>
        </w:rPr>
      </w:pPr>
      <w:r/>
      <w:bookmarkStart w:id="22" w:name="_Toc28359005"/>
      <w:r/>
      <w:bookmarkStart w:id="23" w:name="_Toc28359082"/>
      <w:r/>
      <w:bookmarkStart w:id="24" w:name="_Toc35393624"/>
      <w:r/>
      <w:bookmarkStart w:id="25" w:name="_Toc35393793"/>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招标文件获取时间：</w:t>
      </w:r>
      <w:r>
        <w:rPr>
          <w:rFonts w:hint="eastAsia" w:ascii="宋体" w:hAnsi="宋体" w:cs="宋体"/>
          <w:color w:val="auto"/>
          <w:szCs w:val="21"/>
          <w:highlight w:val="none"/>
          <w:lang w:val="zh-CN"/>
        </w:rPr>
        <w:t xml:space="preserve">自招标</w:t>
      </w:r>
      <w:r>
        <w:rPr>
          <w:rFonts w:hint="eastAsia" w:ascii="宋体" w:hAnsi="宋体" w:cs="宋体"/>
          <w:color w:val="auto"/>
          <w:szCs w:val="21"/>
          <w:highlight w:val="none"/>
        </w:rPr>
        <w:t xml:space="preserve">公告</w:t>
      </w:r>
      <w:r>
        <w:rPr>
          <w:rFonts w:hint="eastAsia" w:ascii="宋体" w:hAnsi="宋体" w:cs="宋体"/>
          <w:color w:val="auto"/>
          <w:szCs w:val="21"/>
          <w:highlight w:val="none"/>
          <w:lang w:val="zh-CN"/>
        </w:rPr>
        <w:t xml:space="preserve">发布之时起至202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日每日8：30~11：00，13：30~17：00（节假日、公休日除外）</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2、获取方式：现场领取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3、获取地点：苏州市干将西路399号银海大厦303室（苏州创杰公司）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4、售价：工本费人民币伍佰元整。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5、在依法获取采购文件时须向采购代理机构提供以下材料并加盖投标单位公章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鲜</w:t>
      </w:r>
      <w:r>
        <w:rPr>
          <w:rFonts w:hint="eastAsia" w:ascii="宋体" w:hAnsi="宋体" w:cs="宋体"/>
          <w:color w:val="auto"/>
          <w:szCs w:val="21"/>
          <w:highlight w:val="none"/>
          <w:lang w:val="zh-CN"/>
        </w:rPr>
        <w:t xml:space="preserve">章）</w:t>
      </w:r>
      <w:r>
        <w:rPr>
          <w:rFonts w:hint="eastAsia" w:ascii="宋体" w:hAnsi="宋体" w:cs="宋体"/>
          <w:color w:val="auto"/>
          <w:szCs w:val="21"/>
          <w:highlight w:val="none"/>
        </w:rPr>
        <w:t xml:space="preserve">：</w:t>
      </w:r>
      <w:r/>
    </w:p>
    <w:p>
      <w:pPr>
        <w:numPr>
          <w:ilvl w:val="0"/>
          <w:numId w:val="1"/>
        </w:num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营业执照副本复印件（三证合一）；</w:t>
      </w:r>
      <w:r/>
    </w:p>
    <w:p>
      <w:pPr>
        <w:numPr>
          <w:ilvl w:val="0"/>
          <w:numId w:val="1"/>
        </w:num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投标单位法人授权委托书；附法定代表人及授权委托人身份证复印件；</w:t>
      </w:r>
      <w:r/>
    </w:p>
    <w:p>
      <w:pPr>
        <w:numPr>
          <w:ilvl w:val="0"/>
          <w:numId w:val="1"/>
        </w:numPr>
        <w:ind w:left="420"/>
        <w:spacing w:line="360" w:lineRule="auto"/>
        <w:rPr>
          <w:rFonts w:ascii="宋体" w:hAnsi="宋体" w:cs="宋体"/>
          <w:color w:val="auto"/>
          <w:highlight w:val="none"/>
        </w:rPr>
      </w:pPr>
      <w:r>
        <w:rPr>
          <w:rFonts w:hint="eastAsia" w:ascii="宋体" w:hAnsi="宋体" w:cs="宋体"/>
          <w:color w:val="auto"/>
          <w:szCs w:val="21"/>
          <w:highlight w:val="none"/>
        </w:rPr>
        <w:t xml:space="preserve">提供符合“8.其他特定资格要求”的证明资料；</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四、提交投标文件</w:t>
      </w:r>
      <w:bookmarkEnd w:id="22"/>
      <w:r/>
      <w:bookmarkEnd w:id="23"/>
      <w:r>
        <w:rPr>
          <w:rFonts w:hint="eastAsia" w:ascii="宋体" w:hAnsi="宋体" w:cs="宋体"/>
          <w:b/>
          <w:color w:val="auto"/>
          <w:szCs w:val="21"/>
          <w:highlight w:val="none"/>
        </w:rPr>
        <w:t xml:space="preserve">截止时间、开标时间和地点</w:t>
      </w:r>
      <w:bookmarkEnd w:id="24"/>
      <w:r/>
      <w:bookmarkEnd w:id="25"/>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截止时间、开标时间：</w:t>
      </w:r>
      <w:bookmarkStart w:id="26" w:name="XMKBSJ_2"/>
      <w:r>
        <w:rPr>
          <w:rFonts w:hint="eastAsia" w:ascii="宋体" w:hAnsi="宋体" w:cs="宋体"/>
          <w:bCs/>
          <w:color w:val="auto"/>
          <w:szCs w:val="21"/>
          <w:highlight w:val="none"/>
          <w:u w:val="single"/>
        </w:rPr>
        <w:t xml:space="preserve">2025年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26</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0分</w:t>
      </w:r>
      <w:bookmarkEnd w:id="26"/>
      <w:r>
        <w:rPr>
          <w:rFonts w:hint="eastAsia" w:ascii="宋体" w:hAnsi="宋体" w:cs="宋体"/>
          <w:bCs/>
          <w:color w:val="auto"/>
          <w:szCs w:val="21"/>
          <w:highlight w:val="none"/>
        </w:rPr>
        <w:t xml:space="preserve">（北京时间）</w:t>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地点：苏州市干将西路399号银海大厦302A会议室</w:t>
      </w:r>
      <w:r/>
    </w:p>
    <w:p>
      <w:pPr>
        <w:ind w:firstLine="422"/>
        <w:spacing w:line="360" w:lineRule="auto"/>
        <w:rPr>
          <w:rFonts w:ascii="宋体" w:hAnsi="宋体" w:cs="宋体"/>
          <w:b/>
          <w:color w:val="auto"/>
          <w:szCs w:val="21"/>
          <w:highlight w:val="none"/>
        </w:rPr>
      </w:pPr>
      <w:r/>
      <w:bookmarkStart w:id="27" w:name="_Toc35393794"/>
      <w:r/>
      <w:bookmarkStart w:id="28" w:name="_Toc28359084"/>
      <w:r/>
      <w:bookmarkStart w:id="29" w:name="_Toc35393625"/>
      <w:r/>
      <w:bookmarkStart w:id="30" w:name="_Toc28359007"/>
      <w:r>
        <w:rPr>
          <w:rFonts w:hint="eastAsia" w:ascii="宋体" w:hAnsi="宋体" w:cs="宋体"/>
          <w:b/>
          <w:color w:val="auto"/>
          <w:szCs w:val="21"/>
          <w:highlight w:val="none"/>
        </w:rPr>
        <w:t xml:space="preserve">五、公告期限</w:t>
      </w:r>
      <w:bookmarkEnd w:id="27"/>
      <w:r/>
      <w:bookmarkEnd w:id="28"/>
      <w:r/>
      <w:bookmarkEnd w:id="29"/>
      <w:r/>
      <w:bookmarkEnd w:id="3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ind w:firstLine="422"/>
        <w:spacing w:line="360" w:lineRule="auto"/>
        <w:rPr>
          <w:rFonts w:ascii="宋体" w:hAnsi="宋体" w:cs="宋体"/>
          <w:b/>
          <w:color w:val="auto"/>
          <w:szCs w:val="21"/>
          <w:highlight w:val="none"/>
        </w:rPr>
      </w:pPr>
      <w:r/>
      <w:bookmarkStart w:id="31" w:name="_Toc35393626"/>
      <w:r/>
      <w:bookmarkStart w:id="32" w:name="_Toc35393795"/>
      <w:r>
        <w:rPr>
          <w:rFonts w:hint="eastAsia" w:ascii="宋体" w:hAnsi="宋体" w:cs="宋体"/>
          <w:b/>
          <w:color w:val="auto"/>
          <w:szCs w:val="21"/>
          <w:highlight w:val="none"/>
        </w:rPr>
        <w:t xml:space="preserve">其他补充事宜</w:t>
      </w:r>
      <w:bookmarkEnd w:id="31"/>
      <w:r/>
      <w:bookmarkEnd w:id="3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1、本项目支持政府采购合同信用融资。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2、本公告有关信息将在江苏省政府采购网上发布，敬请留意！</w:t>
      </w:r>
      <w:r/>
    </w:p>
    <w:p>
      <w:pPr>
        <w:ind w:firstLine="422"/>
        <w:spacing w:line="360" w:lineRule="auto"/>
        <w:rPr>
          <w:rFonts w:ascii="宋体" w:hAnsi="宋体" w:cs="宋体"/>
          <w:b/>
          <w:color w:val="auto"/>
          <w:szCs w:val="21"/>
          <w:highlight w:val="none"/>
        </w:rPr>
      </w:pPr>
      <w:r/>
      <w:bookmarkStart w:id="33" w:name="_Toc35393796"/>
      <w:r/>
      <w:bookmarkStart w:id="34" w:name="_Toc28359008"/>
      <w:r/>
      <w:bookmarkStart w:id="35" w:name="_Toc28359085"/>
      <w:r/>
      <w:bookmarkStart w:id="36" w:name="_Toc35393627"/>
      <w:r>
        <w:rPr>
          <w:rFonts w:hint="eastAsia" w:ascii="宋体" w:hAnsi="宋体" w:cs="宋体"/>
          <w:b/>
          <w:color w:val="auto"/>
          <w:szCs w:val="21"/>
          <w:highlight w:val="none"/>
        </w:rPr>
        <w:t xml:space="preserve">七、对本次招标提出询问，请按以下方式联系。</w:t>
      </w:r>
      <w:bookmarkEnd w:id="33"/>
      <w:r/>
      <w:bookmarkEnd w:id="34"/>
      <w:r/>
      <w:bookmarkEnd w:id="35"/>
      <w:r/>
      <w:bookmarkEnd w:id="36"/>
      <w:r/>
      <w:r/>
    </w:p>
    <w:p>
      <w:pPr>
        <w:ind w:firstLine="420"/>
        <w:jc w:val="left"/>
        <w:spacing w:line="360" w:lineRule="auto"/>
        <w:widowControl/>
        <w:rPr>
          <w:rFonts w:ascii="宋体" w:hAnsi="宋体" w:cs="宋体"/>
          <w:color w:val="auto"/>
          <w:szCs w:val="21"/>
          <w:highlight w:val="none"/>
        </w:rPr>
      </w:pPr>
      <w:r/>
      <w:bookmarkStart w:id="37" w:name="_Toc35393786"/>
      <w:r/>
      <w:bookmarkStart w:id="38" w:name="_Toc28359075"/>
      <w:r/>
      <w:bookmarkStart w:id="39" w:name="_Toc28358998"/>
      <w:r/>
      <w:bookmarkStart w:id="40" w:name="_Toc35393617"/>
      <w:r>
        <w:rPr>
          <w:rFonts w:hint="eastAsia" w:ascii="宋体" w:hAnsi="宋体" w:cs="宋体"/>
          <w:color w:val="auto"/>
          <w:szCs w:val="21"/>
          <w:highlight w:val="none"/>
        </w:rPr>
        <w:t xml:space="preserve">1.采购人信息</w:t>
      </w:r>
      <w:bookmarkEnd w:id="37"/>
      <w:r/>
      <w:bookmarkEnd w:id="38"/>
      <w:r/>
      <w:bookmarkEnd w:id="39"/>
      <w:r/>
      <w:bookmarkEnd w:id="40"/>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称：苏州大学附属儿童医院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址：苏州工业园区钟南街92号</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2"/>
          <w:highlight w:val="none"/>
        </w:rPr>
        <w:t xml:space="preserve">沈力</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2"/>
          <w:highlight w:val="none"/>
        </w:rPr>
        <w:t xml:space="preserve">0512-80692972</w:t>
      </w:r>
      <w:r/>
    </w:p>
    <w:p>
      <w:pPr>
        <w:ind w:firstLine="420"/>
        <w:jc w:val="left"/>
        <w:spacing w:line="360" w:lineRule="auto"/>
        <w:widowControl/>
        <w:rPr>
          <w:rFonts w:ascii="宋体" w:hAnsi="宋体" w:cs="宋体"/>
          <w:color w:val="auto"/>
          <w:szCs w:val="21"/>
          <w:highlight w:val="none"/>
        </w:rPr>
      </w:pPr>
      <w:r/>
      <w:bookmarkStart w:id="41" w:name="_Toc35393619"/>
      <w:r/>
      <w:bookmarkStart w:id="42" w:name="_Toc28359000"/>
      <w:r/>
      <w:bookmarkStart w:id="43" w:name="_Toc28359077"/>
      <w:r/>
      <w:bookmarkStart w:id="44" w:name="_Toc35393788"/>
      <w:r>
        <w:rPr>
          <w:rFonts w:hint="eastAsia" w:ascii="宋体" w:hAnsi="宋体" w:cs="宋体"/>
          <w:color w:val="auto"/>
          <w:szCs w:val="21"/>
          <w:highlight w:val="none"/>
        </w:rPr>
        <w:t xml:space="preserve">2.代理机构联系方式</w:t>
      </w:r>
      <w:bookmarkEnd w:id="41"/>
      <w:r/>
      <w:bookmarkEnd w:id="42"/>
      <w:r/>
      <w:bookmarkEnd w:id="43"/>
      <w:r/>
      <w:bookmarkEnd w:id="44"/>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45" w:name="XTDLJG_2"/>
      <w:r>
        <w:rPr>
          <w:rFonts w:hint="eastAsia" w:ascii="宋体" w:hAnsi="宋体" w:cs="宋体"/>
          <w:color w:val="auto"/>
          <w:szCs w:val="21"/>
          <w:highlight w:val="none"/>
        </w:rPr>
        <w:t xml:space="preserve">：</w:t>
      </w:r>
      <w:bookmarkEnd w:id="45"/>
      <w:r/>
      <w:bookmarkStart w:id="46" w:name="XTDLJG_1"/>
      <w:r>
        <w:rPr>
          <w:rFonts w:hint="eastAsia" w:ascii="宋体" w:hAnsi="宋体" w:cs="宋体"/>
          <w:color w:val="auto"/>
          <w:szCs w:val="21"/>
          <w:highlight w:val="none"/>
        </w:rPr>
        <w:t xml:space="preserve">苏州市创杰招投标咨询服务有限公司</w:t>
      </w:r>
      <w:bookmarkEnd w:id="4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联系人：路丽丽  潘莉莉 朱晓芹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联系人：路丽丽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pStyle w:val="873"/>
        <w:ind w:firstLine="420"/>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49"/>
        <w:jc w:val="center"/>
        <w:pageBreakBefore/>
        <w:spacing w:before="0" w:after="0" w:line="360" w:lineRule="auto"/>
        <w:rPr>
          <w:rFonts w:ascii="宋体" w:hAnsi="宋体" w:eastAsia="宋体" w:cs="宋体"/>
          <w:color w:val="auto"/>
          <w:highlight w:val="none"/>
        </w:rPr>
      </w:pPr>
      <w:r/>
      <w:bookmarkStart w:id="47" w:name="_Toc2154298"/>
      <w:r/>
      <w:bookmarkStart w:id="48" w:name="_Toc536633986"/>
      <w:r/>
      <w:bookmarkStart w:id="49" w:name="_Toc227034736"/>
      <w:r/>
      <w:bookmarkStart w:id="50" w:name="_Toc227047089"/>
      <w:r/>
      <w:bookmarkStart w:id="51" w:name="_Toc221701294"/>
      <w:r/>
      <w:bookmarkStart w:id="52" w:name="_Toc228616405"/>
      <w:r/>
      <w:bookmarkStart w:id="53" w:name="_Toc226971667"/>
      <w:r/>
      <w:bookmarkStart w:id="54" w:name="_Toc196471479"/>
      <w:r/>
      <w:bookmarkStart w:id="55" w:name="_Toc228616321"/>
      <w:r/>
      <w:bookmarkStart w:id="56" w:name="_Toc221586155"/>
      <w:r/>
      <w:bookmarkStart w:id="57" w:name="_Toc229880444"/>
      <w:r/>
      <w:bookmarkStart w:id="58" w:name="_Toc221604907"/>
      <w:r/>
      <w:bookmarkStart w:id="59" w:name="_Toc221605137"/>
      <w:r/>
      <w:bookmarkStart w:id="60" w:name="_Toc222198306"/>
      <w:r>
        <w:rPr>
          <w:rFonts w:hint="eastAsia" w:ascii="宋体" w:hAnsi="宋体" w:eastAsia="宋体" w:cs="宋体"/>
          <w:color w:val="auto"/>
          <w:highlight w:val="none"/>
        </w:rPr>
        <w:t xml:space="preserve">第二章 采购内容</w:t>
      </w:r>
      <w:bookmarkEnd w:id="47"/>
      <w:r/>
      <w:bookmarkEnd w:id="48"/>
      <w:r/>
      <w:r/>
    </w:p>
    <w:p>
      <w:pPr>
        <w:ind w:left="19" w:hanging="18"/>
        <w:spacing w:line="360" w:lineRule="auto"/>
        <w:rPr>
          <w:rFonts w:ascii="宋体" w:hAnsi="宋体" w:cs="宋体"/>
          <w:color w:val="auto"/>
          <w:szCs w:val="21"/>
          <w:highlight w:val="none"/>
        </w:rPr>
      </w:pPr>
      <w:r/>
      <w:bookmarkStart w:id="61" w:name="_Toc226971681"/>
      <w:r/>
      <w:bookmarkStart w:id="62" w:name="_Toc196471478"/>
      <w:r/>
      <w:bookmarkStart w:id="63" w:name="_Toc221701302"/>
      <w:r/>
      <w:bookmarkStart w:id="64" w:name="_Toc227047103"/>
      <w:r/>
      <w:bookmarkStart w:id="65" w:name="_Toc221586164"/>
      <w:r/>
      <w:bookmarkStart w:id="66" w:name="_Toc222198314"/>
      <w:r/>
      <w:bookmarkStart w:id="67" w:name="_Toc221605145"/>
      <w:r/>
      <w:bookmarkStart w:id="68" w:name="_Toc221604916"/>
      <w:r/>
      <w:bookmarkStart w:id="69" w:name="_Toc227034750"/>
      <w:r>
        <w:rPr>
          <w:rFonts w:hint="eastAsia" w:ascii="宋体" w:hAnsi="宋体" w:cs="宋体"/>
          <w:color w:val="auto"/>
          <w:szCs w:val="21"/>
          <w:highlight w:val="none"/>
        </w:rPr>
        <w:t xml:space="preserve">    苏州市创杰招投标咨询服务有限公司受苏州大学附属儿童医院的委托，就其景德路院区停车场设施更新进行国内公开招标采购。</w:t>
      </w:r>
      <w:r/>
    </w:p>
    <w:p>
      <w:pPr>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一、招标编号</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JSZC-320000-CJZB-G2025-0146</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bCs/>
          <w:color w:val="auto"/>
          <w:highlight w:val="none"/>
        </w:rPr>
        <w:t xml:space="preserve">项目内容</w:t>
      </w:r>
      <w:r>
        <w:rPr>
          <w:rFonts w:hint="eastAsia" w:ascii="宋体" w:hAnsi="宋体" w:cs="宋体"/>
          <w:color w:val="auto"/>
          <w:szCs w:val="21"/>
          <w:highlight w:val="none"/>
        </w:rPr>
        <w:t xml:space="preserve">：景德路院区停车场设施更新</w:t>
      </w:r>
      <w:r/>
    </w:p>
    <w:p>
      <w:pPr>
        <w:spacing w:line="360" w:lineRule="auto"/>
        <w:rPr>
          <w:rFonts w:hAnsi="宋体" w:cs="宋体"/>
          <w:color w:val="auto"/>
          <w:highlight w:val="none"/>
        </w:rPr>
      </w:pPr>
      <w:r>
        <w:rPr>
          <w:rFonts w:hint="eastAsia" w:ascii="宋体" w:hAnsi="宋体" w:cs="宋体"/>
          <w:b/>
          <w:bCs/>
          <w:color w:val="auto"/>
          <w:szCs w:val="21"/>
          <w:highlight w:val="none"/>
        </w:rPr>
        <w:t xml:space="preserve">三、项目预算（最高限价）：</w:t>
      </w:r>
      <w:r>
        <w:rPr>
          <w:rFonts w:hint="eastAsia" w:ascii="宋体" w:hAnsi="宋体" w:cs="宋体"/>
          <w:color w:val="auto"/>
          <w:szCs w:val="21"/>
          <w:highlight w:val="none"/>
        </w:rPr>
        <w:t xml:space="preserve">人民币壹佰捌拾万元整（￥1800000.00）</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四、采购内容</w:t>
      </w:r>
      <w:bookmarkEnd w:id="61"/>
      <w:bookmarkEnd w:id="62"/>
      <w:bookmarkEnd w:id="63"/>
      <w:bookmarkEnd w:id="64"/>
      <w:bookmarkEnd w:id="65"/>
      <w:bookmarkEnd w:id="66"/>
      <w:bookmarkEnd w:id="67"/>
      <w:bookmarkEnd w:id="68"/>
      <w:bookmarkEnd w:id="69"/>
      <w:r/>
    </w:p>
    <w:p>
      <w:pP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（一）采购范围</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1、按招标文件的要求完成拆除、更新产品的制造、运输、装卸、现场安装调试、验收（含江苏省特种设备安全监督检验苏州分院、苏州市市场监督管理局，且包含特检院收取的监督检验费、验收费用等）、取得特种设备使用证及售后服务等工作。按工作顺序提交所需的技术资料，所有资料必须符合本招标文件的要求。无论其是否被明细列在合同文件中。提供的产品须包括以下工作服务但不仅限于以下内容：    </w:t>
      </w:r>
      <w:r/>
    </w:p>
    <w:p>
      <w:pPr>
        <w:ind w:firstLine="420"/>
        <w:spacing w:line="360" w:lineRule="auto"/>
        <w:rPr>
          <w:rFonts w:hint="eastAsia" w:ascii="宋体" w:hAnsi="宋体" w:eastAsia="宋体" w:cs="宋体"/>
          <w:bCs/>
          <w:color w:val="auto"/>
          <w:szCs w:val="21"/>
          <w:highlight w:val="none"/>
          <w:lang w:val="en-US" w:eastAsia="zh-CN"/>
        </w:rPr>
        <w:outlineLvl w:val="0"/>
      </w:pPr>
      <w:r>
        <w:rPr>
          <w:rFonts w:hint="eastAsia" w:ascii="宋体" w:hAnsi="宋体" w:cs="宋体"/>
          <w:bCs/>
          <w:color w:val="auto"/>
          <w:szCs w:val="21"/>
          <w:highlight w:val="none"/>
        </w:rPr>
        <w:t xml:space="preserve">（1）对原有机械车库117个车位拆除；（拆除、运输由中标单位负责，回收价格不得低于医院国资办提供的市场评估价，费用另外支付给医院）</w:t>
      </w:r>
      <w:r>
        <w:rPr>
          <w:rFonts w:hint="eastAsia" w:ascii="宋体" w:hAnsi="宋体" w:cs="宋体"/>
          <w:bCs/>
          <w:color w:val="auto"/>
          <w:szCs w:val="21"/>
          <w:highlight w:val="none"/>
          <w:lang w:val="en-US" w:eastAsia="zh-CN"/>
        </w:rPr>
        <w:t xml:space="preserve">原有</w:t>
      </w:r>
      <w:bookmarkStart w:id="167" w:name="_GoBack"/>
      <w:r/>
      <w:bookmarkEnd w:id="167"/>
      <w:r>
        <w:rPr>
          <w:rFonts w:hint="eastAsia" w:ascii="宋体" w:hAnsi="宋体" w:cs="宋体"/>
          <w:bCs/>
          <w:color w:val="auto"/>
          <w:szCs w:val="21"/>
          <w:highlight w:val="none"/>
        </w:rPr>
        <w:t xml:space="preserve">117个车位为二段升降横移式机械停车设备，品牌杭州西子石川岛，规格型号为PSH2.*T2-X1。回收价格不得低于医院国资办提供的市场评估价，市场评估价为不低于1300元/台</w:t>
      </w:r>
      <w:r>
        <w:rPr>
          <w:rFonts w:hint="eastAsia" w:ascii="宋体" w:hAnsi="宋体" w:cs="宋体"/>
          <w:bCs/>
          <w:color w:val="auto"/>
          <w:szCs w:val="21"/>
          <w:highlight w:val="none"/>
          <w:lang w:eastAsia="zh-CN"/>
        </w:rPr>
        <w:t xml:space="preserve">。</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（2）更新产品的运输及装卸：产品运输至招标人指定地点，并卸至指定地点现场（因中标人自身原因导致的二次搬运由中标人自行解决，结算时不调整费用）；</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（3）按招标人的要求和认可负责货物的现场安装及调试；</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（4）机械停车位设备的一切设施（包括钢结构、护栏等所有涉及机械车库设备的内容）由中标人负责提供及安装，所发生的费用含在投标报价中；</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（5）消防（喷淋改造225个，消火栓移位4项）、场地排水（雨水管移2项、雨水阀改造1项、雨井加固1项）、地面改造（聚氨酯耐磨地坪1168平米）、墙面改造（乳胶漆3735平米）、照明改造（18w LED灯180盏）、灯箱标识改造（1项）</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等均由投标方负责实施。</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（6）本项目实施过程中，现场若有影响车位排布的管线需要迁移，均由投标方负责实施；</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（7）中标人负责所供设备必须通过质量管理部门和质量技术监督部门及相关部门组织的验收，直至取得验收合格证书、特种设备使用证书；</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（8）中标人应提供完整的中文操作维护使用手册。</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2、其他事项：</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（1）中标人应出具保修书及保养计划表并确切执行。</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（2）招标人负责三相电源接至每个控制区电源点，预留不小于3*4+2*2.5电缆线，电缆线从电源点上方预留长度保证接触地面。</w:t>
      </w:r>
      <w:r/>
    </w:p>
    <w:p>
      <w:pPr>
        <w:ind w:firstLine="422"/>
        <w:spacing w:line="360" w:lineRule="auto"/>
        <w:rPr>
          <w:rFonts w:ascii="宋体" w:hAnsi="宋体" w:cs="宋体"/>
          <w:bCs/>
          <w:color w:val="auto"/>
          <w:szCs w:val="21"/>
          <w:highlight w:val="none"/>
        </w:rPr>
        <w:outlineLvl w:val="0"/>
      </w:pPr>
      <w:r>
        <w:rPr>
          <w:rFonts w:hint="eastAsia" w:ascii="宋体" w:hAnsi="宋体" w:cs="宋体"/>
          <w:b/>
          <w:bCs/>
          <w:color w:val="auto"/>
          <w:szCs w:val="21"/>
          <w:highlight w:val="none"/>
        </w:rPr>
        <w:t xml:space="preserve">3、现场踏勘：服务方可进行现场勘察。了解实施现场情况，勘察现场所发生的费用由供应商自己承担。勘察现场采购单位联系人：蒋云，联系电话：15358815940，统一勘察现场时间：2025年</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日10：00。</w:t>
      </w:r>
      <w:r/>
    </w:p>
    <w:p>
      <w:pP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（二）采购清单</w:t>
      </w:r>
      <w:r/>
    </w:p>
    <w:tbl>
      <w:tblPr>
        <w:tblStyle w:val="676"/>
        <w:tblW w:w="8681"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44"/>
        <w:gridCol w:w="1581"/>
        <w:gridCol w:w="1793"/>
        <w:gridCol w:w="857"/>
        <w:gridCol w:w="935"/>
        <w:gridCol w:w="2771"/>
      </w:tblGrid>
      <w:tr>
        <w:trPr>
          <w:trHeight w:val="424"/>
        </w:trPr>
        <w:tc>
          <w:tcPr>
            <w:tcW w:w="744" w:type="dxa"/>
            <w:vAlign w:val="center"/>
            <w:textDirection w:val="lrTb"/>
            <w:noWrap/>
          </w:tcPr>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right w:val="single" w:color="auto" w:sz="4" w:space="0"/>
            </w:tcBorders>
            <w:tcW w:w="1581" w:type="dxa"/>
            <w:vAlign w:val="center"/>
            <w:textDirection w:val="lrTb"/>
            <w:noWrap/>
          </w:tcPr>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Borders>
              <w:left w:val="single" w:color="auto" w:sz="4" w:space="0"/>
            </w:tcBorders>
            <w:tcW w:w="1793" w:type="dxa"/>
            <w:vAlign w:val="center"/>
            <w:textDirection w:val="lrTb"/>
            <w:noWrap/>
          </w:tcPr>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采购标的</w:t>
            </w:r>
            <w:r/>
          </w:p>
        </w:tc>
        <w:tc>
          <w:tcPr>
            <w:tcW w:w="857" w:type="dxa"/>
            <w:vAlign w:val="center"/>
            <w:textDirection w:val="lrTb"/>
            <w:noWrap/>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单位</w:t>
            </w:r>
            <w:r/>
          </w:p>
        </w:tc>
        <w:tc>
          <w:tcPr>
            <w:tcW w:w="935" w:type="dxa"/>
            <w:vAlign w:val="center"/>
            <w:textDirection w:val="lrTb"/>
            <w:noWrap/>
          </w:tcPr>
          <w:p>
            <w:pPr>
              <w:ind w:firstLine="422"/>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W w:w="2771" w:type="dxa"/>
            <w:vAlign w:val="center"/>
            <w:textDirection w:val="lrTb"/>
            <w:noWrap/>
          </w:tcPr>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说明</w:t>
            </w:r>
            <w:r/>
          </w:p>
        </w:tc>
      </w:tr>
      <w:tr>
        <w:trPr>
          <w:trHeight w:val="360"/>
        </w:trPr>
        <w:tc>
          <w:tcPr>
            <w:tcW w:w="744" w:type="dxa"/>
            <w:vAlign w:val="center"/>
            <w:textDirection w:val="lrTb"/>
            <w:noWrap/>
          </w:tcPr>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right w:val="single" w:color="auto" w:sz="4" w:space="0"/>
            </w:tcBorders>
            <w:tcW w:w="1581" w:type="dxa"/>
            <w:vAlign w:val="center"/>
            <w:vMerge w:val="restart"/>
            <w:textDirection w:val="lrTb"/>
            <w:noWrap/>
          </w:tcPr>
          <w:p>
            <w:pP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景德路院区停车场设施更新</w:t>
            </w:r>
            <w:r/>
          </w:p>
        </w:tc>
        <w:tc>
          <w:tcPr>
            <w:tcBorders>
              <w:left w:val="single" w:color="auto" w:sz="4" w:space="0"/>
            </w:tcBorders>
            <w:tcW w:w="1793" w:type="dxa"/>
            <w:vAlign w:val="center"/>
            <w:textDirection w:val="lrTb"/>
            <w:noWrap/>
          </w:tcPr>
          <w:p>
            <w:pPr>
              <w:spacing w:line="360" w:lineRule="auto"/>
              <w:widowControl/>
              <w:rPr>
                <w:rFonts w:ascii="宋体" w:hAnsi="宋体" w:cs="宋体"/>
                <w:bCs/>
                <w:color w:val="auto"/>
                <w:szCs w:val="21"/>
                <w:highlight w:val="none"/>
              </w:rPr>
            </w:pPr>
            <w:r>
              <w:rPr>
                <w:rFonts w:hint="eastAsia"/>
                <w:color w:val="auto"/>
                <w:highlight w:val="none"/>
              </w:rPr>
              <w:t xml:space="preserve">升降横移车位1（</w:t>
            </w:r>
            <w:r>
              <w:rPr>
                <w:rFonts w:hint="eastAsia" w:ascii="宋体" w:hAnsi="宋体" w:cs="宋体"/>
                <w:b/>
                <w:bCs/>
                <w:color w:val="auto"/>
                <w:highlight w:val="none"/>
              </w:rPr>
              <w:t xml:space="preserve">核心产品）</w:t>
            </w:r>
            <w:r/>
          </w:p>
        </w:tc>
        <w:tc>
          <w:tcPr>
            <w:tcW w:w="857" w:type="dxa"/>
            <w:vAlign w:val="center"/>
            <w:textDirection w:val="lrTb"/>
            <w:noWrap/>
          </w:tcPr>
          <w:p>
            <w:pPr>
              <w:ind w:firstLine="420"/>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个</w:t>
            </w:r>
            <w:r/>
          </w:p>
        </w:tc>
        <w:tc>
          <w:tcPr>
            <w:tcW w:w="935" w:type="dxa"/>
            <w:textDirection w:val="lrTb"/>
            <w:noWrap/>
          </w:tcPr>
          <w:p>
            <w:pPr>
              <w:jc w:val="center"/>
              <w:rPr>
                <w:rFonts w:ascii="宋体" w:hAnsi="宋体" w:cs="宋体"/>
                <w:bCs/>
                <w:color w:val="auto"/>
                <w:szCs w:val="21"/>
                <w:highlight w:val="none"/>
              </w:rPr>
            </w:pPr>
            <w:r>
              <w:rPr>
                <w:rFonts w:hint="eastAsia"/>
                <w:color w:val="auto"/>
                <w:highlight w:val="none"/>
              </w:rPr>
              <w:t xml:space="preserve">41</w:t>
            </w:r>
            <w:r/>
          </w:p>
        </w:tc>
        <w:tc>
          <w:tcPr>
            <w:tcW w:w="2771" w:type="dxa"/>
            <w:textDirection w:val="lrTb"/>
            <w:noWrap/>
          </w:tcPr>
          <w:p>
            <w:pPr>
              <w:rPr>
                <w:rFonts w:ascii="宋体" w:hAnsi="宋体" w:cs="宋体"/>
                <w:bCs/>
                <w:color w:val="auto"/>
                <w:szCs w:val="21"/>
                <w:highlight w:val="none"/>
              </w:rPr>
            </w:pPr>
            <w:r>
              <w:rPr>
                <w:rFonts w:hint="eastAsia"/>
                <w:color w:val="auto"/>
                <w:highlight w:val="none"/>
              </w:rPr>
              <w:t xml:space="preserve">下台板5200×2000×1800mm</w:t>
            </w:r>
            <w:r/>
          </w:p>
        </w:tc>
      </w:tr>
      <w:tr>
        <w:trPr>
          <w:trHeight w:val="360"/>
        </w:trPr>
        <w:tc>
          <w:tcPr>
            <w:tcW w:w="744" w:type="dxa"/>
            <w:vAlign w:val="center"/>
            <w:textDirection w:val="lrTb"/>
            <w:noWrap/>
          </w:tcPr>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right w:val="single" w:color="auto" w:sz="4" w:space="0"/>
            </w:tcBorders>
            <w:tcW w:w="1581" w:type="dxa"/>
            <w:vAlign w:val="center"/>
            <w:vMerge w:val="continue"/>
            <w:textDirection w:val="lrTb"/>
            <w:noWrap/>
          </w:tcPr>
          <w:p>
            <w:pP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left w:val="single" w:color="auto" w:sz="4" w:space="0"/>
            </w:tcBorders>
            <w:tcW w:w="1793" w:type="dxa"/>
            <w:vAlign w:val="center"/>
            <w:textDirection w:val="lrTb"/>
            <w:noWrap/>
          </w:tcPr>
          <w:p>
            <w:pPr>
              <w:spacing w:line="360" w:lineRule="auto"/>
              <w:widowControl/>
              <w:rPr>
                <w:rFonts w:ascii="宋体" w:hAnsi="宋体" w:cs="宋体"/>
                <w:bCs/>
                <w:color w:val="auto"/>
                <w:szCs w:val="21"/>
                <w:highlight w:val="none"/>
              </w:rPr>
            </w:pPr>
            <w:r>
              <w:rPr>
                <w:rFonts w:hint="eastAsia"/>
                <w:color w:val="auto"/>
                <w:highlight w:val="none"/>
              </w:rPr>
              <w:t xml:space="preserve">升降横移车位2</w:t>
            </w:r>
            <w:r/>
          </w:p>
        </w:tc>
        <w:tc>
          <w:tcPr>
            <w:tcW w:w="857" w:type="dxa"/>
            <w:vAlign w:val="center"/>
            <w:textDirection w:val="lrTb"/>
            <w:noWrap/>
          </w:tcPr>
          <w:p>
            <w:pPr>
              <w:ind w:firstLine="420"/>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个</w:t>
            </w:r>
            <w:r/>
          </w:p>
        </w:tc>
        <w:tc>
          <w:tcPr>
            <w:tcW w:w="935" w:type="dxa"/>
            <w:textDirection w:val="lrTb"/>
            <w:noWrap/>
          </w:tcPr>
          <w:p>
            <w:pPr>
              <w:jc w:val="center"/>
              <w:rPr>
                <w:rFonts w:ascii="宋体" w:hAnsi="宋体" w:cs="宋体"/>
                <w:bCs/>
                <w:color w:val="auto"/>
                <w:szCs w:val="21"/>
                <w:highlight w:val="none"/>
              </w:rPr>
            </w:pPr>
            <w:r>
              <w:rPr>
                <w:rFonts w:hint="eastAsia"/>
                <w:color w:val="auto"/>
                <w:highlight w:val="none"/>
              </w:rPr>
              <w:t xml:space="preserve">44</w:t>
            </w:r>
            <w:r/>
          </w:p>
        </w:tc>
        <w:tc>
          <w:tcPr>
            <w:tcW w:w="2771" w:type="dxa"/>
            <w:textDirection w:val="lrTb"/>
            <w:noWrap/>
          </w:tcPr>
          <w:p>
            <w:pPr>
              <w:rPr>
                <w:rFonts w:ascii="宋体" w:hAnsi="宋体" w:cs="宋体"/>
                <w:color w:val="auto"/>
                <w:szCs w:val="21"/>
                <w:highlight w:val="none"/>
              </w:rPr>
            </w:pPr>
            <w:r>
              <w:rPr>
                <w:rFonts w:hint="eastAsia"/>
                <w:color w:val="auto"/>
                <w:highlight w:val="none"/>
              </w:rPr>
              <w:t xml:space="preserve">上台板5200×2000×1550mm</w:t>
            </w:r>
            <w:r/>
          </w:p>
        </w:tc>
      </w:tr>
      <w:tr>
        <w:trPr>
          <w:trHeight w:val="360"/>
        </w:trPr>
        <w:tc>
          <w:tcPr>
            <w:tcW w:w="744" w:type="dxa"/>
            <w:vAlign w:val="center"/>
            <w:textDirection w:val="lrTb"/>
            <w:noWrap/>
          </w:tcPr>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right w:val="single" w:color="auto" w:sz="4" w:space="0"/>
            </w:tcBorders>
            <w:tcW w:w="1581" w:type="dxa"/>
            <w:vAlign w:val="center"/>
            <w:vMerge w:val="continue"/>
            <w:textDirection w:val="lrTb"/>
            <w:noWrap/>
          </w:tcPr>
          <w:p>
            <w:pP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left w:val="single" w:color="auto" w:sz="4" w:space="0"/>
            </w:tcBorders>
            <w:tcW w:w="1793" w:type="dxa"/>
            <w:vAlign w:val="center"/>
            <w:textDirection w:val="lrTb"/>
            <w:noWrap/>
          </w:tcPr>
          <w:p>
            <w:pPr>
              <w:spacing w:line="360" w:lineRule="auto"/>
              <w:widowControl/>
              <w:rPr>
                <w:rFonts w:ascii="宋体" w:hAnsi="宋体" w:cs="宋体"/>
                <w:bCs/>
                <w:color w:val="auto"/>
                <w:szCs w:val="21"/>
                <w:highlight w:val="none"/>
              </w:rPr>
            </w:pPr>
            <w:r>
              <w:rPr>
                <w:rFonts w:hint="eastAsia"/>
                <w:color w:val="auto"/>
                <w:highlight w:val="none"/>
              </w:rPr>
              <w:t xml:space="preserve">升降横移车位3</w:t>
            </w:r>
            <w:r/>
          </w:p>
        </w:tc>
        <w:tc>
          <w:tcPr>
            <w:tcW w:w="857" w:type="dxa"/>
            <w:vAlign w:val="center"/>
            <w:textDirection w:val="lrTb"/>
            <w:noWrap/>
          </w:tcPr>
          <w:p>
            <w:pPr>
              <w:ind w:firstLine="420"/>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个</w:t>
            </w:r>
            <w:r/>
          </w:p>
        </w:tc>
        <w:tc>
          <w:tcPr>
            <w:tcW w:w="935" w:type="dxa"/>
            <w:textDirection w:val="lrTb"/>
            <w:noWrap/>
          </w:tcPr>
          <w:p>
            <w:pPr>
              <w:jc w:val="center"/>
              <w:rPr>
                <w:rFonts w:ascii="宋体" w:hAnsi="宋体" w:cs="宋体"/>
                <w:bCs/>
                <w:color w:val="auto"/>
                <w:szCs w:val="21"/>
                <w:highlight w:val="none"/>
              </w:rPr>
            </w:pPr>
            <w:r>
              <w:rPr>
                <w:rFonts w:hint="eastAsia"/>
                <w:color w:val="auto"/>
                <w:highlight w:val="none"/>
              </w:rPr>
              <w:t xml:space="preserve">7</w:t>
            </w:r>
            <w:r/>
          </w:p>
        </w:tc>
        <w:tc>
          <w:tcPr>
            <w:tcW w:w="2771" w:type="dxa"/>
            <w:textDirection w:val="lrTb"/>
            <w:noWrap/>
          </w:tcPr>
          <w:p>
            <w:pPr>
              <w:rPr>
                <w:rFonts w:ascii="宋体" w:hAnsi="宋体" w:cs="宋体"/>
                <w:color w:val="auto"/>
                <w:szCs w:val="21"/>
                <w:highlight w:val="none"/>
              </w:rPr>
            </w:pPr>
            <w:r>
              <w:rPr>
                <w:rFonts w:hint="eastAsia"/>
                <w:color w:val="auto"/>
                <w:highlight w:val="none"/>
              </w:rPr>
              <w:t xml:space="preserve">下台板5200×1950×1800mm</w:t>
            </w:r>
            <w:r/>
          </w:p>
        </w:tc>
      </w:tr>
      <w:tr>
        <w:trPr>
          <w:trHeight w:val="360"/>
        </w:trPr>
        <w:tc>
          <w:tcPr>
            <w:tcW w:w="744" w:type="dxa"/>
            <w:vAlign w:val="center"/>
            <w:textDirection w:val="lrTb"/>
            <w:noWrap/>
          </w:tcPr>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right w:val="single" w:color="auto" w:sz="4" w:space="0"/>
            </w:tcBorders>
            <w:tcW w:w="1581" w:type="dxa"/>
            <w:vAlign w:val="center"/>
            <w:vMerge w:val="continue"/>
            <w:textDirection w:val="lrTb"/>
            <w:noWrap/>
          </w:tcPr>
          <w:p>
            <w:pP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left w:val="single" w:color="auto" w:sz="4" w:space="0"/>
            </w:tcBorders>
            <w:tcW w:w="1793" w:type="dxa"/>
            <w:vAlign w:val="center"/>
            <w:textDirection w:val="lrTb"/>
            <w:noWrap/>
          </w:tcPr>
          <w:p>
            <w:pPr>
              <w:spacing w:line="360" w:lineRule="auto"/>
              <w:widowControl/>
              <w:rPr>
                <w:rFonts w:ascii="宋体" w:hAnsi="宋体" w:cs="宋体"/>
                <w:bCs/>
                <w:color w:val="auto"/>
                <w:szCs w:val="21"/>
                <w:highlight w:val="none"/>
              </w:rPr>
            </w:pPr>
            <w:r>
              <w:rPr>
                <w:rFonts w:hint="eastAsia"/>
                <w:color w:val="auto"/>
                <w:highlight w:val="none"/>
              </w:rPr>
              <w:t xml:space="preserve">升降横移车位4</w:t>
            </w:r>
            <w:r/>
          </w:p>
        </w:tc>
        <w:tc>
          <w:tcPr>
            <w:tcW w:w="857" w:type="dxa"/>
            <w:vAlign w:val="center"/>
            <w:textDirection w:val="lrTb"/>
            <w:noWrap/>
          </w:tcPr>
          <w:p>
            <w:pPr>
              <w:ind w:firstLine="420"/>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个</w:t>
            </w:r>
            <w:r/>
          </w:p>
        </w:tc>
        <w:tc>
          <w:tcPr>
            <w:tcW w:w="935" w:type="dxa"/>
            <w:textDirection w:val="lrTb"/>
            <w:noWrap/>
          </w:tcPr>
          <w:p>
            <w:pPr>
              <w:jc w:val="center"/>
              <w:rPr>
                <w:rFonts w:ascii="宋体" w:hAnsi="宋体" w:cs="宋体"/>
                <w:bCs/>
                <w:color w:val="auto"/>
                <w:szCs w:val="21"/>
                <w:highlight w:val="none"/>
              </w:rPr>
            </w:pPr>
            <w:r>
              <w:rPr>
                <w:rFonts w:hint="eastAsia"/>
                <w:color w:val="auto"/>
                <w:highlight w:val="none"/>
              </w:rPr>
              <w:t xml:space="preserve">9</w:t>
            </w:r>
            <w:r/>
          </w:p>
        </w:tc>
        <w:tc>
          <w:tcPr>
            <w:tcW w:w="2771" w:type="dxa"/>
            <w:textDirection w:val="lrTb"/>
            <w:noWrap/>
          </w:tcPr>
          <w:p>
            <w:pPr>
              <w:rPr>
                <w:rFonts w:ascii="宋体" w:hAnsi="宋体" w:cs="宋体"/>
                <w:color w:val="auto"/>
                <w:szCs w:val="21"/>
                <w:highlight w:val="none"/>
              </w:rPr>
            </w:pPr>
            <w:r>
              <w:rPr>
                <w:rFonts w:hint="eastAsia"/>
                <w:color w:val="auto"/>
                <w:highlight w:val="none"/>
              </w:rPr>
              <w:t xml:space="preserve">上台板5200×1950×1550mm</w:t>
            </w:r>
            <w:r/>
          </w:p>
        </w:tc>
      </w:tr>
      <w:tr>
        <w:trPr>
          <w:trHeight w:val="360"/>
        </w:trPr>
        <w:tc>
          <w:tcPr>
            <w:tcW w:w="744" w:type="dxa"/>
            <w:vAlign w:val="center"/>
            <w:textDirection w:val="lrTb"/>
            <w:noWrap/>
          </w:tcPr>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right w:val="single" w:color="auto" w:sz="4" w:space="0"/>
            </w:tcBorders>
            <w:tcW w:w="1581" w:type="dxa"/>
            <w:vAlign w:val="center"/>
            <w:vMerge w:val="continue"/>
            <w:textDirection w:val="lrTb"/>
            <w:noWrap/>
          </w:tcPr>
          <w:p>
            <w:pP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left w:val="single" w:color="auto" w:sz="4" w:space="0"/>
            </w:tcBorders>
            <w:tcW w:w="1793" w:type="dxa"/>
            <w:vAlign w:val="center"/>
            <w:textDirection w:val="lrTb"/>
            <w:noWrap/>
          </w:tcPr>
          <w:p>
            <w:pPr>
              <w:spacing w:line="360" w:lineRule="auto"/>
              <w:widowControl/>
              <w:rPr>
                <w:rFonts w:ascii="宋体" w:hAnsi="宋体" w:cs="宋体"/>
                <w:bCs/>
                <w:color w:val="auto"/>
                <w:szCs w:val="21"/>
                <w:highlight w:val="none"/>
              </w:rPr>
            </w:pPr>
            <w:r>
              <w:rPr>
                <w:rFonts w:hint="eastAsia"/>
                <w:color w:val="auto"/>
                <w:highlight w:val="none"/>
              </w:rPr>
              <w:t xml:space="preserve">升降横移车位5</w:t>
            </w:r>
            <w:r/>
          </w:p>
        </w:tc>
        <w:tc>
          <w:tcPr>
            <w:tcW w:w="857" w:type="dxa"/>
            <w:vAlign w:val="center"/>
            <w:textDirection w:val="lrTb"/>
            <w:noWrap/>
          </w:tcPr>
          <w:p>
            <w:pPr>
              <w:ind w:firstLine="420"/>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个</w:t>
            </w:r>
            <w:r/>
          </w:p>
        </w:tc>
        <w:tc>
          <w:tcPr>
            <w:tcW w:w="935" w:type="dxa"/>
            <w:textDirection w:val="lrTb"/>
            <w:noWrap/>
          </w:tcPr>
          <w:p>
            <w:pPr>
              <w:jc w:val="center"/>
              <w:rPr>
                <w:rFonts w:ascii="宋体" w:hAnsi="宋体" w:cs="宋体"/>
                <w:bCs/>
                <w:color w:val="auto"/>
                <w:szCs w:val="21"/>
                <w:highlight w:val="none"/>
              </w:rPr>
            </w:pPr>
            <w:r>
              <w:rPr>
                <w:rFonts w:hint="eastAsia"/>
                <w:color w:val="auto"/>
                <w:highlight w:val="none"/>
              </w:rPr>
              <w:t xml:space="preserve">7</w:t>
            </w:r>
            <w:r/>
          </w:p>
        </w:tc>
        <w:tc>
          <w:tcPr>
            <w:tcW w:w="2771" w:type="dxa"/>
            <w:textDirection w:val="lrTb"/>
            <w:noWrap/>
          </w:tcPr>
          <w:p>
            <w:pPr>
              <w:rPr>
                <w:rFonts w:ascii="宋体" w:hAnsi="宋体" w:cs="宋体"/>
                <w:color w:val="auto"/>
                <w:szCs w:val="21"/>
                <w:highlight w:val="none"/>
              </w:rPr>
            </w:pPr>
            <w:r>
              <w:rPr>
                <w:rFonts w:hint="eastAsia"/>
                <w:color w:val="auto"/>
                <w:highlight w:val="none"/>
              </w:rPr>
              <w:t xml:space="preserve">下台板5200×1900×1800mm</w:t>
            </w:r>
            <w:r/>
          </w:p>
        </w:tc>
      </w:tr>
      <w:tr>
        <w:trPr>
          <w:trHeight w:val="360"/>
        </w:trPr>
        <w:tc>
          <w:tcPr>
            <w:tcW w:w="744" w:type="dxa"/>
            <w:vAlign w:val="center"/>
            <w:textDirection w:val="lrTb"/>
            <w:noWrap/>
          </w:tcPr>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tcBorders>
              <w:right w:val="single" w:color="auto" w:sz="4" w:space="0"/>
            </w:tcBorders>
            <w:tcW w:w="1581" w:type="dxa"/>
            <w:vAlign w:val="center"/>
            <w:vMerge w:val="continue"/>
            <w:textDirection w:val="lrTb"/>
            <w:noWrap/>
          </w:tcPr>
          <w:p>
            <w:pP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left w:val="single" w:color="auto" w:sz="4" w:space="0"/>
            </w:tcBorders>
            <w:tcW w:w="1793" w:type="dxa"/>
            <w:vAlign w:val="center"/>
            <w:textDirection w:val="lrTb"/>
            <w:noWrap/>
          </w:tcPr>
          <w:p>
            <w:pPr>
              <w:spacing w:line="360" w:lineRule="auto"/>
              <w:widowControl/>
              <w:rPr>
                <w:rFonts w:ascii="宋体" w:hAnsi="宋体" w:cs="宋体"/>
                <w:bCs/>
                <w:color w:val="auto"/>
                <w:szCs w:val="21"/>
                <w:highlight w:val="none"/>
              </w:rPr>
            </w:pPr>
            <w:r>
              <w:rPr>
                <w:rFonts w:hint="eastAsia"/>
                <w:color w:val="auto"/>
                <w:highlight w:val="none"/>
              </w:rPr>
              <w:t xml:space="preserve">升降横移车位6</w:t>
            </w:r>
            <w:r/>
          </w:p>
        </w:tc>
        <w:tc>
          <w:tcPr>
            <w:tcW w:w="857" w:type="dxa"/>
            <w:vAlign w:val="center"/>
            <w:textDirection w:val="lrTb"/>
            <w:noWrap/>
          </w:tcPr>
          <w:p>
            <w:pPr>
              <w:ind w:firstLine="420"/>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个</w:t>
            </w:r>
            <w:r/>
          </w:p>
        </w:tc>
        <w:tc>
          <w:tcPr>
            <w:tcW w:w="935" w:type="dxa"/>
            <w:textDirection w:val="lrTb"/>
            <w:noWrap/>
          </w:tcPr>
          <w:p>
            <w:pPr>
              <w:jc w:val="center"/>
              <w:rPr>
                <w:rFonts w:ascii="宋体" w:hAnsi="宋体" w:cs="宋体"/>
                <w:bCs/>
                <w:color w:val="auto"/>
                <w:szCs w:val="21"/>
                <w:highlight w:val="none"/>
              </w:rPr>
            </w:pPr>
            <w:r>
              <w:rPr>
                <w:rFonts w:hint="eastAsia"/>
                <w:color w:val="auto"/>
                <w:highlight w:val="none"/>
              </w:rPr>
              <w:t xml:space="preserve">7</w:t>
            </w:r>
            <w:r/>
          </w:p>
        </w:tc>
        <w:tc>
          <w:tcPr>
            <w:tcW w:w="2771" w:type="dxa"/>
            <w:textDirection w:val="lrTb"/>
            <w:noWrap/>
          </w:tcPr>
          <w:p>
            <w:pPr>
              <w:rPr>
                <w:rFonts w:ascii="宋体" w:hAnsi="宋体" w:cs="宋体"/>
                <w:color w:val="auto"/>
                <w:szCs w:val="21"/>
                <w:highlight w:val="none"/>
              </w:rPr>
            </w:pPr>
            <w:r>
              <w:rPr>
                <w:rFonts w:hint="eastAsia"/>
                <w:color w:val="auto"/>
                <w:highlight w:val="none"/>
              </w:rPr>
              <w:t xml:space="preserve">上台板5200×1900×1550mm</w:t>
            </w:r>
            <w:r/>
          </w:p>
        </w:tc>
      </w:tr>
    </w:tbl>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注：</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（1）由变更引起的车位数量增加或减少的，最终结算金额为经当地特检部门验收合格取证后交付使用的车位数量×投标单价计算；</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（2）投标人提供的机械立体停车设备（含控制柜）各组成部分必须是完整的、全新的、功能全的单元，同时应是全新的、高质量的和工艺精良的产品，所用的原材料必须无任何缺陷。</w:t>
      </w:r>
      <w:r/>
    </w:p>
    <w:p>
      <w:pPr>
        <w:ind w:firstLine="411"/>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（3）投标产品的所有主副配件都应包含在投标总价中。</w:t>
      </w:r>
      <w:r/>
    </w:p>
    <w:p>
      <w:pPr>
        <w:ind w:firstLine="422"/>
        <w:keepLines w:val="0"/>
        <w:keepNext w:val="0"/>
        <w:pageBreakBefore w:val="0"/>
        <w:spacing w:line="360" w:lineRule="auto"/>
        <w:widowControl w:val="off"/>
        <w:rPr>
          <w:rFonts w:ascii="宋体" w:hAnsi="宋体" w:cs="宋体"/>
          <w:b/>
          <w:color w:val="auto"/>
          <w:szCs w:val="21"/>
          <w:highlight w:val="none"/>
        </w:rPr>
        <w:outlineLvl w:val="0"/>
      </w:pPr>
      <w:r>
        <w:rPr>
          <w:rFonts w:hint="eastAsia" w:ascii="宋体" w:hAnsi="宋体" w:cs="宋体"/>
          <w:b/>
          <w:color w:val="auto"/>
          <w:szCs w:val="21"/>
          <w:highlight w:val="none"/>
        </w:rPr>
        <w:t xml:space="preserve">（三）技术要求及参数</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1、总体要求</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 主要结构说明：机械停车设备梁柱结构要求采用钢框架结构，以求稳定，且其设计的主要结构不可与建筑物结构的柱、梁、墙及天花板等作反力之主要支撑甚至取代，且力求结构美观、安全。主体钢结构框架表面处理需采用喷涂防腐处理工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 所用型钢、螺栓的强度均应符合国标规定，不应采用旧品或废料替代。</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 车辆泊位的调度应有自动和手动两种方式，自动调度方式须配合“智慧一卡通”使用，后期智能化单位将在IC卡中预留扇区，中标人配合通信协议的转换及对接，即刷卡调度车位功能，手动调度方式只为管理员开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 联结形式：车库立柱与桁架间不得焊接，必须用螺钉联接。</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 外观质量：车库构件的外表面应平整，不得有明显凹凸不平等影响外观质量的缺陷。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 横移载车板装配：必须保证传动轴空载时灵活，手可转动。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 无承载运行：应无异常响声和振动，升降时无停顿，车板平移定位准确，按设定程序运行。各保险开关手动时应起到保险作用，车长光电扫描开关被挡急停。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 承载运行：运转时无异常响声和振动，升降无停顿现象，车板平移平稳定位准确。（包括载车板避免滑动溜车及框架偏离）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1.9 设备前横梁下净高≥2000mm。</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2、产品标准和规范</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 相关标准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《机械式停车设备 通用安全要求（GB 17907-2010）》</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《机械式停车设备 术语（GB/T 26476-2011）》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《机械式停车设备 分类（GB/T 26559-2011）》</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《升降横移类机械式停车设备（JB/T 8910-2013）》</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《机械式停车设备型式试验细则（TSG Q7013-2006）》</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《特低电压（ELV）限值（GB/T 3805-2008）》</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《超重机设计规范（GB/T 3811-2008）》</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《外壳防护等级（IP代码）（GB/T 4208-2017）》</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《旋转电机整体结构的防护等级（IP代码）-分级（GB/T 4942.1-2006）》</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《汽车库、修车库、停车场设计防火规范（GB 50067-1997）》</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《传动用短节距精密滚动链、套筒链、附件和链轮（GB/T 1243-2006）》</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《板式链、连接环和槽轮-尺寸、测量力和抗拉强度（GB/T 6074-2006）》</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《民用建筑电气设计规范（附条文说明[另册]）（JGJ 16-2008）》</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《热轧H型钢和剖分T型钢（GB/T 11263-2010）》</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 由采购人认可的其他国家的其他权威标准：这些标准应为最新标准，投标人应及时提供给采购人（国外标准应翻译成中文）。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2.3 投标人遵守不仅限于此规格书中的标准时，要求及时解释清楚，获得采购人认可后投标人推荐的标准和制造规范等效或适用于此技术规格书，采购人有可能接受。投标人须阐明其替换的标准或其实际使用的标准并提供所推荐的标准和制造规范。</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3、设备基本参数</w:t>
      </w:r>
      <w:r/>
    </w:p>
    <w:tbl>
      <w:tblPr>
        <w:tblStyle w:val="67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79"/>
        <w:gridCol w:w="6127"/>
      </w:tblGrid>
      <w:tr>
        <w:trPr>
          <w:jc w:val="center"/>
          <w:trHeight w:val="510"/>
        </w:trPr>
        <w:tc>
          <w:tcPr>
            <w:tcW w:w="247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6127"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技术规格</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两层升降横移类（一机一板）机械式停车设备</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结构</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框架式，一机一板</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泊车数量</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115个车位</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容车尺寸（mm）</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车长5200mm，车宽不小于1900mm，上车位车高1550mm，下车位车高1800mm。</w:t>
            </w:r>
            <w:r>
              <w:rPr>
                <w:rFonts w:hint="eastAsia" w:ascii="宋体" w:hAnsi="宋体" w:cs="宋体"/>
                <w:b/>
                <w:bCs/>
                <w:color w:val="auto"/>
                <w:szCs w:val="21"/>
                <w:highlight w:val="none"/>
              </w:rPr>
              <w:t xml:space="preserve">(注：车宽能2000mm宽的区域必须做车宽2000mm 。</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容车重量（Kg）</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2350kg</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通道宽度（mm）</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≥5800</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柱间净尺寸</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满足规范要求</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入库方式</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倒车入库，前进出库</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操作方式</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自动/手动切换开关（数字按键+刷卡），液晶显示，每个控制区须单独设置独立的控制区及操作系统</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控制方式</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PLC自动控制回路系统</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驱动方式</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电机链条式</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升降速度（m/min）</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4.0~5.0</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横移动速度（m/min）</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7.0~8.0</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升降电机功率</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≥2.2kW</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横移电机功率</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≥0.2kW</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最长取车时间（s）</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68</w:t>
            </w:r>
            <w:r/>
          </w:p>
        </w:tc>
      </w:tr>
      <w:tr>
        <w:trPr>
          <w:jc w:val="center"/>
          <w:trHeight w:val="510"/>
        </w:trPr>
        <w:tc>
          <w:tcPr>
            <w:tcW w:w="247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供电</w:t>
            </w:r>
            <w:r/>
          </w:p>
        </w:tc>
        <w:tc>
          <w:tcPr>
            <w:tcW w:w="6127"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AC380V，50Hz</w:t>
            </w:r>
            <w:r/>
          </w:p>
        </w:tc>
      </w:tr>
    </w:tbl>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4、材质要求</w:t>
      </w:r>
      <w:r/>
    </w:p>
    <w:tbl>
      <w:tblPr>
        <w:tblStyle w:val="676"/>
        <w:tblW w:w="8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103"/>
        <w:gridCol w:w="4226"/>
        <w:gridCol w:w="1190"/>
      </w:tblGrid>
      <w:tr>
        <w:trPr>
          <w:jc w:val="center"/>
          <w:trHeight w:val="510"/>
        </w:trPr>
        <w:tc>
          <w:tcPr>
            <w:tcW w:w="1087"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框架</w:t>
            </w:r>
            <w:r/>
          </w:p>
        </w:tc>
        <w:tc>
          <w:tcPr>
            <w:gridSpan w:val="3"/>
            <w:tcW w:w="751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机械停车设备框架尺寸要求（单位：mm）</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前立柱</w:t>
            </w:r>
            <w:r/>
          </w:p>
        </w:tc>
        <w:tc>
          <w:tcPr>
            <w:tcW w:w="422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Q235方管150×150</w:t>
            </w:r>
            <w:r/>
          </w:p>
        </w:tc>
        <w:tc>
          <w:tcPr>
            <w:tcW w:w="1190"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每根柱、梁须为整根，不允许采用焊接固定而成，确保使用寿命30年以上</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后立柱</w:t>
            </w:r>
            <w:r/>
          </w:p>
        </w:tc>
        <w:tc>
          <w:tcPr>
            <w:tcW w:w="422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Q235方管100×100</w:t>
            </w:r>
            <w:r/>
          </w:p>
        </w:tc>
        <w:tc>
          <w:tcPr>
            <w:tcW w:w="1190"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前横梁</w:t>
            </w:r>
            <w:r/>
          </w:p>
        </w:tc>
        <w:tc>
          <w:tcPr>
            <w:tcW w:w="422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Q235 H300×150</w:t>
            </w:r>
            <w:r/>
          </w:p>
        </w:tc>
        <w:tc>
          <w:tcPr>
            <w:tcW w:w="1190"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后横梁</w:t>
            </w:r>
            <w:r/>
          </w:p>
        </w:tc>
        <w:tc>
          <w:tcPr>
            <w:tcW w:w="422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Q235 H100×100</w:t>
            </w:r>
            <w:r/>
          </w:p>
        </w:tc>
        <w:tc>
          <w:tcPr>
            <w:tcW w:w="1190"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纵粱</w:t>
            </w:r>
            <w:r/>
          </w:p>
        </w:tc>
        <w:tc>
          <w:tcPr>
            <w:tcW w:w="422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Q235 H250×125</w:t>
            </w:r>
            <w:r/>
          </w:p>
        </w:tc>
        <w:tc>
          <w:tcPr>
            <w:tcW w:w="1190"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表面处理</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喷涂（颜色由采购方指定）</w:t>
            </w:r>
            <w:r/>
          </w:p>
        </w:tc>
      </w:tr>
      <w:tr>
        <w:trPr>
          <w:jc w:val="center"/>
          <w:trHeight w:val="510"/>
        </w:trPr>
        <w:tc>
          <w:tcPr>
            <w:tcW w:w="1087"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载车板</w:t>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上下车板</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δ2.3mm厚镀锌板折弯组装波纹板，采用螺栓连接，车板下方加强筋固定；设备中心距采用2400mm及以上标准列宽，对应载车板内径宽不低2000mm</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车板边梁</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≥δ3.0mm厚钢板折弯而成，边梁宽度≥155mm，表面喷粉处理，颜色由招标人确定，边梁倒角不得采用塑料或尼龙材质代替</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止挡装置</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Φ48圆管，表面喷塑处理，黄色警示。</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导轨（横移导轨）</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30×30mm</w:t>
            </w:r>
            <w:r/>
          </w:p>
        </w:tc>
      </w:tr>
      <w:tr>
        <w:trPr>
          <w:jc w:val="center"/>
          <w:trHeight w:val="510"/>
        </w:trPr>
        <w:tc>
          <w:tcPr>
            <w:tcW w:w="1087"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升降横移系统</w:t>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升降电机（2.2KW，带电磁刹车）</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运行平稳、噪音小、且须附刹车装置，制运力矩不应小于1.5倍，电机绝缘等级应达到F级，机械车库专用电机 。</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横移电机（0.2KW，带电磁刹车）</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运行平稳、噪音小、且须附刹车装置，制运力矩不应小于1.5倍，电机绝缘等级应达到F级，机械车库专用电机。</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主传动提升链条</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16A高强度车库专用链条，链条带有防护套，须采用闭合循环链，四吊点独立同步提升，提升链条收于H型钢纵梁内侧。为扩大驾驶员视角，载车板前方提升链条吊点与前立柱的距离不得低于1100mm。</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升降电机专用链条</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20A高强度车库专用链条。</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提升轴（升降传动轴）</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主传动轴（升降传动轴）采用不低于φ62圆管</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轴承</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链轮</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轴（升降传动轴、横移传动轴）</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横移车板采用前后轮同步传动，横移传动轴轴径≥33mm，升降传动轴轴径≥62mm</w:t>
            </w:r>
            <w:r/>
          </w:p>
        </w:tc>
      </w:tr>
      <w:tr>
        <w:trPr>
          <w:jc w:val="center"/>
          <w:trHeight w:val="510"/>
        </w:trPr>
        <w:tc>
          <w:tcPr>
            <w:tcW w:w="1087" w:type="dxa"/>
            <w:vAlign w:val="center"/>
            <w:vMerge w:val="restart"/>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控制系统部分</w:t>
            </w:r>
            <w:r/>
          </w:p>
          <w:p>
            <w:pPr>
              <w:rPr>
                <w:rFonts w:ascii="宋体" w:hAnsi="宋体" w:cs="宋体"/>
                <w:color w:val="auto"/>
                <w:szCs w:val="21"/>
                <w:highlight w:val="none"/>
              </w:rPr>
            </w:pPr>
            <w:r>
              <w:rPr>
                <w:rFonts w:hint="eastAsia" w:ascii="宋体" w:hAnsi="宋体" w:cs="宋体"/>
                <w:bCs/>
                <w:color w:val="auto"/>
                <w:szCs w:val="21"/>
                <w:highlight w:val="none"/>
              </w:rPr>
              <w:t xml:space="preserve">（含电气元件）</w:t>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PLC</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性能稳定可靠，控制系统实现一体化管控，并预留通讯接口与医院综合运维平台对接，满足运营相关要求。</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扩展单元</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控制柜</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标准机柜，柜体厚度不低于1.0mm</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接触器</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热继电器</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低压断路器</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机械互锁</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防坠落装置（电磁一体化）</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四点独立悬挂电磁式安全挂钩</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升降限位开关</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横移限位开关</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超长检测光电</w:t>
            </w:r>
            <w:r/>
          </w:p>
        </w:tc>
        <w:tc>
          <w:tcPr>
            <w:gridSpan w:val="2"/>
            <w:tcW w:w="5416" w:type="dxa"/>
            <w:vAlign w:val="center"/>
            <w:textDirection w:val="lrTb"/>
            <w:noWrap/>
          </w:tcPr>
          <w:p>
            <w:pPr>
              <w:rPr>
                <w:rFonts w:ascii="宋体" w:hAnsi="宋体" w:cs="宋体"/>
                <w:bCs/>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人车误入检测光电</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超高光电</w:t>
            </w:r>
            <w:r/>
          </w:p>
        </w:tc>
        <w:tc>
          <w:tcPr>
            <w:gridSpan w:val="2"/>
            <w:tcW w:w="5416" w:type="dxa"/>
            <w:vAlign w:val="center"/>
            <w:textDirection w:val="lrTb"/>
            <w:noWrap/>
          </w:tcPr>
          <w:p>
            <w:pPr>
              <w:rPr>
                <w:rFonts w:ascii="宋体" w:hAnsi="宋体" w:cs="宋体"/>
                <w:bCs/>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逆相保护器</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控制面板（人机界面、集成控制）</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符合国标（带刷卡功能）</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警示灯警告装置</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符合国标（声光分开，引出四芯线）</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电线、电缆</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符合国标</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故障显示</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中文液晶显示，并显示故障代码</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103" w:type="dxa"/>
            <w:vAlign w:val="center"/>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横移两点同步传动</w:t>
            </w:r>
            <w:r/>
          </w:p>
        </w:tc>
        <w:tc>
          <w:tcPr>
            <w:gridSpan w:val="2"/>
            <w:tcW w:w="5416"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传动轴前后两点同步同轴传动</w:t>
            </w:r>
            <w:r/>
          </w:p>
        </w:tc>
      </w:tr>
      <w:tr>
        <w:trPr>
          <w:jc w:val="center"/>
          <w:trHeight w:val="510"/>
        </w:trPr>
        <w:tc>
          <w:tcPr>
            <w:tcW w:w="1087"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其它</w:t>
            </w:r>
            <w:r/>
          </w:p>
        </w:tc>
        <w:tc>
          <w:tcPr>
            <w:gridSpan w:val="3"/>
            <w:tcW w:w="7519"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机构主要连接部分：螺栓连接(符合国标)。为考虑工地现场整洁，设备安装应全部采用工地现场螺栓组合方式，不准在工地现场进行切割、组焊等作业。</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W w:w="7519"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警示标志和操作说明：1、注意事项；2、最大容车尺寸；3、倒车入库标示；4、设备厂家电话和24小时服务电话。</w:t>
            </w:r>
            <w:r/>
          </w:p>
        </w:tc>
      </w:tr>
      <w:tr>
        <w:trPr>
          <w:jc w:val="center"/>
          <w:trHeight w:val="510"/>
        </w:trPr>
        <w:tc>
          <w:tcPr>
            <w:tcW w:w="1087"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W w:w="7519" w:type="dxa"/>
            <w:vAlign w:val="center"/>
            <w:textDirection w:val="lrTb"/>
            <w:noWrap/>
          </w:tcPr>
          <w:p>
            <w:pPr>
              <w:tabs>
                <w:tab w:val="left" w:pos="482" w:leader="none"/>
                <w:tab w:val="left" w:pos="2183" w:leader="none"/>
                <w:tab w:val="left" w:pos="3884" w:leader="none"/>
                <w:tab w:val="left" w:pos="5585" w:leader="none"/>
              </w:tabs>
              <w:rPr>
                <w:rFonts w:ascii="宋体" w:hAnsi="宋体" w:cs="宋体"/>
                <w:bCs/>
                <w:color w:val="auto"/>
                <w:szCs w:val="21"/>
                <w:highlight w:val="none"/>
              </w:rPr>
            </w:pPr>
            <w:r>
              <w:rPr>
                <w:rFonts w:hint="eastAsia" w:ascii="宋体" w:hAnsi="宋体" w:cs="宋体"/>
                <w:bCs/>
                <w:color w:val="auto"/>
                <w:szCs w:val="21"/>
                <w:highlight w:val="none"/>
              </w:rPr>
              <w:t xml:space="preserve">1、电器接线不得采用插拔形式，系统不得采用分布式控制</w:t>
            </w:r>
            <w:r/>
          </w:p>
          <w:p>
            <w:pPr>
              <w:tabs>
                <w:tab w:val="left" w:pos="482" w:leader="none"/>
                <w:tab w:val="left" w:pos="2183" w:leader="none"/>
                <w:tab w:val="left" w:pos="3884" w:leader="none"/>
                <w:tab w:val="left" w:pos="5585" w:leader="none"/>
              </w:tabs>
              <w:rPr>
                <w:rFonts w:ascii="宋体" w:hAnsi="宋体" w:cs="宋体"/>
                <w:color w:val="auto"/>
                <w:szCs w:val="21"/>
                <w:highlight w:val="none"/>
              </w:rPr>
            </w:pPr>
            <w:r>
              <w:rPr>
                <w:rFonts w:hint="eastAsia" w:ascii="宋体" w:hAnsi="宋体" w:cs="宋体"/>
                <w:bCs/>
                <w:color w:val="auto"/>
                <w:szCs w:val="21"/>
                <w:highlight w:val="none"/>
              </w:rPr>
              <w:t xml:space="preserve">2、传动主件不得采用悬挑形式安装</w:t>
            </w:r>
            <w:r/>
          </w:p>
        </w:tc>
      </w:tr>
    </w:tbl>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5、安全装置说明(应包括下列各项)</w:t>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7710"/>
      </w:tblGrid>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运转中警告装置：当停车设备运转时，即启动红色旋转警示灯及电子蜂鸣器,警告使用者、行人及来车注意。</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紧急停止按钮装置：操作盘上设有紧急停止按钮(大型红色扣)，当遭遇特殊紧急状况时，按下按钮,则所有机械即刻动作停止，同时状况若未解除前，则停车设备不会启动。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欠逆相保护装置：控制回路对于动力电源之欠相、反相时,必须予以检出,并禁止马达运转,以确保整体设备之安全。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过电压保护装置：控制回路在电压过大时在PLC前端切除控制回路电源,以免PLC损坏。</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电力过负荷保护装置：当马达之电力使用超过负荷时，电源过负荷装置启动，电源立刻切断，保护马达主机不至受损及车台上车辆之安全。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入口处光电开关：当有异物入设备区时，所有机械动作停止，以确保进出之人、车安全，同时紧急按钮未解除及在状况未解除前，则停车设备不会启动。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车长检查装置：车辆停于车台板上必须有车长检查装置，以防止设备在运转过程中损坏。</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限制车辆超长功能： 必须配备，前后各一对超长光电检测装置，当超长车辆停入车位时，限制所有机械动作并发出警报。 </w:t>
            </w:r>
            <w:r/>
          </w:p>
        </w:tc>
      </w:tr>
      <w:tr>
        <w:trPr>
          <w:jc w:val="center"/>
          <w:trHeight w:val="510"/>
        </w:trPr>
        <w:tc>
          <w:tcPr>
            <w:tcW w:w="896"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9</w:t>
            </w:r>
            <w:r/>
          </w:p>
        </w:tc>
        <w:tc>
          <w:tcPr>
            <w:tcW w:w="7710" w:type="dxa"/>
            <w:textDirection w:val="lrTb"/>
            <w:noWrap/>
          </w:tcPr>
          <w:p>
            <w:pPr>
              <w:rPr>
                <w:rFonts w:ascii="宋体" w:hAnsi="宋体" w:cs="宋体"/>
                <w:bCs/>
                <w:color w:val="auto"/>
                <w:szCs w:val="21"/>
                <w:highlight w:val="none"/>
              </w:rPr>
            </w:pPr>
            <w:r>
              <w:rPr>
                <w:rFonts w:hint="eastAsia" w:ascii="宋体" w:hAnsi="宋体" w:cs="宋体"/>
                <w:bCs/>
                <w:color w:val="auto"/>
                <w:szCs w:val="21"/>
                <w:highlight w:val="none"/>
              </w:rPr>
              <w:t xml:space="preserve">限制车辆超高功能： 必须配备，一对超高光电检测装置，当超高车辆停入停车库时，限制所有机械动作并发出警报。 </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车轮定位装置：限制车辆停放位置，以免造成上升时碰撞设备，并可防止车辆滑动，并设置水平定位行程开关。</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7710" w:type="dxa"/>
            <w:textDirection w:val="lrTb"/>
            <w:noWrap/>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在安全电眼动作或按下紧急按钮时，状况若未解除前，则停车设备不得启动。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连锁装置：应设定升降及横移定位点互相连锁，以防升降车台与横移车台重叠或碰撞之情形，另具有可自动检出行程时间异常，可令马达断电停止之装置。</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松链检知装置：升降车台应设松链检知装置，防止车台因意外断链等造成车台倾斜或坠下，以确保车辆及人员安全。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防坠落装置：当升降车台上升至上定位时，应设机械安全防落装置，以防止车台意外断链及马达刹车失灵时造成车台坠下，以确保车辆及人员安全。</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7710" w:type="dxa"/>
            <w:vAlign w:val="center"/>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横移逾限装置：防止横移逾限而损坏设备或车辆。</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7710" w:type="dxa"/>
            <w:textDirection w:val="lrTb"/>
            <w:noWrap/>
          </w:tcPr>
          <w:p>
            <w:pPr>
              <w:rPr>
                <w:rFonts w:ascii="宋体" w:hAnsi="宋体" w:cs="宋体"/>
                <w:bCs/>
                <w:color w:val="auto"/>
                <w:szCs w:val="21"/>
                <w:highlight w:val="none"/>
              </w:rPr>
            </w:pPr>
            <w:r>
              <w:rPr>
                <w:rFonts w:hint="eastAsia" w:ascii="宋体" w:hAnsi="宋体" w:cs="宋体"/>
                <w:bCs/>
                <w:color w:val="auto"/>
                <w:szCs w:val="21"/>
                <w:highlight w:val="none"/>
              </w:rPr>
              <w:t xml:space="preserve">横移定位装置：</w:t>
            </w:r>
            <w:r/>
          </w:p>
          <w:p>
            <w:pPr>
              <w:rPr>
                <w:rFonts w:ascii="宋体" w:hAnsi="宋体" w:cs="宋体"/>
                <w:bCs/>
                <w:color w:val="auto"/>
                <w:szCs w:val="21"/>
                <w:highlight w:val="none"/>
              </w:rPr>
            </w:pPr>
            <w:r>
              <w:rPr>
                <w:rFonts w:hint="eastAsia" w:ascii="宋体" w:hAnsi="宋体" w:cs="宋体"/>
                <w:bCs/>
                <w:color w:val="auto"/>
                <w:szCs w:val="21"/>
                <w:highlight w:val="none"/>
              </w:rPr>
              <w:t xml:space="preserve">上、下行程定位开关：应设有上、下限行程定位开关来定位升降台之上升、下降准确定位。</w:t>
            </w:r>
            <w:r/>
          </w:p>
          <w:p>
            <w:pPr>
              <w:rPr>
                <w:rFonts w:ascii="宋体" w:hAnsi="宋体" w:cs="宋体"/>
                <w:color w:val="auto"/>
                <w:szCs w:val="21"/>
                <w:highlight w:val="none"/>
              </w:rPr>
            </w:pPr>
            <w:r>
              <w:rPr>
                <w:rFonts w:hint="eastAsia" w:ascii="宋体" w:hAnsi="宋体" w:cs="宋体"/>
                <w:bCs/>
                <w:color w:val="auto"/>
                <w:szCs w:val="21"/>
                <w:highlight w:val="none"/>
              </w:rPr>
              <w:t xml:space="preserve">上越程极限开关：当升降车台上升时，设置越程极限开关，以确保升降车台于上升时避免发生过行程之危险。</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断电制动装置：横移或升降车台之电动机电源中断时，电磁刹车器立即闭合，防止继续行走及避免升降车台于静止时自然下降。</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警示标语及操作说明：机械停车区之适合位置设置操作说明牌、注意事项牌、最大容车尺寸告示牌、倒车入库前进入库标示牌及公司电话和二十四小时服务电话等。</w:t>
            </w:r>
            <w:r/>
          </w:p>
        </w:tc>
      </w:tr>
      <w:tr>
        <w:trPr>
          <w:jc w:val="center"/>
          <w:trHeight w:val="510"/>
        </w:trPr>
        <w:tc>
          <w:tcPr>
            <w:tcW w:w="896"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7710" w:type="dxa"/>
            <w:textDirection w:val="lrTb"/>
            <w:noWrap/>
          </w:tcPr>
          <w:p>
            <w:pPr>
              <w:rPr>
                <w:rFonts w:ascii="宋体" w:hAnsi="宋体" w:cs="宋体"/>
                <w:color w:val="auto"/>
                <w:szCs w:val="21"/>
                <w:highlight w:val="none"/>
              </w:rPr>
            </w:pPr>
            <w:r>
              <w:rPr>
                <w:rFonts w:hint="eastAsia" w:ascii="宋体" w:hAnsi="宋体" w:cs="宋体"/>
                <w:bCs/>
                <w:color w:val="auto"/>
                <w:szCs w:val="21"/>
                <w:highlight w:val="none"/>
              </w:rPr>
              <w:t xml:space="preserve">防护栏：防止来往人员进入车库正常进出位置。采用网格状，表面经除锈后喷涂黄色警示漆，护栏高度≥1100mm</w:t>
            </w:r>
            <w:r/>
          </w:p>
        </w:tc>
      </w:tr>
    </w:tbl>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7、结构要求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7.1 钢结构件和连接件的强度、稳定性计算应符合《起重机设计规范（GB/T3811-2008）》的规定。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7.2 钢结构件和连接件的材料及其许用应力应符合《起重机设计规范（GB/T3811-2008）》的规定。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7.3 投标人还必须提供设备中钢材材质（包含梁、柱等规格说明）。</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7.4 结构件材料和连接材料及其允许应力、强度、稳定性及静动荷载、冲击荷载的设计满足有关规定。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7.5 车库结构安装和对土建的作用力必须向设计单位提供，安装时由设计单位签认。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7.6 投标人所提供的系统起、制动及运行时应平稳、无抖动、无冲击。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7.7 投标人所提供的系统应具备低能耗、低噪声、动作精确到位、运行效率高、安全可靠性高的特性。</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7.8 投标人在进行系统设计时可将系统分为若干单元，应充分利用空间，尽量减少用于周转的空车位，同时应考虑存/取车时间，保证效率。</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8、电气要求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 投标书应提出两层升降横移机械式停车设备供电容量、指标等要求，控制器及电源等设计须满足该系统正常使用要求，具有较高的抗干扰能力及稳压特性。</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8.2 电气设备的安装应符合《电气装置安装工程 电缆线路施工及验收标准（GB50168-2018）》、《电气装置安装工程 接地装置施工及验收规范（GB50169-2016）》和《电气装置安装工程 盘、柜及二次回路接线施工及验收规范（GB50171-2012）》的要求。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8.3 停车设备的金属结构及所有电气设备的金属外壳、管槽、电缆金属护层和变压器低压侧均应有可靠接地，检测时应保持接地良好。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8.4 所有仪表、按钮、操作开关的用途应标明在盘（屏、柜、台）的正面，装设在内部的元件应标明代号。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8.5 所有电气设备必须可靠固定，声光信号装置必须可靠。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8.6 设备适用于三相五线制。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8.7 电动机、电控柜、操作箱所有外壳防护等级应不低于《外壳防护等级（IP代码）（GB/T 4208-2017）》中IP40要求。电控柜、操作箱密封防鼠害，根据需要配置强制通风。</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8.8 电路必须配有分电路和主电路的短路保护、过流保护、欠压保护、缺相保护等保护电路。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8.9 提供总体设计的电气原理图和电气接线图，每个电控柜必须提供电控柜的原理图和接线图。</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8.10 供电及控制线路安装按现场情况。</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8.11 各电器设备及屏、柜与其结构构架间的距离必须符合检修方便的原则；</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8.12 满载运行时，电动机端的电压损失不得超过额定电压的15%。</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8.13 零线和接地线应分别设置，严禁用零线代替接地线。接地电阻不得大于4Ω。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8.14 导体之间和导体对地之间的绝缘电阻必须大于1000Ω/V，且其值不小于：</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(a) 动力电路和电气安全装置电路0.5MΩ；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(b) 其他电路（控制、照明、信号等）0.25MΩ。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8.15 接地线连接应符合《电气装置安装工程 接地装置施工及验收规范（GB50169-2016）》的规定。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8.16 电动机、电控柜操作箱所用外壳防护等级，应不低于《外壳防护等级（IP代码）（GB/T 4208-2017）》中IP33的要求。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8.17 车辆停于车台板上，一层车库前后各一对超长光电。</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9、焊接要求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9.1 焊条、焊丝和焊剂应与被焊接件的材料相适应。</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9.2 立柱横梁等构件，焊接前进行校直校平。</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9.3 焊缝应符合《气焊、焊条电弧焊、气体保护焊和高能束焊的推荐坡口（GB/T 985.1-2008）》和《埋弧焊的推荐坡口（GB/T985.2-2008）》的规定。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9.4 焊接件均应采用气体保护焊，焊缝清理打磨，焊接质量好，焊件外观质量高。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9.5 焊缝外部检查不得有目测可见的明显缺陷，这些缺陷按《金属熔化焊接头缺欠分类及说明（GB/T 6417.1-2005）》的分类为：裂纹、孔穴、固体夹渣、未熔合和未焊透、形状缺陷及上述以外的其他缺陷。</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10、安全要求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10.1 升降横移式停车设备上的安全要求、防护装置应符合《机械式停车设备 通用安全要求（GB 17907-2010）》的规定，应设紧急停止开关、防止超限运行装置，汽车超长限制装置及检出装置，阻车装置，人车误入检出装置，台板上汽车位置的定位装置，防止上位车位台板坠落机械挂钩装置以及警示装置等。实行机电联锁，保障运行安全可靠。链条应有检测松弛装置，防止两侧链条不平衡，确保安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10.2 机械传动部分安全系数必须大于7，升降车板牵引链条要求每根均需具有防松防断检测功能。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10.3 系统必须具备（但不限于）的安全装置和安全保护功能：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（1）车辆检测系统</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（2）车辆/人员误入检测、报警、联锁闭锁系统</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（3）托板防坠落装置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（4）托板升降定位及防过限保护功能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（5）电机过载保护</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（6）电源缺相、错相、欠项、过压、欠压、过负荷保护</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（7）漏电保护及防触电措施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（8）系统紧急停车装置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（9）运转中警告装置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（10）车长、车高检查装置、限制车辆超长功能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（11）车轮定位装置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（12）升降机横移定位点互锁装置，横移定位装置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（13）松链检知装置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（14）断电制动装置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10.4 防坠落装置应采用电磁式安全挂钩，四点独立悬挂，每个安全挂钩必须同时配置一个电磁控制器。</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11、控制管理系统</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11.1 控制系统主要由以下部分组成：主控制箱盘、可编程控制器、电磁接触器、按键式控制盘、光电开关、定位及逾限开关、安全装置等，系统提供与地下车库管理系统标准接口。</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11.2 操作：按键方式并于操作盘附近明显位置附上容车尺寸、操作说明牌、设备维护服务电话。</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11.3 应有明显的车位分区及分区标志。</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11.4 控制系统要求操作简单方便、操作指示和按钮一目了然。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11.5 控制系统应保证运行安全，充分考虑可能发生的危险情况，采取措施避免，并发出声光报警，提示操作者注意安全。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11.6 自动操作存取车应可采用IC卡和按键方式，在控制盘（箱）上应可方便地进行切换。操作装置应设置在人及汽车的出入状况可用目视清楚地观察了望的位置，操作盘采用按钮和非接触式IC卡集成一体式。</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11.7 电气控制线必须采用标准要求多股铜芯电缆线，具有耐候性、耐油性。</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11.8 操作人员应能快速断开动力机构的主开关；照明电路应单设电源开关，不受动力部分总开关的影响。紧急停止开关应设置在明显位置，紧急时操作者能及时处理。</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12、主要零部件要求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12.1 载车板</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载车板应须具有足够强度和刚度，在整机使用寿命期内不变形，以保证停放汽车的安全和存放汽车动作的正常进行，采用不小于2.3mm厚镀锌波纹板螺栓拼接，为方便使用，载车板有效停车内净尺寸不小于2000mm。</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a.载车板入口处不得有刃角、棱角；</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b.载车板面板上应设阻车装置。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12.2 导轨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a.同层两导轨在同一横截面上的轨顶相对标高差为±3mm；</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b.同层两导轨轨距误差单侧导向为±4mm，双侧导向为±2.5mm。</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12.3 驱动装置应由在最大负载下可驱动的电动机及减速器组成。减速器的容量不得小于1.2倍的驱动功率和力矩。水平移动所需的动力（包括运行阻力、附加阻力等），应取1.25倍以上的额定容量，以考虑起动动力的影响。电动机的选择应按短时重复工作制计算。</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 制动器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12.4.1 制动机构必须设有制动系统，在出现下述情况时能自动制动，以使载车板保持静止状态：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a 动力电源失电；</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b 控制电源失电。</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12.4.2 制动系统应采用常闭式制动器，对控制升降运动的制动器其制动力矩应小于1.5倍额定载荷的制动力矩。</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12.4.3 制动器应有符合操作频度的热容量。</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12.4.4 制动器对制动摩擦垫片的磨损应有补偿能力。</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12.4.5 制动轮的制动摩擦面，不应有妨碍制动性能的缺陷或沾染油污。</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（四）防护、包装及运输</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1、中标人在交货前须提供所供产品的具体防护措施供招标人认可，并对此工作负责。</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2、所有产品应合理有效包装，以使其有效防止各种损坏，如划伤、腐蚀、变形等。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3、产品的包装费应包括在合同总价中，这些包装材料应属于招标人所有。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4、在包装箱中，应附有产品合格证书、产品质量保证书、产品说明书、装箱单、供货清单。</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5、中标人应对产品的整个交货过程负责，包括运输、装卸及安全措施。</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6、随包装箱带的文件、资料应防潮密封，并放置在包装箱内明显的地方。</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（五）售后服务要求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1、质量保证期：项目整体质保期</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年（含耗材及易损件）。质保期自特检</w:t>
      </w:r>
      <w:r>
        <w:rPr>
          <w:rFonts w:hint="eastAsia" w:ascii="宋体" w:hAnsi="宋体" w:cs="宋体"/>
          <w:color w:val="auto"/>
          <w:szCs w:val="21"/>
          <w:highlight w:val="none"/>
          <w:lang w:val="en-US" w:eastAsia="zh-CN"/>
        </w:rPr>
        <w:t xml:space="preserve">院</w:t>
      </w:r>
      <w:r>
        <w:rPr>
          <w:rFonts w:hint="eastAsia" w:ascii="宋体" w:hAnsi="宋体" w:cs="宋体"/>
          <w:color w:val="auto"/>
          <w:szCs w:val="21"/>
          <w:highlight w:val="none"/>
        </w:rPr>
        <w:t xml:space="preserve">验收合格之日起计算。质保期内，所涉及产品质量原因导致的设备维修、更换零部件、人工上门服务和设备（耗材、易损件）的全部费用由中标人承担。</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2、提供专业的系统培训，对维修内容进行一周以上培训，具有专业的售后服务团队。</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4、投标人中标后须在项目现场设置备品备件库（备品备件库场所由建设单位提供），售后服务人员接到故障通知后</w:t>
      </w:r>
      <w:r>
        <w:rPr>
          <w:rFonts w:hint="eastAsia" w:ascii="宋体" w:hAnsi="宋体" w:cs="宋体"/>
          <w:color w:val="auto"/>
          <w:szCs w:val="21"/>
          <w:highlight w:val="none"/>
          <w:lang w:val="en-US" w:eastAsia="zh-CN"/>
        </w:rPr>
        <w:t xml:space="preserve">2小时内响应并赶到现场，24小时内完成维修任务</w:t>
      </w:r>
      <w:r>
        <w:rPr>
          <w:rFonts w:hint="eastAsia" w:ascii="宋体" w:hAnsi="宋体" w:cs="宋体"/>
          <w:color w:val="auto"/>
          <w:szCs w:val="21"/>
          <w:highlight w:val="none"/>
        </w:rPr>
        <w:t xml:space="preserve">。软件终身免费升级。维修点需提供足够的备件以适应招标人维修需求。且需满足《机械式停车设备安装监督检验与定期检验规程》的要求。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5、质保期满时，中标人工程师和招标人代表进行另一次全面测试，任何故障须由中标人自费解决并取得招标人的认可。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6、质保期内中标人须自行付费，负责修理和替换任何由于设备自身的质量问题造成的损坏及故障。</w:t>
      </w:r>
      <w:r/>
    </w:p>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p>
      <w:pPr>
        <w:spacing w:line="360" w:lineRule="auto"/>
        <w:rPr>
          <w:rFonts w:ascii="宋体" w:hAnsi="宋体" w:cs="宋体"/>
          <w:b/>
          <w:color w:val="auto"/>
          <w:highlight w:val="none"/>
        </w:rPr>
      </w:pPr>
      <w:r>
        <w:rPr>
          <w:rFonts w:hint="eastAsia" w:ascii="宋体" w:hAnsi="宋体" w:cs="宋体"/>
          <w:b/>
          <w:color w:val="auto"/>
          <w:szCs w:val="21"/>
          <w:highlight w:val="none"/>
        </w:rPr>
        <w:t xml:space="preserve">五、</w:t>
      </w:r>
      <w:r>
        <w:rPr>
          <w:rFonts w:hint="eastAsia" w:ascii="宋体" w:hAnsi="宋体" w:cs="宋体"/>
          <w:b/>
          <w:color w:val="auto"/>
          <w:highlight w:val="none"/>
        </w:rPr>
        <w:t xml:space="preserve">综合说明其他要求</w:t>
      </w:r>
      <w:r/>
    </w:p>
    <w:p>
      <w:pPr>
        <w:ind w:firstLine="420"/>
        <w:jc w:val="left"/>
        <w:spacing w:line="360" w:lineRule="auto"/>
        <w:tabs>
          <w:tab w:val="left" w:pos="753" w:leader="none"/>
        </w:tabs>
        <w:rPr>
          <w:rFonts w:ascii="宋体" w:hAnsi="宋体" w:cs="宋体"/>
          <w:color w:val="auto"/>
          <w:highlight w:val="none"/>
        </w:rPr>
      </w:pPr>
      <w:r>
        <w:rPr>
          <w:rFonts w:hint="eastAsia" w:ascii="宋体" w:hAnsi="宋体" w:cs="宋体"/>
          <w:color w:val="auto"/>
          <w:highlight w:val="none"/>
        </w:rPr>
        <w:t xml:space="preserve">1、投标单位应明确所投产品的品牌、型号、规格和外形、尺寸及一些必须说明的技术参数，以及设备配置清单，同时明确生产厂家、型号规格等，</w:t>
      </w:r>
      <w:r>
        <w:rPr>
          <w:rFonts w:hint="eastAsia" w:ascii="宋体" w:hAnsi="宋体" w:cs="宋体"/>
          <w:color w:val="auto"/>
          <w:szCs w:val="21"/>
          <w:highlight w:val="none"/>
        </w:rPr>
        <w:t xml:space="preserve">并提供详细的技术参数和性能说明书</w:t>
      </w:r>
      <w:r>
        <w:rPr>
          <w:rFonts w:hint="eastAsia" w:ascii="宋体" w:hAnsi="宋体" w:cs="宋体"/>
          <w:color w:val="auto"/>
          <w:highlight w:val="none"/>
        </w:rPr>
        <w:t xml:space="preserve">。</w:t>
      </w:r>
      <w:r/>
    </w:p>
    <w:p>
      <w:pPr>
        <w:ind w:firstLine="420"/>
        <w:jc w:val="left"/>
        <w:spacing w:line="360" w:lineRule="auto"/>
        <w:tabs>
          <w:tab w:val="left" w:pos="753" w:leader="none"/>
        </w:tabs>
        <w:rPr>
          <w:rFonts w:ascii="宋体" w:hAnsi="宋体" w:cs="宋体"/>
          <w:color w:val="auto"/>
          <w:highlight w:val="none"/>
        </w:rPr>
      </w:pPr>
      <w:r>
        <w:rPr>
          <w:rFonts w:hint="eastAsia" w:ascii="宋体" w:hAnsi="宋体" w:cs="宋体"/>
          <w:color w:val="auto"/>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3、投标总报价一次报定，包括</w:t>
      </w:r>
      <w:r>
        <w:rPr>
          <w:rFonts w:hint="eastAsia" w:ascii="宋体" w:hAnsi="宋体" w:cs="宋体"/>
          <w:color w:val="auto"/>
          <w:szCs w:val="21"/>
          <w:highlight w:val="none"/>
        </w:rPr>
        <w:t xml:space="preserve">原有设备拆除、更新的设备、随机备品备件、易损件（包括保障设备正常运行</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年所需的备品备件、易损件）、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rPr>
          <w:rFonts w:hint="eastAsia" w:ascii="宋体" w:hAnsi="宋体" w:cs="宋体"/>
          <w:color w:val="auto"/>
          <w:highlight w:val="none"/>
        </w:rPr>
        <w:t xml:space="preserve">。 </w:t>
      </w:r>
      <w:r/>
    </w:p>
    <w:p>
      <w:pPr>
        <w:ind w:firstLine="420"/>
        <w:jc w:val="left"/>
        <w:spacing w:line="360" w:lineRule="auto"/>
        <w:tabs>
          <w:tab w:val="left" w:pos="360" w:leader="none"/>
        </w:tabs>
        <w:rPr>
          <w:rFonts w:ascii="宋体" w:hAnsi="宋体" w:cs="宋体"/>
          <w:color w:val="auto"/>
          <w:highlight w:val="none"/>
        </w:rPr>
      </w:pPr>
      <w:r>
        <w:rPr>
          <w:rFonts w:hint="eastAsia" w:ascii="宋体" w:hAnsi="宋体" w:cs="宋体"/>
          <w:color w:val="auto"/>
          <w:szCs w:val="21"/>
          <w:highlight w:val="none"/>
        </w:rPr>
        <w:t xml:space="preserve">4、交货期限：在合同签订生效后90天内送货到位并安装调试结束</w:t>
      </w:r>
      <w:r>
        <w:rPr>
          <w:rFonts w:hint="eastAsia" w:ascii="宋体" w:hAnsi="宋体" w:cs="宋体"/>
          <w:color w:val="auto"/>
          <w:szCs w:val="22"/>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5、交货地点：</w:t>
      </w:r>
      <w:r>
        <w:rPr>
          <w:rFonts w:hint="eastAsia" w:ascii="宋体" w:hAnsi="宋体" w:cs="宋体"/>
          <w:color w:val="auto"/>
          <w:szCs w:val="22"/>
          <w:highlight w:val="none"/>
        </w:rPr>
        <w:t xml:space="preserve">苏州大学附属儿童医院景德路院区（具体按照采购单位要求）。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6、安装要求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（1）由中标单位负责安装，现场调试。所有安装材料质量及实施质量必须严格按照国家规范及江苏省、苏州市地方规范、采购文件、材料厂家的技术及安全规范要求严格执行。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（2）中标单位对安装安全、质量全面负责，并承担成品保护，如因中标单位原因造成安全、质量事故或成品损坏，中标单位承担一切经济法律责任。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（3）中标单位负责标的物合格、正常、安全使用，所需要通过的相关部门的验收，相关费用由中标单位负责。</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7、验收标</w:t>
      </w:r>
      <w:r>
        <w:rPr>
          <w:rFonts w:hint="eastAsia" w:ascii="宋体" w:hAnsi="宋体" w:cs="宋体"/>
          <w:color w:val="auto"/>
          <w:szCs w:val="21"/>
          <w:highlight w:val="none"/>
        </w:rPr>
        <w:t xml:space="preserve">准：具体按合同要求执行。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cs="宋体"/>
          <w:color w:val="auto"/>
          <w:szCs w:val="21"/>
          <w:highlight w:val="none"/>
        </w:rPr>
        <w:t xml:space="preserve">凡涉及招标文件的补充说明和修改，均以江苏政府采购网上发布的通</w:t>
      </w:r>
      <w:r>
        <w:rPr>
          <w:rFonts w:hint="eastAsia" w:cs="宋体"/>
          <w:color w:val="auto"/>
          <w:highlight w:val="none"/>
        </w:rPr>
        <w:t xml:space="preserve">知为</w:t>
      </w:r>
      <w:r>
        <w:rPr>
          <w:rFonts w:hint="eastAsia" w:cs="宋体"/>
          <w:color w:val="auto"/>
          <w:szCs w:val="21"/>
          <w:highlight w:val="none"/>
        </w:rPr>
        <w:t xml:space="preserve">准。</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六、</w:t>
      </w:r>
      <w:r>
        <w:rPr>
          <w:rFonts w:hint="eastAsia" w:ascii="宋体" w:hAnsi="宋体" w:cs="宋体"/>
          <w:b/>
          <w:color w:val="auto"/>
          <w:szCs w:val="21"/>
          <w:highlight w:val="none"/>
          <w:lang w:val="zh-CN"/>
        </w:rPr>
        <w:t xml:space="preserve">政策执行（如涉及）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本次招标不接受进口设备的投标</w:t>
      </w:r>
      <w:r>
        <w:rPr>
          <w:rFonts w:hint="eastAsia" w:ascii="宋体" w:hAnsi="宋体" w:cs="宋体"/>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小型企业和微型企业的投标报价扣除20%后参与评审。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6.根据《苏财购〔2025〕62号》文，评审委员会启动异常低价投标（响应）审查的情形和具体要求，包括：</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（1）投标（响应）报价低于采购项目预算50%的，即投标（响应）报价&lt;采购项目预算×50%；</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（2）投标（响应）报价低于采购项目最高限价45%的，即投标（响应）报价&lt;采购项目最高限价×45%；</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（3）评审委员会认定的供应商报价过低、有可能影响产品质量或者不能诚信履约的其他情形。</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49"/>
        <w:jc w:val="center"/>
        <w:pageBreakBefore/>
        <w:spacing w:before="0" w:after="0" w:line="360" w:lineRule="auto"/>
        <w:rPr>
          <w:rFonts w:ascii="宋体" w:hAnsi="宋体" w:eastAsia="宋体" w:cs="宋体"/>
          <w:color w:val="auto"/>
          <w:highlight w:val="none"/>
        </w:rPr>
      </w:pPr>
      <w:r/>
      <w:bookmarkStart w:id="70" w:name="_Toc2154299"/>
      <w:r/>
      <w:bookmarkStart w:id="71" w:name="_Toc536633987"/>
      <w:r>
        <w:rPr>
          <w:rFonts w:hint="eastAsia" w:ascii="宋体" w:hAnsi="宋体" w:eastAsia="宋体" w:cs="宋体"/>
          <w:color w:val="auto"/>
          <w:highlight w:val="none"/>
        </w:rPr>
        <w:t xml:space="preserve">第三章 投标单位须知</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70"/>
      <w:r/>
      <w:bookmarkEnd w:id="71"/>
      <w:r/>
      <w:r/>
    </w:p>
    <w:p>
      <w:pPr>
        <w:pStyle w:val="883"/>
        <w:spacing w:line="360" w:lineRule="auto"/>
        <w:rPr>
          <w:rFonts w:eastAsia="宋体" w:cs="宋体"/>
          <w:b/>
          <w:color w:val="auto"/>
          <w:sz w:val="21"/>
          <w:highlight w:val="none"/>
        </w:rPr>
      </w:pPr>
      <w:r>
        <w:rPr>
          <w:rFonts w:eastAsia="宋体" w:cs="宋体"/>
          <w:b/>
          <w:color w:val="auto"/>
          <w:sz w:val="21"/>
          <w:highlight w:val="none"/>
        </w:rPr>
      </w:r>
      <w:r/>
    </w:p>
    <w:p>
      <w:pPr>
        <w:pStyle w:val="883"/>
        <w:jc w:val="center"/>
        <w:spacing w:line="360" w:lineRule="auto"/>
        <w:rPr>
          <w:rFonts w:eastAsia="宋体" w:cs="宋体"/>
          <w:b/>
          <w:color w:val="auto"/>
          <w:sz w:val="21"/>
          <w:highlight w:val="none"/>
        </w:rPr>
      </w:pPr>
      <w:r>
        <w:rPr>
          <w:rFonts w:hint="eastAsia" w:eastAsia="宋体" w:cs="宋体"/>
          <w:b/>
          <w:color w:val="auto"/>
          <w:sz w:val="21"/>
          <w:highlight w:val="none"/>
        </w:rPr>
        <w:t xml:space="preserve">一、说明和释义</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 说明</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1.1本招标文件仅适用于苏州市创杰招投标咨询服务有限公司组织的招标活动。</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1.2本次招标活动及因本次招标产生的合同受中国法律制约和保护。</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1.3本招标文件的解释权属于苏州市创杰招投标咨询服务有限公司。</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 词语释义</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2.1招标代理机构：具体组织实施招标活动的法人。</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2.2投标单位：经认定有资格响应招标，参加投标竞争的法人或其他组织和自然人。</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2.3响应：投标单位根据招标代理机构或招标代理机构发布的招标文件，编制投标文件并按规定投标的行为。</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2.4合同：采供双方根据招标文件和中标的投标文件及中标通知书规定的内容签署的以书面形式所达成的协议，包括所有的附件、附录和构成协议的所有文件。</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2.5甲方（招标单位）：合同中明确规定的实际购买服务的法人或其他组织和自然人 。</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2.6乙方（供应商）：合同中规定的向招标单位提供服务的法人或其他组织和自然人。</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2.7货物：系指乙方按招标采购文件规定，应向甲方提供的一切设备、备品、备件、工具、手册及其它有关技术资料和材料。</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2.9知识产权：指专利权、商标权、著作权等无形财产专有权的统称。</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2.10天：日历日。</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2.11交货地点：合同中明确约定的乙方提交的货物和服务最终交付地点。</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2.12合同价款：根据合同规定，乙方在正确地履行合同义务后甲方应支付乙方的价款。</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2.13产地：货物开采、生长、生产、最终制造、加工或提供服务的来源地。</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2.14不可抗力：不能预见、不能避免并且不能克服的客观情况。</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2.15实质响应：满足有关本次采购标的、数量、质量、价款或者报酬、履行期限、履行地点和方式、违约责任和解决争议方法等要求。</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2.17进口产品：指通过中国海关报关验收进入中国境内且产自境外的产品，具体按照苏财政[2008] 14号江苏省财政厅转发财政部办公厅关于政府采购进口产品管理有关问题的通知的规定。</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2.18书面形式：指书面文字、合同书、信件和数据电文（包括电报、电传、传真、电子数据交换和电子邮件）等可以有形地表现所载内容的形式。</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二、 投标单位</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 合格投标单位的一般条件</w:t>
      </w:r>
      <w:r/>
    </w:p>
    <w:p>
      <w:pPr>
        <w:ind w:left="420"/>
        <w:spacing w:line="360" w:lineRule="auto"/>
        <w:rPr>
          <w:rFonts w:ascii="宋体" w:hAnsi="宋体" w:cs="宋体"/>
          <w:color w:val="auto"/>
          <w:highlight w:val="none"/>
        </w:rPr>
      </w:pPr>
      <w:r>
        <w:rPr>
          <w:rFonts w:hint="eastAsia" w:ascii="宋体" w:hAnsi="宋体" w:cs="宋体"/>
          <w:color w:val="auto"/>
          <w:highlight w:val="none"/>
        </w:rPr>
        <w:t xml:space="preserve">3.1</w:t>
      </w:r>
      <w:r>
        <w:rPr>
          <w:rFonts w:hint="eastAsia" w:ascii="宋体" w:hAnsi="宋体" w:cs="宋体"/>
          <w:color w:val="auto"/>
          <w:szCs w:val="21"/>
          <w:highlight w:val="none"/>
        </w:rPr>
        <w:t xml:space="preserve">具有独立承担民事责任的能力</w:t>
      </w:r>
      <w:r>
        <w:rPr>
          <w:rFonts w:hint="eastAsia" w:ascii="宋体" w:hAnsi="宋体" w:cs="宋体"/>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3.2具有良好的商业信誉和健全的财务会计制度；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3.3具有履行合同所必需的设备和专业技术能力；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3.5参加政府采购活动前三年内，在经营活动中没有重大违法记录；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3.6</w:t>
      </w:r>
      <w:r>
        <w:rPr>
          <w:rFonts w:hint="eastAsia" w:ascii="宋体" w:hAnsi="宋体" w:cs="宋体"/>
          <w:color w:val="auto"/>
          <w:szCs w:val="21"/>
          <w:highlight w:val="none"/>
        </w:rPr>
        <w:t xml:space="preserve">法律、行政法规规定的其他条件</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4. 投标单位代表</w:t>
      </w:r>
      <w:r/>
    </w:p>
    <w:p>
      <w:pPr>
        <w:ind w:firstLine="438"/>
        <w:spacing w:line="360" w:lineRule="auto"/>
        <w:rPr>
          <w:rFonts w:ascii="宋体" w:hAnsi="宋体" w:cs="宋体"/>
          <w:color w:val="auto"/>
          <w:highlight w:val="none"/>
        </w:rPr>
      </w:pPr>
      <w:r>
        <w:rPr>
          <w:rFonts w:hint="eastAsia" w:ascii="宋体" w:hAnsi="宋体" w:cs="宋体"/>
          <w:color w:val="auto"/>
          <w:highlight w:val="none"/>
        </w:rPr>
        <w:t xml:space="preserve">4.1指全权代表投标单位参加投标活动并签署投标文件的人，如果投标单位代表不是法定代表人，须持有《法定代表人授权委托书》（详见统一格式）。 </w:t>
      </w:r>
      <w:r/>
    </w:p>
    <w:p>
      <w:pPr>
        <w:spacing w:line="360" w:lineRule="auto"/>
        <w:rPr>
          <w:rFonts w:ascii="宋体" w:hAnsi="宋体" w:cs="宋体"/>
          <w:b/>
          <w:color w:val="auto"/>
          <w:highlight w:val="none"/>
        </w:rPr>
      </w:pPr>
      <w:r>
        <w:rPr>
          <w:rFonts w:hint="eastAsia" w:ascii="宋体" w:hAnsi="宋体" w:cs="宋体"/>
          <w:b/>
          <w:color w:val="auto"/>
          <w:highlight w:val="none"/>
        </w:rPr>
        <w:t xml:space="preserve">5. 投标费用 </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5.1无论投标过程中的做法和结果如何，投标单位自行承担所有与参加投标有关的全部费用。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 联合投标及分包转包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6.1本次招标不接受联合投标的方式；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6.2本项目不允转包。</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6.3投标人根据招标文件的规定和采购项目的实际情况，拟在中标后将中标项目的非主体、非关键性工作分包的，应当在投标文件中载明分包承担主体，分包承担主体应当具备相应资质条件且不得再次分包。</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三、招标文件的组成及澄清、修改等</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招标文件由招标文件总目录所列内容组成。投标单位应详细阅读招标文件的全部内容。不按招标文件的要求提供的投标文件和资料，可能导致投标被拒绝。</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招标文件的澄清</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8.1投标单位在收到招标文件后，若有问题需要澄清，应于收到招标文件后以书面形式在规定的时间前向招标代理机构提出，招标代理机构将以书面形式或投标答疑会的方式予以解答（包括对询问的解释，但不说明来源），答复将送给所有获得招标文件的投标单位。</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9.1在投标截止时间15日前，招标代理机构无论出于自己的考虑，还是出于对投标单位提问的澄清，均可对招标文件用补充文件的方式进行修改。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9.2招标代理机构对招标文件的修改，将以</w:t>
      </w:r>
      <w:r>
        <w:rPr>
          <w:rFonts w:hint="eastAsia" w:ascii="宋体" w:hAnsi="宋体" w:cs="宋体"/>
          <w:color w:val="auto"/>
          <w:szCs w:val="21"/>
          <w:highlight w:val="none"/>
        </w:rPr>
        <w:t xml:space="preserve">江苏省政府采购网公示的补充通知的方式发出</w:t>
      </w:r>
      <w:r>
        <w:rPr>
          <w:rFonts w:hint="eastAsia" w:ascii="宋体" w:hAnsi="宋体" w:cs="宋体"/>
          <w:color w:val="auto"/>
          <w:highlight w:val="none"/>
        </w:rPr>
        <w:t xml:space="preserve">。补充文件将作为招标文件的组成部分，对所有投标单位有约束力。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9.3为使投标单位有足够的时间按招标文件的修改要求考虑修正投标文件，或出于其他原因，招标代理机构有权推迟投标截止日期和开标日期，并将此变更通知上述每一投标单位。</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10. 勘察现场与投标答疑会</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10.1投标单位应派代表于前附表所述时间和地点勘察现场和出席投标答疑会，费用自理。（如有）</w:t>
      </w:r>
      <w:r/>
    </w:p>
    <w:p>
      <w:pPr>
        <w:ind w:firstLine="525"/>
        <w:spacing w:line="360" w:lineRule="auto"/>
        <w:rPr>
          <w:rFonts w:ascii="宋体" w:hAnsi="宋体" w:cs="宋体"/>
          <w:color w:val="auto"/>
          <w:highlight w:val="none"/>
        </w:rPr>
      </w:pPr>
      <w:r>
        <w:rPr>
          <w:rFonts w:hint="eastAsia" w:ascii="宋体" w:hAnsi="宋体" w:cs="宋体"/>
          <w:color w:val="auto"/>
          <w:highlight w:val="none"/>
        </w:rPr>
        <w:t xml:space="preserve">10.2</w:t>
      </w:r>
      <w:r>
        <w:rPr>
          <w:rFonts w:hint="eastAsia" w:ascii="宋体" w:hAnsi="宋体" w:cs="宋体"/>
          <w:color w:val="auto"/>
          <w:szCs w:val="21"/>
          <w:highlight w:val="none"/>
        </w:rPr>
        <w:t xml:space="preserve">投标答疑包括招标单位认为可以回答且不会引起投标人误解的相关问题和答复。由于投标答疑会而产生的对招标文件内容的修改，由招标单位按照本须知有关规定，以补充通知的方式发出，具体以江苏政府采购网公示的补充公告为准。</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四、投标文件说明</w:t>
      </w:r>
      <w:r/>
    </w:p>
    <w:p>
      <w:pPr>
        <w:ind w:left="459" w:hanging="459"/>
        <w:spacing w:line="360" w:lineRule="auto"/>
        <w:rPr>
          <w:rFonts w:ascii="宋体" w:hAnsi="宋体" w:cs="宋体"/>
          <w:b/>
          <w:color w:val="auto"/>
          <w:highlight w:val="none"/>
        </w:rPr>
      </w:pPr>
      <w:r>
        <w:rPr>
          <w:rFonts w:hint="eastAsia" w:ascii="宋体" w:hAnsi="宋体" w:cs="宋体"/>
          <w:b/>
          <w:color w:val="auto"/>
          <w:highlight w:val="none"/>
        </w:rPr>
        <w:t xml:space="preserve">11． 提示与要求</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11.1投标单位应仔细阅读招标文件的所有内容，按招标文件的要求提供投标文件，并保证所提供的全部资料的真实性，以使其投标对招标文件做出实质性响应，否则，其投标可能被拒绝。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11.2无论是否递交投标文件，投标单位都应将招标文件及以后的所有通知、文件等视为保密文件。</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12. 投标文件计量单位和使用文字</w:t>
      </w:r>
      <w:r/>
    </w:p>
    <w:p>
      <w:pPr>
        <w:pStyle w:val="678"/>
        <w:ind w:firstLine="43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12.1投标文件中所使用的计量单位，除招标文件中有特殊要求外，均应使用中华人民共和国法定计量单位。</w:t>
      </w:r>
      <w:r/>
    </w:p>
    <w:p>
      <w:pPr>
        <w:ind w:firstLine="438"/>
        <w:spacing w:line="360" w:lineRule="auto"/>
        <w:rPr>
          <w:rFonts w:ascii="宋体" w:hAnsi="宋体" w:cs="宋体"/>
          <w:color w:val="auto"/>
          <w:highlight w:val="none"/>
        </w:rPr>
      </w:pPr>
      <w:r>
        <w:rPr>
          <w:rFonts w:hint="eastAsia" w:ascii="宋体" w:hAnsi="宋体" w:cs="宋体"/>
          <w:color w:val="auto"/>
          <w:highlight w:val="none"/>
        </w:rPr>
        <w:t xml:space="preserve">12.2投标文件应使用中文编制，投标文件中必须使用其他文字的，必须附有中文译本。对于未附有中文译本和中文译本不准确的投标文件可能引起的对投标单位不利的后果，招标代理机构概不负责。</w:t>
      </w:r>
      <w:r/>
    </w:p>
    <w:p>
      <w:pPr>
        <w:spacing w:line="360" w:lineRule="auto"/>
        <w:rPr>
          <w:rFonts w:ascii="宋体" w:hAnsi="宋体" w:cs="宋体"/>
          <w:color w:val="auto"/>
          <w:highlight w:val="none"/>
        </w:rPr>
      </w:pPr>
      <w:r>
        <w:rPr>
          <w:rFonts w:hint="eastAsia" w:ascii="宋体" w:hAnsi="宋体" w:cs="宋体"/>
          <w:b/>
          <w:color w:val="auto"/>
          <w:highlight w:val="none"/>
        </w:rPr>
        <w:t xml:space="preserve">13. 投标文件的组成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13.1投标书一（报价部分） (格式见附件)；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13.1.1投标函；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13.1.2法定代表人授权委托书（如有授权）；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13.1.3开标一览表(统一格式，用于唱标)；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13.1.4投标报价分项表；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13.1.5投标单位法定代表人身份证复印件；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13.1.6投标单位委托代理人身份证复印件（如有授权）；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13.1.7投标单位三证合一营业执照副本复印件；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13.1.8</w:t>
      </w:r>
      <w:r>
        <w:rPr>
          <w:rFonts w:hint="eastAsia" w:ascii="宋体" w:hAnsi="宋体" w:cs="宋体"/>
          <w:color w:val="auto"/>
          <w:szCs w:val="22"/>
          <w:highlight w:val="none"/>
        </w:rPr>
        <w:t xml:space="preserve">投标（响应）保证承诺书；</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13.2 投标书二（技术及资格证明文件部分）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u w:val="single"/>
        </w:rPr>
        <w:t xml:space="preserve">投标书二中不得出现投标总报价，备品备件除外。</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13.2.1 技术部分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13.2.1.1投标货物和服务数量、品牌、规格、维保期限说明表等，</w:t>
      </w:r>
      <w:r>
        <w:rPr>
          <w:rFonts w:hint="eastAsia" w:ascii="宋体" w:hAnsi="宋体" w:cs="宋体"/>
          <w:color w:val="auto"/>
          <w:szCs w:val="22"/>
          <w:highlight w:val="none"/>
        </w:rPr>
        <w:t xml:space="preserve">以及设备配置清单表；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13.2.1.2技术响应对照表；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13.2.1.4售后服务承诺；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13.2.1.5主要配件和易损件价格清单表；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13.2.1.6针对本项目的售后服务承诺；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13.2.1.7针对本项目的供货服务方案、应急措施方案等；</w:t>
      </w:r>
      <w:r/>
    </w:p>
    <w:p>
      <w:pPr>
        <w:ind w:firstLine="420"/>
        <w:spacing w:line="360" w:lineRule="auto"/>
        <w:tabs>
          <w:tab w:val="left" w:pos="502" w:leader="none"/>
        </w:tabs>
        <w:rPr>
          <w:rFonts w:ascii="宋体" w:hAnsi="宋体" w:cs="宋体"/>
          <w:color w:val="auto"/>
          <w:highlight w:val="none"/>
        </w:rPr>
      </w:pPr>
      <w:r>
        <w:rPr>
          <w:rFonts w:hint="eastAsia" w:ascii="宋体" w:hAnsi="宋体" w:cs="宋体"/>
          <w:bCs/>
          <w:color w:val="auto"/>
          <w:highlight w:val="none"/>
        </w:rPr>
        <w:t xml:space="preserve">13.2.1.8</w:t>
      </w:r>
      <w:r>
        <w:rPr>
          <w:rFonts w:hint="eastAsia" w:ascii="宋体" w:hAnsi="宋体" w:cs="宋体"/>
          <w:color w:val="auto"/>
          <w:highlight w:val="none"/>
        </w:rPr>
        <w:t xml:space="preserve">类似项目业绩情况；</w:t>
      </w:r>
      <w:r/>
    </w:p>
    <w:p>
      <w:pPr>
        <w:ind w:firstLine="420"/>
        <w:spacing w:line="360" w:lineRule="auto"/>
        <w:tabs>
          <w:tab w:val="left" w:pos="502" w:leader="none"/>
        </w:tabs>
        <w:rPr>
          <w:rFonts w:ascii="宋体" w:hAnsi="宋体" w:cs="宋体"/>
          <w:bCs/>
          <w:color w:val="auto"/>
          <w:szCs w:val="21"/>
          <w:highlight w:val="none"/>
        </w:rPr>
      </w:pPr>
      <w:r>
        <w:rPr>
          <w:rFonts w:hint="eastAsia" w:ascii="宋体" w:hAnsi="宋体" w:cs="宋体"/>
          <w:color w:val="auto"/>
          <w:highlight w:val="none"/>
        </w:rPr>
        <w:t xml:space="preserve">13.2.1.</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招标文件要求的其他有关技术部分的材料；</w:t>
      </w:r>
      <w:r/>
    </w:p>
    <w:p>
      <w:pPr>
        <w:ind w:firstLine="422"/>
        <w:spacing w:line="360" w:lineRule="auto"/>
        <w:tabs>
          <w:tab w:val="left" w:pos="502" w:leader="none"/>
        </w:tabs>
        <w:rPr>
          <w:rFonts w:ascii="宋体" w:hAnsi="宋体" w:cs="宋体"/>
          <w:b/>
          <w:color w:val="auto"/>
          <w:highlight w:val="none"/>
        </w:rPr>
      </w:pPr>
      <w:r>
        <w:rPr>
          <w:rFonts w:hint="eastAsia" w:ascii="宋体" w:hAnsi="宋体" w:cs="宋体"/>
          <w:b/>
          <w:color w:val="auto"/>
          <w:highlight w:val="none"/>
        </w:rPr>
        <w:t xml:space="preserve">13.2.2资格证明文件</w:t>
      </w:r>
      <w:r/>
    </w:p>
    <w:p>
      <w:pPr>
        <w:ind w:firstLine="420"/>
        <w:spacing w:line="360" w:lineRule="auto"/>
        <w:tabs>
          <w:tab w:val="left" w:pos="502" w:leader="none"/>
        </w:tabs>
        <w:rPr>
          <w:rFonts w:ascii="宋体" w:hAnsi="宋体" w:cs="宋体"/>
          <w:color w:val="auto"/>
          <w:highlight w:val="none"/>
        </w:rPr>
      </w:pPr>
      <w:r>
        <w:rPr>
          <w:rFonts w:hint="eastAsia" w:ascii="宋体" w:hAnsi="宋体" w:cs="宋体"/>
          <w:color w:val="auto"/>
          <w:highlight w:val="none"/>
        </w:rPr>
        <w:t xml:space="preserve">13.2.2.1 关于资格文件的声明函（格式见附件）；</w:t>
      </w:r>
      <w:r/>
    </w:p>
    <w:p>
      <w:pPr>
        <w:ind w:firstLine="420"/>
        <w:spacing w:line="360" w:lineRule="auto"/>
        <w:tabs>
          <w:tab w:val="left" w:pos="502" w:leader="none"/>
        </w:tabs>
        <w:rPr>
          <w:rFonts w:ascii="宋体" w:hAnsi="宋体" w:cs="宋体"/>
          <w:color w:val="auto"/>
          <w:highlight w:val="none"/>
        </w:rPr>
      </w:pPr>
      <w:r>
        <w:rPr>
          <w:rFonts w:hint="eastAsia" w:ascii="宋体" w:hAnsi="宋体" w:cs="宋体"/>
          <w:color w:val="auto"/>
          <w:highlight w:val="none"/>
        </w:rPr>
        <w:t xml:space="preserve">13.2.2.2满足《中华人民共和国政府采购法》第二十二条规定；</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（1）具有独立承担民事责任的能力。提供包括法人或者其他组织的营业执照等证明文件，自然人的身份证明；</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2）具有良好的商业信誉和健全的财务会计制度。最近一期（2023年度或2024年度）经审计的财务报告或最近一期（2025年1月至今任意一期）的财务报表，或银行出具的资信证明，或财政部门认可的政府采购专业担保机构出具的投标担保函；</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（3）具有履行合同所必需的设备和专业技术能力。提供证明材料或承诺；</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（5）参加政府采购活动前三年内在经营活动中没有重大违法记录；提供书面声明函。</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（6）</w:t>
      </w:r>
      <w:r>
        <w:rPr>
          <w:rFonts w:hint="eastAsia" w:cs="宋体"/>
          <w:color w:val="auto"/>
          <w:szCs w:val="21"/>
          <w:highlight w:val="none"/>
        </w:rPr>
        <w:t xml:space="preserve">法律、行政法规规定的其他条件；</w:t>
      </w:r>
      <w:r>
        <w:rPr>
          <w:rFonts w:hint="eastAsia" w:ascii="宋体" w:hAnsi="宋体" w:cs="宋体"/>
          <w:color w:val="auto"/>
          <w:szCs w:val="22"/>
          <w:highlight w:val="none"/>
        </w:rPr>
        <w:t xml:space="preserve">提供书面声明函。</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13.2.2.3所投产品的制造商具有中华人民共和国特种设备制造许可证(起重机械类，明细表中含升降横移类机械式停车设备)及中华人民共和国特种设备安装改造维修许可证(起重机械类，明细表中为机械式停车设备的安装、维修)；若为新证，具有中华人民共和国特种设备生产许可证，并提供特种设备型式试验报告（升降横移类机械式停车设备）</w:t>
      </w:r>
      <w:r>
        <w:rPr>
          <w:rFonts w:hint="eastAsia" w:ascii="宋体" w:hAnsi="宋体" w:cs="宋体"/>
          <w:color w:val="auto"/>
          <w:szCs w:val="21"/>
          <w:highlight w:val="none"/>
        </w:rPr>
        <w:t xml:space="preserve">；提供对应的证明文件；</w:t>
      </w:r>
      <w:r/>
    </w:p>
    <w:p>
      <w:pPr>
        <w:ind w:firstLine="420"/>
        <w:spacing w:line="360" w:lineRule="auto"/>
        <w:tabs>
          <w:tab w:val="left" w:pos="502" w:leader="none"/>
        </w:tabs>
        <w:rPr>
          <w:rFonts w:ascii="宋体" w:hAnsi="宋体" w:cs="宋体"/>
          <w:color w:val="auto"/>
          <w:szCs w:val="22"/>
          <w:highlight w:val="none"/>
        </w:rPr>
      </w:pPr>
      <w:r>
        <w:rPr>
          <w:rFonts w:hint="eastAsia" w:ascii="宋体" w:hAnsi="宋体" w:cs="宋体"/>
          <w:color w:val="auto"/>
          <w:szCs w:val="22"/>
          <w:highlight w:val="none"/>
        </w:rPr>
        <w:t xml:space="preserve">13.2.2.4《中小企业声明函》或《残疾人福利性单位声明函》或由省级以上监狱管理局、戒毒管理局（含新疆生产建设兵团）出具的属于监狱企业的证明文件，</w:t>
      </w:r>
      <w:r>
        <w:rPr>
          <w:rFonts w:hint="eastAsia" w:ascii="宋体" w:hAnsi="宋体" w:cs="宋体"/>
          <w:b/>
          <w:bCs/>
          <w:color w:val="auto"/>
          <w:szCs w:val="22"/>
          <w:highlight w:val="none"/>
        </w:rPr>
        <w:t xml:space="preserve">如属，提供以上资料，否则无需提供</w:t>
      </w:r>
      <w:r>
        <w:rPr>
          <w:rFonts w:hint="eastAsia" w:ascii="宋体" w:hAnsi="宋体" w:cs="宋体"/>
          <w:color w:val="auto"/>
          <w:szCs w:val="22"/>
          <w:highlight w:val="none"/>
        </w:rPr>
        <w:t xml:space="preserve">；</w:t>
      </w:r>
      <w:r/>
    </w:p>
    <w:p>
      <w:pPr>
        <w:ind w:firstLine="420"/>
        <w:spacing w:line="360" w:lineRule="auto"/>
        <w:tabs>
          <w:tab w:val="left" w:pos="502" w:leader="none"/>
        </w:tabs>
        <w:rPr>
          <w:rFonts w:ascii="宋体" w:hAnsi="宋体" w:cs="宋体"/>
          <w:color w:val="auto"/>
          <w:szCs w:val="21"/>
          <w:highlight w:val="none"/>
        </w:rPr>
      </w:pPr>
      <w:r>
        <w:rPr>
          <w:rFonts w:hint="eastAsia" w:ascii="宋体" w:hAnsi="宋体" w:cs="宋体"/>
          <w:color w:val="auto"/>
          <w:szCs w:val="22"/>
          <w:highlight w:val="none"/>
        </w:rPr>
        <w:t xml:space="preserve">13.2.2.5投标单位其他符合合格投标单位条件的证明文件（如有）。</w:t>
      </w:r>
      <w:r/>
    </w:p>
    <w:p>
      <w:pPr>
        <w:pStyle w:val="678"/>
        <w:ind w:firstLine="422"/>
        <w:jc w:val="both"/>
        <w:spacing w:line="360" w:lineRule="auto"/>
        <w:tabs>
          <w:tab w:val="left" w:pos="0" w:leader="none"/>
        </w:tabs>
        <w:rPr>
          <w:rFonts w:ascii="宋体" w:hAnsi="宋体" w:eastAsia="宋体" w:cs="宋体"/>
          <w:b/>
          <w:bCs/>
          <w:color w:val="auto"/>
          <w:sz w:val="21"/>
          <w:highlight w:val="none"/>
          <w:u w:val="single"/>
        </w:rPr>
      </w:pPr>
      <w:r>
        <w:rPr>
          <w:rFonts w:hint="eastAsia" w:ascii="宋体" w:hAnsi="宋体" w:eastAsia="宋体" w:cs="宋体"/>
          <w:b/>
          <w:bCs/>
          <w:color w:val="auto"/>
          <w:sz w:val="21"/>
          <w:highlight w:val="none"/>
          <w:u w:val="single"/>
        </w:rPr>
        <w:t xml:space="preserve">注：投标单位按上述要求提交相关资料，投标单位所提交的上述文件的完整与否，将直接影响投标单位的资格审查或评分</w:t>
      </w:r>
      <w:r>
        <w:rPr>
          <w:rFonts w:hint="eastAsia" w:ascii="宋体" w:hAnsi="宋体" w:eastAsia="宋体" w:cs="宋体"/>
          <w:b/>
          <w:bCs/>
          <w:color w:val="auto"/>
          <w:sz w:val="21"/>
          <w:highlight w:val="none"/>
        </w:rPr>
        <w:t xml:space="preserve">。投</w:t>
      </w:r>
      <w:r>
        <w:rPr>
          <w:rFonts w:hint="eastAsia" w:ascii="宋体" w:hAnsi="宋体" w:eastAsia="宋体" w:cs="宋体"/>
          <w:b/>
          <w:color w:val="auto"/>
          <w:sz w:val="21"/>
          <w:szCs w:val="21"/>
          <w:highlight w:val="none"/>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678"/>
        <w:jc w:val="both"/>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投标文件由13.1、13.2款规定的内容共同组成。</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14. 投标文件编制要求</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14.1投标文件按上述13.1-13.2统一顺序、统一格式编写，并在首页编制“投标文件目录”。</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14.2《开标一览表》为在开标仪式上唱标的内容，要求按格式填写，统一规范，不得自行增减内容。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15. 投标报价（编制）要求的说明</w:t>
      </w:r>
      <w:r/>
    </w:p>
    <w:p>
      <w:pPr>
        <w:ind w:firstLine="525"/>
        <w:spacing w:line="360" w:lineRule="auto"/>
        <w:rPr>
          <w:rFonts w:ascii="宋体" w:hAnsi="宋体" w:cs="宋体"/>
          <w:color w:val="auto"/>
          <w:highlight w:val="none"/>
        </w:rPr>
      </w:pPr>
      <w:r>
        <w:rPr>
          <w:rFonts w:hint="eastAsia" w:ascii="宋体" w:hAnsi="宋体" w:cs="宋体"/>
          <w:color w:val="auto"/>
          <w:highlight w:val="none"/>
        </w:rPr>
        <w:t xml:space="preserve">15.1除非合同中另有规定，投标人的投标报价应包含完成本项目所需的全部费用。投标报价为最终报价，除非因特殊原因并经甲乙双方协商同意，投标人不得再要求追加任何费用。同时，除非合同条款中另有规定，否则，投标单位所报价格在合同实施期间不因市场变化因素而变动。</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15.2</w:t>
      </w:r>
      <w:r>
        <w:rPr>
          <w:rFonts w:hint="eastAsia" w:ascii="宋体" w:hAnsi="宋体" w:eastAsia="宋体"/>
          <w:color w:val="auto"/>
          <w:sz w:val="21"/>
          <w:highlight w:val="none"/>
        </w:rPr>
        <w:t xml:space="preserve">投标单位应按《</w:t>
      </w:r>
      <w:r>
        <w:rPr>
          <w:rFonts w:hint="eastAsia" w:ascii="宋体" w:hAnsi="宋体" w:eastAsia="宋体"/>
          <w:color w:val="auto"/>
          <w:sz w:val="21"/>
          <w:szCs w:val="21"/>
          <w:highlight w:val="none"/>
        </w:rPr>
        <w:t xml:space="preserve">开标一览表</w:t>
      </w:r>
      <w:r>
        <w:rPr>
          <w:rFonts w:hint="eastAsia" w:ascii="宋体" w:hAnsi="宋体" w:eastAsia="宋体"/>
          <w:color w:val="auto"/>
          <w:sz w:val="21"/>
          <w:highlight w:val="none"/>
        </w:rPr>
        <w:t xml:space="preserve">》中的全部货物和服务计算单价。《</w:t>
      </w:r>
      <w:r>
        <w:rPr>
          <w:rFonts w:hint="eastAsia" w:ascii="宋体" w:hAnsi="宋体" w:eastAsia="宋体"/>
          <w:color w:val="auto"/>
          <w:sz w:val="21"/>
          <w:szCs w:val="21"/>
          <w:highlight w:val="none"/>
        </w:rPr>
        <w:t xml:space="preserve">开标一览表</w:t>
      </w:r>
      <w:r>
        <w:rPr>
          <w:rFonts w:hint="eastAsia" w:ascii="宋体" w:hAnsi="宋体" w:eastAsia="宋体"/>
          <w:color w:val="auto"/>
          <w:sz w:val="21"/>
          <w:highlight w:val="none"/>
        </w:rPr>
        <w:t xml:space="preserve">》中的每一单项均应计算并填写单价，并由法定代表人或委托代理人签署</w:t>
      </w:r>
      <w:r>
        <w:rPr>
          <w:rFonts w:hint="eastAsia" w:ascii="宋体" w:hAnsi="宋体" w:eastAsia="宋体" w:cs="宋体"/>
          <w:color w:val="auto"/>
          <w:sz w:val="21"/>
          <w:highlight w:val="none"/>
        </w:rPr>
        <w:t xml:space="preserve">。</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678"/>
        <w:ind w:firstLine="50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15.4 一项投标内容只允许一个报价，招标代理机构不接受任何有选择性的投标报价。</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15.5投标文件报价中的单价和总价全部采用人民币表示，除非合同的特殊条款另有规定。</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15.6最低的投标报价是中标的重要条件，但不是中标的唯一条件。</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16. 投标保证金：无</w:t>
      </w:r>
      <w:r/>
    </w:p>
    <w:p>
      <w:pPr>
        <w:spacing w:line="360" w:lineRule="auto"/>
        <w:rPr>
          <w:rFonts w:ascii="宋体" w:hAnsi="宋体" w:cs="宋体"/>
          <w:color w:val="auto"/>
          <w:highlight w:val="none"/>
        </w:rPr>
      </w:pPr>
      <w:r>
        <w:rPr>
          <w:rFonts w:hint="eastAsia" w:ascii="宋体" w:hAnsi="宋体" w:cs="宋体"/>
          <w:b/>
          <w:color w:val="auto"/>
          <w:highlight w:val="none"/>
        </w:rPr>
        <w:t xml:space="preserve">17. 投标文件的有效期</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17.1自开标日起90天内，投标书应保持有效。有效期短于这个规定期限的投标，将被拒绝。</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17.2在特殊情况下，招标代理机构可与投标单位协商延长投标文件的有效期。这种要求和答复都应以书面、传真的形式进行。同意延长有效期的投标单位不能修改投标文件。拒绝接受延期要求的投标单位的投标将被拒绝。</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18. 投标文件的份数和签署</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18.1投标人应按本须知的规定，编制一份投标文件“正本”和前附表第9项所述份数的“副本”，并明确标明“投标文件正本”和“投标文件副本”。投标文件正本和副本如有不一致之处，以正本为准。</w:t>
      </w:r>
      <w:r/>
    </w:p>
    <w:p>
      <w:pPr>
        <w:pStyle w:val="678"/>
        <w:ind w:firstLine="438"/>
        <w:jc w:val="both"/>
        <w:spacing w:line="360" w:lineRule="auto"/>
        <w:rPr>
          <w:rFonts w:ascii="宋体" w:hAnsi="宋体" w:eastAsia="宋体" w:cs="宋体"/>
          <w:b/>
          <w:color w:val="auto"/>
          <w:sz w:val="21"/>
          <w:highlight w:val="none"/>
        </w:rPr>
      </w:pPr>
      <w:r>
        <w:rPr>
          <w:rFonts w:hint="eastAsia" w:ascii="宋体" w:hAnsi="宋体" w:eastAsia="宋体" w:cs="宋体"/>
          <w:color w:val="auto"/>
          <w:sz w:val="21"/>
          <w:highlight w:val="none"/>
        </w:rPr>
        <w:t xml:space="preserve">18.2投标文件正本和副本均应使用不能擦去的黑色或蓝色墨水打印或书写，</w:t>
      </w:r>
      <w:r>
        <w:rPr>
          <w:rFonts w:hint="eastAsia" w:ascii="宋体" w:hAnsi="宋体" w:eastAsia="宋体" w:cs="宋体"/>
          <w:b/>
          <w:color w:val="auto"/>
          <w:sz w:val="21"/>
          <w:highlight w:val="none"/>
        </w:rPr>
        <w:t xml:space="preserve">投标文件如有字迹模糊之处或外文材料无相应的中文翻译说明或外文的中文翻译有虚假或伪报，一律当投标文件未实质性响应招标要求处理；投标文件需要盖单位公章的地方必须盖公章，需要法定代表人（或委托代理人）盖章或签名的文件必须按要求盖章或签名。</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18.3全套投标文件应无涂改和行间插字，除非这些删改是根据招标代理机构指示进行的,或者是投标人造成的必须修改的错误。但修改处应由投标文件签字人签字或盖章证明 。</w:t>
      </w:r>
      <w:r/>
    </w:p>
    <w:p>
      <w:pPr>
        <w:jc w:val="center"/>
        <w:spacing w:line="360" w:lineRule="auto"/>
        <w:rPr>
          <w:rFonts w:ascii="宋体" w:hAnsi="宋体" w:cs="宋体"/>
          <w:b/>
          <w:color w:val="auto"/>
          <w:highlight w:val="none"/>
        </w:rPr>
      </w:pPr>
      <w:r/>
      <w:bookmarkStart w:id="72" w:name="_Toc222198307"/>
      <w:r/>
      <w:bookmarkStart w:id="73" w:name="_Toc221605138"/>
      <w:r/>
      <w:bookmarkStart w:id="74" w:name="_Toc221701295"/>
      <w:r/>
      <w:bookmarkStart w:id="75" w:name="_Toc221586156"/>
      <w:r/>
      <w:bookmarkStart w:id="76" w:name="_Toc226971668"/>
      <w:r/>
      <w:bookmarkStart w:id="77" w:name="_Toc229880445"/>
      <w:r/>
      <w:bookmarkStart w:id="78" w:name="_Toc227047090"/>
      <w:r/>
      <w:bookmarkStart w:id="79" w:name="_Toc221604908"/>
      <w:r/>
      <w:bookmarkStart w:id="80" w:name="_Toc196471480"/>
      <w:r/>
      <w:bookmarkStart w:id="81" w:name="_Toc228616322"/>
      <w:r/>
      <w:bookmarkStart w:id="82" w:name="_Toc227034737"/>
      <w:r/>
      <w:bookmarkStart w:id="83" w:name="_Toc228616406"/>
      <w:r>
        <w:rPr>
          <w:rFonts w:hint="eastAsia" w:ascii="宋体" w:hAnsi="宋体" w:cs="宋体"/>
          <w:b/>
          <w:color w:val="auto"/>
          <w:highlight w:val="none"/>
        </w:rPr>
        <w:t xml:space="preserve">五、投标文件的递交</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19. 投标文件的密封及标记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19.1</w:t>
      </w:r>
      <w:r>
        <w:rPr>
          <w:rFonts w:hint="eastAsia" w:ascii="宋体" w:hAnsi="宋体" w:cs="宋体"/>
          <w:b/>
          <w:color w:val="auto"/>
          <w:highlight w:val="none"/>
        </w:rPr>
        <w:t xml:space="preserve">投标书一（报价部分）须单独装订并单独密封；投标书二（技术部分、资格证明文件）单独装订成册并密封</w:t>
      </w:r>
      <w:r>
        <w:rPr>
          <w:rFonts w:hint="eastAsia" w:ascii="宋体" w:hAnsi="宋体" w:cs="宋体"/>
          <w:color w:val="auto"/>
          <w:highlight w:val="none"/>
        </w:rPr>
        <w:t xml:space="preserve">。各密封袋的封皮上写明招标编号、招标单位名称、招标项目名称、投标单位名称、报价部分、技术部分，若分标段的，需注明标段号，并注明“开标时启封”字样；在封口处应有投标单位法定代表人或其委托代理人的签字或盖章及投标单位公章。</w:t>
      </w:r>
      <w:r/>
    </w:p>
    <w:p>
      <w:pPr>
        <w:ind w:firstLine="420"/>
        <w:spacing w:line="360" w:lineRule="auto"/>
        <w:rPr>
          <w:rFonts w:ascii="宋体" w:hAnsi="宋体" w:cs="宋体"/>
          <w:b/>
          <w:color w:val="auto"/>
          <w:highlight w:val="none"/>
        </w:rPr>
      </w:pPr>
      <w:r>
        <w:rPr>
          <w:rFonts w:hint="eastAsia" w:ascii="宋体" w:hAnsi="宋体" w:cs="宋体"/>
          <w:color w:val="auto"/>
          <w:highlight w:val="none"/>
        </w:rPr>
        <w:t xml:space="preserve">19.2如果投标单位未按上述要求密封及加写标记，招标代理机构应当拒绝接受投标文件。 </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20. 投标截止时间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20.1投标文件必须在投标截止时间前派人送达到前附表第11项规定的投标地点。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20.2招标代理机构推迟投标截止时间时，应以书面(或传真、电报)的形式，通知所有投标单位。在这种情况下，招标代理机构和投标单位的权利和义务将受到新的截止期的约束。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20.3在投标截止时间以后送达的投标文件，招标代理机构拒绝接收。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20.4在投标截止时间止招标代理机构收到的投标文件少于三份，招标代理机构有权宣布本次招标失败。</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21. 投标文件的修改和撤回</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21.1投标单位在提交投标文件后可对其投标文件进行修改或撤销，但招标代理机构须在投标截止时间之前收到该修改的书面通知或在开标前收到该撤销的书面通知。投标单位的原投标文件招标代理机构将不予退还。</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21.2投标单位修改投标文件的书面材料，须密封送达招标代理机构，同时应在封套上标明“修改投标文件(并注明招标编号、标段号（如有）)”</w:t>
      </w:r>
      <w:r>
        <w:rPr>
          <w:rFonts w:hint="eastAsia" w:ascii="宋体" w:hAnsi="宋体" w:cs="宋体"/>
          <w:color w:val="auto"/>
          <w:szCs w:val="21"/>
          <w:highlight w:val="none"/>
        </w:rPr>
        <w:t xml:space="preserve">字样。</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21.3撤回投标应以书面的形式在投标截止时间前通知招标代理机构。该书面撤回通知应由投标单位法定代表人或委托代理人签署并加盖投标单位公章。撤回投标的时间以书面撤回通知送达招标代理机构或邮电到达日戳为准。</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21.4开标后投标单位不得撤回投标。 </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六、 开标和评标</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22. 开标</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22.1招标代理机构按本须知规定的时间、地点主持公开开标。开标仪式由招标代理机构主持，招标单位、投标单位代表及有关方面代表参加。</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22.2参加开标的投标单位代表应携带本人身份证明签名报到，以证明其出席开标会议，并向工作人员提交投标文件时出示</w:t>
      </w:r>
      <w:r>
        <w:rPr>
          <w:rFonts w:hint="eastAsia" w:ascii="宋体" w:hAnsi="宋体" w:cs="宋体"/>
          <w:b/>
          <w:color w:val="auto"/>
          <w:highlight w:val="none"/>
        </w:rPr>
        <w:t xml:space="preserve">身份证（原件）</w:t>
      </w:r>
      <w:r>
        <w:rPr>
          <w:rFonts w:hint="eastAsia" w:ascii="宋体" w:hAnsi="宋体" w:cs="宋体"/>
          <w:color w:val="auto"/>
          <w:highlight w:val="none"/>
        </w:rPr>
        <w:t xml:space="preserve">。未向工作人员出示</w:t>
      </w:r>
      <w:r>
        <w:rPr>
          <w:rFonts w:hint="eastAsia" w:ascii="宋体" w:hAnsi="宋体" w:cs="宋体"/>
          <w:b/>
          <w:color w:val="auto"/>
          <w:highlight w:val="none"/>
        </w:rPr>
        <w:t xml:space="preserve">身份证（原件）的，</w:t>
      </w:r>
      <w:r>
        <w:rPr>
          <w:rFonts w:hint="eastAsia" w:ascii="宋体" w:hAnsi="宋体" w:cs="宋体"/>
          <w:color w:val="auto"/>
          <w:highlight w:val="none"/>
        </w:rPr>
        <w:t xml:space="preserve">招标代理机构有权拒绝接受投标文件。</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22.3</w:t>
      </w:r>
      <w:r>
        <w:rPr>
          <w:rFonts w:hint="eastAsia" w:ascii="宋体" w:hAnsi="宋体" w:cs="宋体"/>
          <w:color w:val="auto"/>
          <w:szCs w:val="21"/>
          <w:highlight w:val="none"/>
          <w:lang w:val="zh-CN"/>
        </w:rPr>
        <w:t xml:space="preserve">开标时由</w:t>
      </w:r>
      <w:r>
        <w:rPr>
          <w:rFonts w:hint="eastAsia" w:ascii="宋体" w:hAnsi="宋体" w:cs="宋体"/>
          <w:color w:val="auto"/>
          <w:highlight w:val="none"/>
        </w:rPr>
        <w:t xml:space="preserve">投标人或者其推选的代表</w:t>
      </w:r>
      <w:r>
        <w:rPr>
          <w:rFonts w:hint="eastAsia" w:ascii="宋体" w:hAnsi="宋体" w:cs="宋体"/>
          <w:color w:val="auto"/>
          <w:szCs w:val="21"/>
          <w:highlight w:val="none"/>
          <w:lang w:val="zh-CN"/>
        </w:rPr>
        <w:t xml:space="preserve">查验投标文件密封盖章情况，确认无误后由招标工作人员当众拆封唱标。</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22.4招标代理机构在开标仪式上，将公布投标单位的名称、投标价格及其投标的修改、投标的撤回等，招标代理机构将作唱标记录。投标单位代表应在唱标记录上签字确认。</w:t>
      </w:r>
      <w:r/>
    </w:p>
    <w:p>
      <w:pPr>
        <w:ind w:firstLine="502"/>
        <w:spacing w:line="360" w:lineRule="auto"/>
        <w:rPr>
          <w:rFonts w:ascii="宋体" w:hAnsi="宋体" w:cs="宋体"/>
          <w:b/>
          <w:color w:val="auto"/>
          <w:highlight w:val="none"/>
        </w:rPr>
      </w:pPr>
      <w:r>
        <w:rPr>
          <w:rFonts w:hint="eastAsia" w:ascii="宋体" w:hAnsi="宋体" w:cs="宋体"/>
          <w:color w:val="auto"/>
          <w:highlight w:val="none"/>
        </w:rPr>
        <w:t xml:space="preserve">22.5投标单位法定代表人或委托代理人未准时参加开标会议的视同认可开标结果。</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23. 评标委员会或评标小组</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23.1评标委员会或评标小组（以下简称评标委员会）由招标代理机构依法组建。</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23.2评标委员会或评标小组负责具体的评标事务，并独立履行以下职责：</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23.2.1审查、评价投标文件是否符合招标文件的商务、技术等实质性要求；</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23.2.2要求投标人对投标文件有关事项作出澄清或者说明；</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23.2.3对投标文件进行比较和评价；</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23.2.4确定中标候选人名单，以及根据采购人委托直接确定中标人；</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23.2.5向采购人、采购代理机构或者有关部门报告评标中发现的违法行为。</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23.3评标委员会成员应当履行下列义务：</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23.3.1遵纪守法，客观、公正、廉洁地履行职责；</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23.3.2按照招标文件规定的评标办法和评标标准进行评标，对评审意见承担个人责任；</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23.3.3对评标过程和结果，以及投标单位的商业秘密保密；</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23.3.4参与评标报告的起草；</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23.3.5配合财政部门的投诉处理工作；</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23.3.6配合招标单位答复投标供应商提出的质疑。</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24. 评标内容的保密</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24.2在投标文件的审查、澄清、评价和比较以及授予合同的过程中，投标单位对招标代理机构和评标委员会成员施加影响的任何行为，都将取消其中标资格。</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24.3在评标期间，招标代理机构将通过指定联络人与投标单位进行联系。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25.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.1.6投标人的报价只投了部分内容；</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25.1.7其他被评委会认定无效的情况。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.2根据政府采购法及相关法规，将对供应商进行信用查询，凡经确认不符合政府采购相关法律法规规定的，将拒绝其参与政府采购活动。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25.2.4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.7招标代理机构将拒绝被确定为非实质性响应的投标，投标人不能通过修正或撤销不符之处而使其投标成为实质性响应的投标。</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26. 投标的澄清</w:t>
      </w:r>
      <w:r/>
    </w:p>
    <w:p>
      <w:pPr>
        <w:ind w:firstLine="50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26.1为了有助于对投标文件进行审查、评估和比较，评标委员会有权就投标文件中含混之处向投标单位提出询问或澄清要求。投标单位必须按照招标代理机构通知的时间、地点派技术和商务人员进行答疑和澄清。</w:t>
      </w:r>
      <w:r/>
    </w:p>
    <w:p>
      <w:pPr>
        <w:ind w:firstLine="50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投标单位必须按照评标委员会书面通知的时间、地点进行书面形式的澄清、说明或者补正，投标单位的澄清、说明或者补正应当采用书面形式，并加盖公章，或者由法定代表人或其授权的代表签字，且不得超出投标文件的范围或者改变投标文件的实质性内容，并将作为投标内容的一部分。</w:t>
      </w:r>
      <w:r/>
    </w:p>
    <w:p>
      <w:pPr>
        <w:ind w:firstLine="50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26.3投标单位对投标文件的澄清不得改变投标的价格（校核时发现的算术错误除外，算数错误的调整办法见本须知25.4）。</w:t>
      </w:r>
      <w:r/>
    </w:p>
    <w:p>
      <w:pPr>
        <w:ind w:firstLine="5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26.4请投标单位认真仔细制作投标文件，投标文件中出现含义不明确、同类问题表述不一致或者有明显文字和计算错误的内容时须接受按本须知规定执行，否则其投标将被拒绝。</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27．无效投标和废标</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27.1无效投标的具体情形有：</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27.1.1未按照招标文件的规定提交投标（响应）保证承诺书；</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27.1.2投标文件未按招标文件要求签署、盖章的；</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27.1.3不具备招标文件中规定的资格要求的；</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27.1.4报价超过招标文件中规定的预算金额或者最高限价的；</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27.1.5投标文件含有采购人不能接受的附加条件的;</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27.1.6法律、法规和招标文件规定的其他无效情形。</w:t>
      </w:r>
      <w:r/>
    </w:p>
    <w:p>
      <w:pPr>
        <w:ind w:firstLine="413"/>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27.2废标的具体情形有： </w:t>
      </w:r>
      <w:r/>
    </w:p>
    <w:p>
      <w:pPr>
        <w:ind w:firstLine="422"/>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27.2.1符合专业条件的供应商或者对招标文件作实质响应的供应商不足三家的；</w:t>
      </w:r>
      <w:r/>
    </w:p>
    <w:p>
      <w:pPr>
        <w:ind w:firstLine="422"/>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27.2.2出现影响采购公正的违法、违规行为的；</w:t>
      </w:r>
      <w:r/>
    </w:p>
    <w:p>
      <w:pPr>
        <w:ind w:firstLine="422"/>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27.2.3投标单位的报价均超过了采购预算，采购单位不能支付的；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27.2.4因重大变故，采购任务取消的。</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28. 投标文件的评价和比较</w:t>
      </w:r>
      <w:r/>
    </w:p>
    <w:p>
      <w:pPr>
        <w:pStyle w:val="678"/>
        <w:ind w:firstLine="502"/>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28.1评标委员会将仅对按照本须知有关规定确定为实质上响应招标文件要求的投标文件进行评价和比较。</w:t>
      </w:r>
      <w:r/>
    </w:p>
    <w:p>
      <w:pPr>
        <w:ind w:firstLine="502"/>
        <w:spacing w:line="360" w:lineRule="auto"/>
        <w:rPr>
          <w:rFonts w:ascii="宋体" w:hAnsi="宋体" w:cs="宋体"/>
          <w:color w:val="auto"/>
          <w:highlight w:val="none"/>
        </w:rPr>
      </w:pPr>
      <w:r>
        <w:rPr>
          <w:rFonts w:hint="eastAsia" w:ascii="宋体" w:hAnsi="宋体" w:cs="宋体"/>
          <w:color w:val="auto"/>
          <w:highlight w:val="none"/>
        </w:rPr>
        <w:t xml:space="preserve">28.2评价和比较采用综合评分法，评标委员会严格按照招标文件的要求、条件、评分标准，对投标单位所提供货物或服务的先进性、可靠性、售后服务承诺、质量保证承诺等实质性响应内容进行比较报价。</w:t>
      </w:r>
      <w:r/>
    </w:p>
    <w:p>
      <w:pPr>
        <w:ind w:firstLine="438"/>
        <w:spacing w:line="360" w:lineRule="auto"/>
        <w:rPr>
          <w:rFonts w:ascii="宋体" w:hAnsi="宋体" w:cs="宋体"/>
          <w:color w:val="auto"/>
          <w:highlight w:val="none"/>
        </w:rPr>
      </w:pPr>
      <w:r>
        <w:rPr>
          <w:rFonts w:hint="eastAsia" w:ascii="宋体" w:hAnsi="宋体" w:cs="宋体"/>
          <w:color w:val="auto"/>
          <w:highlight w:val="none"/>
        </w:rPr>
        <w:t xml:space="preserve">28.3 最低的投标报价是中标的重要条件但不是唯一条件。</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七、授予合同</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29. 中标单位的确认</w:t>
      </w:r>
      <w:r/>
    </w:p>
    <w:p>
      <w:pPr>
        <w:pStyle w:val="678"/>
        <w:ind w:firstLine="502"/>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29.1评标委员会根据投标人资格审查和符合性审查情况，对投标文件进行评价和比较，按照评标办法和标准进行评标，由得分最高的为中标单位。</w:t>
      </w:r>
      <w:r/>
    </w:p>
    <w:p>
      <w:pPr>
        <w:pStyle w:val="678"/>
        <w:ind w:firstLine="502"/>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29.2经评标委员会评审并确定中标单位后，招标代理机构将在规定的时间内将中标结果在政府采购管理部门指定媒体上予以公示。</w:t>
      </w:r>
      <w:r/>
    </w:p>
    <w:p>
      <w:pPr>
        <w:pStyle w:val="67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29.3政府采购合同履行中，采购人需追加与合同标的相同的货物、工程或服务的，在不改变合同其他条款的前提下，可以与供应商协商签订补充合同，但所有补充合同的采购金额不得超过原合同采购金额的10%。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ind w:firstLine="420"/>
        <w:spacing w:line="360" w:lineRule="auto"/>
        <w:rPr>
          <w:rFonts w:ascii="宋体" w:hAnsi="宋体" w:cs="宋体"/>
          <w:color w:val="auto"/>
          <w:szCs w:val="22"/>
          <w:highlight w:val="none"/>
        </w:rPr>
      </w:pPr>
      <w:r>
        <w:rPr>
          <w:rFonts w:hint="eastAsia" w:ascii="宋体" w:hAnsi="宋体" w:cs="宋体"/>
          <w:color w:val="auto"/>
          <w:szCs w:val="21"/>
          <w:highlight w:val="none"/>
        </w:rPr>
        <w:t xml:space="preserve">30.1</w:t>
      </w:r>
      <w:r>
        <w:rPr>
          <w:rFonts w:hint="eastAsia" w:ascii="宋体" w:hAnsi="宋体" w:cs="宋体"/>
          <w:color w:val="auto"/>
          <w:szCs w:val="22"/>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30.2供应商质疑办法具体详见《政府采购质疑和投诉办法》。供应商应在法定质疑期内一次性提出针对同一采购程序环节的质疑。接收质疑函的联系信息如下：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采购代理机构：苏州市创杰招投标咨询服务有限公司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地址：苏州市干将西路399号银海大厦303室   邮编：215002</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联系人：路丽丽     联系电话：0512-65238816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提交方式：书面形式原件（邮寄或当面递交）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30.3投标单位提出书面质疑必须有理、有据，不得恶意质疑或提交虚假质疑。否则，一经查实，招标采购人有权依据政府采购的有关规定，报请政府采购监管部门对该投标单位进行相应的行政处罚。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31.1招标单位将把合同授予其投标文件在实质上响应招标文件要求和按本须知规定评选出的投标单位。确定为中标的投标单位必须具有实施本合同的能力和资源。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32.1确定出中标单位后在投标有效期截止前，招标代理机构将以书面形式通知中标的投标单位其投标被接受。在中标通知书中给出中标单位的中标标价等信息。</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32.2中标通知书将成为合同的组成部分。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33.1中标单位应按中标通知书中规定的时间和地点，由法定代表人或委托代理人与甲方代表签订合同。否则按放弃中标权处理。</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33.3中标人无正当理由拒签合同的，或在签订合同时向采购人提出附加条件或者更改合同实质性内容的，采购人可取消其中标资格，同时由中标人承担相应的法律责任。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34. 履约保证金（无）</w:t>
      </w:r>
      <w:r/>
    </w:p>
    <w:p>
      <w:pPr>
        <w:pStyle w:val="678"/>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八、其他事项</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35. 中标服务费</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35.1中标服务费:按前附表执行。</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35.2中标单位如果未按规定缴纳中标服务费，招标代理机构保留诉讼的权利。</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36.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36.1政府有关监督部门将对招投标全过程进行监督。</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37. 未尽事宜</w:t>
      </w:r>
      <w:r/>
    </w:p>
    <w:p>
      <w:pPr>
        <w:pStyle w:val="678"/>
        <w:ind w:left="420"/>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849"/>
        <w:jc w:val="center"/>
        <w:pageBreakBefore/>
        <w:spacing w:before="0" w:after="0" w:line="360" w:lineRule="auto"/>
        <w:rPr>
          <w:rFonts w:ascii="宋体" w:hAnsi="宋体" w:eastAsia="宋体" w:cs="宋体"/>
          <w:bCs/>
          <w:color w:val="auto"/>
          <w:highlight w:val="none"/>
        </w:rPr>
      </w:pPr>
      <w:r/>
      <w:bookmarkStart w:id="84" w:name="_Toc536633988"/>
      <w:r/>
      <w:bookmarkStart w:id="85" w:name="_Toc2154300"/>
      <w:r>
        <w:rPr>
          <w:rFonts w:hint="eastAsia" w:ascii="宋体" w:hAnsi="宋体" w:eastAsia="宋体" w:cs="宋体"/>
          <w:bCs/>
          <w:color w:val="auto"/>
          <w:highlight w:val="none"/>
        </w:rPr>
        <w:t xml:space="preserve">第四章 投标文件格式</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spacing w:line="360" w:lineRule="auto"/>
        <w:rPr>
          <w:rFonts w:ascii="宋体" w:hAnsi="宋体" w:cs="宋体"/>
          <w:b/>
          <w:color w:val="auto"/>
          <w:highlight w:val="none"/>
        </w:rPr>
      </w:pPr>
      <w:r>
        <w:rPr>
          <w:rFonts w:hint="eastAsia" w:ascii="宋体" w:hAnsi="宋体" w:cs="宋体"/>
          <w:b/>
          <w:color w:val="auto"/>
          <w:highlight w:val="none"/>
        </w:rPr>
        <w:t xml:space="preserve">说明：</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对本章所有的投标书格式 ，投标单位可根据自身情况进行补充和修改，但补充和修改不得造成与本格式内容有实质性的违背。</w:t>
      </w:r>
      <w:r/>
    </w:p>
    <w:p>
      <w:pPr>
        <w:pStyle w:val="678"/>
        <w:ind w:firstLine="0"/>
        <w:spacing w:line="360" w:lineRule="auto"/>
        <w:rPr>
          <w:rFonts w:ascii="宋体" w:hAnsi="宋体" w:eastAsia="宋体" w:cs="宋体"/>
          <w:b/>
          <w:color w:val="auto"/>
          <w:sz w:val="21"/>
          <w:highlight w:val="none"/>
        </w:rPr>
      </w:pPr>
      <w:r>
        <w:rPr>
          <w:rFonts w:ascii="宋体" w:hAnsi="宋体" w:eastAsia="宋体" w:cs="宋体"/>
          <w:b/>
          <w:color w:val="auto"/>
          <w:sz w:val="21"/>
          <w:highlight w:val="none"/>
        </w:rPr>
      </w:r>
      <w:r/>
    </w:p>
    <w:p>
      <w:pPr>
        <w:pStyle w:val="678"/>
        <w:ind w:firstLine="0"/>
        <w:spacing w:line="360" w:lineRule="auto"/>
        <w:rPr>
          <w:rFonts w:ascii="宋体" w:hAnsi="宋体" w:eastAsia="宋体" w:cs="宋体"/>
          <w:b/>
          <w:color w:val="auto"/>
          <w:sz w:val="21"/>
          <w:highlight w:val="none"/>
        </w:rPr>
      </w:pPr>
      <w:r/>
      <w:bookmarkStart w:id="86" w:name="_Toc221604909"/>
      <w:r/>
      <w:bookmarkStart w:id="87" w:name="_Toc13889376"/>
      <w:r/>
      <w:bookmarkStart w:id="88" w:name="_Toc196471481"/>
      <w:r/>
      <w:bookmarkStart w:id="89" w:name="_Toc226971669"/>
      <w:r/>
      <w:bookmarkStart w:id="90" w:name="_Toc13642116"/>
      <w:r/>
      <w:bookmarkStart w:id="91" w:name="_Toc221586157"/>
      <w:r/>
      <w:bookmarkStart w:id="92" w:name="_Toc227047091"/>
      <w:r/>
      <w:bookmarkStart w:id="93" w:name="_Toc228616407"/>
      <w:r/>
      <w:bookmarkStart w:id="94" w:name="_Toc222198308"/>
      <w:r/>
      <w:bookmarkStart w:id="95" w:name="_Toc227034738"/>
      <w:r/>
      <w:bookmarkStart w:id="96" w:name="_Toc229880446"/>
      <w:r/>
      <w:bookmarkStart w:id="97" w:name="_Toc228616323"/>
      <w:r/>
      <w:bookmarkStart w:id="98" w:name="_Toc221701296"/>
      <w:r/>
      <w:bookmarkStart w:id="99" w:name="_Toc221605139"/>
      <w:r>
        <w:rPr>
          <w:rFonts w:hint="eastAsia" w:ascii="宋体" w:hAnsi="宋体" w:eastAsia="宋体" w:cs="宋体"/>
          <w:b/>
          <w:color w:val="auto"/>
          <w:sz w:val="21"/>
          <w:highlight w:val="none"/>
        </w:rPr>
        <w:t xml:space="preserve">附件1:（投标单位）法定代表人授权委托书</w:t>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hint="eastAsia" w:ascii="宋体" w:hAnsi="宋体" w:cs="宋体"/>
          <w:color w:val="auto"/>
          <w:highlight w:val="none"/>
        </w:rPr>
        <w:t xml:space="preserve">法定代表人授权委托书</w:t>
      </w:r>
      <w:r/>
    </w:p>
    <w:p>
      <w:pPr>
        <w:pStyle w:val="678"/>
        <w:rPr>
          <w:rFonts w:ascii="宋体" w:hAnsi="宋体" w:eastAsia="宋体" w:cs="宋体"/>
          <w:color w:val="auto"/>
          <w:sz w:val="21"/>
          <w:highlight w:val="none"/>
        </w:rPr>
      </w:pPr>
      <w:r>
        <w:rPr>
          <w:rFonts w:ascii="宋体" w:hAnsi="宋体" w:eastAsia="宋体" w:cs="宋体"/>
          <w:color w:val="auto"/>
          <w:sz w:val="21"/>
          <w:highlight w:val="none"/>
        </w:rPr>
      </w:r>
      <w:r/>
    </w:p>
    <w:p>
      <w:pPr>
        <w:pStyle w:val="678"/>
        <w:rPr>
          <w:rFonts w:ascii="宋体" w:hAnsi="宋体" w:eastAsia="宋体" w:cs="宋体"/>
          <w:color w:val="auto"/>
          <w:sz w:val="21"/>
          <w:highlight w:val="none"/>
        </w:rPr>
      </w:pPr>
      <w:r>
        <w:rPr>
          <w:rFonts w:ascii="宋体" w:hAnsi="宋体" w:eastAsia="宋体" w:cs="宋体"/>
          <w:color w:val="auto"/>
          <w:sz w:val="21"/>
          <w:highlight w:val="none"/>
        </w:rPr>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  我 （姓名）系（投标单位名称）的法定代表人，现授权委托（姓名）为我公司委托代理人，以本公司的名义参加苏州市创杰招投标咨询服务有限公司组织实施的编号为号的招标活动。委托代理人在报名、制作投标文件、开标、评标、合同谈判过程中所签署的一切文件和处理与这有关的一切事务，我均予以承认。</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委托代理人在授权委托书有效期内签署的所有文件不因授权委托的撤销而失效，除非有撤销授权委托的书面通知，本授权委托书自签署之日起生效至合同履行完毕止。</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委托代理人无转委托权。特此委托。</w:t>
      </w:r>
      <w:r/>
    </w:p>
    <w:p>
      <w:pPr>
        <w:pStyle w:val="678"/>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法定代表人：（签字或盖章）</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委托代理人：（签字或盖章）</w:t>
      </w:r>
      <w:r/>
    </w:p>
    <w:p>
      <w:pPr>
        <w:pStyle w:val="678"/>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678"/>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pStyle w:val="678"/>
        <w:ind w:firstLine="0"/>
        <w:rPr>
          <w:rFonts w:ascii="宋体" w:hAnsi="宋体" w:eastAsia="宋体" w:cs="宋体"/>
          <w:color w:val="auto"/>
          <w:highlight w:val="none"/>
        </w:rPr>
      </w:pPr>
      <w:r>
        <w:rPr>
          <w:rFonts w:ascii="宋体" w:hAnsi="宋体" w:eastAsia="宋体" w:cs="宋体"/>
          <w:color w:val="auto"/>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Style w:val="686"/>
        <w:rPr>
          <w:rFonts w:hAnsi="宋体" w:eastAsia="宋体" w:cs="宋体"/>
          <w:b/>
          <w:color w:val="auto"/>
          <w:sz w:val="21"/>
          <w:highlight w:val="none"/>
        </w:rPr>
      </w:pPr>
      <w:r>
        <w:rPr>
          <w:rFonts w:hint="eastAsia" w:hAnsi="宋体" w:eastAsia="宋体" w:cs="宋体"/>
          <w:b/>
          <w:color w:val="auto"/>
          <w:sz w:val="21"/>
          <w:highlight w:val="none"/>
        </w:rPr>
        <w:t xml:space="preserve">附件2:投标函</w:t>
      </w:r>
      <w:r/>
    </w:p>
    <w:p>
      <w:pPr>
        <w:jc w:val="center"/>
        <w:rPr>
          <w:rFonts w:ascii="宋体" w:hAnsi="宋体" w:cs="宋体"/>
          <w:color w:val="auto"/>
          <w:highlight w:val="none"/>
        </w:rPr>
      </w:pPr>
      <w:r>
        <w:rPr>
          <w:rFonts w:hint="eastAsia" w:ascii="宋体" w:hAnsi="宋体" w:cs="宋体"/>
          <w:color w:val="auto"/>
          <w:highlight w:val="none"/>
        </w:rPr>
        <w:t xml:space="preserve">投标函</w:t>
      </w:r>
      <w:r/>
    </w:p>
    <w:p>
      <w:pPr>
        <w:pStyle w:val="686"/>
        <w:spacing w:line="360" w:lineRule="exact"/>
        <w:rPr>
          <w:rFonts w:hAnsi="宋体" w:eastAsia="宋体" w:cs="宋体"/>
          <w:color w:val="auto"/>
          <w:sz w:val="21"/>
          <w:highlight w:val="none"/>
        </w:rPr>
      </w:pPr>
      <w:r>
        <w:rPr>
          <w:rFonts w:hint="eastAsia" w:hAnsi="宋体" w:eastAsia="宋体" w:cs="宋体"/>
          <w:color w:val="auto"/>
          <w:sz w:val="21"/>
          <w:highlight w:val="none"/>
          <w:u w:val="single"/>
        </w:rPr>
        <w:t xml:space="preserve"> 苏州市创杰招投标咨询服务有限公司 </w:t>
      </w:r>
      <w:r>
        <w:rPr>
          <w:rFonts w:hint="eastAsia" w:hAnsi="宋体" w:eastAsia="宋体" w:cs="宋体"/>
          <w:color w:val="auto"/>
          <w:sz w:val="21"/>
          <w:highlight w:val="none"/>
        </w:rPr>
        <w:t xml:space="preserve">：</w:t>
      </w:r>
      <w:r/>
    </w:p>
    <w:p>
      <w:pPr>
        <w:pStyle w:val="686"/>
        <w:spacing w:line="360" w:lineRule="exact"/>
        <w:rPr>
          <w:rFonts w:hAnsi="宋体" w:eastAsia="宋体" w:cs="宋体"/>
          <w:color w:val="auto"/>
          <w:sz w:val="21"/>
          <w:highlight w:val="none"/>
        </w:rPr>
      </w:pPr>
      <w:r>
        <w:rPr>
          <w:rFonts w:hAnsi="宋体" w:eastAsia="宋体" w:cs="宋体"/>
          <w:color w:val="auto"/>
          <w:sz w:val="21"/>
          <w:highlight w:val="none"/>
        </w:rPr>
      </w:r>
      <w:r/>
    </w:p>
    <w:p>
      <w:pPr>
        <w:pStyle w:val="686"/>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    我们收到贵公司 号招标文件，经仔细阅读和研究，我们决定参加投标。</w:t>
      </w:r>
      <w:r/>
    </w:p>
    <w:p>
      <w:pPr>
        <w:spacing w:line="360" w:lineRule="auto"/>
        <w:rPr>
          <w:rFonts w:ascii="宋体" w:hAnsi="宋体" w:cs="宋体"/>
          <w:color w:val="auto"/>
          <w:highlight w:val="none"/>
        </w:rPr>
      </w:pPr>
      <w:r>
        <w:rPr>
          <w:rFonts w:hint="eastAsia" w:ascii="宋体" w:hAnsi="宋体" w:cs="宋体"/>
          <w:color w:val="auto"/>
          <w:highlight w:val="none"/>
        </w:rPr>
        <w:t xml:space="preserve">    1、我们愿意按照招标文件的一切要求，提供本项目服务，投标报价包括</w:t>
      </w:r>
      <w:r>
        <w:rPr>
          <w:rFonts w:hint="eastAsia" w:ascii="宋体" w:hAnsi="宋体" w:cs="宋体"/>
          <w:color w:val="auto"/>
          <w:szCs w:val="21"/>
          <w:highlight w:val="none"/>
        </w:rPr>
        <w:t xml:space="preserve">原有设备的拆除、更新的设备、随机备品备件、易损件（包括保障设备正常运行</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年所需的备品备件、易损件）、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rPr>
          <w:rFonts w:hint="eastAsia" w:ascii="宋体" w:hAnsi="宋体" w:cs="宋体"/>
          <w:color w:val="auto"/>
          <w:highlight w:val="none"/>
        </w:rPr>
        <w:t xml:space="preserve">。 </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2、如果我们的投标书被接受，我们将严格履行招标文件中规定的每一项要求，按期、按质、按量履行合同的义务，并提供自验收合格之日起年的免费质量保证期。</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    3、我们同意按招标文件中的规定，本投标书的有效期限为开标后</w:t>
      </w:r>
      <w:r>
        <w:rPr>
          <w:rFonts w:hint="eastAsia" w:hAnsi="宋体" w:eastAsia="宋体" w:cs="宋体"/>
          <w:color w:val="auto"/>
          <w:sz w:val="21"/>
          <w:highlight w:val="none"/>
          <w:u w:val="single"/>
        </w:rPr>
        <w:t xml:space="preserve"> 90</w:t>
      </w:r>
      <w:r>
        <w:rPr>
          <w:rFonts w:hint="eastAsia" w:hAnsi="宋体" w:eastAsia="宋体" w:cs="宋体"/>
          <w:color w:val="auto"/>
          <w:sz w:val="21"/>
          <w:highlight w:val="none"/>
        </w:rPr>
        <w:t xml:space="preserve">天。</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    4、我们愿意提供招标方在招标文件中要求的所有资料。</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    5、我们愿意遵守招标通告及招标文件中所列的收费标准。</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    6、我们承诺该项投标在开标后的全过程中保持有效，不作任何更改和变动。</w:t>
      </w:r>
      <w:r/>
    </w:p>
    <w:p>
      <w:pPr>
        <w:pStyle w:val="1178"/>
        <w:ind w:left="210" w:firstLine="26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7、如果我们中标，我们愿意在签订合同时按前附表规定支付中标服务费，该费用应在领取中标通知书时付清。</w:t>
      </w:r>
      <w:r/>
    </w:p>
    <w:p>
      <w:pPr>
        <w:pStyle w:val="1178"/>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8、我们愿意按照贵公司招标文件的要求提供一正三副全部投标文件，并保证全部投标文件内容真实有效，若有虚假，我公司愿意承担与此相关的一切责任；</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9、我们愿意按照《中华人民共和国民法典》履行自己应该承担的全部责任。</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10、综合说明：</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1178"/>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    所有有关标书的函电，请按下列地址联系：</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联系人：</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邮政编码：</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传真：</w:t>
      </w:r>
      <w:r/>
    </w:p>
    <w:p>
      <w:pPr>
        <w:pStyle w:val="1178"/>
        <w:ind w:left="3400" w:firstLine="42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178"/>
        <w:ind w:left="382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w:t>
      </w:r>
      <w:r/>
    </w:p>
    <w:p>
      <w:pPr>
        <w:pStyle w:val="1178"/>
        <w:ind w:firstLine="378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686"/>
        <w:pageBreakBefore/>
        <w:tabs>
          <w:tab w:val="left" w:pos="2655" w:leader="none"/>
        </w:tabs>
        <w:rPr>
          <w:rFonts w:hAnsi="宋体" w:eastAsia="宋体" w:cs="宋体"/>
          <w:color w:val="auto"/>
          <w:sz w:val="21"/>
          <w:highlight w:val="none"/>
        </w:rPr>
      </w:pPr>
      <w:r>
        <w:rPr>
          <w:rFonts w:hint="eastAsia" w:hAnsi="宋体" w:eastAsia="宋体" w:cs="宋体"/>
          <w:b/>
          <w:color w:val="auto"/>
          <w:sz w:val="21"/>
          <w:highlight w:val="none"/>
        </w:rPr>
        <w:t xml:space="preserve">附件3:开标一览表</w:t>
      </w:r>
      <w:r/>
    </w:p>
    <w:p>
      <w:pPr>
        <w:pStyle w:val="686"/>
        <w:rPr>
          <w:rFonts w:hAnsi="宋体" w:eastAsia="宋体" w:cs="宋体"/>
          <w:color w:val="auto"/>
          <w:sz w:val="21"/>
          <w:highlight w:val="none"/>
        </w:rPr>
      </w:pPr>
      <w:r>
        <w:rPr>
          <w:rFonts w:hAnsi="宋体" w:eastAsia="宋体" w:cs="宋体"/>
          <w:color w:val="auto"/>
          <w:sz w:val="21"/>
          <w:highlight w:val="none"/>
        </w:rPr>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hint="eastAsia" w:ascii="宋体" w:hAnsi="宋体" w:cs="宋体"/>
          <w:color w:val="auto"/>
          <w:highlight w:val="none"/>
        </w:rPr>
        <w:t xml:space="preserve">开标一览表</w:t>
      </w:r>
      <w:r/>
    </w:p>
    <w:p>
      <w:pPr>
        <w:pStyle w:val="686"/>
        <w:ind w:firstLine="420"/>
        <w:spacing w:line="360" w:lineRule="auto"/>
        <w:rPr>
          <w:rFonts w:hAnsi="宋体" w:eastAsia="宋体" w:cs="宋体"/>
          <w:color w:val="auto"/>
          <w:highlight w:val="none"/>
        </w:rPr>
      </w:pPr>
      <w:r>
        <w:rPr>
          <w:rFonts w:hint="eastAsia" w:hAnsi="宋体" w:eastAsia="宋体" w:cs="宋体"/>
          <w:color w:val="auto"/>
          <w:sz w:val="21"/>
          <w:highlight w:val="none"/>
        </w:rPr>
        <w:t xml:space="preserve">招标编号：                </w:t>
      </w:r>
      <w:r/>
    </w:p>
    <w:tbl>
      <w:tblPr>
        <w:tblStyle w:val="676"/>
        <w:tblW w:w="0" w:type="auto"/>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479"/>
        <w:gridCol w:w="1860"/>
        <w:gridCol w:w="1940"/>
        <w:gridCol w:w="1802"/>
      </w:tblGrid>
      <w:tr>
        <w:trPr>
          <w:trHeight w:val="525"/>
        </w:trPr>
        <w:tc>
          <w:tcPr>
            <w:tcW w:w="1199" w:type="dxa"/>
            <w:vAlign w:val="center"/>
            <w:textDirection w:val="lrTb"/>
            <w:noWrap/>
          </w:tcPr>
          <w:p>
            <w:pPr>
              <w:pStyle w:val="1178"/>
              <w:jc w:val="center"/>
              <w:rPr>
                <w:rFonts w:hAnsi="宋体" w:eastAsia="宋体" w:cs="宋体"/>
                <w:color w:val="auto"/>
                <w:sz w:val="21"/>
                <w:highlight w:val="none"/>
              </w:rPr>
            </w:pPr>
            <w:r>
              <w:rPr>
                <w:rFonts w:hint="eastAsia" w:hAnsi="宋体" w:eastAsia="宋体" w:cs="宋体"/>
                <w:color w:val="auto"/>
                <w:sz w:val="21"/>
                <w:highlight w:val="none"/>
              </w:rPr>
              <w:t xml:space="preserve">序号</w:t>
            </w:r>
            <w:r/>
          </w:p>
        </w:tc>
        <w:tc>
          <w:tcPr>
            <w:tcW w:w="1479" w:type="dxa"/>
            <w:vAlign w:val="center"/>
            <w:textDirection w:val="lrTb"/>
            <w:noWrap/>
          </w:tcPr>
          <w:p>
            <w:pPr>
              <w:pStyle w:val="1178"/>
              <w:jc w:val="center"/>
              <w:rPr>
                <w:rFonts w:hAnsi="宋体" w:eastAsia="宋体" w:cs="宋体"/>
                <w:color w:val="auto"/>
                <w:sz w:val="21"/>
                <w:szCs w:val="21"/>
                <w:highlight w:val="none"/>
              </w:rPr>
            </w:pPr>
            <w:r>
              <w:rPr>
                <w:rFonts w:hint="eastAsia" w:hAnsi="宋体" w:eastAsia="宋体" w:cs="宋体"/>
                <w:color w:val="auto"/>
                <w:sz w:val="21"/>
                <w:highlight w:val="none"/>
              </w:rPr>
              <w:t xml:space="preserve">项目名称</w:t>
            </w:r>
            <w:r/>
          </w:p>
        </w:tc>
        <w:tc>
          <w:tcPr>
            <w:tcW w:w="1860" w:type="dxa"/>
            <w:vAlign w:val="center"/>
            <w:textDirection w:val="lrTb"/>
            <w:noWrap/>
          </w:tcPr>
          <w:p>
            <w:pPr>
              <w:pStyle w:val="1178"/>
              <w:jc w:val="center"/>
              <w:rPr>
                <w:rFonts w:hAnsi="宋体" w:eastAsia="宋体" w:cs="宋体"/>
                <w:color w:val="auto"/>
                <w:sz w:val="21"/>
                <w:szCs w:val="22"/>
                <w:highlight w:val="none"/>
              </w:rPr>
            </w:pPr>
            <w:r>
              <w:rPr>
                <w:rFonts w:hint="eastAsia" w:hAnsi="宋体" w:eastAsia="宋体" w:cs="宋体"/>
                <w:color w:val="auto"/>
                <w:sz w:val="21"/>
                <w:szCs w:val="22"/>
                <w:highlight w:val="none"/>
              </w:rPr>
              <w:t xml:space="preserve">投标总价（元）</w:t>
            </w:r>
            <w:r/>
          </w:p>
        </w:tc>
        <w:tc>
          <w:tcPr>
            <w:tcW w:w="1940" w:type="dxa"/>
            <w:vAlign w:val="center"/>
            <w:textDirection w:val="lrTb"/>
            <w:noWrap/>
          </w:tcPr>
          <w:p>
            <w:pPr>
              <w:pStyle w:val="1178"/>
              <w:ind w:left="332" w:hanging="331"/>
              <w:jc w:val="center"/>
              <w:rPr>
                <w:rFonts w:hAnsi="宋体" w:eastAsia="宋体" w:cs="宋体"/>
                <w:color w:val="auto"/>
                <w:sz w:val="21"/>
                <w:highlight w:val="none"/>
              </w:rPr>
            </w:pPr>
            <w:r>
              <w:rPr>
                <w:rFonts w:hint="eastAsia" w:hAnsi="宋体" w:eastAsia="宋体" w:cs="宋体"/>
                <w:color w:val="auto"/>
                <w:sz w:val="21"/>
                <w:highlight w:val="none"/>
              </w:rPr>
              <w:t xml:space="preserve">完工时间</w:t>
            </w:r>
            <w:r/>
          </w:p>
        </w:tc>
        <w:tc>
          <w:tcPr>
            <w:tcW w:w="1802" w:type="dxa"/>
            <w:vAlign w:val="center"/>
            <w:textDirection w:val="lrTb"/>
            <w:noWrap/>
          </w:tcPr>
          <w:p>
            <w:pPr>
              <w:pStyle w:val="1178"/>
              <w:ind w:left="332" w:hanging="331"/>
              <w:jc w:val="center"/>
              <w:rPr>
                <w:rFonts w:hAnsi="宋体" w:eastAsia="宋体" w:cs="宋体"/>
                <w:color w:val="auto"/>
                <w:sz w:val="21"/>
                <w:highlight w:val="none"/>
              </w:rPr>
            </w:pPr>
            <w:r>
              <w:rPr>
                <w:rFonts w:hint="eastAsia" w:hAnsi="宋体" w:eastAsia="宋体" w:cs="宋体"/>
                <w:color w:val="auto"/>
                <w:sz w:val="21"/>
                <w:highlight w:val="none"/>
              </w:rPr>
              <w:t xml:space="preserve">备注</w:t>
            </w:r>
            <w:r/>
          </w:p>
        </w:tc>
      </w:tr>
      <w:tr>
        <w:trPr>
          <w:trHeight w:val="535"/>
        </w:trPr>
        <w:tc>
          <w:tcPr>
            <w:tcW w:w="1199" w:type="dxa"/>
            <w:vAlign w:val="center"/>
            <w:textDirection w:val="lrTb"/>
            <w:noWrap/>
          </w:tcPr>
          <w:p>
            <w:pPr>
              <w:pStyle w:val="1178"/>
              <w:jc w:val="center"/>
              <w:rPr>
                <w:rFonts w:hAnsi="宋体" w:eastAsia="宋体" w:cs="宋体"/>
                <w:color w:val="auto"/>
                <w:sz w:val="21"/>
                <w:highlight w:val="none"/>
              </w:rPr>
            </w:pPr>
            <w:r>
              <w:rPr>
                <w:rFonts w:hAnsi="宋体" w:eastAsia="宋体" w:cs="宋体"/>
                <w:color w:val="auto"/>
                <w:sz w:val="21"/>
                <w:highlight w:val="none"/>
              </w:rPr>
            </w:r>
            <w:r/>
          </w:p>
        </w:tc>
        <w:tc>
          <w:tcPr>
            <w:tcW w:w="1479" w:type="dxa"/>
            <w:textDirection w:val="lrTb"/>
            <w:noWrap/>
          </w:tcPr>
          <w:p>
            <w:pPr>
              <w:pStyle w:val="1178"/>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1860" w:type="dxa"/>
            <w:vAlign w:val="center"/>
            <w:textDirection w:val="lrTb"/>
            <w:noWrap/>
          </w:tcPr>
          <w:p>
            <w:pPr>
              <w:pStyle w:val="1178"/>
              <w:jc w:val="center"/>
              <w:rPr>
                <w:rFonts w:hAnsi="宋体" w:eastAsia="宋体" w:cs="宋体"/>
                <w:color w:val="auto"/>
                <w:sz w:val="21"/>
                <w:highlight w:val="none"/>
              </w:rPr>
            </w:pPr>
            <w:r>
              <w:rPr>
                <w:rFonts w:hAnsi="宋体" w:eastAsia="宋体" w:cs="宋体"/>
                <w:color w:val="auto"/>
                <w:sz w:val="21"/>
                <w:highlight w:val="none"/>
              </w:rPr>
            </w:r>
            <w:r/>
          </w:p>
        </w:tc>
        <w:tc>
          <w:tcPr>
            <w:tcW w:w="1940" w:type="dxa"/>
            <w:vAlign w:val="center"/>
            <w:textDirection w:val="lrTb"/>
            <w:noWrap/>
          </w:tcPr>
          <w:p>
            <w:pPr>
              <w:pStyle w:val="1178"/>
              <w:jc w:val="center"/>
              <w:rPr>
                <w:rFonts w:hAnsi="宋体" w:eastAsia="宋体" w:cs="宋体"/>
                <w:color w:val="auto"/>
                <w:sz w:val="21"/>
                <w:highlight w:val="none"/>
              </w:rPr>
            </w:pPr>
            <w:r>
              <w:rPr>
                <w:rFonts w:hAnsi="宋体" w:eastAsia="宋体" w:cs="宋体"/>
                <w:color w:val="auto"/>
                <w:sz w:val="21"/>
                <w:highlight w:val="none"/>
              </w:rPr>
            </w:r>
            <w:r/>
          </w:p>
        </w:tc>
        <w:tc>
          <w:tcPr>
            <w:tcW w:w="1802" w:type="dxa"/>
            <w:vAlign w:val="center"/>
            <w:textDirection w:val="lrTb"/>
            <w:noWrap/>
          </w:tcPr>
          <w:p>
            <w:pPr>
              <w:pStyle w:val="1178"/>
              <w:jc w:val="center"/>
              <w:rPr>
                <w:rFonts w:hAnsi="宋体" w:eastAsia="宋体" w:cs="宋体"/>
                <w:color w:val="auto"/>
                <w:sz w:val="21"/>
                <w:highlight w:val="none"/>
              </w:rPr>
            </w:pPr>
            <w:r>
              <w:rPr>
                <w:rFonts w:hAnsi="宋体" w:eastAsia="宋体" w:cs="宋体"/>
                <w:color w:val="auto"/>
                <w:sz w:val="21"/>
                <w:highlight w:val="none"/>
              </w:rPr>
            </w:r>
            <w:r/>
          </w:p>
        </w:tc>
      </w:tr>
      <w:tr>
        <w:trPr>
          <w:trHeight w:val="535"/>
        </w:trPr>
        <w:tc>
          <w:tcPr>
            <w:gridSpan w:val="5"/>
            <w:tcW w:w="8280" w:type="dxa"/>
            <w:vAlign w:val="center"/>
            <w:textDirection w:val="lrTb"/>
            <w:noWrap/>
          </w:tcPr>
          <w:p>
            <w:pPr>
              <w:pStyle w:val="1178"/>
              <w:jc w:val="left"/>
              <w:rPr>
                <w:rFonts w:hAnsi="宋体" w:eastAsia="宋体" w:cs="宋体"/>
                <w:color w:val="auto"/>
                <w:sz w:val="21"/>
                <w:highlight w:val="none"/>
              </w:rPr>
            </w:pPr>
            <w:r>
              <w:rPr>
                <w:rFonts w:hint="eastAsia" w:hAnsi="宋体" w:eastAsia="宋体" w:cs="宋体"/>
                <w:color w:val="auto"/>
                <w:sz w:val="21"/>
                <w:szCs w:val="22"/>
                <w:highlight w:val="none"/>
              </w:rPr>
              <w:t xml:space="preserve">总价</w:t>
            </w:r>
            <w:r>
              <w:rPr>
                <w:rFonts w:hint="eastAsia" w:hAnsi="宋体" w:eastAsia="宋体" w:cs="宋体"/>
                <w:color w:val="auto"/>
                <w:sz w:val="21"/>
                <w:highlight w:val="none"/>
              </w:rPr>
              <w:t xml:space="preserve">：人民币元（￥         ）</w:t>
            </w:r>
            <w:r/>
          </w:p>
        </w:tc>
      </w:tr>
    </w:tbl>
    <w:p>
      <w:pPr>
        <w:pStyle w:val="686"/>
        <w:ind w:firstLine="42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686"/>
        <w:ind w:firstLine="42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w:t>
      </w:r>
      <w:r/>
    </w:p>
    <w:p>
      <w:pPr>
        <w:pStyle w:val="68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1136"/>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注：</w:t>
      </w:r>
      <w:r>
        <w:rPr>
          <w:rFonts w:hint="eastAsia" w:hAnsi="宋体" w:eastAsia="宋体" w:cs="宋体"/>
          <w:color w:val="auto"/>
          <w:sz w:val="21"/>
          <w:szCs w:val="21"/>
          <w:highlight w:val="none"/>
        </w:rPr>
        <w:t xml:space="preserve">本开标一览表中的“投标总价”应与“投标分项报价表”中的投标总价一致。</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686"/>
        <w:rPr>
          <w:rFonts w:hAnsi="宋体" w:eastAsia="宋体" w:cs="宋体"/>
          <w:b/>
          <w:color w:val="auto"/>
          <w:sz w:val="21"/>
          <w:highlight w:val="none"/>
        </w:rPr>
      </w:pPr>
      <w:r>
        <w:rPr>
          <w:rFonts w:hAnsi="宋体" w:eastAsia="宋体" w:cs="宋体"/>
          <w:b/>
          <w:color w:val="auto"/>
          <w:sz w:val="21"/>
          <w:highlight w:val="none"/>
        </w:rPr>
      </w:r>
      <w:r/>
    </w:p>
    <w:p>
      <w:pPr>
        <w:pageBreakBefore/>
        <w:spacing w:line="360" w:lineRule="auto"/>
        <w:rPr>
          <w:rFonts w:ascii="宋体" w:hAnsi="宋体" w:cs="宋体"/>
          <w:b/>
          <w:color w:val="auto"/>
          <w:highlight w:val="none"/>
        </w:rPr>
      </w:pPr>
      <w:r>
        <w:rPr>
          <w:rFonts w:hint="eastAsia" w:ascii="宋体" w:hAnsi="宋体" w:cs="宋体"/>
          <w:b/>
          <w:color w:val="auto"/>
          <w:highlight w:val="none"/>
        </w:rPr>
        <w:t xml:space="preserve">附件4：投标报价分项表</w:t>
      </w:r>
      <w:bookmarkStart w:id="100" w:name="_Toc495841337"/>
      <w:r/>
      <w:bookmarkStart w:id="101" w:name="_Toc497226344"/>
      <w:r/>
      <w:bookmarkStart w:id="102" w:name="_Toc497123415"/>
      <w:r/>
      <w:bookmarkStart w:id="103" w:name="_Toc497075316"/>
      <w:r/>
      <w:r/>
    </w:p>
    <w:p>
      <w:pPr>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投 标 报 价 分 项 表</w:t>
      </w:r>
      <w:r/>
    </w:p>
    <w:p>
      <w:pPr>
        <w:pStyle w:val="686"/>
        <w:ind w:firstLine="420"/>
        <w:spacing w:line="360" w:lineRule="auto"/>
        <w:rPr>
          <w:rFonts w:hAnsi="宋体" w:cs="宋体"/>
          <w:bCs/>
          <w:color w:val="auto"/>
          <w:szCs w:val="21"/>
          <w:highlight w:val="none"/>
        </w:rPr>
      </w:pPr>
      <w:r>
        <w:rPr>
          <w:rFonts w:hint="eastAsia" w:hAnsi="宋体" w:eastAsia="宋体" w:cs="宋体"/>
          <w:color w:val="auto"/>
          <w:sz w:val="21"/>
          <w:highlight w:val="none"/>
        </w:rPr>
        <w:t xml:space="preserve">招标编号：                  </w:t>
      </w:r>
      <w:r/>
    </w:p>
    <w:tbl>
      <w:tblPr>
        <w:tblStyle w:val="67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597"/>
        <w:gridCol w:w="1328"/>
        <w:gridCol w:w="1483"/>
        <w:gridCol w:w="798"/>
        <w:gridCol w:w="997"/>
        <w:gridCol w:w="798"/>
        <w:gridCol w:w="1133"/>
      </w:tblGrid>
      <w:tr>
        <w:trPr>
          <w:jc w:val="center"/>
        </w:trPr>
        <w:tc>
          <w:tcPr>
            <w:tcW w:w="709"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97"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tcW w:w="1328"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品牌、规格、型号</w:t>
            </w:r>
            <w:r/>
          </w:p>
        </w:tc>
        <w:tc>
          <w:tcPr>
            <w:tcW w:w="1483"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798"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997"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798"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1133"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总价/元</w:t>
            </w:r>
            <w:r/>
          </w:p>
        </w:tc>
      </w:tr>
      <w:tr>
        <w:trPr>
          <w:jc w:val="center"/>
        </w:trPr>
        <w:tc>
          <w:tcPr>
            <w:tcW w:w="709"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97"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328"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83"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98"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997"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798"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133"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8=6×7</w:t>
            </w:r>
            <w:r/>
          </w:p>
        </w:tc>
      </w:tr>
      <w:tr>
        <w:trPr>
          <w:jc w:val="center"/>
        </w:trPr>
        <w:tc>
          <w:tcPr>
            <w:tcW w:w="709"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97"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2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83"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79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97"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79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33"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09"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97"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2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83"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79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97"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79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33"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09"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97"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32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83"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79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97"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798"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33" w:type="dxa"/>
            <w:textDirection w:val="lrTb"/>
            <w:noWrap/>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8"/>
            <w:tcW w:w="8843" w:type="dxa"/>
            <w:textDirection w:val="lrTb"/>
            <w:noWrap/>
          </w:tcPr>
          <w:p>
            <w:pPr>
              <w:jc w:val="left"/>
              <w:spacing w:line="440" w:lineRule="exact"/>
              <w:rPr>
                <w:rFonts w:ascii="宋体" w:hAnsi="宋体" w:cs="宋体"/>
                <w:color w:val="auto"/>
                <w:szCs w:val="21"/>
                <w:highlight w:val="none"/>
              </w:rPr>
            </w:pPr>
            <w:r>
              <w:rPr>
                <w:rFonts w:hint="eastAsia" w:ascii="宋体" w:hAnsi="宋体" w:cs="宋体"/>
                <w:color w:val="auto"/>
                <w:szCs w:val="22"/>
                <w:highlight w:val="none"/>
              </w:rPr>
              <w:t xml:space="preserve">总价</w:t>
            </w:r>
            <w:r>
              <w:rPr>
                <w:rFonts w:hint="eastAsia" w:ascii="宋体" w:hAnsi="宋体" w:cs="宋体"/>
                <w:color w:val="auto"/>
                <w:highlight w:val="none"/>
              </w:rPr>
              <w:t xml:space="preserve">：人民币元（￥         ）</w:t>
            </w:r>
            <w:r/>
          </w:p>
        </w:tc>
      </w:tr>
    </w:tbl>
    <w:p>
      <w:pPr>
        <w:ind w:firstLine="21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注：以上表格中每项均为必须填写项，否则为无效投标。</w:t>
      </w:r>
      <w:r/>
    </w:p>
    <w:p>
      <w:pPr>
        <w:ind w:firstLine="21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21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21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bookmarkEnd w:id="100"/>
      <w:bookmarkEnd w:id="101"/>
      <w:bookmarkEnd w:id="102"/>
      <w:bookmarkEnd w:id="103"/>
      <w:r/>
    </w:p>
    <w:p>
      <w:pPr>
        <w:pageBreakBefore/>
        <w:spacing w:line="360" w:lineRule="auto"/>
        <w:rPr>
          <w:rFonts w:ascii="宋体" w:hAnsi="宋体" w:cs="宋体"/>
          <w:b/>
          <w:color w:val="auto"/>
          <w:highlight w:val="none"/>
        </w:rPr>
      </w:pPr>
      <w:r>
        <w:rPr>
          <w:rFonts w:hint="eastAsia" w:ascii="宋体" w:hAnsi="宋体" w:cs="宋体"/>
          <w:b/>
          <w:color w:val="auto"/>
          <w:szCs w:val="21"/>
          <w:highlight w:val="none"/>
        </w:rPr>
        <w:t xml:space="preserve">附件5：</w:t>
      </w:r>
      <w:r>
        <w:rPr>
          <w:rFonts w:hint="eastAsia" w:ascii="宋体" w:hAnsi="宋体" w:cs="宋体"/>
          <w:b/>
          <w:color w:val="auto"/>
          <w:highlight w:val="none"/>
        </w:rPr>
        <w:t xml:space="preserve">投标货物和服务数量、品牌、规格、</w:t>
      </w:r>
      <w:r>
        <w:rPr>
          <w:rFonts w:hint="eastAsia" w:ascii="宋体" w:hAnsi="宋体" w:cs="宋体"/>
          <w:b/>
          <w:color w:val="auto"/>
          <w:szCs w:val="21"/>
          <w:highlight w:val="none"/>
        </w:rPr>
        <w:t xml:space="preserve">维保期限</w:t>
      </w:r>
      <w:r>
        <w:rPr>
          <w:rFonts w:hint="eastAsia" w:ascii="宋体" w:hAnsi="宋体" w:cs="宋体"/>
          <w:b/>
          <w:color w:val="auto"/>
          <w:highlight w:val="none"/>
        </w:rPr>
        <w:t xml:space="preserve">说明表等</w:t>
      </w:r>
      <w:r/>
    </w:p>
    <w:p>
      <w:pPr>
        <w:pStyle w:val="1178"/>
        <w:ind w:left="840"/>
        <w:jc w:val="center"/>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投标货物和服务数量、品牌、规格、</w:t>
      </w:r>
      <w:r>
        <w:rPr>
          <w:rFonts w:hint="eastAsia" w:hAnsi="宋体" w:eastAsia="宋体" w:cs="宋体"/>
          <w:b/>
          <w:color w:val="auto"/>
          <w:sz w:val="21"/>
          <w:szCs w:val="21"/>
          <w:highlight w:val="none"/>
        </w:rPr>
        <w:t xml:space="preserve">维保期限</w:t>
      </w:r>
      <w:r>
        <w:rPr>
          <w:rFonts w:hint="eastAsia" w:hAnsi="宋体" w:eastAsia="宋体" w:cs="宋体"/>
          <w:b/>
          <w:color w:val="auto"/>
          <w:sz w:val="21"/>
          <w:highlight w:val="none"/>
        </w:rPr>
        <w:t xml:space="preserve">说明表</w:t>
      </w:r>
      <w:r/>
    </w:p>
    <w:p>
      <w:pPr>
        <w:pStyle w:val="1178"/>
        <w:jc w:val="center"/>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（本表中不得出现价格）</w:t>
      </w:r>
      <w:r/>
    </w:p>
    <w:p>
      <w:pPr>
        <w:pStyle w:val="1178"/>
        <w:ind w:firstLine="315"/>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w:t>
      </w:r>
      <w:r/>
    </w:p>
    <w:tbl>
      <w:tblPr>
        <w:tblStyle w:val="6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80"/>
        <w:gridCol w:w="900"/>
        <w:gridCol w:w="2706"/>
        <w:gridCol w:w="1980"/>
        <w:gridCol w:w="1080"/>
      </w:tblGrid>
      <w:tr>
        <w:trPr/>
        <w:tc>
          <w:tcPr>
            <w:tcW w:w="828" w:type="dxa"/>
            <w:textDirection w:val="lrTb"/>
            <w:noWrap/>
          </w:tcPr>
          <w:p>
            <w:pPr>
              <w:jc w:val="center"/>
              <w:spacing w:line="500" w:lineRule="exact"/>
              <w:rPr>
                <w:rFonts w:ascii="宋体" w:hAnsi="宋体" w:cs="宋体"/>
                <w:color w:val="auto"/>
                <w:highlight w:val="none"/>
              </w:rPr>
            </w:pPr>
            <w:r>
              <w:rPr>
                <w:rFonts w:hint="eastAsia" w:ascii="宋体" w:hAnsi="宋体" w:cs="宋体"/>
                <w:color w:val="auto"/>
                <w:highlight w:val="none"/>
              </w:rPr>
              <w:t xml:space="preserve">序号</w:t>
            </w:r>
            <w:r/>
          </w:p>
        </w:tc>
        <w:tc>
          <w:tcPr>
            <w:tcW w:w="1080" w:type="dxa"/>
            <w:textDirection w:val="lrTb"/>
            <w:noWrap/>
          </w:tcPr>
          <w:p>
            <w:pPr>
              <w:jc w:val="center"/>
              <w:spacing w:line="500" w:lineRule="exact"/>
              <w:rPr>
                <w:rFonts w:ascii="宋体" w:hAnsi="宋体" w:cs="宋体"/>
                <w:color w:val="auto"/>
                <w:highlight w:val="none"/>
              </w:rPr>
            </w:pPr>
            <w:r>
              <w:rPr>
                <w:rFonts w:hint="eastAsia" w:ascii="宋体" w:hAnsi="宋体" w:cs="宋体"/>
                <w:color w:val="auto"/>
                <w:highlight w:val="none"/>
              </w:rPr>
              <w:t xml:space="preserve">项目名称</w:t>
            </w:r>
            <w:r/>
          </w:p>
        </w:tc>
        <w:tc>
          <w:tcPr>
            <w:tcW w:w="900" w:type="dxa"/>
            <w:vAlign w:val="center"/>
            <w:textDirection w:val="lrTb"/>
            <w:noWrap/>
          </w:tcPr>
          <w:p>
            <w:pPr>
              <w:jc w:val="center"/>
              <w:spacing w:line="500" w:lineRule="exact"/>
              <w:rPr>
                <w:rFonts w:ascii="宋体" w:hAnsi="宋体" w:cs="宋体"/>
                <w:color w:val="auto"/>
                <w:highlight w:val="none"/>
              </w:rPr>
            </w:pPr>
            <w:r>
              <w:rPr>
                <w:rFonts w:hint="eastAsia" w:ascii="宋体" w:hAnsi="宋体" w:cs="宋体"/>
                <w:color w:val="auto"/>
                <w:highlight w:val="none"/>
              </w:rPr>
              <w:t xml:space="preserve">数量</w:t>
            </w:r>
            <w:r/>
          </w:p>
        </w:tc>
        <w:tc>
          <w:tcPr>
            <w:tcW w:w="2706" w:type="dxa"/>
            <w:vAlign w:val="center"/>
            <w:textDirection w:val="lrTb"/>
            <w:noWrap/>
          </w:tcPr>
          <w:p>
            <w:pPr>
              <w:jc w:val="center"/>
              <w:spacing w:line="500" w:lineRule="exact"/>
              <w:rPr>
                <w:rFonts w:ascii="宋体" w:hAnsi="宋体" w:cs="宋体"/>
                <w:color w:val="auto"/>
                <w:highlight w:val="none"/>
              </w:rPr>
            </w:pPr>
            <w:r>
              <w:rPr>
                <w:rFonts w:hint="eastAsia" w:ascii="宋体" w:hAnsi="宋体" w:cs="宋体"/>
                <w:color w:val="auto"/>
                <w:highlight w:val="none"/>
              </w:rPr>
              <w:t xml:space="preserve">品牌、规格、型号、产地</w:t>
            </w:r>
            <w:r/>
          </w:p>
        </w:tc>
        <w:tc>
          <w:tcPr>
            <w:tcW w:w="1980" w:type="dxa"/>
            <w:textDirection w:val="lrTb"/>
            <w:noWrap/>
          </w:tcPr>
          <w:p>
            <w:pPr>
              <w:jc w:val="center"/>
              <w:spacing w:line="500" w:lineRule="exact"/>
              <w:rPr>
                <w:rFonts w:ascii="宋体" w:hAnsi="宋体" w:cs="宋体"/>
                <w:color w:val="auto"/>
                <w:highlight w:val="none"/>
              </w:rPr>
            </w:pPr>
            <w:r>
              <w:rPr>
                <w:rFonts w:hint="eastAsia" w:ascii="宋体" w:hAnsi="宋体" w:cs="宋体"/>
                <w:color w:val="auto"/>
                <w:highlight w:val="none"/>
              </w:rPr>
              <w:t xml:space="preserve">维保期限</w:t>
            </w:r>
            <w:r/>
          </w:p>
        </w:tc>
        <w:tc>
          <w:tcPr>
            <w:tcW w:w="1080" w:type="dxa"/>
            <w:textDirection w:val="lrTb"/>
            <w:noWrap/>
          </w:tcPr>
          <w:p>
            <w:pPr>
              <w:jc w:val="center"/>
              <w:spacing w:line="500" w:lineRule="exact"/>
              <w:rPr>
                <w:rFonts w:ascii="宋体" w:hAnsi="宋体" w:cs="宋体"/>
                <w:color w:val="auto"/>
                <w:highlight w:val="none"/>
              </w:rPr>
            </w:pPr>
            <w:r>
              <w:rPr>
                <w:rFonts w:hint="eastAsia" w:ascii="宋体" w:hAnsi="宋体" w:cs="宋体"/>
                <w:color w:val="auto"/>
                <w:highlight w:val="none"/>
              </w:rPr>
              <w:t xml:space="preserve">备注</w:t>
            </w:r>
            <w:r/>
          </w:p>
        </w:tc>
      </w:tr>
      <w:tr>
        <w:trPr/>
        <w:tc>
          <w:tcPr>
            <w:tcW w:w="828" w:type="dxa"/>
            <w:textDirection w:val="lrTb"/>
            <w:noWrap/>
          </w:tcPr>
          <w:p>
            <w:pPr>
              <w:jc w:val="cente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jc w:val="center"/>
              <w:spacing w:line="500" w:lineRule="exact"/>
              <w:rPr>
                <w:rFonts w:ascii="宋体" w:hAnsi="宋体" w:cs="宋体"/>
                <w:color w:val="auto"/>
                <w:highlight w:val="none"/>
              </w:rPr>
            </w:pPr>
            <w:r>
              <w:rPr>
                <w:rFonts w:ascii="宋体" w:hAnsi="宋体" w:cs="宋体"/>
                <w:color w:val="auto"/>
                <w:highlight w:val="none"/>
              </w:rPr>
            </w:r>
            <w:r/>
          </w:p>
        </w:tc>
        <w:tc>
          <w:tcPr>
            <w:tcW w:w="900" w:type="dxa"/>
            <w:textDirection w:val="lrTb"/>
            <w:noWrap/>
          </w:tcPr>
          <w:p>
            <w:pPr>
              <w:jc w:val="center"/>
              <w:spacing w:line="500" w:lineRule="exact"/>
              <w:rPr>
                <w:rFonts w:ascii="宋体" w:hAnsi="宋体" w:cs="宋体"/>
                <w:color w:val="auto"/>
                <w:highlight w:val="none"/>
              </w:rPr>
            </w:pPr>
            <w:r>
              <w:rPr>
                <w:rFonts w:ascii="宋体" w:hAnsi="宋体" w:cs="宋体"/>
                <w:color w:val="auto"/>
                <w:highlight w:val="none"/>
              </w:rPr>
            </w:r>
            <w:r/>
          </w:p>
        </w:tc>
        <w:tc>
          <w:tcPr>
            <w:tcW w:w="2706" w:type="dxa"/>
            <w:textDirection w:val="lrTb"/>
            <w:noWrap/>
          </w:tcPr>
          <w:p>
            <w:pPr>
              <w:jc w:val="center"/>
              <w:spacing w:line="500" w:lineRule="exact"/>
              <w:rPr>
                <w:rFonts w:ascii="宋体" w:hAnsi="宋体" w:cs="宋体"/>
                <w:color w:val="auto"/>
                <w:highlight w:val="none"/>
              </w:rPr>
            </w:pPr>
            <w:r>
              <w:rPr>
                <w:rFonts w:ascii="宋体" w:hAnsi="宋体" w:cs="宋体"/>
                <w:color w:val="auto"/>
                <w:highlight w:val="none"/>
              </w:rPr>
            </w:r>
            <w:r/>
          </w:p>
        </w:tc>
        <w:tc>
          <w:tcPr>
            <w:tcW w:w="1980" w:type="dxa"/>
            <w:textDirection w:val="lrTb"/>
            <w:noWrap/>
          </w:tcPr>
          <w:p>
            <w:pPr>
              <w:jc w:val="cente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jc w:val="center"/>
              <w:spacing w:line="500" w:lineRule="exact"/>
              <w:rPr>
                <w:rFonts w:ascii="宋体" w:hAnsi="宋体" w:cs="宋体"/>
                <w:color w:val="auto"/>
                <w:highlight w:val="none"/>
              </w:rPr>
            </w:pPr>
            <w:r>
              <w:rPr>
                <w:rFonts w:ascii="宋体" w:hAnsi="宋体" w:cs="宋体"/>
                <w:color w:val="auto"/>
                <w:highlight w:val="none"/>
              </w:rPr>
            </w:r>
            <w:r/>
          </w:p>
        </w:tc>
      </w:tr>
      <w:tr>
        <w:trPr/>
        <w:tc>
          <w:tcPr>
            <w:tcW w:w="828"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90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2706"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9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r>
      <w:tr>
        <w:trPr/>
        <w:tc>
          <w:tcPr>
            <w:tcW w:w="828"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90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2706"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9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r>
      <w:tr>
        <w:trPr/>
        <w:tc>
          <w:tcPr>
            <w:tcW w:w="828"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90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2706"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9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c>
          <w:tcPr>
            <w:tcW w:w="1080" w:type="dxa"/>
            <w:textDirection w:val="lrTb"/>
            <w:noWrap/>
          </w:tcPr>
          <w:p>
            <w:pPr>
              <w:spacing w:line="500" w:lineRule="exact"/>
              <w:rPr>
                <w:rFonts w:ascii="宋体" w:hAnsi="宋体" w:cs="宋体"/>
                <w:color w:val="auto"/>
                <w:highlight w:val="none"/>
              </w:rPr>
            </w:pPr>
            <w:r>
              <w:rPr>
                <w:rFonts w:ascii="宋体" w:hAnsi="宋体" w:cs="宋体"/>
                <w:color w:val="auto"/>
                <w:highlight w:val="none"/>
              </w:rPr>
            </w:r>
            <w:r/>
          </w:p>
        </w:tc>
      </w:tr>
    </w:tbl>
    <w:p>
      <w:pPr>
        <w:pStyle w:val="1178"/>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法定代表人或委托代理人：（签字或盖章）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ageBreakBefore/>
        <w:rPr>
          <w:rFonts w:ascii="宋体" w:hAnsi="宋体" w:cs="宋体"/>
          <w:b/>
          <w:color w:val="auto"/>
          <w:szCs w:val="21"/>
          <w:highlight w:val="none"/>
        </w:rPr>
      </w:pPr>
      <w:r>
        <w:rPr>
          <w:rFonts w:hint="eastAsia" w:ascii="宋体" w:hAnsi="宋体" w:cs="宋体"/>
          <w:b/>
          <w:color w:val="auto"/>
          <w:highlight w:val="none"/>
        </w:rPr>
        <w:t xml:space="preserve">附件6：技术响应对照</w:t>
      </w:r>
      <w:r>
        <w:rPr>
          <w:rFonts w:hint="eastAsia" w:ascii="宋体" w:hAnsi="宋体" w:cs="宋体"/>
          <w:b/>
          <w:color w:val="auto"/>
          <w:szCs w:val="21"/>
          <w:highlight w:val="none"/>
        </w:rPr>
        <w:t xml:space="preserve">表</w:t>
      </w:r>
      <w:r/>
    </w:p>
    <w:p>
      <w:pPr>
        <w:jc w:val="center"/>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技术响应对照表</w:t>
      </w:r>
      <w:r/>
    </w:p>
    <w:p>
      <w:pPr>
        <w:pStyle w:val="686"/>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w:t>
      </w:r>
      <w:r/>
    </w:p>
    <w:tbl>
      <w:tblPr>
        <w:tblStyle w:val="6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310"/>
        <w:gridCol w:w="3060"/>
      </w:tblGrid>
      <w:tr>
        <w:trPr>
          <w:trHeight w:val="849" w:hRule="exact"/>
        </w:trPr>
        <w:tc>
          <w:tcPr>
            <w:tcW w:w="782"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序号</w:t>
            </w:r>
            <w:r/>
          </w:p>
        </w:tc>
        <w:tc>
          <w:tcPr>
            <w:tcW w:w="1856"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产品名称、品牌、规格</w:t>
            </w:r>
            <w:r/>
          </w:p>
        </w:tc>
        <w:tc>
          <w:tcPr>
            <w:tcW w:w="174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招标技术要求</w:t>
            </w:r>
            <w:r/>
          </w:p>
        </w:tc>
        <w:tc>
          <w:tcPr>
            <w:tcW w:w="131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投标技术指标</w:t>
            </w:r>
            <w:r/>
          </w:p>
        </w:tc>
        <w:tc>
          <w:tcPr>
            <w:tcW w:w="3060"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选择项</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（正偏离、负偏离或无偏离）</w:t>
            </w:r>
            <w:r/>
          </w:p>
        </w:tc>
      </w:tr>
      <w:tr>
        <w:trPr>
          <w:trHeight w:val="340" w:hRule="exact"/>
        </w:trPr>
        <w:tc>
          <w:tcPr>
            <w:tcW w:w="782"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856"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74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31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306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r>
      <w:tr>
        <w:trPr>
          <w:trHeight w:val="340" w:hRule="exact"/>
        </w:trPr>
        <w:tc>
          <w:tcPr>
            <w:tcW w:w="782"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856"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74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31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306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r>
      <w:tr>
        <w:trPr>
          <w:trHeight w:val="340" w:hRule="exact"/>
        </w:trPr>
        <w:tc>
          <w:tcPr>
            <w:tcW w:w="782"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856"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74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31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306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r>
      <w:tr>
        <w:trPr>
          <w:trHeight w:val="340" w:hRule="exact"/>
        </w:trPr>
        <w:tc>
          <w:tcPr>
            <w:tcW w:w="782"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856"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74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31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306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r>
      <w:tr>
        <w:trPr>
          <w:trHeight w:val="340" w:hRule="exact"/>
        </w:trPr>
        <w:tc>
          <w:tcPr>
            <w:tcW w:w="782"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856"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74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131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c>
          <w:tcPr>
            <w:tcW w:w="3060" w:type="dxa"/>
            <w:textDirection w:val="lrTb"/>
            <w:noWrap/>
          </w:tcPr>
          <w:p>
            <w:pPr>
              <w:spacing w:line="360" w:lineRule="auto"/>
              <w:rPr>
                <w:rFonts w:ascii="宋体" w:hAnsi="宋体" w:cs="宋体"/>
                <w:color w:val="auto"/>
                <w:highlight w:val="none"/>
              </w:rPr>
            </w:pPr>
            <w:r>
              <w:rPr>
                <w:rFonts w:ascii="宋体" w:hAnsi="宋体" w:cs="宋体"/>
                <w:color w:val="auto"/>
                <w:highlight w:val="none"/>
              </w:rPr>
            </w:r>
            <w:r/>
          </w:p>
        </w:tc>
      </w:tr>
    </w:tbl>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                       </w:t>
      </w:r>
      <w:r/>
    </w:p>
    <w:p>
      <w:pPr>
        <w:pStyle w:val="1178"/>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w:t>
      </w:r>
      <w:r/>
    </w:p>
    <w:p>
      <w:pPr>
        <w:spacing w:line="360" w:lineRule="auto"/>
        <w:rPr>
          <w:rFonts w:ascii="宋体" w:hAnsi="宋体" w:cs="宋体"/>
          <w:b/>
          <w:color w:val="auto"/>
          <w:szCs w:val="21"/>
          <w:highlight w:val="none"/>
        </w:rPr>
      </w:pPr>
      <w:r>
        <w:rPr>
          <w:rFonts w:hint="eastAsia" w:ascii="宋体" w:hAnsi="宋体" w:cs="宋体"/>
          <w:color w:val="auto"/>
          <w:highlight w:val="none"/>
        </w:rPr>
        <w:t xml:space="preserve">注：</w:t>
      </w:r>
      <w:r>
        <w:rPr>
          <w:rFonts w:hint="eastAsia" w:ascii="宋体" w:hAnsi="宋体" w:cs="宋体"/>
          <w:b/>
          <w:color w:val="auto"/>
          <w:szCs w:val="21"/>
          <w:highlight w:val="none"/>
        </w:rPr>
        <w:t xml:space="preserve">1、各投标单位需针对各个投标产品制作技术响应对照表，格式参照上述表格。</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单位必须对照招标文件的技术规格，逐条说明所提供货物和服务已对招标文件的技术规格做出了实质性的响应，并申明与技术规格条文的偏差和例外。特别对有具体参数要求的指标，投标单位必须提供所投产品的具体参数值，而不应以“全部符合”等字样来响应，否则将承担其投标被拒绝的风险。</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各投标单位必须真实填写此表格内容，对于技术规格中重要技术条款（参数）的响应，投标人的投标文件中应提供技术支持资料（包括投标货物的样本、说明书、图纸、彩页等），若有虚假，将取消其投标资格或中标资格。</w:t>
      </w:r>
      <w:r/>
    </w:p>
    <w:p>
      <w:pPr>
        <w:pStyle w:val="678"/>
        <w:ind w:firstLine="0"/>
        <w:spacing w:line="360" w:lineRule="auto"/>
        <w:rPr>
          <w:rFonts w:ascii="Arial" w:hAnsi="Arial" w:eastAsia="宋体" w:cs="Arial"/>
          <w:b/>
          <w:color w:val="auto"/>
          <w:sz w:val="21"/>
          <w:szCs w:val="21"/>
          <w:highlight w:val="none"/>
        </w:rPr>
      </w:pPr>
      <w:r>
        <w:rPr>
          <w:rFonts w:hint="eastAsia" w:ascii="宋体" w:hAnsi="宋体" w:cs="宋体"/>
          <w:b/>
          <w:color w:val="auto"/>
          <w:szCs w:val="21"/>
          <w:highlight w:val="none"/>
        </w:rPr>
        <w:br w:type="page" w:clear="all"/>
      </w:r>
      <w:r>
        <w:rPr>
          <w:rFonts w:hint="eastAsia" w:ascii="Arial" w:hAnsi="Arial" w:eastAsia="宋体" w:cs="Arial"/>
          <w:b/>
          <w:color w:val="auto"/>
          <w:sz w:val="21"/>
          <w:szCs w:val="21"/>
          <w:highlight w:val="none"/>
        </w:rPr>
        <w:t xml:space="preserve">附件7：主要配件和易损件价格清单表</w:t>
      </w:r>
      <w:r/>
    </w:p>
    <w:p>
      <w:pPr>
        <w:pStyle w:val="678"/>
        <w:ind w:firstLine="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jc w:val="center"/>
        <w:spacing w:line="360" w:lineRule="auto"/>
        <w:rPr>
          <w:rFonts w:ascii="宋体" w:hAnsi="宋体" w:cs="Arial"/>
          <w:b/>
          <w:color w:val="auto"/>
          <w:szCs w:val="21"/>
          <w:highlight w:val="none"/>
          <w:lang w:val="zh-CN"/>
        </w:rPr>
      </w:pPr>
      <w:r>
        <w:rPr>
          <w:rFonts w:hint="eastAsia" w:ascii="宋体" w:hAnsi="宋体" w:cs="Arial"/>
          <w:b/>
          <w:color w:val="auto"/>
          <w:szCs w:val="21"/>
          <w:highlight w:val="none"/>
          <w:lang w:val="zh-CN"/>
        </w:rPr>
        <w:t xml:space="preserve">主要配件和易损件价格清单表</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pStyle w:val="68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w:t>
      </w:r>
      <w:r/>
    </w:p>
    <w:tbl>
      <w:tblPr>
        <w:tblStyle w:val="67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序号</w:t>
            </w:r>
            <w:r/>
          </w:p>
        </w:tc>
        <w:tc>
          <w:tcPr>
            <w:tcW w:w="1921" w:type="dxa"/>
            <w:vAlign w:val="center"/>
            <w:textDirection w:val="lrTb"/>
            <w:noWrap/>
          </w:tcPr>
          <w:p>
            <w:pPr>
              <w:jc w:val="center"/>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名称</w:t>
            </w:r>
            <w:r/>
          </w:p>
        </w:tc>
        <w:tc>
          <w:tcPr>
            <w:tcW w:w="1362" w:type="dxa"/>
            <w:vAlign w:val="center"/>
            <w:textDirection w:val="lrTb"/>
            <w:noWrap/>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生产厂家</w:t>
            </w:r>
            <w:r/>
          </w:p>
        </w:tc>
        <w:tc>
          <w:tcPr>
            <w:tcW w:w="1792" w:type="dxa"/>
            <w:vAlign w:val="center"/>
            <w:textDirection w:val="lrTb"/>
            <w:noWrap/>
          </w:tcPr>
          <w:p>
            <w:pPr>
              <w:jc w:val="center"/>
              <w:spacing w:line="360" w:lineRule="auto"/>
              <w:rPr>
                <w:rFonts w:ascii="Arial" w:hAnsi="Arial" w:cs="Arial"/>
                <w:color w:val="auto"/>
                <w:szCs w:val="21"/>
                <w:highlight w:val="none"/>
              </w:rPr>
            </w:pPr>
            <w:r>
              <w:rPr>
                <w:rFonts w:hint="eastAsia" w:ascii="Arial" w:cs="Arial"/>
                <w:color w:val="auto"/>
                <w:szCs w:val="21"/>
                <w:highlight w:val="none"/>
              </w:rPr>
              <w:t xml:space="preserve">规格、型号</w:t>
            </w:r>
            <w:r/>
          </w:p>
        </w:tc>
        <w:tc>
          <w:tcPr>
            <w:tcW w:w="772" w:type="dxa"/>
            <w:vAlign w:val="center"/>
            <w:textDirection w:val="lrTb"/>
            <w:noWrap/>
          </w:tcPr>
          <w:p>
            <w:pPr>
              <w:jc w:val="center"/>
              <w:spacing w:line="360" w:lineRule="auto"/>
              <w:rPr>
                <w:rFonts w:ascii="Arial" w:hAnsi="Arial" w:cs="Arial"/>
                <w:color w:val="auto"/>
                <w:szCs w:val="21"/>
                <w:highlight w:val="none"/>
                <w:lang w:val="zh-CN"/>
              </w:rPr>
            </w:pPr>
            <w:r>
              <w:rPr>
                <w:rFonts w:hint="eastAsia" w:ascii="Arial" w:cs="Arial"/>
                <w:color w:val="auto"/>
                <w:szCs w:val="21"/>
                <w:highlight w:val="none"/>
              </w:rPr>
              <w:t xml:space="preserve">单位</w:t>
            </w:r>
            <w:r/>
          </w:p>
        </w:tc>
        <w:tc>
          <w:tcPr>
            <w:tcW w:w="1317" w:type="dxa"/>
            <w:vAlign w:val="center"/>
            <w:textDirection w:val="lrTb"/>
            <w:noWrap/>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单价（元）</w:t>
            </w:r>
            <w:r/>
          </w:p>
        </w:tc>
        <w:tc>
          <w:tcPr>
            <w:tcW w:w="962" w:type="dxa"/>
            <w:vAlign w:val="center"/>
            <w:textDirection w:val="lrTb"/>
            <w:noWrap/>
          </w:tcPr>
          <w:p>
            <w:pPr>
              <w:jc w:val="center"/>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备注</w:t>
            </w:r>
            <w:r/>
          </w:p>
        </w:tc>
      </w:tr>
      <w:tr>
        <w:trPr>
          <w:jc w:val="center"/>
          <w:trHeight w:val="567" w:hRule="exact"/>
        </w:trPr>
        <w:tc>
          <w:tcPr>
            <w:tcW w:w="645"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t xml:space="preserve">1</w:t>
            </w:r>
            <w:r/>
          </w:p>
        </w:tc>
        <w:tc>
          <w:tcPr>
            <w:tcW w:w="1921"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t xml:space="preserve">2</w:t>
            </w:r>
            <w:r/>
          </w:p>
        </w:tc>
        <w:tc>
          <w:tcPr>
            <w:tcW w:w="1921"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t xml:space="preserve">3</w:t>
            </w:r>
            <w:r/>
          </w:p>
        </w:tc>
        <w:tc>
          <w:tcPr>
            <w:tcW w:w="1921"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4</w:t>
            </w:r>
            <w:r/>
          </w:p>
        </w:tc>
        <w:tc>
          <w:tcPr>
            <w:tcW w:w="1921"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p>
        </w:tc>
        <w:tc>
          <w:tcPr>
            <w:tcW w:w="1921"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r>
      <w:tr>
        <w:trPr>
          <w:jc w:val="center"/>
          <w:trHeight w:val="567" w:hRule="exact"/>
        </w:trPr>
        <w:tc>
          <w:tcPr>
            <w:tcW w:w="645" w:type="dxa"/>
            <w:textDirection w:val="lrTb"/>
            <w:noWrap/>
          </w:tcPr>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6</w:t>
            </w:r>
            <w:r/>
          </w:p>
        </w:tc>
        <w:tc>
          <w:tcPr>
            <w:tcW w:w="1921"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79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77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1317"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c>
          <w:tcPr>
            <w:tcW w:w="962" w:type="dxa"/>
            <w:textDirection w:val="lrTb"/>
            <w:noWrap/>
          </w:tcPr>
          <w:p>
            <w:pPr>
              <w:spacing w:line="360" w:lineRule="auto"/>
              <w:rPr>
                <w:rFonts w:ascii="Arial" w:hAnsi="Arial" w:cs="Arial"/>
                <w:color w:val="auto"/>
                <w:szCs w:val="21"/>
                <w:highlight w:val="none"/>
              </w:rPr>
            </w:pPr>
            <w:r>
              <w:rPr>
                <w:rFonts w:ascii="Arial" w:hAnsi="Arial" w:cs="Arial"/>
                <w:color w:val="auto"/>
                <w:szCs w:val="21"/>
                <w:highlight w:val="none"/>
              </w:rPr>
            </w:r>
            <w:r/>
          </w:p>
        </w:tc>
      </w:tr>
    </w:tbl>
    <w:p>
      <w:pPr>
        <w:pStyle w:val="117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17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                       </w:t>
      </w:r>
      <w:r/>
    </w:p>
    <w:p>
      <w:pPr>
        <w:pStyle w:val="117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w:t>
      </w:r>
      <w:r/>
    </w:p>
    <w:p>
      <w:pPr>
        <w:spacing w:line="360" w:lineRule="auto"/>
        <w:rPr>
          <w:rFonts w:hAnsi="宋体"/>
          <w:bCs/>
          <w:color w:val="auto"/>
          <w:szCs w:val="21"/>
          <w:highlight w:val="none"/>
        </w:rPr>
      </w:pPr>
      <w:r>
        <w:rPr>
          <w:rFonts w:hAnsi="宋体"/>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int="eastAsia" w:hAnsi="宋体"/>
          <w:bCs/>
          <w:color w:val="auto"/>
          <w:szCs w:val="21"/>
          <w:highlight w:val="none"/>
        </w:rPr>
        <w:t xml:space="preserve">注：</w:t>
      </w:r>
      <w:r>
        <w:rPr>
          <w:bCs/>
          <w:color w:val="auto"/>
          <w:szCs w:val="21"/>
          <w:highlight w:val="none"/>
        </w:rPr>
        <w:t xml:space="preserve">1</w:t>
      </w:r>
      <w:r>
        <w:rPr>
          <w:rFonts w:hint="eastAsia" w:hAnsi="宋体"/>
          <w:bCs/>
          <w:color w:val="auto"/>
          <w:szCs w:val="21"/>
          <w:highlight w:val="none"/>
        </w:rPr>
        <w:t xml:space="preserve">、可参照上述格式自制价格清单表。</w:t>
      </w:r>
      <w:r/>
    </w:p>
    <w:p>
      <w:pPr>
        <w:ind w:firstLine="422"/>
        <w:spacing w:line="30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2、如有配件、易损件请在本表中详细列出，并在备注中注明更换时间或使用次数，若未列出，则视为全部包含免费维保范围。</w:t>
      </w:r>
      <w:r/>
    </w:p>
    <w:p>
      <w:pPr>
        <w:ind w:firstLine="420"/>
        <w:spacing w:line="360" w:lineRule="auto"/>
        <w:rPr>
          <w:rFonts w:hAnsi="宋体"/>
          <w:bCs/>
          <w:color w:val="auto"/>
          <w:szCs w:val="21"/>
          <w:highlight w:val="none"/>
        </w:rPr>
      </w:pPr>
      <w:r>
        <w:rPr>
          <w:rFonts w:hAnsi="宋体"/>
          <w:bCs/>
          <w:color w:val="auto"/>
          <w:szCs w:val="21"/>
          <w:highlight w:val="none"/>
        </w:rPr>
      </w:r>
      <w:r/>
    </w:p>
    <w:p>
      <w:pPr>
        <w:pStyle w:val="1140"/>
        <w:ind w:firstLine="420"/>
        <w:rPr>
          <w:color w:val="auto"/>
          <w:szCs w:val="21"/>
          <w:highlight w:val="none"/>
        </w:rPr>
      </w:pPr>
      <w:r>
        <w:rPr>
          <w:color w:val="auto"/>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color w:val="auto"/>
          <w:sz w:val="21"/>
          <w:szCs w:val="21"/>
          <w:highlight w:val="none"/>
        </w:rPr>
      </w:pPr>
      <w:r>
        <w:rPr>
          <w:rFonts w:ascii="Arial" w:hAnsi="宋体" w:eastAsia="宋体" w:cs="Arial"/>
          <w:color w:val="auto"/>
          <w:sz w:val="21"/>
          <w:szCs w:val="21"/>
          <w:highlight w:val="none"/>
        </w:rPr>
      </w:r>
      <w:r/>
    </w:p>
    <w:p>
      <w:pPr>
        <w:pStyle w:val="678"/>
        <w:ind w:firstLine="0"/>
        <w:spacing w:line="360" w:lineRule="auto"/>
        <w:rPr>
          <w:rFonts w:ascii="Arial" w:hAnsi="宋体" w:eastAsia="宋体" w:cs="Arial"/>
          <w:b/>
          <w:color w:val="auto"/>
          <w:sz w:val="21"/>
          <w:szCs w:val="21"/>
          <w:highlight w:val="none"/>
        </w:rPr>
      </w:pPr>
      <w:r>
        <w:rPr>
          <w:rFonts w:ascii="Arial" w:hAnsi="宋体" w:eastAsia="宋体" w:cs="Arial"/>
          <w:b/>
          <w:color w:val="auto"/>
          <w:sz w:val="21"/>
          <w:szCs w:val="21"/>
          <w:highlight w:val="none"/>
        </w:rPr>
      </w:r>
      <w:r/>
    </w:p>
    <w:p>
      <w:pPr>
        <w:pStyle w:val="678"/>
        <w:ind w:firstLine="0"/>
        <w:spacing w:line="360" w:lineRule="auto"/>
        <w:rPr>
          <w:rFonts w:ascii="Arial" w:hAnsi="宋体" w:eastAsia="宋体" w:cs="Arial"/>
          <w:b/>
          <w:color w:val="auto"/>
          <w:sz w:val="21"/>
          <w:szCs w:val="21"/>
          <w:highlight w:val="none"/>
        </w:rPr>
      </w:pPr>
      <w:r>
        <w:rPr>
          <w:rFonts w:ascii="Arial" w:hAnsi="宋体" w:eastAsia="宋体" w:cs="Arial"/>
          <w:b/>
          <w:color w:val="auto"/>
          <w:sz w:val="21"/>
          <w:szCs w:val="21"/>
          <w:highlight w:val="none"/>
        </w:rPr>
      </w:r>
      <w:r/>
    </w:p>
    <w:p>
      <w:pPr>
        <w:pStyle w:val="678"/>
        <w:ind w:firstLine="0"/>
        <w:spacing w:line="360" w:lineRule="auto"/>
        <w:rPr>
          <w:rFonts w:ascii="Arial" w:hAnsi="宋体" w:eastAsia="宋体" w:cs="Arial"/>
          <w:b/>
          <w:color w:val="auto"/>
          <w:sz w:val="21"/>
          <w:szCs w:val="21"/>
          <w:highlight w:val="none"/>
        </w:rPr>
      </w:pPr>
      <w:r>
        <w:rPr>
          <w:rFonts w:ascii="Arial" w:hAnsi="宋体" w:eastAsia="宋体" w:cs="Arial"/>
          <w:b/>
          <w:color w:val="auto"/>
          <w:sz w:val="21"/>
          <w:szCs w:val="21"/>
          <w:highlight w:val="none"/>
        </w:rPr>
      </w:r>
      <w:r/>
    </w:p>
    <w:p>
      <w:pPr>
        <w:pStyle w:val="678"/>
        <w:ind w:firstLine="0"/>
        <w:spacing w:line="360" w:lineRule="auto"/>
        <w:rPr>
          <w:rFonts w:ascii="Arial" w:hAnsi="宋体" w:eastAsia="宋体" w:cs="Arial"/>
          <w:b/>
          <w:color w:val="auto"/>
          <w:sz w:val="21"/>
          <w:szCs w:val="21"/>
          <w:highlight w:val="none"/>
        </w:rPr>
      </w:pPr>
      <w:r>
        <w:rPr>
          <w:rFonts w:ascii="Arial" w:hAnsi="宋体" w:eastAsia="宋体" w:cs="Arial"/>
          <w:b/>
          <w:color w:val="auto"/>
          <w:sz w:val="21"/>
          <w:szCs w:val="21"/>
          <w:highlight w:val="none"/>
        </w:rPr>
      </w:r>
      <w:r/>
    </w:p>
    <w:p>
      <w:pPr>
        <w:pStyle w:val="678"/>
        <w:ind w:firstLine="0"/>
        <w:spacing w:line="360" w:lineRule="auto"/>
        <w:rPr>
          <w:rFonts w:ascii="Arial" w:hAnsi="宋体" w:eastAsia="宋体" w:cs="Arial"/>
          <w:b/>
          <w:color w:val="auto"/>
          <w:sz w:val="21"/>
          <w:szCs w:val="21"/>
          <w:highlight w:val="none"/>
        </w:rPr>
      </w:pPr>
      <w:r>
        <w:rPr>
          <w:rFonts w:ascii="Arial" w:hAnsi="宋体" w:eastAsia="宋体" w:cs="Arial"/>
          <w:b/>
          <w:color w:val="auto"/>
          <w:sz w:val="21"/>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t xml:space="preserve">附件9：商务条款偏离表</w:t>
      </w:r>
      <w:r/>
    </w:p>
    <w:p>
      <w:pPr>
        <w:pStyle w:val="678"/>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8"/>
        <w:ind w:firstLine="0"/>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商务条款偏离表</w:t>
      </w:r>
      <w:r/>
    </w:p>
    <w:p>
      <w:pPr>
        <w:pStyle w:val="678"/>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86"/>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w:t>
      </w:r>
      <w:r/>
    </w:p>
    <w:tbl>
      <w:tblPr>
        <w:tblStyle w:val="676"/>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textDirection w:val="lrTb"/>
            <w:noWrap/>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20" w:type="dxa"/>
            <w:textDirection w:val="lrTb"/>
            <w:noWrap/>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00" w:type="dxa"/>
            <w:textDirection w:val="lrTb"/>
            <w:noWrap/>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00" w:type="dxa"/>
            <w:textDirection w:val="lrTb"/>
            <w:noWrap/>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16" w:type="dxa"/>
            <w:textDirection w:val="lrTb"/>
            <w:noWrap/>
          </w:tcPr>
          <w:p>
            <w:pPr>
              <w:jc w:val="center"/>
              <w:spacing w:before="240" w:after="240"/>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r>
        <w:trPr/>
        <w:tc>
          <w:tcPr>
            <w:tcW w:w="708"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92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2400"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c>
          <w:tcPr>
            <w:tcW w:w="1716" w:type="dxa"/>
            <w:textDirection w:val="lrTb"/>
            <w:noWrap/>
          </w:tcPr>
          <w:p>
            <w:pPr>
              <w:spacing w:before="240" w:after="240"/>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投标人：（单位盖章）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pStyle w:val="678"/>
        <w:ind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ageBreakBefore/>
        <w:spacing w:line="360" w:lineRule="auto"/>
        <w:rPr>
          <w:rFonts w:ascii="宋体" w:hAnsi="宋体" w:cs="宋体"/>
          <w:b/>
          <w:color w:val="auto"/>
          <w:highlight w:val="none"/>
        </w:rPr>
      </w:pPr>
      <w:r>
        <w:rPr>
          <w:rFonts w:hint="eastAsia" w:ascii="宋体" w:hAnsi="宋体" w:cs="宋体"/>
          <w:b/>
          <w:color w:val="auto"/>
          <w:highlight w:val="none"/>
        </w:rPr>
        <w:t xml:space="preserve">附件10：针对本项目的售后服务承诺表</w:t>
      </w:r>
      <w:r/>
    </w:p>
    <w:p>
      <w:pPr>
        <w:jc w:val="center"/>
        <w:spacing w:line="580" w:lineRule="exact"/>
        <w:rPr>
          <w:rFonts w:ascii="宋体" w:hAnsi="宋体" w:cs="宋体"/>
          <w:b/>
          <w:color w:val="auto"/>
          <w:highlight w:val="none"/>
        </w:rPr>
      </w:pPr>
      <w:r>
        <w:rPr>
          <w:rFonts w:hint="eastAsia" w:ascii="宋体" w:hAnsi="宋体" w:cs="宋体"/>
          <w:b/>
          <w:color w:val="auto"/>
          <w:highlight w:val="none"/>
        </w:rPr>
        <w:t xml:space="preserve">投标主要条款承诺表</w:t>
      </w:r>
      <w:r/>
    </w:p>
    <w:p>
      <w:pPr>
        <w:pStyle w:val="686"/>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招标编号：                  </w:t>
      </w:r>
      <w:r/>
    </w:p>
    <w:tbl>
      <w:tblPr>
        <w:tblStyle w:val="676"/>
        <w:tblW w:w="0" w:type="auto"/>
        <w:jc w:val="center"/>
        <w:tblLayout w:type="fixed"/>
        <w:tblCellMar>
          <w:left w:w="108" w:type="dxa"/>
          <w:top w:w="0" w:type="dxa"/>
          <w:right w:w="108" w:type="dxa"/>
          <w:bottom w:w="0" w:type="dxa"/>
        </w:tblCellMar>
        <w:tblLook w:val="04A0" w:firstRow="1" w:lastRow="0" w:firstColumn="1" w:lastColumn="0" w:noHBand="0" w:noVBand="1"/>
      </w:tblPr>
      <w:tblGrid>
        <w:gridCol w:w="4017"/>
        <w:gridCol w:w="4887"/>
      </w:tblGrid>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jc w:val="center"/>
              <w:spacing w:line="280" w:lineRule="exact"/>
              <w:rPr>
                <w:rFonts w:ascii="宋体" w:hAnsi="宋体" w:cs="宋体"/>
                <w:color w:val="auto"/>
                <w:highlight w:val="none"/>
              </w:rPr>
            </w:pPr>
            <w:r>
              <w:rPr>
                <w:rFonts w:hint="eastAsia" w:ascii="宋体" w:hAnsi="宋体" w:cs="宋体"/>
                <w:color w:val="auto"/>
                <w:spacing w:val="-1"/>
                <w:highlight w:val="none"/>
              </w:rPr>
              <w:t xml:space="preserve">项目</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jc w:val="center"/>
              <w:spacing w:line="280" w:lineRule="exact"/>
              <w:rPr>
                <w:rFonts w:ascii="宋体" w:hAnsi="宋体" w:cs="宋体"/>
                <w:color w:val="auto"/>
                <w:highlight w:val="none"/>
              </w:rPr>
            </w:pPr>
            <w:r>
              <w:rPr>
                <w:rFonts w:hint="eastAsia" w:ascii="宋体" w:hAnsi="宋体" w:cs="宋体"/>
                <w:color w:val="auto"/>
                <w:spacing w:val="-1"/>
                <w:highlight w:val="none"/>
              </w:rPr>
              <w:t xml:space="preserve">内容</w:t>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280" w:lineRule="exact"/>
              <w:rPr>
                <w:rFonts w:ascii="宋体" w:hAnsi="宋体" w:cs="宋体"/>
                <w:color w:val="auto"/>
                <w:highlight w:val="none"/>
              </w:rPr>
            </w:pPr>
            <w:r>
              <w:rPr>
                <w:rFonts w:hint="eastAsia" w:ascii="宋体" w:hAnsi="宋体" w:cs="宋体"/>
                <w:color w:val="auto"/>
                <w:spacing w:val="-1"/>
                <w:highlight w:val="none"/>
              </w:rPr>
              <w:t xml:space="preserve">1、交货期限</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280" w:lineRule="exact"/>
              <w:rPr>
                <w:rFonts w:ascii="宋体" w:hAnsi="宋体" w:cs="宋体"/>
                <w:color w:val="auto"/>
                <w:highlight w:val="none"/>
              </w:rPr>
            </w:pPr>
            <w:r>
              <w:rPr>
                <w:rFonts w:ascii="宋体" w:hAnsi="宋体" w:cs="宋体"/>
                <w:color w:val="auto"/>
                <w:highlight w:val="none"/>
              </w:rPr>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360" w:lineRule="auto"/>
              <w:rPr>
                <w:rFonts w:ascii="宋体" w:hAnsi="宋体" w:cs="宋体"/>
                <w:b/>
                <w:color w:val="auto"/>
                <w:highlight w:val="none"/>
              </w:rPr>
            </w:pPr>
            <w:r>
              <w:rPr>
                <w:rFonts w:hint="eastAsia" w:ascii="宋体" w:hAnsi="宋体" w:cs="宋体"/>
                <w:b/>
                <w:color w:val="auto"/>
                <w:highlight w:val="none"/>
              </w:rPr>
              <w:t xml:space="preserve">2、付款步骤</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360" w:lineRule="auto"/>
              <w:rPr>
                <w:rFonts w:ascii="宋体" w:hAnsi="宋体" w:cs="宋体"/>
                <w:b/>
                <w:color w:val="auto"/>
                <w:highlight w:val="none"/>
              </w:rPr>
            </w:pPr>
            <w:r>
              <w:rPr>
                <w:rFonts w:hint="eastAsia" w:ascii="宋体" w:hAnsi="宋体" w:cs="宋体"/>
                <w:b/>
                <w:color w:val="auto"/>
                <w:highlight w:val="none"/>
              </w:rPr>
              <w:t xml:space="preserve">必须响应招标要求</w:t>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360" w:lineRule="auto"/>
              <w:rPr>
                <w:rFonts w:ascii="宋体" w:hAnsi="宋体" w:cs="宋体"/>
                <w:b/>
                <w:color w:val="auto"/>
                <w:highlight w:val="none"/>
              </w:rPr>
            </w:pPr>
            <w:r>
              <w:rPr>
                <w:rFonts w:hint="eastAsia" w:ascii="宋体" w:hAnsi="宋体" w:cs="宋体"/>
                <w:b/>
                <w:color w:val="auto"/>
                <w:highlight w:val="none"/>
              </w:rPr>
              <w:t xml:space="preserve">3、免费维保期</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360" w:lineRule="auto"/>
              <w:rPr>
                <w:rFonts w:ascii="宋体" w:hAnsi="宋体" w:cs="宋体"/>
                <w:b/>
                <w:color w:val="auto"/>
                <w:highlight w:val="none"/>
              </w:rPr>
            </w:pPr>
            <w:r>
              <w:rPr>
                <w:rFonts w:hint="eastAsia" w:ascii="宋体" w:hAnsi="宋体" w:cs="宋体"/>
                <w:b/>
                <w:color w:val="auto"/>
                <w:highlight w:val="none"/>
              </w:rPr>
              <w:t xml:space="preserve">不得低于招标要求</w:t>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280" w:lineRule="exact"/>
              <w:rPr>
                <w:rFonts w:ascii="宋体" w:hAnsi="宋体" w:cs="宋体"/>
                <w:color w:val="auto"/>
                <w:highlight w:val="none"/>
              </w:rPr>
            </w:pPr>
            <w:r>
              <w:rPr>
                <w:rFonts w:hint="eastAsia" w:ascii="宋体" w:hAnsi="宋体" w:cs="宋体"/>
                <w:color w:val="auto"/>
                <w:spacing w:val="-1"/>
                <w:highlight w:val="none"/>
              </w:rPr>
              <w:t xml:space="preserve">4、维保期结束后的维保费用</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280" w:lineRule="exact"/>
              <w:rPr>
                <w:rFonts w:ascii="宋体" w:hAnsi="宋体" w:cs="宋体"/>
                <w:color w:val="auto"/>
                <w:highlight w:val="none"/>
              </w:rPr>
            </w:pPr>
            <w:r>
              <w:rPr>
                <w:rFonts w:ascii="宋体" w:hAnsi="宋体" w:cs="宋体"/>
                <w:color w:val="auto"/>
                <w:highlight w:val="none"/>
              </w:rPr>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280" w:lineRule="exact"/>
              <w:rPr>
                <w:rFonts w:ascii="宋体" w:hAnsi="宋体" w:cs="宋体"/>
                <w:color w:val="auto"/>
                <w:highlight w:val="none"/>
              </w:rPr>
            </w:pPr>
            <w:r>
              <w:rPr>
                <w:rFonts w:hint="eastAsia" w:ascii="宋体" w:hAnsi="宋体" w:cs="宋体"/>
                <w:color w:val="auto"/>
                <w:spacing w:val="-1"/>
                <w:highlight w:val="none"/>
              </w:rPr>
              <w:t xml:space="preserve">5、维保期内维保内容    </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280" w:lineRule="exact"/>
              <w:rPr>
                <w:rFonts w:ascii="宋体" w:hAnsi="宋体" w:cs="宋体"/>
                <w:color w:val="auto"/>
                <w:highlight w:val="none"/>
              </w:rPr>
            </w:pPr>
            <w:r>
              <w:rPr>
                <w:rFonts w:ascii="宋体" w:hAnsi="宋体" w:cs="宋体"/>
                <w:color w:val="auto"/>
                <w:highlight w:val="none"/>
              </w:rPr>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280" w:lineRule="exact"/>
              <w:rPr>
                <w:rFonts w:ascii="宋体" w:hAnsi="宋体" w:cs="宋体"/>
                <w:color w:val="auto"/>
                <w:highlight w:val="none"/>
              </w:rPr>
            </w:pPr>
            <w:r>
              <w:rPr>
                <w:rFonts w:hint="eastAsia" w:ascii="宋体" w:hAnsi="宋体" w:cs="宋体"/>
                <w:color w:val="auto"/>
                <w:spacing w:val="-1"/>
                <w:highlight w:val="none"/>
              </w:rPr>
              <w:t xml:space="preserve">6、维保期结束后的维保内容</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280" w:lineRule="exact"/>
              <w:rPr>
                <w:rFonts w:ascii="宋体" w:hAnsi="宋体" w:cs="宋体"/>
                <w:color w:val="auto"/>
                <w:highlight w:val="none"/>
              </w:rPr>
            </w:pPr>
            <w:r>
              <w:rPr>
                <w:rFonts w:ascii="宋体" w:hAnsi="宋体" w:cs="宋体"/>
                <w:color w:val="auto"/>
                <w:highlight w:val="none"/>
              </w:rPr>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280" w:lineRule="exact"/>
              <w:rPr>
                <w:rFonts w:ascii="宋体" w:hAnsi="宋体" w:cs="宋体"/>
                <w:color w:val="auto"/>
                <w:highlight w:val="none"/>
              </w:rPr>
            </w:pPr>
            <w:r>
              <w:rPr>
                <w:rFonts w:hint="eastAsia" w:ascii="宋体" w:hAnsi="宋体" w:cs="宋体"/>
                <w:color w:val="auto"/>
                <w:spacing w:val="-1"/>
                <w:highlight w:val="none"/>
              </w:rPr>
              <w:t xml:space="preserve">7、报修响应时间</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280" w:lineRule="exact"/>
              <w:rPr>
                <w:rFonts w:ascii="宋体" w:hAnsi="宋体" w:cs="宋体"/>
                <w:color w:val="auto"/>
                <w:highlight w:val="none"/>
              </w:rPr>
            </w:pPr>
            <w:r>
              <w:rPr>
                <w:rFonts w:ascii="宋体" w:hAnsi="宋体" w:cs="宋体"/>
                <w:color w:val="auto"/>
                <w:highlight w:val="none"/>
              </w:rPr>
            </w:r>
            <w:r/>
          </w:p>
        </w:tc>
      </w:tr>
      <w:tr>
        <w:trPr>
          <w:jc w:val="center"/>
          <w:trHeight w:val="794" w:hRule="exact"/>
        </w:trPr>
        <w:tc>
          <w:tcPr>
            <w:tcBorders>
              <w:top w:val="single" w:color="000000" w:sz="6" w:space="0"/>
              <w:left w:val="single" w:color="000000" w:sz="6" w:space="0"/>
              <w:bottom w:val="single" w:color="000000" w:sz="6" w:space="0"/>
              <w:right w:val="single" w:color="000000" w:sz="6" w:space="0"/>
            </w:tcBorders>
            <w:tcW w:w="4017" w:type="dxa"/>
            <w:vAlign w:val="center"/>
            <w:textDirection w:val="lrTb"/>
            <w:noWrap/>
          </w:tcPr>
          <w:p>
            <w:pPr>
              <w:ind w:left="-91"/>
              <w:spacing w:line="280" w:lineRule="exact"/>
              <w:rPr>
                <w:rFonts w:ascii="宋体" w:hAnsi="宋体" w:cs="宋体"/>
                <w:color w:val="auto"/>
                <w:highlight w:val="none"/>
              </w:rPr>
            </w:pPr>
            <w:r>
              <w:rPr>
                <w:rFonts w:hint="eastAsia" w:ascii="宋体" w:hAnsi="宋体" w:cs="宋体"/>
                <w:color w:val="auto"/>
                <w:spacing w:val="-1"/>
                <w:highlight w:val="none"/>
              </w:rPr>
              <w:t xml:space="preserve">8、其他优惠措施</w:t>
            </w:r>
            <w:r/>
          </w:p>
        </w:tc>
        <w:tc>
          <w:tcPr>
            <w:tcBorders>
              <w:top w:val="single" w:color="000000" w:sz="6" w:space="0"/>
              <w:left w:val="single" w:color="000000" w:sz="6" w:space="0"/>
              <w:bottom w:val="single" w:color="000000" w:sz="6" w:space="0"/>
              <w:right w:val="single" w:color="000000" w:sz="6" w:space="0"/>
            </w:tcBorders>
            <w:tcW w:w="4887" w:type="dxa"/>
            <w:vAlign w:val="center"/>
            <w:textDirection w:val="lrTb"/>
            <w:noWrap/>
          </w:tcPr>
          <w:p>
            <w:pPr>
              <w:ind w:left="-91"/>
              <w:spacing w:line="280" w:lineRule="exact"/>
              <w:rPr>
                <w:rFonts w:ascii="宋体" w:hAnsi="宋体" w:cs="宋体"/>
                <w:color w:val="auto"/>
                <w:highlight w:val="none"/>
              </w:rPr>
            </w:pPr>
            <w:r>
              <w:rPr>
                <w:rFonts w:ascii="宋体" w:hAnsi="宋体" w:cs="宋体"/>
                <w:color w:val="auto"/>
                <w:highlight w:val="none"/>
              </w:rPr>
            </w:r>
            <w:r/>
          </w:p>
        </w:tc>
      </w:tr>
    </w:tbl>
    <w:p>
      <w:pPr>
        <w:pStyle w:val="117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17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法定代表人或委托代理人：（签字或盖章）</w:t>
      </w:r>
      <w:r/>
    </w:p>
    <w:p>
      <w:pPr>
        <w:pStyle w:val="117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w:t>
      </w:r>
      <w:r/>
    </w:p>
    <w:p>
      <w:pPr>
        <w:ind w:firstLine="420"/>
        <w:rPr>
          <w:rFonts w:ascii="宋体" w:hAnsi="宋体" w:cs="宋体"/>
          <w:color w:val="auto"/>
          <w:highlight w:val="none"/>
        </w:rPr>
      </w:pPr>
      <w:r>
        <w:rPr>
          <w:rFonts w:hint="eastAsia" w:ascii="宋体" w:hAnsi="宋体" w:cs="宋体"/>
          <w:color w:val="auto"/>
          <w:highlight w:val="none"/>
        </w:rPr>
        <w:t xml:space="preserve">注：各投标单位可参照上述格式自制《投标主要条款承诺表》投标。</w:t>
      </w:r>
      <w:r/>
    </w:p>
    <w:p>
      <w:pPr>
        <w:pStyle w:val="898"/>
        <w:jc w:val="center"/>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ascii="宋体" w:hAnsi="宋体" w:cs="宋体"/>
          <w:color w:val="auto"/>
          <w:highlight w:val="none"/>
        </w:rPr>
      </w:r>
      <w:r/>
    </w:p>
    <w:p>
      <w:pPr>
        <w:pStyle w:val="898"/>
        <w:rPr>
          <w:rFonts w:ascii="宋体" w:hAnsi="宋体" w:cs="宋体"/>
          <w:color w:val="auto"/>
          <w:highlight w:val="none"/>
        </w:rPr>
      </w:pPr>
      <w:r>
        <w:rPr>
          <w:rFonts w:ascii="宋体" w:hAnsi="宋体" w:cs="宋体"/>
          <w:color w:val="auto"/>
          <w:highlight w:val="none"/>
        </w:rPr>
      </w:r>
      <w:r/>
    </w:p>
    <w:p>
      <w:pPr>
        <w:pStyle w:val="898"/>
        <w:rPr>
          <w:rFonts w:ascii="宋体" w:hAnsi="宋体" w:cs="宋体"/>
          <w:color w:val="auto"/>
          <w:highlight w:val="none"/>
        </w:rPr>
      </w:pPr>
      <w:r>
        <w:rPr>
          <w:rFonts w:ascii="宋体" w:hAnsi="宋体" w:cs="宋体"/>
          <w:color w:val="auto"/>
          <w:highlight w:val="none"/>
        </w:rPr>
      </w:r>
      <w:r/>
    </w:p>
    <w:p>
      <w:pPr>
        <w:pStyle w:val="898"/>
        <w:jc w:val="center"/>
        <w:rPr>
          <w:rFonts w:ascii="宋体" w:hAnsi="宋体" w:cs="宋体"/>
          <w:color w:val="auto"/>
          <w:highlight w:val="none"/>
        </w:rPr>
      </w:pPr>
      <w:r>
        <w:rPr>
          <w:rFonts w:hint="eastAsia" w:ascii="宋体" w:hAnsi="宋体" w:cs="宋体"/>
          <w:color w:val="auto"/>
          <w:highlight w:val="none"/>
        </w:rPr>
        <w:t xml:space="preserve"> 质量保证书</w:t>
      </w:r>
      <w:r/>
    </w:p>
    <w:p>
      <w:pPr>
        <w:spacing w:line="360" w:lineRule="auto"/>
        <w:rPr>
          <w:rFonts w:ascii="宋体" w:hAnsi="宋体" w:cs="宋体"/>
          <w:color w:val="auto"/>
          <w:highlight w:val="none"/>
        </w:rPr>
      </w:pPr>
      <w:r>
        <w:rPr>
          <w:rFonts w:hint="eastAsia" w:ascii="宋体" w:hAnsi="宋体" w:cs="宋体"/>
          <w:color w:val="auto"/>
          <w:highlight w:val="none"/>
        </w:rPr>
        <w:t xml:space="preserve">致：苏州大学附属儿童医院</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本保证书作为（投标单位名称）参加苏州市创杰招投标咨询服务有限公司编号</w:t>
      </w:r>
      <w:r>
        <w:rPr>
          <w:rFonts w:hint="eastAsia" w:ascii="宋体" w:hAnsi="宋体" w:cs="宋体"/>
          <w:color w:val="auto"/>
          <w:highlight w:val="none"/>
          <w:lang w:eastAsia="zh-CN"/>
        </w:rPr>
        <w:t xml:space="preserve">JSZC-320000-CJZB-G2025-0146</w:t>
      </w:r>
      <w:r>
        <w:rPr>
          <w:rFonts w:hint="eastAsia" w:ascii="宋体" w:hAnsi="宋体" w:cs="宋体"/>
          <w:color w:val="auto"/>
          <w:highlight w:val="none"/>
        </w:rPr>
        <w:t xml:space="preserve">号投标书的不可分割的一部分。如我单位有幸成为</w:t>
      </w:r>
      <w:r>
        <w:rPr>
          <w:rFonts w:hint="eastAsia" w:ascii="宋体" w:hAnsi="宋体" w:cs="宋体"/>
          <w:color w:val="auto"/>
          <w:highlight w:val="none"/>
          <w:lang w:eastAsia="zh-CN"/>
        </w:rPr>
        <w:t xml:space="preserve">JSZC-320000-CJZB-G2025-0146</w:t>
      </w:r>
      <w:r>
        <w:rPr>
          <w:rFonts w:hint="eastAsia" w:ascii="宋体" w:hAnsi="宋体" w:cs="宋体"/>
          <w:color w:val="auto"/>
          <w:highlight w:val="none"/>
        </w:rPr>
        <w:t xml:space="preserve">号招投标活动的中标单位，特向贵方保证，所有设备、材料均为原厂合格产品、符合招标文件技术、性能、质量要求的规定，并提供出厂合格证明和国家权威部门的检验测试报告，保证项目质量符合招标要求，如有不符，由我单位承担全部责任（其他内容自述）。</w:t>
      </w:r>
      <w:r/>
    </w:p>
    <w:p>
      <w:pPr>
        <w:ind w:firstLine="48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投标单位（公章）：</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法定代表人或委托代理人（签字或盖章）：</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80"/>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678"/>
        <w:ind w:firstLine="0"/>
        <w:pageBreakBefore/>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附件11：关于资格文件的声明函</w:t>
      </w:r>
      <w:r/>
    </w:p>
    <w:p>
      <w:pPr>
        <w:pStyle w:val="678"/>
        <w:ind w:firstLine="0"/>
        <w:rPr>
          <w:rFonts w:ascii="宋体" w:hAnsi="宋体" w:eastAsia="宋体" w:cs="宋体"/>
          <w:b/>
          <w:color w:val="auto"/>
          <w:sz w:val="21"/>
          <w:highlight w:val="none"/>
        </w:rPr>
      </w:pPr>
      <w:r>
        <w:rPr>
          <w:rFonts w:ascii="宋体" w:hAnsi="宋体" w:eastAsia="宋体" w:cs="宋体"/>
          <w:b/>
          <w:color w:val="auto"/>
          <w:sz w:val="21"/>
          <w:highlight w:val="none"/>
        </w:rPr>
      </w:r>
      <w:r/>
    </w:p>
    <w:p>
      <w:pPr>
        <w:pStyle w:val="678"/>
        <w:ind w:firstLine="0"/>
        <w:rPr>
          <w:rFonts w:ascii="宋体" w:hAnsi="宋体" w:eastAsia="宋体" w:cs="宋体"/>
          <w:b/>
          <w:color w:val="auto"/>
          <w:sz w:val="21"/>
          <w:highlight w:val="none"/>
        </w:rPr>
      </w:pPr>
      <w:r>
        <w:rPr>
          <w:rFonts w:ascii="宋体" w:hAnsi="宋体" w:eastAsia="宋体" w:cs="宋体"/>
          <w:b/>
          <w:color w:val="auto"/>
          <w:sz w:val="21"/>
          <w:highlight w:val="none"/>
        </w:rPr>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pStyle w:val="67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（1）关于资格文件的声明函</w:t>
      </w:r>
      <w:r/>
    </w:p>
    <w:p>
      <w:pPr>
        <w:pStyle w:val="678"/>
        <w:jc w:val="center"/>
        <w:rPr>
          <w:rFonts w:ascii="宋体" w:hAnsi="宋体" w:eastAsia="宋体" w:cs="宋体"/>
          <w:color w:val="auto"/>
          <w:sz w:val="21"/>
          <w:highlight w:val="none"/>
        </w:rPr>
      </w:pPr>
      <w:r>
        <w:rPr>
          <w:rFonts w:ascii="宋体" w:hAnsi="宋体" w:eastAsia="宋体" w:cs="宋体"/>
          <w:color w:val="auto"/>
          <w:sz w:val="21"/>
          <w:highlight w:val="none"/>
        </w:rPr>
      </w:r>
      <w:r/>
    </w:p>
    <w:p>
      <w:pPr>
        <w:pStyle w:val="678"/>
        <w:ind w:firstLine="0"/>
        <w:spacing w:line="40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678"/>
        <w:ind w:firstLine="66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准确的、有效的。若与真实情况不符，本公司愿意承担由此而产生的一切后果。本公司愿意提供招标文件中要求的所有资料，本公司承诺我单位符合招标文件投标人须知要求中“合格投标人的一般条件”的资格要求。</w:t>
      </w:r>
      <w:r/>
    </w:p>
    <w:p>
      <w:pPr>
        <w:pStyle w:val="678"/>
        <w:spacing w:line="400" w:lineRule="exact"/>
        <w:rPr>
          <w:rFonts w:ascii="宋体" w:hAnsi="宋体" w:eastAsia="宋体" w:cs="宋体"/>
          <w:color w:val="auto"/>
          <w:sz w:val="21"/>
          <w:highlight w:val="none"/>
        </w:rPr>
      </w:pPr>
      <w:r>
        <w:rPr>
          <w:rFonts w:ascii="宋体" w:hAnsi="宋体" w:eastAsia="宋体" w:cs="宋体"/>
          <w:color w:val="auto"/>
          <w:sz w:val="21"/>
          <w:highlight w:val="none"/>
        </w:rPr>
      </w:r>
      <w:r/>
    </w:p>
    <w:p>
      <w:pPr>
        <w:pStyle w:val="678"/>
        <w:spacing w:line="400" w:lineRule="exact"/>
        <w:rPr>
          <w:rFonts w:ascii="宋体" w:hAnsi="宋体" w:eastAsia="宋体" w:cs="宋体"/>
          <w:color w:val="auto"/>
          <w:sz w:val="21"/>
          <w:highlight w:val="none"/>
        </w:rPr>
      </w:pPr>
      <w:r>
        <w:rPr>
          <w:rFonts w:ascii="宋体" w:hAnsi="宋体" w:eastAsia="宋体" w:cs="宋体"/>
          <w:color w:val="auto"/>
          <w:sz w:val="21"/>
          <w:highlight w:val="none"/>
        </w:rPr>
      </w:r>
      <w:r/>
    </w:p>
    <w:p>
      <w:pPr>
        <w:pStyle w:val="678"/>
        <w:spacing w:line="400" w:lineRule="exact"/>
        <w:rPr>
          <w:rFonts w:ascii="宋体" w:hAnsi="宋体" w:eastAsia="宋体" w:cs="宋体"/>
          <w:color w:val="auto"/>
          <w:sz w:val="21"/>
          <w:highlight w:val="none"/>
        </w:rPr>
      </w:pPr>
      <w:r>
        <w:rPr>
          <w:rFonts w:ascii="宋体" w:hAnsi="宋体" w:eastAsia="宋体" w:cs="宋体"/>
          <w:color w:val="auto"/>
          <w:sz w:val="21"/>
          <w:highlight w:val="none"/>
        </w:rPr>
      </w:r>
      <w:r/>
    </w:p>
    <w:p>
      <w:pPr>
        <w:pStyle w:val="678"/>
        <w:spacing w:line="400" w:lineRule="exact"/>
        <w:rPr>
          <w:rFonts w:ascii="宋体" w:hAnsi="宋体" w:eastAsia="宋体" w:cs="宋体"/>
          <w:color w:val="auto"/>
          <w:sz w:val="21"/>
          <w:highlight w:val="none"/>
        </w:rPr>
      </w:pP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投标单位法定代表人：（签字或盖章）</w:t>
      </w:r>
      <w:r/>
    </w:p>
    <w:p>
      <w:pPr>
        <w:pStyle w:val="678"/>
        <w:ind w:left="1700" w:firstLine="425"/>
        <w:spacing w:line="40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        投标单位：（公章）</w:t>
      </w:r>
      <w:r/>
    </w:p>
    <w:p>
      <w:pPr>
        <w:pStyle w:val="678"/>
        <w:ind w:firstLine="2940"/>
        <w:spacing w:line="40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日    期：    年</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月 </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日</w:t>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pStyle w:val="678"/>
        <w:ind w:firstLine="0"/>
        <w:rPr>
          <w:rFonts w:ascii="宋体" w:hAnsi="宋体" w:eastAsia="宋体" w:cs="宋体"/>
          <w:color w:val="auto"/>
          <w:sz w:val="21"/>
          <w:highlight w:val="none"/>
        </w:rPr>
      </w:pPr>
      <w:r>
        <w:rPr>
          <w:rFonts w:ascii="宋体" w:hAnsi="宋体" w:eastAsia="宋体" w:cs="宋体"/>
          <w:color w:val="auto"/>
          <w:sz w:val="21"/>
          <w:highlight w:val="none"/>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（2）投标单位资格承诺书</w:t>
      </w:r>
      <w:r/>
    </w:p>
    <w:p>
      <w:pPr>
        <w:ind w:firstLine="31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w:t>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3843"/>
        <w:gridCol w:w="1477"/>
        <w:gridCol w:w="3027"/>
      </w:tblGrid>
      <w:tr>
        <w:trPr>
          <w:jc w:val="center"/>
          <w:trHeight w:val="696"/>
        </w:trPr>
        <w:tc>
          <w:tcPr>
            <w:tcW w:w="697" w:type="dxa"/>
            <w:vAlign w:val="center"/>
            <w:textDirection w:val="lrTb"/>
            <w:noWrap/>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843" w:type="dxa"/>
            <w:vAlign w:val="center"/>
            <w:textDirection w:val="lrTb"/>
            <w:noWrap/>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投标单位部分资格要求</w:t>
            </w:r>
            <w:r/>
          </w:p>
        </w:tc>
        <w:tc>
          <w:tcPr>
            <w:tcW w:w="1477" w:type="dxa"/>
            <w:vAlign w:val="center"/>
            <w:textDirection w:val="lrTb"/>
            <w:noWrap/>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是否完全响应</w:t>
            </w:r>
            <w:r/>
          </w:p>
        </w:tc>
        <w:tc>
          <w:tcPr>
            <w:tcW w:w="3027" w:type="dxa"/>
            <w:vAlign w:val="center"/>
            <w:textDirection w:val="lrTb"/>
            <w:noWrap/>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84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84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最近一期（2023年度或2024年度）经审计的财务报告或最近一期（2025年1月至今任意一期）的财务报表，或银行出具的资信证明，或财政部门认可的政府采购专业担保机构出具的投标担保函</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84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提供证明材料或书面声明函</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84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84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43" w:type="dxa"/>
            <w:vAlign w:val="center"/>
            <w:textDirection w:val="lrTb"/>
            <w:noWrap/>
          </w:tcPr>
          <w:p>
            <w:pPr>
              <w:pStyle w:val="895"/>
              <w:ind w:firstLine="0"/>
              <w:rPr>
                <w:rFonts w:cs="宋体"/>
                <w:color w:val="auto"/>
                <w:sz w:val="21"/>
                <w:szCs w:val="21"/>
                <w:highlight w:val="none"/>
                <w:u w:val="none"/>
              </w:rPr>
            </w:pPr>
            <w:r>
              <w:rPr>
                <w:rFonts w:hint="eastAsia" w:cs="宋体"/>
                <w:color w:val="auto"/>
                <w:sz w:val="21"/>
                <w:szCs w:val="21"/>
                <w:highlight w:val="none"/>
                <w:u w:val="none"/>
              </w:rPr>
              <w:t xml:space="preserve">法律、行政法规规定的其他条件；</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6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843" w:type="dxa"/>
            <w:vAlign w:val="center"/>
            <w:textDirection w:val="lrTb"/>
            <w:noWrap/>
          </w:tcPr>
          <w:p>
            <w:pPr>
              <w:pStyle w:val="895"/>
              <w:ind w:firstLine="0"/>
              <w:rPr>
                <w:rFonts w:cs="宋体"/>
                <w:color w:val="auto"/>
                <w:sz w:val="21"/>
                <w:szCs w:val="21"/>
                <w:highlight w:val="none"/>
                <w:u w:val="none"/>
              </w:rPr>
            </w:pPr>
            <w:r>
              <w:rPr>
                <w:rFonts w:hint="eastAsia" w:cs="宋体"/>
                <w:color w:val="auto"/>
                <w:sz w:val="21"/>
                <w:szCs w:val="21"/>
                <w:highlight w:val="none"/>
                <w:u w:val="none"/>
              </w:rPr>
              <w:t xml:space="preserve">合格投标单位特定要求（如有，按招标公告要求）</w:t>
            </w:r>
            <w:r/>
          </w:p>
        </w:tc>
        <w:tc>
          <w:tcPr>
            <w:tcW w:w="147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02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提供符合要求的资质证书等证明文件。</w:t>
            </w:r>
            <w:r/>
          </w:p>
        </w:tc>
      </w:tr>
    </w:tbl>
    <w:p>
      <w:pPr>
        <w:pStyle w:val="901"/>
        <w:ind w:firstLine="630"/>
        <w:spacing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pStyle w:val="901"/>
        <w:ind w:firstLine="630"/>
        <w:spacing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附件12：中小企业声明函（参考格式）</w:t>
      </w:r>
      <w:r/>
    </w:p>
    <w:p>
      <w:pPr>
        <w:jc w:val="center"/>
        <w:widowControl/>
        <w:rPr>
          <w:rFonts w:ascii="宋体" w:hAnsi="宋体" w:cs="宋体"/>
          <w:color w:val="auto"/>
          <w:szCs w:val="21"/>
          <w:highlight w:val="none"/>
        </w:rPr>
      </w:pPr>
      <w:r>
        <w:rPr>
          <w:rFonts w:hint="eastAsia" w:ascii="宋体" w:hAnsi="宋体" w:cs="宋体"/>
          <w:b/>
          <w:color w:val="auto"/>
          <w:szCs w:val="21"/>
          <w:highlight w:val="none"/>
        </w:rPr>
        <w:t xml:space="preserve">中小企业声明函（货物）</w:t>
      </w:r>
      <w:r/>
    </w:p>
    <w:p>
      <w:pPr>
        <w:ind w:left="220" w:right="415"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采购活动，货物全部由符合政策要求的中小企业制造。相关企业</w:t>
      </w:r>
      <w:r>
        <w:rPr>
          <w:color w:val="auto"/>
          <w:highlight w:val="none"/>
        </w:rPr>
        <w:t xml:space="preserve">（含联合体中的中小企业、签订分包意向协议的中小企业） 的具体情况如下</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（工业）</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w:t>
      </w:r>
      <w:r>
        <w:rPr>
          <w:color w:val="auto"/>
          <w:highlight w:val="none"/>
        </w:rPr>
        <w:t xml:space="preserve">万元</w:t>
      </w:r>
      <w:r>
        <w:rPr>
          <w:color w:val="auto"/>
          <w:highlight w:val="none"/>
          <w:vertAlign w:val="superscript"/>
        </w:rPr>
        <w:t xml:space="preserve">1</w:t>
      </w:r>
      <w:r>
        <w:rPr>
          <w:rFonts w:hint="eastAsia" w:ascii="宋体" w:hAnsi="宋体" w:cs="宋体"/>
          <w:color w:val="auto"/>
          <w:szCs w:val="21"/>
          <w:highlight w:val="none"/>
        </w:rPr>
        <w:t xml:space="preserve">，属于（中型企业、小型企业、微型企业）；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w:t>
      </w:r>
      <w:r>
        <w:rPr>
          <w:color w:val="auto"/>
          <w:highlight w:val="none"/>
        </w:rPr>
        <w:t xml:space="preserve">万元</w:t>
      </w:r>
      <w:r>
        <w:rPr>
          <w:color w:val="auto"/>
          <w:highlight w:val="none"/>
          <w:vertAlign w:val="superscript"/>
        </w:rPr>
        <w:t xml:space="preserve">1</w:t>
      </w:r>
      <w:r>
        <w:rPr>
          <w:rFonts w:hint="eastAsia" w:ascii="宋体" w:hAnsi="宋体" w:cs="宋体"/>
          <w:color w:val="auto"/>
          <w:szCs w:val="21"/>
          <w:highlight w:val="none"/>
        </w:rPr>
        <w:t xml:space="preserve">，属于（中型企业、小型企业、微型企业）；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 </w:t>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righ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351"/>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日 期：</w:t>
      </w:r>
      <w:r/>
    </w:p>
    <w:p>
      <w:pPr>
        <w:pStyle w:val="893"/>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893"/>
        <w:ind w:firstLine="63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893"/>
        <w:ind w:firstLine="63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93"/>
        <w:ind w:firstLine="632"/>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4.如未对（中型企业、小型企业、微型企业）进行勾选，视同非中小微企业，不可享受相应扶持政策。</w:t>
      </w:r>
      <w:r/>
    </w:p>
    <w:p>
      <w:pPr>
        <w:pStyle w:val="1027"/>
        <w:ind w:left="840" w:hanging="21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rPr>
        <w:t xml:space="preserve">5.中标单位为中小企业的，《中小企业声明函》将随中标结果同时公告</w:t>
      </w:r>
      <w:r>
        <w:rPr>
          <w:rFonts w:hint="eastAsia" w:hAnsi="宋体" w:eastAsia="宋体" w:cs="宋体"/>
          <w:color w:val="auto"/>
          <w:sz w:val="21"/>
          <w:szCs w:val="21"/>
          <w:highlight w:val="none"/>
          <w:lang w:val="zh-CN"/>
        </w:rPr>
        <w:t xml:space="preserve">。</w:t>
      </w:r>
      <w:r/>
    </w:p>
    <w:p>
      <w:pPr>
        <w:pStyle w:val="1027"/>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ind w:firstLine="422"/>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rPr>
          <w:rFonts w:ascii="宋体" w:hAnsi="宋体" w:cs="宋体"/>
          <w:color w:val="auto"/>
          <w:szCs w:val="21"/>
          <w:highlight w:val="none"/>
        </w:rPr>
      </w:pPr>
      <w:r>
        <w:rPr>
          <w:rFonts w:hint="eastAsia" w:hAnsi="宋体"/>
          <w:b/>
          <w:color w:val="auto"/>
          <w:szCs w:val="24"/>
          <w:highlight w:val="none"/>
        </w:rPr>
        <w:t xml:space="preserve">（十六）其他未列明行业。</w:t>
      </w:r>
      <w:r>
        <w:rPr>
          <w:rFonts w:hint="eastAsia" w:hAnsi="宋体"/>
          <w:color w:val="auto"/>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auto"/>
          <w:szCs w:val="21"/>
          <w:highlight w:val="none"/>
          <w:lang w:val="zh-CN"/>
        </w:rPr>
        <w:t xml:space="preserve">。</w:t>
      </w:r>
      <w:r/>
    </w:p>
    <w:p>
      <w:pPr>
        <w:ind w:right="-4"/>
        <w:pageBreakBefore/>
        <w:spacing w:line="360" w:lineRule="auto"/>
        <w:rPr>
          <w:rFonts w:ascii="宋体" w:hAnsi="宋体" w:cs="宋体"/>
          <w:b/>
          <w:color w:val="auto"/>
          <w:highlight w:val="none"/>
        </w:rPr>
      </w:pPr>
      <w:r>
        <w:rPr>
          <w:rFonts w:hint="eastAsia" w:ascii="宋体" w:hAnsi="宋体" w:cs="宋体"/>
          <w:b/>
          <w:color w:val="auto"/>
          <w:highlight w:val="none"/>
        </w:rPr>
        <w:t xml:space="preserve">附件13：残疾人福利性单位声明函</w:t>
      </w:r>
      <w:r/>
    </w:p>
    <w:p>
      <w:pPr>
        <w:jc w:val="center"/>
        <w:spacing w:line="36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r/>
    </w:p>
    <w:p>
      <w:pP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1"/>
        <w:spacing w:before="0" w:beforeAutospacing="0" w:after="0" w:afterAutospacing="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附件14：投标（响应）保证承诺书</w:t>
      </w:r>
      <w:r/>
    </w:p>
    <w:p>
      <w:pPr>
        <w:pStyle w:val="901"/>
        <w:spacing w:before="0" w:beforeAutospacing="0" w:after="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1"/>
        <w:jc w:val="center"/>
        <w:spacing w:before="0" w:beforeAutospacing="0" w:after="0" w:afterAutospacing="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投标（响应）保证承诺书</w:t>
      </w:r>
      <w:r/>
    </w:p>
    <w:p>
      <w:pPr>
        <w:pStyle w:val="901"/>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（采购代理机构名称）</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（项目名称和采购编号） </w:t>
      </w:r>
      <w:r>
        <w:rPr>
          <w:rFonts w:hint="eastAsia" w:ascii="宋体" w:hAnsi="宋体" w:eastAsia="宋体" w:cs="宋体"/>
          <w:color w:val="auto"/>
          <w:sz w:val="21"/>
          <w:szCs w:val="21"/>
          <w:highlight w:val="none"/>
        </w:rPr>
        <w:t xml:space="preserve">的投标（响应）,并做出如下承诺：</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一、除不可抗力外，我单位如果发生以下行为，将在行为发生的10个工作日内，向贵方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支付本采购文件公布的预算金额（或最高限价）的2%作为违约赔偿金（数量不确定的单价采购须约定具体金额）。</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1.自投标（响应）截止时间至本项目发布中标（成交）公告为止，撤销投标（响应）；</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2.中标（成交）后不依法与采购人签订合同；</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3.中标（成交）后不按本采购文件规定向采购人提交履约保证金；</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4.中标（成交）后不按本采购文件规定向贵方缴纳采购代理费。</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二、我单位知晓上述行为的法律后果，承认本承诺书作为贵方（或采购人）要求我单位履行违约赔偿义务的依据作用。</w:t>
      </w:r>
      <w:r/>
    </w:p>
    <w:p>
      <w:pPr>
        <w:pStyle w:val="901"/>
        <w:ind w:left="1560"/>
        <w:spacing w:before="0" w:beforeAutospacing="0" w:after="0" w:afterAutospacing="0" w:line="360"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投标（响应）人：（盖公章）</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电子邮件：                  </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p>
      <w:pPr>
        <w:pStyle w:val="901"/>
        <w:ind w:firstLine="60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4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4"/>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b/>
          <w:bCs/>
          <w:color w:val="auto"/>
          <w:spacing w:val="6"/>
          <w:szCs w:val="21"/>
          <w:highlight w:val="none"/>
        </w:rPr>
      </w:pPr>
      <w:r>
        <w:rPr>
          <w:rFonts w:ascii="宋体" w:hAnsi="宋体" w:cs="宋体"/>
          <w:b/>
          <w:bCs/>
          <w:color w:val="auto"/>
          <w:spacing w:val="6"/>
          <w:szCs w:val="21"/>
          <w:highlight w:val="none"/>
        </w:rPr>
      </w:r>
      <w:r/>
    </w:p>
    <w:p>
      <w:pPr>
        <w:spacing w:line="360" w:lineRule="auto"/>
        <w:rPr>
          <w:rFonts w:ascii="宋体" w:hAnsi="宋体" w:cs="宋体"/>
          <w:color w:val="auto"/>
          <w:spacing w:val="6"/>
          <w:szCs w:val="21"/>
          <w:highlight w:val="none"/>
        </w:rPr>
      </w:pPr>
      <w:r>
        <w:rPr>
          <w:rFonts w:hint="eastAsia" w:ascii="宋体" w:hAnsi="宋体" w:cs="宋体"/>
          <w:b/>
          <w:bCs/>
          <w:color w:val="auto"/>
          <w:spacing w:val="6"/>
          <w:szCs w:val="21"/>
          <w:highlight w:val="none"/>
        </w:rPr>
        <w:t xml:space="preserve">附件15：政府采购合同信用融资政策告知函（本附件无需放置投标文件中）</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562"/>
        <w:jc w:val="center"/>
        <w:spacing w:line="360" w:lineRule="auto"/>
        <w:widowControl/>
        <w:rPr>
          <w:rFonts w:ascii="宋体" w:hAnsi="宋体" w:cs="宋体"/>
          <w:b/>
          <w:color w:val="auto"/>
          <w:sz w:val="24"/>
          <w:highlight w:val="none"/>
        </w:rPr>
      </w:pPr>
      <w:r>
        <w:rPr>
          <w:rFonts w:hint="eastAsia" w:ascii="宋体" w:hAnsi="宋体" w:cs="宋体"/>
          <w:b/>
          <w:color w:val="auto"/>
          <w:sz w:val="28"/>
          <w:highlight w:val="none"/>
        </w:rPr>
        <w:t xml:space="preserve">政府采购合同信用融资政策告知函</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欢迎贵公司参加江苏省政府采购活动！</w:t>
      </w:r>
      <w:r/>
    </w:p>
    <w:p>
      <w:pPr>
        <w:pStyle w:val="871"/>
        <w:ind w:firstLine="63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86"/>
      <w:bookmarkEnd w:id="87"/>
      <w:bookmarkEnd w:id="88"/>
      <w:bookmarkEnd w:id="89"/>
      <w:bookmarkEnd w:id="90"/>
      <w:bookmarkEnd w:id="91"/>
      <w:bookmarkEnd w:id="92"/>
      <w:bookmarkEnd w:id="93"/>
      <w:bookmarkEnd w:id="94"/>
      <w:bookmarkEnd w:id="95"/>
      <w:bookmarkEnd w:id="96"/>
      <w:bookmarkEnd w:id="97"/>
      <w:bookmarkEnd w:id="98"/>
      <w:bookmarkEnd w:id="99"/>
      <w:r/>
    </w:p>
    <w:p>
      <w:pPr>
        <w:pStyle w:val="849"/>
        <w:jc w:val="center"/>
        <w:pageBreakBefore/>
        <w:spacing w:before="0" w:after="0" w:line="360" w:lineRule="auto"/>
        <w:rPr>
          <w:rFonts w:ascii="宋体" w:hAnsi="宋体" w:eastAsia="宋体" w:cs="宋体"/>
          <w:color w:val="auto"/>
          <w:highlight w:val="none"/>
        </w:rPr>
      </w:pPr>
      <w:r/>
      <w:bookmarkStart w:id="104" w:name="_Toc2154303"/>
      <w:r/>
      <w:bookmarkStart w:id="105" w:name="_Toc536633991"/>
      <w:r/>
      <w:bookmarkStart w:id="106" w:name="_Toc227047092"/>
      <w:r/>
      <w:bookmarkStart w:id="107" w:name="_Toc228616408"/>
      <w:r/>
      <w:bookmarkStart w:id="108" w:name="_Toc221701297"/>
      <w:r/>
      <w:bookmarkStart w:id="109" w:name="_Toc228616324"/>
      <w:r/>
      <w:bookmarkStart w:id="110" w:name="_Toc227034739"/>
      <w:r/>
      <w:bookmarkStart w:id="111" w:name="_Toc221605140"/>
      <w:r/>
      <w:bookmarkStart w:id="112" w:name="_Toc13889377"/>
      <w:r/>
      <w:bookmarkStart w:id="113" w:name="_Toc221604910"/>
      <w:r/>
      <w:bookmarkStart w:id="114" w:name="_Toc226971670"/>
      <w:r/>
      <w:bookmarkStart w:id="115" w:name="_Toc196471482"/>
      <w:r/>
      <w:bookmarkStart w:id="116" w:name="_Toc13642117"/>
      <w:r/>
      <w:bookmarkStart w:id="117" w:name="_Toc221586158"/>
      <w:r/>
      <w:bookmarkStart w:id="118" w:name="_Toc222198309"/>
      <w:r/>
      <w:bookmarkStart w:id="119" w:name="_Toc229880447"/>
      <w:r>
        <w:rPr>
          <w:rFonts w:hint="eastAsia" w:ascii="宋体" w:hAnsi="宋体" w:eastAsia="宋体" w:cs="宋体"/>
          <w:color w:val="auto"/>
          <w:highlight w:val="none"/>
        </w:rPr>
        <w:t xml:space="preserve">第五章合同一般条款</w:t>
      </w:r>
      <w:bookmarkEnd w:id="104"/>
      <w:r/>
      <w:bookmarkEnd w:id="105"/>
      <w:r/>
      <w:bookmarkStart w:id="120" w:name="_Toc13543213"/>
      <w:r/>
      <w:r/>
    </w:p>
    <w:p>
      <w:pPr>
        <w:spacing w:line="360" w:lineRule="auto"/>
        <w:rPr>
          <w:rFonts w:ascii="宋体" w:hAnsi="宋体" w:cs="宋体"/>
          <w:b/>
          <w:color w:val="auto"/>
          <w:highlight w:val="none"/>
        </w:rPr>
      </w:pPr>
      <w:r>
        <w:rPr>
          <w:rFonts w:hint="eastAsia" w:ascii="宋体" w:hAnsi="宋体" w:cs="宋体"/>
          <w:b/>
          <w:color w:val="auto"/>
          <w:highlight w:val="none"/>
        </w:rPr>
        <w:t xml:space="preserve">一、合同文件</w:t>
      </w:r>
      <w:bookmarkEnd w:id="120"/>
      <w:r/>
      <w:r/>
    </w:p>
    <w:p>
      <w:pPr>
        <w:spacing w:line="360" w:lineRule="auto"/>
        <w:rPr>
          <w:rFonts w:ascii="宋体" w:hAnsi="宋体" w:cs="宋体"/>
          <w:b/>
          <w:color w:val="auto"/>
          <w:highlight w:val="none"/>
        </w:rPr>
      </w:pPr>
      <w:r>
        <w:rPr>
          <w:rFonts w:hint="eastAsia" w:ascii="宋体" w:hAnsi="宋体" w:cs="宋体"/>
          <w:b/>
          <w:color w:val="auto"/>
          <w:highlight w:val="none"/>
        </w:rPr>
        <w:t xml:space="preserve">1.  合同文件适用法律</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1.1  适用于合同文件的法律是中华人民共和国现行法律、法规及甲方所在地的地方性法规。</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  合同文件组成和解释顺序</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  合同文件的组成和解释顺序如下：</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2.1.1 合同特殊性条款</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2.1.2 合同一般性条款</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2.1.3 洽商、变更等明确双方权利义务的纪要、协议</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2.1.4 中标通知书、投标书和招标文件</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2.1.5 有关图纸</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2.1.6 标准、规范和其它有关技术资料、技术要求</w:t>
      </w:r>
      <w:r/>
    </w:p>
    <w:p>
      <w:pPr>
        <w:ind w:firstLine="425"/>
        <w:spacing w:line="360" w:lineRule="auto"/>
        <w:rPr>
          <w:rFonts w:ascii="宋体" w:hAnsi="宋体" w:cs="宋体"/>
          <w:color w:val="auto"/>
          <w:highlight w:val="none"/>
        </w:rPr>
      </w:pPr>
      <w:r>
        <w:rPr>
          <w:rFonts w:hint="eastAsia" w:ascii="宋体" w:hAnsi="宋体" w:cs="宋体"/>
          <w:color w:val="auto"/>
          <w:highlight w:val="none"/>
        </w:rPr>
        <w:t xml:space="preserve">2.2 合同的特殊性条款的效力优于合同的一般性条款的效力</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 合同文件使用文字</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3.1  合同文件使用中文书写、解释和说明</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ascii="宋体" w:hAnsi="宋体" w:cs="宋体"/>
          <w:b/>
          <w:color w:val="auto"/>
          <w:highlight w:val="none"/>
        </w:rPr>
      </w:pPr>
      <w:r/>
      <w:bookmarkStart w:id="121" w:name="_Toc13543214"/>
      <w:r>
        <w:rPr>
          <w:rFonts w:hint="eastAsia" w:ascii="宋体" w:hAnsi="宋体" w:cs="宋体"/>
          <w:b/>
          <w:color w:val="auto"/>
          <w:highlight w:val="none"/>
        </w:rPr>
        <w:t xml:space="preserve">二、标的物的一般条款</w:t>
      </w:r>
      <w:bookmarkEnd w:id="121"/>
      <w:r/>
      <w:r/>
    </w:p>
    <w:p>
      <w:pPr>
        <w:spacing w:line="360" w:lineRule="auto"/>
        <w:rPr>
          <w:rFonts w:ascii="宋体" w:hAnsi="宋体" w:cs="宋体"/>
          <w:b/>
          <w:color w:val="auto"/>
          <w:highlight w:val="none"/>
        </w:rPr>
      </w:pPr>
      <w:r>
        <w:rPr>
          <w:rFonts w:hint="eastAsia" w:ascii="宋体" w:hAnsi="宋体" w:cs="宋体"/>
          <w:b/>
          <w:color w:val="auto"/>
          <w:highlight w:val="none"/>
        </w:rPr>
        <w:t xml:space="preserve">4.  完整物权</w:t>
      </w:r>
      <w:r/>
    </w:p>
    <w:p>
      <w:pPr>
        <w:spacing w:line="360" w:lineRule="auto"/>
        <w:rPr>
          <w:rFonts w:ascii="宋体" w:hAnsi="宋体" w:cs="宋体"/>
          <w:color w:val="auto"/>
          <w:highlight w:val="none"/>
        </w:rPr>
      </w:pPr>
      <w:r>
        <w:rPr>
          <w:rFonts w:hint="eastAsia" w:ascii="宋体" w:hAnsi="宋体" w:cs="宋体"/>
          <w:color w:val="auto"/>
          <w:highlight w:val="none"/>
        </w:rPr>
        <w:tab/>
      </w:r>
      <w:r>
        <w:rPr>
          <w:rFonts w:hint="eastAsia" w:ascii="宋体" w:hAnsi="宋体" w:cs="宋体"/>
          <w:color w:val="auto"/>
          <w:highlight w:val="none"/>
        </w:rPr>
        <w:t xml:space="preserve">对于出卖的标的物，乙方应当拥有完整物权，并且乙方负有保证第三人不得向甲方主张任何权利（包括知识产权）的义务。</w:t>
      </w:r>
      <w:r/>
    </w:p>
    <w:p>
      <w:pPr>
        <w:spacing w:line="360" w:lineRule="auto"/>
        <w:rPr>
          <w:rFonts w:ascii="宋体" w:hAnsi="宋体" w:cs="宋体"/>
          <w:b/>
          <w:color w:val="auto"/>
          <w:highlight w:val="none"/>
        </w:rPr>
      </w:pPr>
      <w:r>
        <w:rPr>
          <w:rFonts w:hint="eastAsia" w:ascii="宋体" w:hAnsi="宋体" w:cs="宋体"/>
          <w:b/>
          <w:color w:val="auto"/>
          <w:highlight w:val="none"/>
        </w:rPr>
        <w:t xml:space="preserve">5.  质量保证</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5.1  乙方应保证所供标的物是全新的，未使用过的，并且是非长期积压的库存商品，完全符合合同规定的质量、规格和性能的要求，乙方应保证其提供的标的物在正确安装，正常使用条件下，在其标称的使用寿命期内应具有满意的性能。在乙方承诺的质量保证期限内，乙方应对由于设计、工艺或材料的缺陷及伴随服务而造成的任何不足或故障负责。</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5.3  除合同特殊条款规定外，合同条款中标的物的质量保证期均自标的物通过最终验收之日起计算。具体以招标文件中规定的质量保证期为准或中标单位承诺更高于招标要求的质量保证期为准。</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包装</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伴随服务</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7.1  乙方除应履行按期按量交付合格标的物的义务之外，还应提供下列服务。</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7.1.1  标的物的现场安装、启动、调试、监督（如果必须安装、调试的话）；</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7.1.2  提供标的物组装和一般维修所必须的工具；</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7.1.3  在合同规定的期限内对所提供标的物实行运行监督、维修服务的前提条件是该服务并不能免除乙方在质量保证期内所承担的义务；</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7.1.4  对甲方技术人员的技术指导或培训。</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7.2  除合同另有规定之外，伴随服务的费用均已含在合同价款中，甲方不再另行进行支付。</w:t>
      </w:r>
      <w:r/>
    </w:p>
    <w:p>
      <w:pPr>
        <w:spacing w:line="360" w:lineRule="auto"/>
        <w:rPr>
          <w:rFonts w:ascii="宋体" w:hAnsi="宋体" w:cs="宋体"/>
          <w:b/>
          <w:color w:val="auto"/>
          <w:highlight w:val="none"/>
        </w:rPr>
      </w:pPr>
      <w:r/>
      <w:bookmarkStart w:id="122" w:name="_Toc13543215"/>
      <w:r>
        <w:rPr>
          <w:rFonts w:hint="eastAsia" w:ascii="宋体" w:hAnsi="宋体" w:cs="宋体"/>
          <w:b/>
          <w:color w:val="auto"/>
          <w:highlight w:val="none"/>
        </w:rPr>
        <w:t xml:space="preserve">三、标的物的交付、检验和验收</w:t>
      </w:r>
      <w:bookmarkEnd w:id="122"/>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标的物的交付</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8.1  标的物的所有权自标的物交付时转移。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8.2  乙方应当按照约定的期限和约定的地点交付标的物。</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8.3  乙方应当按照约定或者交易习惯向甲方交付提取标的物单证以外的有关单证和资料。</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检验和验收</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9.2  甲方根据合同规定的内容和验收标准进行验收，同时比较乙方出具的检验证明，经检验无误后出具验收合格证明，该证明作为最终付款所需文件的组成部分。</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9.3  验收期限自标的物交付之日起三十天内。特殊情况需延长的，双方应在合同的特殊条款中约定。</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9.4  如双方对验收结果有分歧，则以苏州市技术质量监督局的检验结果为准，检验费用由有过失的一方支付。</w:t>
      </w:r>
      <w:r/>
    </w:p>
    <w:p>
      <w:pPr>
        <w:jc w:val="left"/>
        <w:spacing w:line="360" w:lineRule="auto"/>
        <w:rPr>
          <w:rFonts w:ascii="宋体" w:hAnsi="宋体" w:cs="宋体"/>
          <w:b/>
          <w:color w:val="auto"/>
          <w:highlight w:val="none"/>
        </w:rPr>
      </w:pPr>
      <w:r/>
      <w:bookmarkStart w:id="123" w:name="_Toc13543216"/>
      <w:r>
        <w:rPr>
          <w:rFonts w:hint="eastAsia" w:ascii="宋体" w:hAnsi="宋体" w:cs="宋体"/>
          <w:b/>
          <w:color w:val="auto"/>
          <w:highlight w:val="none"/>
        </w:rPr>
        <w:t xml:space="preserve">四、对标的物提出异议的时间和办法</w:t>
      </w:r>
      <w:bookmarkEnd w:id="123"/>
      <w:r/>
      <w:r/>
    </w:p>
    <w:p>
      <w:pPr>
        <w:spacing w:line="360" w:lineRule="auto"/>
        <w:rPr>
          <w:rFonts w:ascii="宋体" w:hAnsi="宋体" w:cs="宋体"/>
          <w:b/>
          <w:color w:val="auto"/>
          <w:highlight w:val="none"/>
        </w:rPr>
      </w:pPr>
      <w:r>
        <w:rPr>
          <w:rFonts w:hint="eastAsia" w:ascii="宋体" w:hAnsi="宋体" w:cs="宋体"/>
          <w:b/>
          <w:color w:val="auto"/>
          <w:highlight w:val="none"/>
        </w:rPr>
        <w:t xml:space="preserve">10.  对标的物提出异议的时间和办法 </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10.1  甲方在验收过程中，应当于双方约定的检验期间内将标的物的数量或质量不符合约定的情形及处理方式以书面形式通知乙方。</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10.2  如甲方在验收期满后既不出具验收合格证明又未提出书面异议的视为乙方所交标的物符合合同规定。</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10.3  乙方应在收到甲方书面异议后七天内负责处理问题，否则将视为默认甲方提出的异议和处理意见。</w:t>
      </w:r>
      <w:r/>
    </w:p>
    <w:p>
      <w:pPr>
        <w:spacing w:line="360" w:lineRule="auto"/>
        <w:rPr>
          <w:rFonts w:ascii="宋体" w:hAnsi="宋体" w:cs="宋体"/>
          <w:b/>
          <w:color w:val="auto"/>
          <w:highlight w:val="none"/>
        </w:rPr>
      </w:pPr>
      <w:r/>
      <w:bookmarkStart w:id="124" w:name="_Toc13543217"/>
      <w:r>
        <w:rPr>
          <w:rFonts w:hint="eastAsia" w:ascii="宋体" w:hAnsi="宋体" w:cs="宋体"/>
          <w:b/>
          <w:color w:val="auto"/>
          <w:highlight w:val="none"/>
        </w:rPr>
        <w:t xml:space="preserve">五、合同价款和支付</w:t>
      </w:r>
      <w:bookmarkEnd w:id="124"/>
      <w:r/>
      <w:r/>
    </w:p>
    <w:p>
      <w:pPr>
        <w:spacing w:line="360" w:lineRule="auto"/>
        <w:rPr>
          <w:rFonts w:ascii="宋体" w:hAnsi="宋体" w:cs="宋体"/>
          <w:b/>
          <w:color w:val="auto"/>
          <w:highlight w:val="none"/>
        </w:rPr>
      </w:pPr>
      <w:r>
        <w:rPr>
          <w:rFonts w:hint="eastAsia" w:ascii="宋体" w:hAnsi="宋体" w:cs="宋体"/>
          <w:b/>
          <w:color w:val="auto"/>
          <w:highlight w:val="none"/>
        </w:rPr>
        <w:t xml:space="preserve">11.  合同价款和支付</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11.1 本合同的结算货币为人民币，单位元。</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11.2 乙方应按照双方签订的合同规定交货并在合同特殊条款规定的期限内持下列单据结算货款。</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11.2.1 正式的发票。</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11.2.2 甲方盖章签收后的送货回单和验收合格证明。</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11.3 甲方应按合同特殊条款规定的期限和方式付款。</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11.4 根据现行税法对甲方征收的与本合同有关的一切税费均由甲方承担；根据现行税法对乙方征收的与本合同有关的一切税费均由乙方承担。</w:t>
      </w:r>
      <w:r/>
    </w:p>
    <w:p>
      <w:pPr>
        <w:spacing w:line="360" w:lineRule="auto"/>
        <w:rPr>
          <w:rFonts w:ascii="宋体" w:hAnsi="宋体" w:cs="宋体"/>
          <w:b/>
          <w:color w:val="auto"/>
          <w:highlight w:val="none"/>
        </w:rPr>
      </w:pPr>
      <w:r/>
      <w:bookmarkStart w:id="125" w:name="_Toc13543218"/>
      <w:r>
        <w:rPr>
          <w:rFonts w:hint="eastAsia" w:ascii="宋体" w:hAnsi="宋体" w:cs="宋体"/>
          <w:b/>
          <w:color w:val="auto"/>
          <w:highlight w:val="none"/>
        </w:rPr>
        <w:t xml:space="preserve">六、违约责任</w:t>
      </w:r>
      <w:bookmarkEnd w:id="125"/>
      <w:r/>
      <w:r/>
    </w:p>
    <w:p>
      <w:pPr>
        <w:spacing w:line="360" w:lineRule="auto"/>
        <w:rPr>
          <w:rFonts w:ascii="宋体" w:hAnsi="宋体" w:cs="宋体"/>
          <w:b/>
          <w:color w:val="auto"/>
          <w:highlight w:val="none"/>
        </w:rPr>
      </w:pPr>
      <w:r>
        <w:rPr>
          <w:rFonts w:hint="eastAsia" w:ascii="宋体" w:hAnsi="宋体" w:cs="宋体"/>
          <w:b/>
          <w:color w:val="auto"/>
          <w:highlight w:val="none"/>
        </w:rPr>
        <w:t xml:space="preserve">12.  违约责任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13.  甲方违约责任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13.1  在合同生效后，甲方要求退货的，应向乙方偿付合同总价款的5%，作为违约金，违约金不足以补偿损失的，乙方有权要求甲方补足。</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13.2  甲方逾期付款的应按照逾期付款金额的每天万分之四支付逾期付款违约金。</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13.3  甲方违反合同规定，拒绝接收乙方交付的合格标的物，应当承担乙方由此造成的损失。</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14.  乙方违约责任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15.  不可抗力</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15.1  因不可抗力不能履行合同的，根据不可抗力的影响，部分或者全部免除责任。但合同一方迟延履行后发生不可抗力的，不能免除责任。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15.2  合同一方因不可抗力不能履行合同的，应当及时通知对方，以减轻可能给对方造成的损失，并应当在合理期限内提供证明。</w:t>
      </w:r>
      <w:r/>
    </w:p>
    <w:p>
      <w:pPr>
        <w:spacing w:line="360" w:lineRule="auto"/>
        <w:rPr>
          <w:rFonts w:ascii="宋体" w:hAnsi="宋体" w:cs="宋体"/>
          <w:b/>
          <w:color w:val="auto"/>
          <w:highlight w:val="none"/>
        </w:rPr>
      </w:pPr>
      <w:r/>
      <w:bookmarkStart w:id="126" w:name="_Toc13543219"/>
      <w:r>
        <w:rPr>
          <w:rFonts w:hint="eastAsia" w:ascii="宋体" w:hAnsi="宋体" w:cs="宋体"/>
          <w:b/>
          <w:color w:val="auto"/>
          <w:highlight w:val="none"/>
        </w:rPr>
        <w:t xml:space="preserve">七、索赔</w:t>
      </w:r>
      <w:bookmarkEnd w:id="126"/>
      <w:r/>
      <w:r/>
    </w:p>
    <w:p>
      <w:pPr>
        <w:spacing w:line="360" w:lineRule="auto"/>
        <w:rPr>
          <w:rFonts w:ascii="宋体" w:hAnsi="宋体" w:cs="宋体"/>
          <w:b/>
          <w:color w:val="auto"/>
          <w:highlight w:val="none"/>
        </w:rPr>
      </w:pPr>
      <w:r>
        <w:rPr>
          <w:rFonts w:hint="eastAsia" w:ascii="宋体" w:hAnsi="宋体" w:cs="宋体"/>
          <w:b/>
          <w:color w:val="auto"/>
          <w:highlight w:val="none"/>
        </w:rPr>
        <w:t xml:space="preserve">16.  索赔</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16.1  甲方有权根据当地产品质量检验机构或其它有权部门出具的检验证书向乙方提出索赔。</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16.2  在本合同规定的检验期和质量保证期内，如果乙方对甲方提出的索赔或差异有责任，则乙方应按甲方同意的下列一种或多种方式解决索赔事宜：</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16.2.2  根据标的物的低劣程度、损坏程度以及甲方遭受损失的数额，经双方协商确定降低标的物的价格。</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有权向乙方提出补偿。</w:t>
      </w:r>
      <w:r/>
    </w:p>
    <w:p>
      <w:pPr>
        <w:spacing w:line="360" w:lineRule="auto"/>
        <w:rPr>
          <w:rFonts w:ascii="宋体" w:hAnsi="宋体" w:cs="宋体"/>
          <w:b/>
          <w:color w:val="auto"/>
          <w:highlight w:val="none"/>
        </w:rPr>
      </w:pPr>
      <w:r/>
      <w:bookmarkStart w:id="127" w:name="_Toc13543220"/>
      <w:r>
        <w:rPr>
          <w:rFonts w:hint="eastAsia" w:ascii="宋体" w:hAnsi="宋体" w:cs="宋体"/>
          <w:b/>
          <w:color w:val="auto"/>
          <w:highlight w:val="none"/>
        </w:rPr>
        <w:t xml:space="preserve">八、履约保证金</w:t>
      </w:r>
      <w:bookmarkEnd w:id="127"/>
      <w:r>
        <w:rPr>
          <w:rFonts w:hint="eastAsia" w:ascii="宋体" w:hAnsi="宋体" w:cs="宋体"/>
          <w:b/>
          <w:color w:val="auto"/>
          <w:highlight w:val="none"/>
        </w:rPr>
        <w:t xml:space="preserve">（无）</w:t>
      </w:r>
      <w:r/>
    </w:p>
    <w:p>
      <w:pPr>
        <w:spacing w:line="360" w:lineRule="auto"/>
        <w:rPr>
          <w:rFonts w:ascii="宋体" w:hAnsi="宋体" w:cs="宋体"/>
          <w:b/>
          <w:color w:val="auto"/>
          <w:highlight w:val="none"/>
        </w:rPr>
      </w:pPr>
      <w:r/>
      <w:bookmarkStart w:id="128" w:name="_Toc13543221"/>
      <w:r>
        <w:rPr>
          <w:rFonts w:hint="eastAsia" w:ascii="宋体" w:hAnsi="宋体" w:cs="宋体"/>
          <w:b/>
          <w:color w:val="auto"/>
          <w:highlight w:val="none"/>
        </w:rPr>
        <w:t xml:space="preserve">九、合同的解除和转让</w:t>
      </w:r>
      <w:bookmarkEnd w:id="128"/>
      <w:r/>
      <w:r/>
    </w:p>
    <w:p>
      <w:pPr>
        <w:spacing w:line="360" w:lineRule="auto"/>
        <w:rPr>
          <w:rFonts w:ascii="宋体" w:hAnsi="宋体" w:cs="宋体"/>
          <w:b/>
          <w:color w:val="auto"/>
          <w:highlight w:val="none"/>
        </w:rPr>
      </w:pPr>
      <w:r>
        <w:rPr>
          <w:rFonts w:hint="eastAsia" w:ascii="宋体" w:hAnsi="宋体" w:cs="宋体"/>
          <w:b/>
          <w:color w:val="auto"/>
          <w:highlight w:val="none"/>
        </w:rPr>
        <w:t xml:space="preserve">18.  合同的解除</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18.1 有下列情形之一，合同一方可以解除合同：</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18.1.1 因不可抗力致使不能实现合同目的，未受不可抗力影响的一方有权解除合同；</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18.1.2 因合同一方违约导致合同不能履行，另一方有权解除合同；</w:t>
      </w:r>
      <w:r/>
    </w:p>
    <w:p>
      <w:pPr>
        <w:pStyle w:val="67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18.2 有权解除合同的一方，应当在违约事实或不可抗力发生之后三十天内书面通知对方以主张解除合同，合同在书面通知到达对方时解除。</w:t>
      </w:r>
      <w:r/>
    </w:p>
    <w:p>
      <w:pPr>
        <w:spacing w:line="360" w:lineRule="auto"/>
        <w:rPr>
          <w:rFonts w:ascii="宋体" w:hAnsi="宋体" w:cs="宋体"/>
          <w:b/>
          <w:color w:val="auto"/>
          <w:highlight w:val="none"/>
        </w:rPr>
      </w:pPr>
      <w:r>
        <w:rPr>
          <w:rFonts w:hint="eastAsia" w:ascii="宋体" w:hAnsi="宋体" w:cs="宋体"/>
          <w:b/>
          <w:color w:val="auto"/>
          <w:highlight w:val="none"/>
        </w:rPr>
        <w:t xml:space="preserve">19.  合同的转让</w:t>
      </w:r>
      <w:r/>
    </w:p>
    <w:p>
      <w:pPr>
        <w:spacing w:line="360" w:lineRule="auto"/>
        <w:rPr>
          <w:rFonts w:ascii="宋体" w:hAnsi="宋体" w:cs="宋体"/>
          <w:color w:val="auto"/>
          <w:highlight w:val="none"/>
        </w:rPr>
      </w:pPr>
      <w:r>
        <w:rPr>
          <w:rFonts w:hint="eastAsia" w:ascii="宋体" w:hAnsi="宋体" w:cs="宋体"/>
          <w:color w:val="auto"/>
          <w:highlight w:val="none"/>
        </w:rPr>
        <w:t xml:space="preserve">     合同的部分和全部都不得转让。</w:t>
      </w:r>
      <w:r/>
    </w:p>
    <w:p>
      <w:pPr>
        <w:spacing w:line="360" w:lineRule="auto"/>
        <w:rPr>
          <w:rFonts w:ascii="宋体" w:hAnsi="宋体" w:cs="宋体"/>
          <w:b/>
          <w:color w:val="auto"/>
          <w:highlight w:val="none"/>
        </w:rPr>
      </w:pPr>
      <w:r/>
      <w:bookmarkStart w:id="129" w:name="_Toc13543222"/>
      <w:r>
        <w:rPr>
          <w:rFonts w:hint="eastAsia" w:ascii="宋体" w:hAnsi="宋体" w:cs="宋体"/>
          <w:b/>
          <w:color w:val="auto"/>
          <w:highlight w:val="none"/>
        </w:rPr>
        <w:t xml:space="preserve">十、合同的生效</w:t>
      </w:r>
      <w:bookmarkEnd w:id="129"/>
      <w:r/>
      <w:r/>
    </w:p>
    <w:p>
      <w:pPr>
        <w:spacing w:line="360" w:lineRule="auto"/>
        <w:rPr>
          <w:rFonts w:ascii="宋体" w:hAnsi="宋体" w:cs="宋体"/>
          <w:b/>
          <w:color w:val="auto"/>
          <w:highlight w:val="none"/>
        </w:rPr>
      </w:pPr>
      <w:r>
        <w:rPr>
          <w:rFonts w:hint="eastAsia" w:ascii="宋体" w:hAnsi="宋体" w:cs="宋体"/>
          <w:b/>
          <w:color w:val="auto"/>
          <w:highlight w:val="none"/>
        </w:rPr>
        <w:t xml:space="preserve">30.  合同的生效</w:t>
      </w:r>
      <w:r/>
    </w:p>
    <w:p>
      <w:pPr>
        <w:ind w:firstLine="420"/>
        <w:spacing w:line="360" w:lineRule="auto"/>
        <w:rPr>
          <w:rFonts w:ascii="宋体" w:hAnsi="宋体" w:cs="宋体"/>
          <w:color w:val="auto"/>
          <w:highlight w:val="none"/>
        </w:rPr>
      </w:pPr>
      <w:r/>
      <w:bookmarkStart w:id="130" w:name="_Toc13543223"/>
      <w:r>
        <w:rPr>
          <w:rFonts w:hint="eastAsia" w:ascii="宋体" w:hAnsi="宋体" w:cs="宋体"/>
          <w:color w:val="auto"/>
          <w:highlight w:val="none"/>
        </w:rPr>
        <w:t xml:space="preserve">本合同经甲乙双方签字盖章后生效。</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十一、争议解决</w:t>
      </w:r>
      <w:bookmarkEnd w:id="130"/>
      <w:r/>
      <w:r/>
    </w:p>
    <w:p>
      <w:pPr>
        <w:spacing w:line="360" w:lineRule="auto"/>
        <w:rPr>
          <w:rFonts w:ascii="宋体" w:hAnsi="宋体" w:cs="宋体"/>
          <w:b/>
          <w:color w:val="auto"/>
          <w:highlight w:val="none"/>
        </w:rPr>
      </w:pPr>
      <w:r>
        <w:rPr>
          <w:rFonts w:hint="eastAsia" w:ascii="宋体" w:hAnsi="宋体" w:cs="宋体"/>
          <w:b/>
          <w:color w:val="auto"/>
          <w:highlight w:val="none"/>
        </w:rPr>
        <w:t xml:space="preserve">21.  争议解决</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甲乙双方因合同发生争议，应在招标代理机构的主持下进行调解，协商不成，任何一方可以向甲方所在地人民法院起诉。</w:t>
      </w:r>
      <w:r/>
    </w:p>
    <w:p>
      <w:pPr>
        <w:spacing w:line="360" w:lineRule="auto"/>
        <w:rPr>
          <w:rFonts w:ascii="宋体" w:hAnsi="宋体" w:cs="宋体"/>
          <w:b/>
          <w:color w:val="auto"/>
          <w:highlight w:val="none"/>
        </w:rPr>
      </w:pPr>
      <w:r/>
      <w:bookmarkStart w:id="131" w:name="_Toc13543224"/>
      <w:r>
        <w:rPr>
          <w:rFonts w:hint="eastAsia" w:ascii="宋体" w:hAnsi="宋体" w:cs="宋体"/>
          <w:b/>
          <w:color w:val="auto"/>
          <w:highlight w:val="none"/>
        </w:rPr>
        <w:t xml:space="preserve">十二、附则</w:t>
      </w:r>
      <w:bookmarkEnd w:id="131"/>
      <w:r/>
      <w:r/>
    </w:p>
    <w:p>
      <w:pPr>
        <w:spacing w:line="360" w:lineRule="auto"/>
        <w:rPr>
          <w:rFonts w:ascii="宋体" w:hAnsi="宋体" w:cs="宋体"/>
          <w:b/>
          <w:color w:val="auto"/>
          <w:highlight w:val="none"/>
        </w:rPr>
      </w:pPr>
      <w:r>
        <w:rPr>
          <w:rFonts w:hint="eastAsia" w:ascii="宋体" w:hAnsi="宋体" w:cs="宋体"/>
          <w:b/>
          <w:color w:val="auto"/>
          <w:highlight w:val="none"/>
        </w:rPr>
        <w:t xml:space="preserve">22.  合同份数</w:t>
      </w:r>
      <w:r/>
    </w:p>
    <w:p>
      <w:pPr>
        <w:spacing w:line="360" w:lineRule="auto"/>
        <w:rPr>
          <w:rFonts w:ascii="宋体" w:hAnsi="宋体" w:cs="宋体"/>
          <w:b/>
          <w:color w:val="auto"/>
          <w:sz w:val="44"/>
          <w:highlight w:val="none"/>
        </w:rPr>
      </w:pPr>
      <w:r>
        <w:rPr>
          <w:rFonts w:hint="eastAsia" w:ascii="宋体" w:hAnsi="宋体" w:cs="宋体"/>
          <w:color w:val="auto"/>
          <w:highlight w:val="none"/>
        </w:rPr>
        <w:tab/>
      </w:r>
      <w:r>
        <w:rPr>
          <w:rFonts w:hint="eastAsia" w:ascii="宋体" w:hAnsi="宋体" w:cs="宋体"/>
          <w:color w:val="auto"/>
          <w:highlight w:val="none"/>
        </w:rPr>
        <w:t xml:space="preserve">本合同一式叁份，甲乙双方各执壹份和招标代理机构壹份，具备同等法律效力。</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23.  未尽事宜</w:t>
      </w:r>
      <w:r/>
    </w:p>
    <w:p>
      <w:pPr>
        <w:pStyle w:val="873"/>
        <w:rPr>
          <w:rFonts w:ascii="宋体" w:hAnsi="宋体" w:cs="宋体"/>
          <w:color w:val="auto"/>
          <w:sz w:val="21"/>
          <w:szCs w:val="21"/>
          <w:highlight w:val="none"/>
        </w:rPr>
      </w:pPr>
      <w:r>
        <w:rPr>
          <w:rFonts w:hint="eastAsia" w:ascii="宋体" w:hAnsi="宋体" w:cs="宋体"/>
          <w:color w:val="auto"/>
          <w:sz w:val="21"/>
          <w:highlight w:val="none"/>
        </w:rPr>
        <w:t xml:space="preserve">本合同未尽事宜应按《中华人民共和国民法典》、《中华人民共和国产品质量法》、《中华人民共和国政府采</w:t>
      </w:r>
      <w:r>
        <w:rPr>
          <w:rFonts w:hint="eastAsia" w:ascii="宋体" w:hAnsi="宋体" w:cs="宋体"/>
          <w:color w:val="auto"/>
          <w:sz w:val="21"/>
          <w:szCs w:val="21"/>
          <w:highlight w:val="none"/>
        </w:rPr>
        <w:t xml:space="preserve">购法》及其他有关政府采购的法律法规之规定解释。</w:t>
      </w:r>
      <w:r/>
    </w:p>
    <w:p>
      <w:pPr>
        <w:pStyle w:val="849"/>
        <w:jc w:val="center"/>
        <w:pageBreakBefore/>
        <w:spacing w:before="0" w:after="0" w:line="360" w:lineRule="auto"/>
        <w:rPr>
          <w:rFonts w:ascii="宋体" w:hAnsi="宋体" w:eastAsia="宋体" w:cs="宋体"/>
          <w:color w:val="auto"/>
          <w:highlight w:val="none"/>
        </w:rPr>
      </w:pPr>
      <w:r/>
      <w:bookmarkStart w:id="132" w:name="_Toc2154304"/>
      <w:r/>
      <w:bookmarkStart w:id="133" w:name="_Toc536633992"/>
      <w:r>
        <w:rPr>
          <w:rFonts w:hint="eastAsia" w:ascii="宋体" w:hAnsi="宋体" w:eastAsia="宋体" w:cs="宋体"/>
          <w:color w:val="auto"/>
          <w:highlight w:val="none"/>
        </w:rPr>
        <w:t xml:space="preserve">第六章 合同特殊条款</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32"/>
      <w:r/>
      <w:bookmarkEnd w:id="133"/>
      <w:r/>
      <w:r/>
    </w:p>
    <w:p>
      <w:pPr>
        <w:spacing w:line="360" w:lineRule="auto"/>
        <w:rPr>
          <w:rFonts w:ascii="宋体" w:hAnsi="宋体" w:cs="宋体"/>
          <w:color w:val="auto"/>
          <w:highlight w:val="none"/>
        </w:rPr>
      </w:pPr>
      <w:r/>
      <w:bookmarkStart w:id="134" w:name="_Toc13642118"/>
      <w:r/>
      <w:bookmarkStart w:id="135" w:name="_Toc13889378"/>
      <w:r/>
      <w:bookmarkEnd w:id="134"/>
      <w:bookmarkEnd w:id="135"/>
      <w:r/>
    </w:p>
    <w:p>
      <w:pPr>
        <w:spacing w:line="360" w:lineRule="auto"/>
        <w:tabs>
          <w:tab w:val="left" w:pos="5175" w:leader="none"/>
        </w:tabs>
        <w:rPr>
          <w:rFonts w:ascii="宋体" w:hAnsi="宋体" w:cs="宋体"/>
          <w:color w:val="auto"/>
          <w:szCs w:val="21"/>
          <w:highlight w:val="none"/>
        </w:rPr>
      </w:pPr>
      <w:r/>
      <w:bookmarkStart w:id="136" w:name="_Toc196471483"/>
      <w:r/>
      <w:bookmarkStart w:id="137" w:name="_Toc221586159"/>
      <w:r/>
      <w:bookmarkStart w:id="138" w:name="_Toc228616409"/>
      <w:r/>
      <w:bookmarkStart w:id="139" w:name="_Toc227034740"/>
      <w:r/>
      <w:bookmarkStart w:id="140" w:name="_Toc221604911"/>
      <w:r/>
      <w:bookmarkStart w:id="141" w:name="_Toc222198310"/>
      <w:r/>
      <w:bookmarkStart w:id="142" w:name="_Toc229880448"/>
      <w:r/>
      <w:bookmarkStart w:id="143" w:name="_Toc227047093"/>
      <w:r/>
      <w:bookmarkStart w:id="144" w:name="_Toc221701298"/>
      <w:r/>
      <w:bookmarkStart w:id="145" w:name="_Toc226971671"/>
      <w:r/>
      <w:bookmarkStart w:id="146" w:name="_Toc228616325"/>
      <w:r/>
      <w:bookmarkStart w:id="147" w:name="_Toc221605141"/>
      <w:r>
        <w:rPr>
          <w:rFonts w:hint="eastAsia" w:ascii="宋体" w:hAnsi="宋体" w:cs="宋体"/>
          <w:color w:val="auto"/>
          <w:szCs w:val="21"/>
          <w:highlight w:val="none"/>
        </w:rPr>
        <w:t xml:space="preserve">甲  方（采购单位）：</w:t>
      </w:r>
      <w:r>
        <w:rPr>
          <w:rFonts w:hint="eastAsia" w:ascii="宋体" w:hAnsi="宋体" w:cs="宋体"/>
          <w:color w:val="auto"/>
          <w:szCs w:val="21"/>
          <w:highlight w:val="none"/>
        </w:rPr>
        <w:tab/>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联系电话：</w:t>
      </w:r>
      <w:r/>
    </w:p>
    <w:p>
      <w:pPr>
        <w:spacing w:line="360" w:lineRule="auto"/>
        <w:tabs>
          <w:tab w:val="left" w:pos="5175" w:leader="none"/>
        </w:tabs>
        <w:rPr>
          <w:rFonts w:ascii="宋体" w:hAnsi="宋体" w:cs="宋体"/>
          <w:color w:val="auto"/>
          <w:szCs w:val="21"/>
          <w:highlight w:val="none"/>
        </w:rPr>
      </w:pPr>
      <w:r>
        <w:rPr>
          <w:rFonts w:hint="eastAsia" w:ascii="宋体" w:hAnsi="宋体" w:cs="宋体"/>
          <w:color w:val="auto"/>
          <w:szCs w:val="21"/>
          <w:highlight w:val="none"/>
        </w:rPr>
        <w:t xml:space="preserve">乙  方（中标单位）： </w:t>
      </w:r>
      <w:r/>
    </w:p>
    <w:p>
      <w:pPr>
        <w:ind w:firstLine="2310"/>
        <w:spacing w:line="360" w:lineRule="auto"/>
        <w:tabs>
          <w:tab w:val="left" w:pos="5175" w:leader="none"/>
        </w:tabs>
        <w:rPr>
          <w:rFonts w:ascii="宋体" w:hAnsi="宋体" w:cs="宋体"/>
          <w:bCs/>
          <w:color w:val="auto"/>
          <w:szCs w:val="21"/>
          <w:highlight w:val="none"/>
        </w:rPr>
      </w:pPr>
      <w:r>
        <w:rPr>
          <w:rFonts w:hint="eastAsia" w:ascii="宋体" w:hAnsi="宋体" w:cs="宋体"/>
          <w:color w:val="auto"/>
          <w:szCs w:val="21"/>
          <w:highlight w:val="none"/>
        </w:rPr>
        <w:t xml:space="preserve">联系人：              联系电话：</w:t>
      </w:r>
      <w:r/>
    </w:p>
    <w:p>
      <w:pPr>
        <w:ind w:right="31" w:firstLine="420"/>
        <w:jc w:val="left"/>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color w:val="auto"/>
          <w:szCs w:val="21"/>
          <w:highlight w:val="none"/>
        </w:rPr>
        <w:t xml:space="preserve">项目</w:t>
      </w:r>
      <w:r>
        <w:rPr>
          <w:rFonts w:hint="eastAsia" w:ascii="宋体" w:hAnsi="宋体" w:cs="宋体"/>
          <w:color w:val="auto"/>
          <w:szCs w:val="21"/>
          <w:highlight w:val="none"/>
        </w:rPr>
        <w:t xml:space="preserve">的购销事宜</w:t>
      </w:r>
      <w:r>
        <w:rPr>
          <w:rFonts w:hint="eastAsia" w:ascii="宋体" w:hAnsi="宋体" w:cs="宋体"/>
          <w:color w:val="auto"/>
          <w:spacing w:val="-20"/>
          <w:szCs w:val="21"/>
          <w:highlight w:val="none"/>
        </w:rPr>
        <w:t xml:space="preserve">，</w:t>
      </w:r>
      <w:r>
        <w:rPr>
          <w:rFonts w:hint="eastAsia" w:ascii="宋体" w:hAnsi="宋体" w:cs="宋体"/>
          <w:color w:val="auto"/>
          <w:szCs w:val="21"/>
          <w:highlight w:val="none"/>
        </w:rPr>
        <w:t xml:space="preserve">签订本合同书</w:t>
      </w:r>
      <w:r>
        <w:rPr>
          <w:rFonts w:hint="eastAsia" w:ascii="宋体" w:hAnsi="宋体" w:cs="宋体"/>
          <w:color w:val="auto"/>
          <w:spacing w:val="-20"/>
          <w:szCs w:val="21"/>
          <w:highlight w:val="none"/>
        </w:rPr>
        <w:t xml:space="preserve">。</w:t>
      </w:r>
      <w:r/>
    </w:p>
    <w:p>
      <w:pPr>
        <w:numPr>
          <w:ilvl w:val="0"/>
          <w:numId w:val="3"/>
        </w:num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项目内容：</w:t>
      </w:r>
      <w:r/>
    </w:p>
    <w:tbl>
      <w:tblPr>
        <w:tblStyle w:val="6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1162"/>
        <w:gridCol w:w="1176"/>
      </w:tblGrid>
      <w:tr>
        <w:trPr>
          <w:trHeight w:val="389"/>
        </w:trPr>
        <w:tc>
          <w:tcPr>
            <w:tcW w:w="76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9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24"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规格、型号</w:t>
            </w:r>
            <w:r/>
          </w:p>
        </w:tc>
        <w:tc>
          <w:tcPr>
            <w:tcW w:w="92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79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111" w:type="dxa"/>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116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单价</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（元）</w:t>
            </w:r>
            <w:r/>
          </w:p>
        </w:tc>
        <w:tc>
          <w:tcPr>
            <w:tcW w:w="117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trHeight w:val="226"/>
        </w:trPr>
        <w:tc>
          <w:tcPr>
            <w:tcW w:w="76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6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26"/>
        </w:trPr>
        <w:tc>
          <w:tcPr>
            <w:tcW w:w="76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6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26"/>
        </w:trPr>
        <w:tc>
          <w:tcPr>
            <w:tcW w:w="76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6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26"/>
        </w:trPr>
        <w:tc>
          <w:tcPr>
            <w:tcW w:w="76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9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2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2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79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62"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1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326"/>
        </w:trPr>
        <w:tc>
          <w:tcPr>
            <w:gridSpan w:val="8"/>
            <w:tcW w:w="9144" w:type="dxa"/>
            <w:vAlign w:val="center"/>
            <w:textDirection w:val="lrTb"/>
            <w:noWrap/>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合计金额大写：</w:t>
            </w:r>
            <w:r/>
          </w:p>
        </w:tc>
      </w:tr>
    </w:tbl>
    <w:p>
      <w:pPr>
        <w:pStyle w:val="1140"/>
        <w:ind w:firstLine="420"/>
        <w:rPr>
          <w:rFonts w:hAnsi="宋体" w:cs="宋体"/>
          <w:color w:val="auto"/>
          <w:highlight w:val="none"/>
        </w:rPr>
      </w:pPr>
      <w:r>
        <w:rPr>
          <w:rFonts w:hAnsi="宋体" w:cs="宋体"/>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883"/>
        <w:ind w:firstLine="420"/>
        <w:spacing w:line="360" w:lineRule="auto"/>
        <w:rPr>
          <w:rFonts w:eastAsia="宋体" w:cs="宋体"/>
          <w:bCs/>
          <w:color w:val="auto"/>
          <w:sz w:val="21"/>
          <w:szCs w:val="24"/>
          <w:highlight w:val="none"/>
        </w:rPr>
      </w:pPr>
      <w:r>
        <w:rPr>
          <w:rFonts w:hint="eastAsia" w:eastAsia="宋体" w:cs="宋体"/>
          <w:bCs/>
          <w:color w:val="auto"/>
          <w:sz w:val="21"/>
          <w:szCs w:val="24"/>
          <w:highlight w:val="none"/>
        </w:rPr>
        <w:t xml:space="preserve">（一）中标通知书；</w:t>
      </w:r>
      <w:r/>
    </w:p>
    <w:p>
      <w:pPr>
        <w:pStyle w:val="883"/>
        <w:ind w:firstLine="420"/>
        <w:spacing w:line="360" w:lineRule="auto"/>
        <w:rPr>
          <w:rFonts w:eastAsia="宋体" w:cs="宋体"/>
          <w:bCs/>
          <w:color w:val="auto"/>
          <w:sz w:val="21"/>
          <w:szCs w:val="24"/>
          <w:highlight w:val="none"/>
        </w:rPr>
      </w:pPr>
      <w:r>
        <w:rPr>
          <w:rFonts w:hint="eastAsia" w:eastAsia="宋体" w:cs="宋体"/>
          <w:bCs/>
          <w:color w:val="auto"/>
          <w:sz w:val="21"/>
          <w:szCs w:val="24"/>
          <w:highlight w:val="none"/>
        </w:rPr>
        <w:t xml:space="preserve">（二）招标文件、技术要求及补充通知（如有）；</w:t>
      </w:r>
      <w:r/>
    </w:p>
    <w:p>
      <w:pPr>
        <w:pStyle w:val="883"/>
        <w:ind w:firstLine="420"/>
        <w:spacing w:line="360" w:lineRule="auto"/>
        <w:rPr>
          <w:rFonts w:eastAsia="宋体" w:cs="宋体"/>
          <w:bCs/>
          <w:color w:val="auto"/>
          <w:sz w:val="21"/>
          <w:szCs w:val="24"/>
          <w:highlight w:val="none"/>
        </w:rPr>
      </w:pPr>
      <w:r>
        <w:rPr>
          <w:rFonts w:hint="eastAsia" w:eastAsia="宋体" w:cs="宋体"/>
          <w:bCs/>
          <w:color w:val="auto"/>
          <w:sz w:val="21"/>
          <w:szCs w:val="24"/>
          <w:highlight w:val="none"/>
        </w:rPr>
        <w:t xml:space="preserve">（三）中标文件和其它承诺、书面澄清等；</w:t>
      </w:r>
      <w:r/>
    </w:p>
    <w:p>
      <w:pPr>
        <w:pStyle w:val="883"/>
        <w:ind w:firstLine="420"/>
        <w:spacing w:line="360" w:lineRule="auto"/>
        <w:rPr>
          <w:rFonts w:eastAsia="宋体" w:cs="宋体"/>
          <w:bCs/>
          <w:color w:val="auto"/>
          <w:sz w:val="21"/>
          <w:szCs w:val="24"/>
          <w:highlight w:val="none"/>
        </w:rPr>
      </w:pPr>
      <w:r>
        <w:rPr>
          <w:rFonts w:hint="eastAsia" w:eastAsia="宋体" w:cs="宋体"/>
          <w:bCs/>
          <w:color w:val="auto"/>
          <w:sz w:val="21"/>
          <w:szCs w:val="24"/>
          <w:highlight w:val="none"/>
        </w:rPr>
        <w:t xml:space="preserve">（四）技术文件；</w:t>
      </w:r>
      <w:r/>
    </w:p>
    <w:p>
      <w:pPr>
        <w:pStyle w:val="883"/>
        <w:ind w:firstLine="420"/>
        <w:spacing w:line="360" w:lineRule="auto"/>
        <w:rPr>
          <w:rFonts w:eastAsia="宋体" w:cs="宋体"/>
          <w:bCs/>
          <w:color w:val="auto"/>
          <w:sz w:val="21"/>
          <w:szCs w:val="24"/>
          <w:highlight w:val="none"/>
        </w:rPr>
      </w:pPr>
      <w:r>
        <w:rPr>
          <w:rFonts w:hint="eastAsia" w:eastAsia="宋体" w:cs="宋体"/>
          <w:bCs/>
          <w:color w:val="auto"/>
          <w:sz w:val="21"/>
          <w:szCs w:val="24"/>
          <w:highlight w:val="none"/>
        </w:rPr>
        <w:t xml:space="preserve">（五）其他约定文件等。</w:t>
      </w:r>
      <w:r/>
    </w:p>
    <w:p>
      <w:pPr>
        <w:pStyle w:val="883"/>
        <w:spacing w:line="360" w:lineRule="auto"/>
        <w:rPr>
          <w:rFonts w:eastAsia="宋体" w:cs="宋体"/>
          <w:b/>
          <w:color w:val="auto"/>
          <w:sz w:val="21"/>
          <w:szCs w:val="24"/>
          <w:highlight w:val="none"/>
        </w:rPr>
      </w:pPr>
      <w:r>
        <w:rPr>
          <w:rFonts w:hint="eastAsia" w:eastAsia="宋体" w:cs="宋体"/>
          <w:bCs/>
          <w:color w:val="auto"/>
          <w:sz w:val="21"/>
          <w:szCs w:val="24"/>
          <w:highlight w:val="none"/>
        </w:rPr>
        <w:t xml:space="preserve">三、</w:t>
      </w:r>
      <w:r>
        <w:rPr>
          <w:rFonts w:hint="eastAsia" w:eastAsia="宋体" w:cs="宋体"/>
          <w:b/>
          <w:color w:val="auto"/>
          <w:sz w:val="21"/>
          <w:szCs w:val="24"/>
          <w:highlight w:val="none"/>
        </w:rPr>
        <w:t xml:space="preserve">合同价格与支付：  </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（一）本合同价格为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（二）本合同总价为：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，合同总价包括原有设备的拆除、更新的设备、随机备品备件、易损件（包括保障设备正常运行</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年所需的备品备件、易损件）、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（三）付款步骤：</w:t>
      </w:r>
      <w:r>
        <w:rPr>
          <w:rFonts w:hint="eastAsia" w:ascii="宋体" w:hAnsi="宋体" w:eastAsia="宋体" w:cs="宋体"/>
          <w:color w:val="auto"/>
          <w:highlight w:val="none"/>
        </w:rPr>
        <w:t xml:space="preserve">在采购合同签订生效后，待全部货物到达甲方指定地点</w:t>
      </w:r>
      <w:r>
        <w:rPr>
          <w:rFonts w:hint="eastAsia" w:ascii="宋体" w:hAnsi="宋体" w:cs="宋体"/>
          <w:color w:val="auto"/>
          <w:highlight w:val="none"/>
          <w:lang w:val="en-US" w:eastAsia="zh-CN"/>
        </w:rPr>
        <w:t xml:space="preserve">并安装调试结束</w:t>
      </w:r>
      <w:r>
        <w:rPr>
          <w:rFonts w:hint="eastAsia" w:ascii="宋体" w:hAnsi="宋体" w:eastAsia="宋体" w:cs="宋体"/>
          <w:color w:val="auto"/>
          <w:highlight w:val="none"/>
        </w:rPr>
        <w:t xml:space="preserve">，经验收合格后，由甲方向乙方支付总额的</w:t>
      </w:r>
      <w:r>
        <w:rPr>
          <w:rFonts w:hint="eastAsia" w:ascii="宋体" w:hAnsi="宋体" w:eastAsia="宋体" w:cs="宋体"/>
          <w:color w:val="auto"/>
          <w:highlight w:val="none"/>
          <w:lang w:val="en-US" w:eastAsia="zh-CN"/>
        </w:rPr>
        <w:t xml:space="preserve">95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剩余5%待质保期满后</w:t>
      </w:r>
      <w:r>
        <w:rPr>
          <w:rFonts w:hint="eastAsia" w:ascii="宋体" w:hAnsi="宋体" w:cs="宋体"/>
          <w:color w:val="auto"/>
          <w:highlight w:val="none"/>
          <w:lang w:val="en-US" w:eastAsia="zh-CN"/>
        </w:rPr>
        <w:t xml:space="preserve">支付</w:t>
      </w:r>
      <w:r>
        <w:rPr>
          <w:rFonts w:hint="eastAsia" w:ascii="宋体" w:hAnsi="宋体" w:eastAsia="宋体" w:cs="宋体"/>
          <w:color w:val="auto"/>
          <w:highlight w:val="none"/>
          <w:lang w:val="en-US"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A、合格的发票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B、由甲乙双方确认的《验收报告》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付款方式：银行转账。</w:t>
      </w:r>
      <w:r/>
    </w:p>
    <w:p>
      <w:pPr>
        <w:pStyle w:val="871"/>
        <w:rPr>
          <w:color w:val="auto"/>
          <w:highlight w:val="none"/>
        </w:rPr>
      </w:pPr>
      <w:r>
        <w:rPr>
          <w:color w:val="auto"/>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w:t>
      </w:r>
      <w:bookmarkStart w:id="148" w:name="_Toc2154305"/>
      <w:r/>
      <w:bookmarkStart w:id="149" w:name="_Toc536633993"/>
      <w:r>
        <w:rPr>
          <w:rFonts w:hint="eastAsia" w:ascii="宋体" w:hAnsi="宋体" w:cs="宋体"/>
          <w:b/>
          <w:color w:val="auto"/>
          <w:szCs w:val="21"/>
          <w:highlight w:val="none"/>
        </w:rPr>
        <w:t xml:space="preserve">交付时间、地点、方式： </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（二）交货期限：</w:t>
      </w:r>
      <w:r>
        <w:rPr>
          <w:rFonts w:hint="eastAsia" w:ascii="宋体" w:hAnsi="宋体" w:cs="宋体"/>
          <w:color w:val="auto"/>
          <w:szCs w:val="22"/>
          <w:highlight w:val="none"/>
        </w:rPr>
        <w:t xml:space="preserve">合同签订后90天内完成所有设备安装调试完毕、</w:t>
      </w:r>
      <w:r>
        <w:rPr>
          <w:rFonts w:hint="eastAsia" w:hAnsi="宋体"/>
          <w:color w:val="auto"/>
          <w:szCs w:val="21"/>
          <w:highlight w:val="none"/>
        </w:rPr>
        <w:t xml:space="preserve">验收合格</w:t>
      </w:r>
      <w:r>
        <w:rPr>
          <w:rFonts w:hint="eastAsia" w:ascii="宋体" w:hAnsi="宋体" w:cs="宋体"/>
          <w:color w:val="auto"/>
          <w:szCs w:val="22"/>
          <w:highlight w:val="none"/>
        </w:rPr>
        <w:t xml:space="preserve">并交付使用（具体按照甲方要求）</w:t>
      </w:r>
      <w:r>
        <w:rPr>
          <w:rFonts w:hint="eastAsia" w:ascii="宋体" w:hAnsi="宋体" w:cs="宋体"/>
          <w:color w:val="auto"/>
          <w:highlight w:val="none"/>
        </w:rPr>
        <w:t xml:space="preserve">。</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（三）交货地点：苏州大学附属儿童医院景德路院区（具体按照甲方要求）。</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四）乙方发货到甲方指定地点前，应先与甲方确认，并确定实际到场时间，乙方提前于甲方通知日期运货到现场的，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（六）货物交货时，包装须完整无破损，乙方还必须提供以下材料：</w:t>
      </w:r>
      <w:r/>
    </w:p>
    <w:p>
      <w:pPr>
        <w:ind w:left="210"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B、国内产品合格证</w:t>
      </w:r>
      <w:r/>
    </w:p>
    <w:p>
      <w:pPr>
        <w:ind w:left="210" w:firstLine="420"/>
        <w:spacing w:line="360" w:lineRule="auto"/>
        <w:rPr>
          <w:rFonts w:ascii="宋体" w:hAnsi="宋体" w:cs="宋体"/>
          <w:color w:val="auto"/>
          <w:highlight w:val="none"/>
        </w:rPr>
      </w:pPr>
      <w:r>
        <w:rPr>
          <w:rFonts w:hint="eastAsia" w:ascii="宋体" w:hAnsi="宋体" w:cs="宋体"/>
          <w:color w:val="auto"/>
          <w:highlight w:val="none"/>
        </w:rPr>
        <w:t xml:space="preserve">C、进口产品进关报关资料（如为进口）   D、中英文技术资料 （</w:t>
      </w:r>
      <w:r>
        <w:rPr>
          <w:rFonts w:hint="eastAsia"/>
          <w:color w:val="auto"/>
          <w:szCs w:val="21"/>
          <w:highlight w:val="none"/>
        </w:rPr>
        <w:t xml:space="preserve">纸质版+电子版</w:t>
      </w:r>
      <w:r>
        <w:rPr>
          <w:rFonts w:hint="eastAsia" w:ascii="宋体" w:hAnsi="宋体" w:cs="宋体"/>
          <w:color w:val="auto"/>
          <w:highlight w:val="none"/>
        </w:rPr>
        <w:t xml:space="preserve">）   </w:t>
      </w:r>
      <w:r/>
    </w:p>
    <w:p>
      <w:pPr>
        <w:ind w:left="210" w:firstLine="420"/>
        <w:spacing w:line="360" w:lineRule="auto"/>
        <w:rPr>
          <w:rFonts w:ascii="宋体" w:hAnsi="宋体" w:cs="宋体"/>
          <w:color w:val="auto"/>
          <w:highlight w:val="none"/>
        </w:rPr>
      </w:pPr>
      <w:r>
        <w:rPr>
          <w:rFonts w:hint="eastAsia" w:ascii="宋体" w:hAnsi="宋体" w:cs="宋体"/>
          <w:color w:val="auto"/>
          <w:highlight w:val="none"/>
        </w:rPr>
        <w:t xml:space="preserve">E、使用维修保养中文说明书             F、其它必备材料和必备工具等           </w:t>
      </w:r>
      <w:r/>
    </w:p>
    <w:p>
      <w:pPr>
        <w:ind w:left="210" w:firstLine="420"/>
        <w:spacing w:line="360" w:lineRule="auto"/>
        <w:rPr>
          <w:rFonts w:ascii="宋体" w:hAnsi="宋体" w:cs="宋体"/>
          <w:color w:val="auto"/>
          <w:highlight w:val="none"/>
        </w:rPr>
      </w:pPr>
      <w:r>
        <w:rPr>
          <w:rFonts w:hint="eastAsia" w:ascii="宋体" w:hAnsi="宋体" w:cs="宋体"/>
          <w:color w:val="auto"/>
          <w:highlight w:val="none"/>
        </w:rPr>
        <w:t xml:space="preserve">G、保修单等其它必须材料</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五、验收标准：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3.所有设备在到达安装现场时须经采购单位技术人员记录验收后才可进行设备安装，验货时须提交该产品的原厂质量合格证明及服务质保证明文件。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4.所有设备、附（配）件应具备该类产品的功能要求，无瑕疵和缺陷，质量为合格产品，同时有明确的生产厂商或制造厂商。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7.验收要求：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7.1.履约验收标准：根据政府采购合同要求、招标文件要求、投标文件、承诺及有关行业规定。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7.2.履约验收主体：由甲方组成的验收小组进行验收。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7.4.验收时间：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（1）政府采购合同约定的履约验收条件达到时，甲方应当在 5 个工作日内启动履约验收工作，并向乙方发出《政府采购履约验收通知单》。</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（2）在政府采购合同约定的履行验收条件达到时，乙方可以主动联系甲方启动履约验收工作。</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7.5.其他验收要求按照《江苏省政府采购履约验收管理办法》规定执行</w:t>
      </w:r>
      <w:r>
        <w:rPr>
          <w:rFonts w:hint="eastAsia" w:ascii="宋体" w:hAnsi="宋体" w:cs="宋体"/>
          <w:color w:val="auto"/>
          <w:szCs w:val="21"/>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1、质量保证期：项目整体质保期不低于</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年（含耗材及易损件）。质保期自特检院验收合格之日起计算。质保期内，所涉及产品质量原因导致的设备维修、更换零部件、人工上门服务和设备（耗材、易损件）的全部费用由乙方承担。质保期满后，乙方必须对所提供的设备及系统定期进行检查和保养，并负责终身维护维修。</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2、提供专业的系统培训，对维修内容进行培训，具有专业的售后服务团队。</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3、售后服务及运维服务要求：乙方具备较强的专业技术能力、实施运维能力，要求在设备质保期及项目运维期内配备一定数量的售后运维服务团队，并确保服务团队人员稳定。</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乙方</w:t>
      </w:r>
      <w:r>
        <w:rPr>
          <w:rFonts w:hint="eastAsia" w:ascii="宋体" w:hAnsi="宋体" w:cs="宋体"/>
          <w:bCs/>
          <w:color w:val="auto"/>
          <w:szCs w:val="21"/>
          <w:highlight w:val="none"/>
        </w:rPr>
        <w:t xml:space="preserve">须在项目现场设置备品备件库（备品备件库场所由建设单位提供），售后服务人员接到故障通知后</w:t>
      </w:r>
      <w:r>
        <w:rPr>
          <w:rFonts w:hint="eastAsia" w:ascii="宋体" w:hAnsi="宋体" w:cs="宋体"/>
          <w:bCs/>
          <w:color w:val="auto"/>
          <w:szCs w:val="21"/>
          <w:highlight w:val="none"/>
          <w:lang w:val="en-US" w:eastAsia="zh-CN"/>
        </w:rPr>
        <w:t xml:space="preserve">2小时内响应并赶到现场，24小时内完成维修任务</w:t>
      </w:r>
      <w:r>
        <w:rPr>
          <w:rFonts w:hint="eastAsia" w:ascii="宋体" w:hAnsi="宋体" w:cs="宋体"/>
          <w:bCs/>
          <w:color w:val="auto"/>
          <w:szCs w:val="21"/>
          <w:highlight w:val="none"/>
        </w:rPr>
        <w:t xml:space="preserve">。软件终身免费升级。维修点需提供足够的备件以适应</w:t>
      </w:r>
      <w:r>
        <w:rPr>
          <w:rFonts w:hint="eastAsia" w:ascii="宋体" w:hAnsi="宋体" w:cs="宋体"/>
          <w:bCs/>
          <w:color w:val="auto"/>
          <w:szCs w:val="21"/>
          <w:highlight w:val="none"/>
          <w:lang w:val="en-US" w:eastAsia="zh-CN"/>
        </w:rPr>
        <w:t xml:space="preserve">甲方</w:t>
      </w:r>
      <w:r>
        <w:rPr>
          <w:rFonts w:hint="eastAsia" w:ascii="宋体" w:hAnsi="宋体" w:cs="宋体"/>
          <w:bCs/>
          <w:color w:val="auto"/>
          <w:szCs w:val="21"/>
          <w:highlight w:val="none"/>
        </w:rPr>
        <w:t xml:space="preserve">维修需求。且需满足《机械式停车设备安装监督检验与定期检验规程》的要求。</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5、质保期满时，乙方工程师和甲方代表进行另一次全面测试，任何故障须由乙方自费解决并取得甲方的认可。</w:t>
      </w:r>
      <w:r/>
    </w:p>
    <w:p>
      <w:pPr>
        <w:ind w:firstLine="420"/>
        <w:spacing w:line="360"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6、质保期内乙方须自行付费，负责修理和替换任何由于设备自身的质量问题造成的损坏及故障。</w:t>
      </w:r>
      <w:r/>
    </w:p>
    <w:p>
      <w:pPr>
        <w:ind w:firstLine="420"/>
        <w:spacing w:line="360" w:lineRule="auto"/>
        <w:tabs>
          <w:tab w:val="left" w:pos="900" w:leader="none"/>
        </w:tabs>
        <w:rPr>
          <w:rFonts w:ascii="宋体" w:hAnsi="宋体" w:cs="宋体"/>
          <w:color w:val="auto"/>
          <w:highlight w:val="none"/>
        </w:rPr>
      </w:pPr>
      <w:r>
        <w:rPr>
          <w:rFonts w:hint="eastAsia" w:ascii="宋体" w:hAnsi="宋体" w:cs="宋体"/>
          <w:bCs/>
          <w:color w:val="auto"/>
          <w:szCs w:val="21"/>
          <w:highlight w:val="none"/>
        </w:rPr>
        <w:t xml:space="preserve">7、其他要求</w:t>
      </w:r>
      <w:r>
        <w:rPr>
          <w:rFonts w:hint="eastAsia" w:ascii="宋体" w:hAnsi="宋体" w:cs="宋体"/>
          <w:color w:val="auto"/>
          <w:highlight w:val="none"/>
        </w:rPr>
        <w:t xml:space="preserve">按乙方投标文件承诺的条款执行。</w:t>
      </w:r>
      <w:r/>
    </w:p>
    <w:p>
      <w:pPr>
        <w:jc w:val="left"/>
        <w:spacing w:line="360" w:lineRule="auto"/>
        <w:rPr>
          <w:rFonts w:ascii="宋体" w:hAnsi="宋体" w:cs="宋体"/>
          <w:b/>
          <w:color w:val="auto"/>
          <w:highlight w:val="none"/>
        </w:rPr>
      </w:pPr>
      <w:r>
        <w:rPr>
          <w:rFonts w:hint="eastAsia" w:ascii="宋体" w:hAnsi="宋体" w:cs="宋体"/>
          <w:b/>
          <w:color w:val="auto"/>
          <w:highlight w:val="none"/>
        </w:rPr>
        <w:t xml:space="preserve">七、税费：</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（一）</w:t>
      </w:r>
      <w:r>
        <w:rPr>
          <w:rFonts w:hint="eastAsia" w:ascii="宋体" w:hAnsi="宋体" w:cs="宋体"/>
          <w:color w:val="auto"/>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（二）本合同价格为含税价。乙方提供的所有货物、技术资料、技术服务、进口设备/部件等所有税费，已全部包含在合同价格内，由乙方承担。</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八、违约责任：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（一）甲方违约责任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 在合同生效后，甲方无正当理由要求退货的，应向乙方偿付合同总价款的5%，作为违约金，违约金不足以补偿损失的，乙方有权要求甲方补足。</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2、甲方无正当理由逾期付款的应按照逾期付款金额的每天万分之四支付逾期付款违约金，逾期付款违约金累计不超过合同金额的5%。</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3、甲方违反合同规定，拒绝接收乙方交付的合格标的物，应当承担乙方由此造成的直接损失。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（二）乙方违约责任</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乙方不能交付（交货、安装调试、验收任一阶段内逾期超过十五天视为不能交付），或交付不合格从而影响甲方按期正常使用的，甲方有权解除合同，乙方应当退还甲方已支付的全部款项，并向甲方偿付合同总价款5%的违约金，违约金不足以补偿损失的甲方有权要求乙方补足。</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2、乙方逾期交付的，应在发货前与甲方协商，和政府采购管理部门协商，甲方仍需要的，乙方应立即发货并应按照逾期交货部分货款的每天万分之四支付逾期交货违约金，同时承担甲方因此遭致的损失费用。</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3、根据本合同约定，乙方应向甲方支付的任何违约金、赔偿款，甲方均有权在下一批次款项/尾款/质保金中直接扣除。</w:t>
      </w:r>
      <w:r/>
    </w:p>
    <w:p>
      <w:pPr>
        <w:ind w:firstLine="420"/>
        <w:jc w:val="left"/>
        <w:spacing w:line="360" w:lineRule="auto"/>
        <w:rPr>
          <w:rFonts w:ascii="宋体" w:hAnsi="宋体" w:cs="宋体"/>
          <w:b/>
          <w:color w:val="auto"/>
          <w:highlight w:val="none"/>
        </w:rPr>
      </w:pPr>
      <w:r>
        <w:rPr>
          <w:rFonts w:hint="eastAsia" w:ascii="宋体" w:hAnsi="宋体" w:cs="宋体"/>
          <w:color w:val="auto"/>
          <w:highlight w:val="none"/>
        </w:rPr>
        <w:t xml:space="preserve">（三）不可抗力</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（四）合同的解除和转让</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1、有下列情形之一，合同一方可以解除合同：</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1.1因不可抗力致使不能实现合同目的，未受不可抗力影响的一方有权解除合同；</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1.2因合同一方违约导致合同不能履行，另一方有权解除合同；</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1.3合同一方发生违反本合同的情形，经过另一方二次书面通知仍然不纠正的，守约方有权解除本合同；</w:t>
      </w:r>
      <w:r/>
    </w:p>
    <w:p>
      <w:pPr>
        <w:pStyle w:val="67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1.4合同约定的其他情形。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2、有权解除合同的一方，应当在违约事实或不可抗力发生之后书面通知对方以主张解除合同，合同在书面通知到达对方时解除。</w:t>
      </w:r>
      <w:r/>
    </w:p>
    <w:p>
      <w:pPr>
        <w:ind w:left="420"/>
        <w:rPr>
          <w:color w:val="auto"/>
          <w:highlight w:val="none"/>
        </w:rPr>
      </w:pPr>
      <w:r>
        <w:rPr>
          <w:rFonts w:hint="eastAsia" w:ascii="宋体" w:hAnsi="宋体"/>
          <w:color w:val="auto"/>
          <w:highlight w:val="none"/>
        </w:rPr>
        <w:t xml:space="preserve">3、</w:t>
      </w:r>
      <w:r>
        <w:rPr>
          <w:rFonts w:hint="eastAsia"/>
          <w:color w:val="auto"/>
          <w:highlight w:val="none"/>
        </w:rPr>
        <w:t xml:space="preserve">乙方不得将合同部分或全部义务转由第三方承担。</w:t>
      </w:r>
      <w:r/>
    </w:p>
    <w:p>
      <w:pPr>
        <w:spacing w:line="360" w:lineRule="auto"/>
        <w:rPr>
          <w:rFonts w:ascii="宋体" w:hAnsi="宋体" w:cs="宋体"/>
          <w:b/>
          <w:color w:val="auto"/>
          <w:highlight w:val="none"/>
        </w:rPr>
      </w:pPr>
      <w:r>
        <w:rPr>
          <w:rFonts w:hint="eastAsia" w:ascii="宋体" w:hAnsi="宋体" w:cs="宋体"/>
          <w:b/>
          <w:color w:val="auto"/>
          <w:highlight w:val="none"/>
        </w:rPr>
        <w:t xml:space="preserve">九、索赔：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合同生效及其它</w:t>
      </w:r>
      <w:r/>
    </w:p>
    <w:p>
      <w:pPr>
        <w:ind w:firstLine="449"/>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本合同经甲乙双方法定代表人或其委托代理人签字并加盖公章（或合同章）后生效。</w:t>
      </w:r>
      <w:r/>
    </w:p>
    <w:p>
      <w:pPr>
        <w:ind w:firstLine="240"/>
        <w:spacing w:line="360" w:lineRule="auto"/>
        <w:rPr>
          <w:rFonts w:ascii="宋体" w:hAnsi="宋体" w:cs="宋体"/>
          <w:color w:val="auto"/>
          <w:highlight w:val="none"/>
        </w:rPr>
      </w:pPr>
      <w:r>
        <w:rPr>
          <w:rFonts w:hint="eastAsia" w:ascii="宋体" w:hAnsi="宋体" w:cs="宋体"/>
          <w:color w:val="auto"/>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协商不成，任何一方均可向甲方所在地人民法院提起诉讼。败诉方应承担胜诉方为维权支出的律师费、诉讼费、保全费等合理费用。</w:t>
      </w:r>
      <w:r/>
    </w:p>
    <w:p>
      <w:pPr>
        <w:numPr>
          <w:ilvl w:val="0"/>
          <w:numId w:val="4"/>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4、本合同一式叁份，甲乙双方各执壹份和招标代理机构壹份，具备同等法律效力。</w:t>
      </w:r>
      <w:r/>
    </w:p>
    <w:p>
      <w:pPr>
        <w:ind w:firstLine="420"/>
        <w:spacing w:line="360" w:lineRule="auto"/>
        <w:tabs>
          <w:tab w:val="left" w:pos="567" w:leader="none"/>
        </w:tabs>
        <w:rPr>
          <w:rFonts w:ascii="宋体" w:hAnsi="宋体" w:cs="宋体"/>
          <w:b/>
          <w:color w:val="auto"/>
          <w:szCs w:val="21"/>
          <w:highlight w:val="none"/>
        </w:rPr>
      </w:pPr>
      <w:r>
        <w:rPr>
          <w:rFonts w:hint="eastAsia" w:ascii="宋体" w:hAnsi="宋体" w:cs="宋体"/>
          <w:color w:val="auto"/>
          <w:szCs w:val="21"/>
          <w:highlight w:val="none"/>
        </w:rPr>
        <w:t xml:space="preserve">（以下无正文）</w:t>
      </w:r>
      <w:r/>
    </w:p>
    <w:p>
      <w:pPr>
        <w:spacing w:line="480" w:lineRule="auto"/>
        <w:tabs>
          <w:tab w:val="left" w:pos="0" w:leader="none"/>
        </w:tabs>
        <w:rPr>
          <w:rFonts w:ascii="宋体" w:hAnsi="宋体"/>
          <w:b/>
          <w:bCs/>
          <w:color w:val="auto"/>
          <w:szCs w:val="21"/>
          <w:highlight w:val="none"/>
          <w:lang w:val="zh-CN"/>
        </w:rPr>
      </w:pPr>
      <w:r>
        <w:rPr>
          <w:rFonts w:ascii="宋体" w:hAnsi="宋体"/>
          <w:b/>
          <w:bCs/>
          <w:color w:val="auto"/>
          <w:szCs w:val="21"/>
          <w:highlight w:val="none"/>
          <w:lang w:val="zh-CN"/>
        </w:rPr>
      </w:r>
      <w:r/>
    </w:p>
    <w:p>
      <w:pPr>
        <w:spacing w:line="480" w:lineRule="auto"/>
        <w:tabs>
          <w:tab w:val="left" w:pos="0" w:leader="none"/>
        </w:tabs>
        <w:rPr>
          <w:rFonts w:ascii="宋体" w:hAnsi="宋体"/>
          <w:b/>
          <w:bCs/>
          <w:color w:val="auto"/>
          <w:szCs w:val="21"/>
          <w:highlight w:val="none"/>
          <w:lang w:val="zh-CN"/>
        </w:rPr>
      </w:pPr>
      <w:r>
        <w:rPr>
          <w:rFonts w:ascii="宋体" w:hAnsi="宋体"/>
          <w:b/>
          <w:bCs/>
          <w:color w:val="auto"/>
          <w:szCs w:val="21"/>
          <w:highlight w:val="none"/>
          <w:lang w:val="zh-CN"/>
        </w:rPr>
      </w:r>
      <w:r/>
    </w:p>
    <w:p>
      <w:pPr>
        <w:spacing w:line="480" w:lineRule="auto"/>
        <w:tabs>
          <w:tab w:val="left" w:pos="0" w:leader="none"/>
        </w:tabs>
        <w:rPr>
          <w:rFonts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spacing w:line="480" w:lineRule="auto"/>
        <w:tabs>
          <w:tab w:val="left" w:pos="0" w:leader="none"/>
        </w:tabs>
        <w:rPr>
          <w:rFonts w:ascii="宋体" w:hAnsi="宋体"/>
          <w:b/>
          <w:bCs/>
          <w:color w:val="auto"/>
          <w:szCs w:val="21"/>
          <w:highlight w:val="none"/>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p>
    <w:p>
      <w:pPr>
        <w:spacing w:line="520" w:lineRule="exact"/>
        <w:rPr>
          <w:rFonts w:ascii="宋体" w:hAnsi="宋体"/>
          <w:b/>
          <w:bCs/>
          <w:color w:val="auto"/>
          <w:szCs w:val="21"/>
          <w:highlight w:val="none"/>
          <w:lang w:val="zh-CN"/>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   月    日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      月   日</w:t>
      </w:r>
      <w:r/>
    </w:p>
    <w:p>
      <w:pPr>
        <w:spacing w:line="52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52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520" w:lineRule="exact"/>
        <w:rPr>
          <w:rFonts w:ascii="宋体" w:hAnsi="宋体"/>
          <w:b/>
          <w:bCs/>
          <w:color w:val="auto"/>
          <w:szCs w:val="21"/>
          <w:highlight w:val="none"/>
          <w:lang w:val="zh-CN"/>
        </w:rPr>
      </w:pPr>
      <w:r>
        <w:rPr>
          <w:rFonts w:ascii="宋体" w:hAnsi="宋体"/>
          <w:b/>
          <w:bCs/>
          <w:color w:val="auto"/>
          <w:szCs w:val="21"/>
          <w:highlight w:val="none"/>
          <w:lang w:val="zh-CN"/>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b/>
          <w:bCs/>
          <w:color w:val="auto"/>
          <w:sz w:val="30"/>
          <w:szCs w:val="30"/>
          <w:highlight w:val="none"/>
        </w:rPr>
      </w:r>
      <w:r/>
    </w:p>
    <w:p>
      <w:pPr>
        <w:jc w:val="center"/>
        <w:spacing w:line="300" w:lineRule="auto"/>
        <w:rPr>
          <w:b/>
          <w:bCs/>
          <w:color w:val="auto"/>
          <w:sz w:val="30"/>
          <w:szCs w:val="30"/>
          <w:highlight w:val="none"/>
        </w:rPr>
      </w:pPr>
      <w:r>
        <w:rPr>
          <w:rFonts w:hint="eastAsia"/>
          <w:b/>
          <w:bCs/>
          <w:color w:val="auto"/>
          <w:sz w:val="30"/>
          <w:szCs w:val="30"/>
          <w:highlight w:val="none"/>
        </w:rPr>
        <w:t xml:space="preserve">苏州大学附属儿童医院廉洁购销合同</w:t>
      </w:r>
      <w:r/>
    </w:p>
    <w:p>
      <w:pPr>
        <w:ind w:firstLine="420"/>
        <w:spacing w:line="360" w:lineRule="auto"/>
        <w:rPr>
          <w:bCs/>
          <w:color w:val="auto"/>
          <w:highlight w:val="none"/>
        </w:rPr>
      </w:pPr>
      <w:r>
        <w:rPr>
          <w:bCs/>
          <w:color w:val="auto"/>
          <w:highlight w:val="none"/>
        </w:rPr>
      </w:r>
      <w:r/>
    </w:p>
    <w:p>
      <w:pPr>
        <w:ind w:firstLine="420"/>
        <w:spacing w:line="360" w:lineRule="auto"/>
        <w:rPr>
          <w:bCs/>
          <w:color w:val="auto"/>
          <w:highlight w:val="none"/>
        </w:rPr>
      </w:pPr>
      <w:r>
        <w:rPr>
          <w:rFonts w:hint="eastAsia"/>
          <w:bCs/>
          <w:color w:val="auto"/>
          <w:highlight w:val="none"/>
        </w:rPr>
        <w:t xml:space="preserve">甲方：苏州大学附属儿童医院</w:t>
      </w:r>
      <w:r/>
    </w:p>
    <w:p>
      <w:pPr>
        <w:ind w:firstLine="420"/>
        <w:spacing w:line="360" w:lineRule="auto"/>
        <w:rPr>
          <w:bCs/>
          <w:color w:val="auto"/>
          <w:highlight w:val="none"/>
        </w:rPr>
      </w:pPr>
      <w:r>
        <w:rPr>
          <w:rFonts w:hint="eastAsia"/>
          <w:bCs/>
          <w:color w:val="auto"/>
          <w:highlight w:val="none"/>
        </w:rPr>
        <w:t xml:space="preserve">乙方：</w:t>
      </w:r>
      <w:r/>
    </w:p>
    <w:p>
      <w:pPr>
        <w:ind w:firstLine="420"/>
        <w:spacing w:line="360" w:lineRule="auto"/>
        <w:rPr>
          <w:bCs/>
          <w:color w:val="auto"/>
          <w:highlight w:val="none"/>
        </w:rPr>
      </w:pPr>
      <w:r>
        <w:rPr>
          <w:rFonts w:hint="eastAsia"/>
          <w:bCs/>
          <w:color w:val="auto"/>
          <w:highlight w:val="none"/>
        </w:rPr>
        <w:t xml:space="preserve">（项目名称：）</w:t>
      </w:r>
      <w:r/>
    </w:p>
    <w:p>
      <w:pPr>
        <w:ind w:firstLine="420"/>
        <w:spacing w:line="360" w:lineRule="auto"/>
        <w:rPr>
          <w:bCs/>
          <w:color w:val="auto"/>
          <w:highlight w:val="none"/>
        </w:rPr>
      </w:pPr>
      <w:r>
        <w:rPr>
          <w:rFonts w:hint="eastAsia"/>
          <w:bCs/>
          <w:color w:val="auto"/>
          <w:highlight w:val="none"/>
        </w:rPr>
        <w:t xml:space="preserve">为进一步加强医疗行业廉政建设，规范医疗卫生机构购销行为，有效防范商业贿赂行为，营造公平交易、诚实守信的购销环境，经甲、乙双方协商，同意签订本合同，并共同遵守：</w:t>
      </w:r>
      <w:r/>
    </w:p>
    <w:p>
      <w:pPr>
        <w:ind w:firstLine="420"/>
        <w:spacing w:line="360" w:lineRule="auto"/>
        <w:rPr>
          <w:bCs/>
          <w:color w:val="auto"/>
          <w:highlight w:val="none"/>
        </w:rPr>
      </w:pPr>
      <w:r>
        <w:rPr>
          <w:rFonts w:hint="eastAsia"/>
          <w:bCs/>
          <w:color w:val="auto"/>
          <w:highlight w:val="none"/>
        </w:rPr>
        <w:t xml:space="preserve">一、甲乙双方按照国家《民法典》、《招标投标法》以及其它相关法律法规的规定，签订医药产品购销合同，约定购销药品、医用设备、医用耗材、软硬件货物、后勤保障用品或服务等。</w:t>
      </w:r>
      <w:r/>
    </w:p>
    <w:p>
      <w:pPr>
        <w:ind w:firstLine="420"/>
        <w:spacing w:line="360" w:lineRule="auto"/>
        <w:rPr>
          <w:bCs/>
          <w:color w:val="auto"/>
          <w:highlight w:val="none"/>
        </w:rPr>
      </w:pPr>
      <w:r>
        <w:rPr>
          <w:rFonts w:hint="eastAsia"/>
          <w:bCs/>
          <w:color w:val="auto"/>
          <w:highlight w:val="none"/>
        </w:rPr>
        <w:t xml:space="preserve">二、甲方应当严格按照合同的约定对所采购的产品或服务执行验收、入库制度，对采购医药产品及发票进行查验，不得违反有关规定进行合同外采购、从非规定渠道采购等。</w:t>
      </w:r>
      <w:r/>
    </w:p>
    <w:p>
      <w:pPr>
        <w:ind w:firstLine="420"/>
        <w:spacing w:line="360" w:lineRule="auto"/>
        <w:rPr>
          <w:bCs/>
          <w:color w:val="auto"/>
          <w:highlight w:val="none"/>
        </w:rPr>
      </w:pPr>
      <w:r>
        <w:rPr>
          <w:rFonts w:hint="eastAsia"/>
          <w:bCs/>
          <w:color w:val="auto"/>
          <w:highlight w:val="none"/>
        </w:rPr>
        <w:t xml:space="preserve">三、甲方严禁接收乙方以任何名义、形式给予的返点、返利、回扣等，不得将接受捐赠资助与采购挂钩，甲方工作人员不得参加乙方安排并支付费用的娱乐场所的娱乐活动，不得以任何形式向乙方索要现金、有价证券、支付凭证、贵重礼品以及合同以外的各种利益或费用等，不得要求乙方为自己亲友的经营活动或工作提供便利条件。如甲方工作人员被迫接受乙方给予的财物，应予以退还，无法退还的，应当如实向医院纪委办公室反映情况并将所收财物上交医院纪委办公室。</w:t>
      </w:r>
      <w:r/>
    </w:p>
    <w:p>
      <w:pPr>
        <w:ind w:firstLine="420"/>
        <w:spacing w:line="360" w:lineRule="auto"/>
        <w:rPr>
          <w:bCs/>
          <w:color w:val="auto"/>
          <w:highlight w:val="none"/>
        </w:rPr>
      </w:pPr>
      <w:r>
        <w:rPr>
          <w:rFonts w:hint="eastAsia"/>
          <w:bCs/>
          <w:color w:val="auto"/>
          <w:highlight w:val="none"/>
        </w:rPr>
        <w:t xml:space="preserve">四、严禁甲方工作人员利用任何途径和方式，为乙方统计医师个人及临床科室有关医药产品用量信息，或为乙方统计提供便利。</w:t>
      </w:r>
      <w:r/>
    </w:p>
    <w:p>
      <w:pPr>
        <w:ind w:firstLine="420"/>
        <w:spacing w:line="360" w:lineRule="auto"/>
        <w:rPr>
          <w:bCs/>
          <w:color w:val="auto"/>
          <w:highlight w:val="none"/>
        </w:rPr>
      </w:pPr>
      <w:r>
        <w:rPr>
          <w:rFonts w:hint="eastAsia"/>
          <w:bCs/>
          <w:color w:val="auto"/>
          <w:highlight w:val="none"/>
        </w:rPr>
        <w:t xml:space="preserve">五、乙方不得以回扣、宴请等方式影响甲方工作人员采购或使用产品的选择权，不得在学术活动中提供旅游、超标准支付食宿费用等，不得以任何形式向甲方人员赠送各种礼品、现金和有价证券、支付凭证、贵重礼品以及合同以外的各种利益或费用，不得为甲方人员或其亲友的经营活动或工作提供便利条件。</w:t>
      </w:r>
      <w:r/>
    </w:p>
    <w:p>
      <w:pPr>
        <w:ind w:firstLine="420"/>
        <w:spacing w:line="360" w:lineRule="auto"/>
        <w:rPr>
          <w:bCs/>
          <w:color w:val="auto"/>
          <w:highlight w:val="none"/>
        </w:rPr>
      </w:pPr>
      <w:r>
        <w:rPr>
          <w:rFonts w:hint="eastAsia"/>
          <w:bCs/>
          <w:color w:val="auto"/>
          <w:highlight w:val="none"/>
        </w:rPr>
        <w:t xml:space="preserve">六、乙方指定作为销售代表洽谈业务。销售代表必须在工作时间到甲方指定地点洽谈业务，不得擅自到门急诊、病房等诊疗区域推销医药产品，不得借故到甲方相关领导、部门负责人及相关工作人员家中访谈并提供任何利益或费用。</w:t>
      </w:r>
      <w:r/>
    </w:p>
    <w:p>
      <w:pPr>
        <w:ind w:firstLine="420"/>
        <w:spacing w:line="360" w:lineRule="auto"/>
        <w:rPr>
          <w:bCs/>
          <w:color w:val="auto"/>
          <w:highlight w:val="none"/>
        </w:rPr>
      </w:pPr>
      <w:r>
        <w:rPr>
          <w:rFonts w:hint="eastAsia"/>
          <w:bCs/>
          <w:color w:val="auto"/>
          <w:highlight w:val="none"/>
        </w:rPr>
        <w:t xml:space="preserve">七、乙方如违反本合同，一经发现，甲方有权终止购销合同，并向卫生健康委员会相关行政部门报告，并将乙方的商业贿赂记录在案。如乙方被列入商业贿赂不良记录，则严格按照《江苏省医药购销领域商业贿赂不良记录管理办法》（苏卫规（药政））[2018]3号）进行处理。</w:t>
      </w:r>
      <w:r/>
    </w:p>
    <w:p>
      <w:pPr>
        <w:ind w:firstLine="420"/>
        <w:spacing w:line="360" w:lineRule="auto"/>
        <w:rPr>
          <w:bCs/>
          <w:color w:val="auto"/>
          <w:highlight w:val="none"/>
        </w:rPr>
      </w:pPr>
      <w:r>
        <w:rPr>
          <w:rFonts w:hint="eastAsia"/>
          <w:bCs/>
          <w:color w:val="auto"/>
          <w:highlight w:val="none"/>
        </w:rPr>
        <w:t xml:space="preserve">八、本合同作为医药产品购销合同的重要组成部分，与购销合同一并执行，具有同等的法律效力。双方如在履行合同中发生纠纷，首先应友好协商，协商不成，双方均应向甲方所在地有管辖权的人民法院诉讼解决。</w:t>
      </w:r>
      <w:r/>
    </w:p>
    <w:p>
      <w:pPr>
        <w:ind w:firstLine="420"/>
        <w:spacing w:line="360" w:lineRule="auto"/>
        <w:rPr>
          <w:bCs/>
          <w:color w:val="auto"/>
          <w:highlight w:val="none"/>
        </w:rPr>
      </w:pPr>
      <w:r>
        <w:rPr>
          <w:rFonts w:hint="eastAsia"/>
          <w:bCs/>
          <w:color w:val="auto"/>
          <w:highlight w:val="none"/>
        </w:rPr>
        <w:t xml:space="preserve">九、本合同一式二份，甲、乙双方各执一份，并从签订之日起生效，具有同等法律效力。</w:t>
      </w:r>
      <w:r/>
    </w:p>
    <w:p>
      <w:pPr>
        <w:spacing w:line="300" w:lineRule="auto"/>
        <w:rPr>
          <w:bCs/>
          <w:color w:val="auto"/>
          <w:highlight w:val="none"/>
        </w:rPr>
      </w:pPr>
      <w:r>
        <w:rPr>
          <w:bCs/>
          <w:color w:val="auto"/>
          <w:highlight w:val="none"/>
        </w:rPr>
      </w:r>
      <w:r/>
    </w:p>
    <w:p>
      <w:pPr>
        <w:spacing w:line="300" w:lineRule="auto"/>
        <w:rPr>
          <w:bCs/>
          <w:color w:val="auto"/>
          <w:highlight w:val="none"/>
        </w:rPr>
      </w:pPr>
      <w:r>
        <w:rPr>
          <w:bCs/>
          <w:color w:val="auto"/>
          <w:highlight w:val="none"/>
        </w:rPr>
      </w:r>
      <w:r/>
    </w:p>
    <w:p>
      <w:pPr>
        <w:spacing w:line="300" w:lineRule="auto"/>
        <w:rPr>
          <w:bCs/>
          <w:color w:val="auto"/>
          <w:highlight w:val="none"/>
        </w:rPr>
      </w:pPr>
      <w:r>
        <w:rPr>
          <w:rFonts w:hint="eastAsia"/>
          <w:bCs/>
          <w:color w:val="auto"/>
          <w:highlight w:val="none"/>
        </w:rPr>
        <w:t xml:space="preserve">甲方（盖章）：                           乙方（盖章）</w:t>
      </w:r>
      <w:r/>
    </w:p>
    <w:p>
      <w:pPr>
        <w:spacing w:line="300" w:lineRule="auto"/>
        <w:rPr>
          <w:bCs/>
          <w:color w:val="auto"/>
          <w:highlight w:val="none"/>
        </w:rPr>
      </w:pPr>
      <w:r>
        <w:rPr>
          <w:bCs/>
          <w:color w:val="auto"/>
          <w:highlight w:val="none"/>
        </w:rPr>
      </w:r>
      <w:r/>
    </w:p>
    <w:p>
      <w:pPr>
        <w:spacing w:line="300" w:lineRule="auto"/>
        <w:rPr>
          <w:bCs/>
          <w:color w:val="auto"/>
          <w:highlight w:val="none"/>
        </w:rPr>
      </w:pPr>
      <w:r>
        <w:rPr>
          <w:rFonts w:hint="eastAsia"/>
          <w:bCs/>
          <w:color w:val="auto"/>
          <w:highlight w:val="none"/>
        </w:rPr>
        <w:t xml:space="preserve">法定代表人（负责人）：                   法定代表人（负责人）：</w:t>
      </w:r>
      <w:r/>
    </w:p>
    <w:p>
      <w:pPr>
        <w:spacing w:line="300" w:lineRule="auto"/>
        <w:rPr>
          <w:bCs/>
          <w:color w:val="auto"/>
          <w:highlight w:val="none"/>
        </w:rPr>
      </w:pPr>
      <w:r>
        <w:rPr>
          <w:bCs/>
          <w:color w:val="auto"/>
          <w:highlight w:val="none"/>
        </w:rPr>
      </w:r>
      <w:r/>
    </w:p>
    <w:p>
      <w:pPr>
        <w:spacing w:line="300" w:lineRule="auto"/>
        <w:rPr>
          <w:bCs/>
          <w:color w:val="auto"/>
          <w:highlight w:val="none"/>
        </w:rPr>
      </w:pPr>
      <w:r>
        <w:rPr>
          <w:rFonts w:hint="eastAsia"/>
          <w:bCs/>
          <w:color w:val="auto"/>
          <w:highlight w:val="none"/>
        </w:rPr>
        <w:t xml:space="preserve">采购部门（负责人）签名：                 经办人签名：</w:t>
      </w:r>
      <w:r/>
    </w:p>
    <w:p>
      <w:pPr>
        <w:spacing w:line="300" w:lineRule="auto"/>
        <w:rPr>
          <w:bCs/>
          <w:color w:val="auto"/>
          <w:highlight w:val="none"/>
        </w:rPr>
      </w:pPr>
      <w:r>
        <w:rPr>
          <w:bCs/>
          <w:color w:val="auto"/>
          <w:highlight w:val="none"/>
        </w:rPr>
      </w:r>
      <w:r/>
    </w:p>
    <w:p>
      <w:pPr>
        <w:spacing w:line="300" w:lineRule="auto"/>
        <w:rPr>
          <w:bCs/>
          <w:color w:val="auto"/>
          <w:highlight w:val="none"/>
        </w:rPr>
      </w:pPr>
      <w:r>
        <w:rPr>
          <w:rFonts w:hint="eastAsia"/>
          <w:bCs/>
          <w:color w:val="auto"/>
          <w:highlight w:val="none"/>
        </w:rPr>
        <w:t xml:space="preserve">项目管理部门（负责人）签名：</w:t>
      </w:r>
      <w:r/>
    </w:p>
    <w:p>
      <w:pPr>
        <w:ind w:firstLine="630"/>
        <w:spacing w:line="300" w:lineRule="auto"/>
        <w:rPr>
          <w:bCs/>
          <w:color w:val="auto"/>
          <w:highlight w:val="none"/>
        </w:rPr>
      </w:pPr>
      <w:r>
        <w:rPr>
          <w:bCs/>
          <w:color w:val="auto"/>
          <w:highlight w:val="none"/>
        </w:rPr>
      </w:r>
      <w:r/>
    </w:p>
    <w:p>
      <w:pPr>
        <w:spacing w:line="520" w:lineRule="exact"/>
        <w:rPr>
          <w:rFonts w:ascii="宋体" w:hAnsi="宋体"/>
          <w:b/>
          <w:bCs/>
          <w:color w:val="auto"/>
          <w:szCs w:val="21"/>
          <w:highlight w:val="none"/>
          <w:lang w:val="zh-CN"/>
        </w:rPr>
      </w:pPr>
      <w:r>
        <w:rPr>
          <w:rFonts w:hint="eastAsia"/>
          <w:bCs/>
          <w:color w:val="auto"/>
          <w:highlight w:val="none"/>
        </w:rPr>
        <w:t xml:space="preserve">年     月     日                     年      月     日</w:t>
      </w:r>
      <w:r/>
    </w:p>
    <w:p>
      <w:pPr>
        <w:pStyle w:val="849"/>
        <w:jc w:val="center"/>
        <w:pageBreakBefore/>
        <w:spacing w:before="0" w:after="0" w:line="360" w:lineRule="auto"/>
        <w:rPr>
          <w:rFonts w:ascii="宋体" w:hAnsi="宋体" w:eastAsia="宋体" w:cs="宋体"/>
          <w:color w:val="auto"/>
          <w:highlight w:val="none"/>
        </w:rPr>
      </w:pPr>
      <w:r>
        <w:rPr>
          <w:rFonts w:hint="eastAsia" w:ascii="宋体" w:hAnsi="宋体" w:eastAsia="宋体" w:cs="宋体"/>
          <w:color w:val="auto"/>
          <w:highlight w:val="none"/>
        </w:rPr>
        <w:t xml:space="preserve">第七章 评分办法、评分标准</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一、评分办法：</w:t>
      </w:r>
      <w:r/>
    </w:p>
    <w:p>
      <w:pPr>
        <w:ind w:firstLine="420"/>
        <w:spacing w:line="360" w:lineRule="auto"/>
        <w:rPr>
          <w:rFonts w:ascii="宋体" w:hAnsi="宋体" w:cs="宋体"/>
          <w:color w:val="auto"/>
          <w:highlight w:val="none"/>
        </w:rPr>
      </w:pPr>
      <w:r/>
      <w:bookmarkStart w:id="150" w:name="_Toc497226351"/>
      <w:r/>
      <w:bookmarkStart w:id="151" w:name="_Toc497075324"/>
      <w:r/>
      <w:bookmarkStart w:id="152" w:name="_Toc495841345"/>
      <w:r/>
      <w:bookmarkStart w:id="153" w:name="_Toc497123423"/>
      <w:r/>
      <w:bookmarkStart w:id="154" w:name="_Toc493926269"/>
      <w:r>
        <w:rPr>
          <w:rFonts w:hint="eastAsia" w:ascii="宋体" w:hAnsi="宋体" w:cs="宋体"/>
          <w:color w:val="auto"/>
          <w:highlight w:val="none"/>
        </w:rPr>
        <w:t xml:space="preserve">1、</w:t>
      </w:r>
      <w:bookmarkEnd w:id="150"/>
      <w:r/>
      <w:bookmarkEnd w:id="151"/>
      <w:r/>
      <w:bookmarkEnd w:id="152"/>
      <w:r/>
      <w:bookmarkEnd w:id="153"/>
      <w:r/>
      <w:bookmarkEnd w:id="154"/>
      <w:r>
        <w:rPr>
          <w:rFonts w:hint="eastAsia" w:ascii="宋体" w:hAnsi="宋体" w:cs="宋体"/>
          <w:color w:val="auto"/>
          <w:highlight w:val="none"/>
        </w:rPr>
        <w:t xml:space="preserve">本次招标评标采用综合评分法评定，即在响应招标文件实质性要求前提下，按照招标文件中规定的评分标准和各项因素进行综合评审后，以评标总得分最高的投标单位作为中标人。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2、评标委员会各成员独立对每个进入打分程序的有效投标单位的标书技术和资质部分以打分的形式进行评审和评价。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评标时，评标委员会各成员独立对每个有效投标单位的投标文件技术及资质部分进行评价、打分，然后汇总，按算术平均方法，计算出每个投标单位的技术得分；报价得分通过计算公式直接取得；报价得分加评委算术平均得分，为投标单位的总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4、如出现评标总得分最高的投标单位有两个或两个以上的，以投标报价较低者优先作为中标人，如果投标报价也相同的，则由评标小组组织以抽签方式确定中标人。</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5、本项目核心产品</w:t>
      </w:r>
      <w:r>
        <w:rPr>
          <w:rFonts w:hint="eastAsia"/>
          <w:b/>
          <w:bCs/>
          <w:color w:val="auto"/>
          <w:highlight w:val="none"/>
        </w:rPr>
        <w:t xml:space="preserve">升降横移车位1（下台板5200×2000×1800mm）。</w:t>
      </w:r>
      <w:r>
        <w:rPr>
          <w:rFonts w:hint="eastAsia" w:ascii="宋体" w:hAnsi="宋体" w:cs="宋体"/>
          <w:b/>
          <w:bCs/>
          <w:color w:val="auto"/>
          <w:highlight w:val="none"/>
        </w:rPr>
        <w:t xml:space="preserve">使用综合评分法的采购项目，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p>
    <w:p>
      <w:pPr>
        <w:ind w:firstLine="422"/>
        <w:jc w:val="left"/>
        <w:spacing w:line="360" w:lineRule="auto"/>
        <w:rPr>
          <w:rFonts w:ascii="宋体" w:hAnsi="宋体" w:cs="宋体"/>
          <w:b/>
          <w:color w:val="auto"/>
          <w:szCs w:val="21"/>
          <w:highlight w:val="none"/>
          <w:lang w:val="zh-CN"/>
        </w:rPr>
      </w:pPr>
      <w:r/>
      <w:bookmarkStart w:id="155" w:name="_Toc227034747"/>
      <w:r/>
      <w:bookmarkStart w:id="156" w:name="_Toc228616330"/>
      <w:r/>
      <w:bookmarkStart w:id="157" w:name="_Toc222198311"/>
      <w:r/>
      <w:bookmarkStart w:id="158" w:name="_Toc227047100"/>
      <w:r/>
      <w:bookmarkStart w:id="159" w:name="_Toc221701299"/>
      <w:r/>
      <w:bookmarkStart w:id="160" w:name="_Toc221604912"/>
      <w:r/>
      <w:bookmarkStart w:id="161" w:name="_Toc226971678"/>
      <w:r/>
      <w:bookmarkStart w:id="162" w:name="_Toc221605142"/>
      <w:r/>
      <w:bookmarkStart w:id="163" w:name="_Toc196471462"/>
      <w:r/>
      <w:bookmarkStart w:id="164" w:name="_Toc221586160"/>
      <w:r/>
      <w:bookmarkStart w:id="165" w:name="_Toc228616414"/>
      <w:r/>
      <w:bookmarkStart w:id="166" w:name="_Toc229880453"/>
      <w:r>
        <w:rPr>
          <w:rFonts w:hint="eastAsia" w:ascii="宋体" w:hAnsi="宋体" w:cs="宋体"/>
          <w:b/>
          <w:color w:val="auto"/>
          <w:szCs w:val="21"/>
          <w:highlight w:val="none"/>
          <w:lang w:val="zh-CN"/>
        </w:rPr>
        <w:t xml:space="preserve">二、评分标准：</w:t>
      </w:r>
      <w:r/>
    </w:p>
    <w:p>
      <w:pPr>
        <w:pStyle w:val="1027"/>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（一）价格分（最高为30分）</w:t>
      </w:r>
      <w:r/>
    </w:p>
    <w:p>
      <w:pPr>
        <w:pStyle w:val="111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第一步：投标总报价低于或等于预算价格的，为有效投标报价。超预算的投标报价为无效投标报价。无效投标报价的投标文件不得中标。</w:t>
      </w:r>
      <w:r/>
    </w:p>
    <w:p>
      <w:pPr>
        <w:pStyle w:val="1112"/>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第二步：价格分采用低价优先法计算，即满足采购文件要求且投标价格最低的投标报价为评标基准价（如投标单位所投产品制造厂家全部为小微企业、监狱企业或残疾人福利性单位的，则用扣除后的价格参与评审，如扣除后的价格为最低价的，则作为评标基准价，中标金额则以实际投标报价为准），其价格分为满分30分。其他供应商的价格分统一按照下列公式计算：投标报价得分=（评标基准价/投标报价）*价格权值*100，小数点后保留两位。（价格权值为30%）</w:t>
      </w:r>
      <w:r/>
    </w:p>
    <w:p>
      <w:pPr>
        <w:ind w:firstLine="422"/>
        <w:jc w:val="left"/>
        <w:spacing w:line="360" w:lineRule="auto"/>
        <w:rPr>
          <w:rFonts w:ascii="宋体" w:hAnsi="宋体" w:cs="宋体"/>
          <w:bCs/>
          <w:color w:val="auto"/>
          <w:szCs w:val="21"/>
          <w:highlight w:val="none"/>
          <w:lang w:val="zh-CN"/>
        </w:rPr>
      </w:pPr>
      <w:r>
        <w:rPr>
          <w:rFonts w:hint="eastAsia" w:ascii="宋体" w:hAnsi="宋体" w:cs="宋体"/>
          <w:b/>
          <w:bCs/>
          <w:color w:val="auto"/>
          <w:szCs w:val="21"/>
          <w:highlight w:val="none"/>
        </w:rPr>
        <w:t xml:space="preserve">（二）</w:t>
      </w:r>
      <w:r>
        <w:rPr>
          <w:rFonts w:hint="eastAsia" w:ascii="宋体" w:hAnsi="宋体" w:cs="宋体"/>
          <w:b/>
          <w:color w:val="auto"/>
          <w:szCs w:val="21"/>
          <w:highlight w:val="none"/>
          <w:lang w:val="zh-CN"/>
        </w:rPr>
        <w:t xml:space="preserve">投标设备的技术与质量（最高为</w:t>
      </w: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lang w:val="zh-CN"/>
        </w:rPr>
        <w:t xml:space="preserve">分）</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1、技术参数符合性情况（</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lang w:val="zh-CN"/>
        </w:rPr>
        <w:t xml:space="preserve">分）：</w:t>
      </w:r>
      <w:r>
        <w:rPr>
          <w:rFonts w:hint="eastAsia" w:ascii="宋体" w:hAnsi="宋体" w:cs="宋体"/>
          <w:color w:val="auto"/>
          <w:szCs w:val="21"/>
          <w:highlight w:val="none"/>
          <w:lang w:val="zh-CN"/>
        </w:rPr>
        <w:t xml:space="preserve">所投设备的技术参数满足或高于招标文件要求的得</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分；技术指标出现一个负偏离扣</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分，扣完为止。</w:t>
      </w:r>
      <w:r/>
    </w:p>
    <w:p>
      <w:pPr>
        <w:ind w:firstLine="420"/>
        <w:spacing w:line="360" w:lineRule="auto"/>
        <w:rPr>
          <w:color w:val="auto"/>
          <w:szCs w:val="21"/>
          <w:highlight w:val="none"/>
        </w:rPr>
      </w:pPr>
      <w:r>
        <w:rPr>
          <w:rFonts w:hint="eastAsia"/>
          <w:color w:val="auto"/>
          <w:szCs w:val="21"/>
          <w:highlight w:val="none"/>
        </w:rPr>
        <w:t xml:space="preserve">2、机械机构材料（</w:t>
      </w:r>
      <w:r>
        <w:rPr>
          <w:rFonts w:hint="eastAsia"/>
          <w:color w:val="auto"/>
          <w:szCs w:val="21"/>
          <w:highlight w:val="none"/>
          <w:lang w:val="en-US" w:eastAsia="zh-CN"/>
        </w:rPr>
        <w:t xml:space="preserve">8</w:t>
      </w:r>
      <w:r>
        <w:rPr>
          <w:rFonts w:hint="eastAsia"/>
          <w:color w:val="auto"/>
          <w:szCs w:val="21"/>
          <w:highlight w:val="none"/>
        </w:rPr>
        <w:t xml:space="preserve">分）</w:t>
      </w:r>
      <w:r/>
    </w:p>
    <w:p>
      <w:pPr>
        <w:ind w:firstLine="420"/>
        <w:spacing w:line="360" w:lineRule="auto"/>
        <w:rPr>
          <w:color w:val="auto"/>
          <w:szCs w:val="21"/>
          <w:highlight w:val="none"/>
        </w:rPr>
      </w:pPr>
      <w:r>
        <w:rPr>
          <w:rFonts w:hint="eastAsia"/>
          <w:color w:val="auto"/>
          <w:szCs w:val="21"/>
          <w:highlight w:val="none"/>
        </w:rPr>
        <w:t xml:space="preserve">（1）上下车板（载车板）提供具有法定检测机构出具的产品检测报告或能证明该产品合格的证明材料（包括但不限于原材料检测报告或原材料生产厂家的产品质量证明书）得2分，至少包含载车板厚度、镀锌层厚度、布氏硬度、盐雾试验等检测项目均需符合国标，未提供或提供不全的均不得分。</w:t>
      </w:r>
      <w:r/>
    </w:p>
    <w:p>
      <w:pPr>
        <w:ind w:firstLine="420"/>
        <w:spacing w:line="360" w:lineRule="auto"/>
        <w:rPr>
          <w:color w:val="auto"/>
          <w:szCs w:val="21"/>
          <w:highlight w:val="none"/>
        </w:rPr>
      </w:pPr>
      <w:r>
        <w:rPr>
          <w:rFonts w:hint="eastAsia"/>
          <w:color w:val="auto"/>
          <w:szCs w:val="21"/>
          <w:highlight w:val="none"/>
        </w:rPr>
        <w:t xml:space="preserve">（</w:t>
      </w:r>
      <w:r>
        <w:rPr>
          <w:rFonts w:hint="default"/>
          <w:color w:val="auto"/>
          <w:szCs w:val="21"/>
          <w:highlight w:val="none"/>
          <w:lang w:val="en-US"/>
        </w:rPr>
        <w:t xml:space="preserve">2</w:t>
      </w:r>
      <w:r>
        <w:rPr>
          <w:rFonts w:hint="eastAsia"/>
          <w:color w:val="auto"/>
          <w:szCs w:val="21"/>
          <w:highlight w:val="none"/>
        </w:rPr>
        <w:t xml:space="preserve">）车板边梁提供符合技术要求的生产厂家承诺书并加盖生产厂家公章的得2分，未提供不得分。</w:t>
      </w:r>
      <w:r/>
    </w:p>
    <w:p>
      <w:pPr>
        <w:ind w:firstLine="42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3</w:t>
      </w:r>
      <w:r>
        <w:rPr>
          <w:rFonts w:hint="eastAsia"/>
          <w:color w:val="auto"/>
          <w:szCs w:val="21"/>
          <w:highlight w:val="none"/>
        </w:rPr>
        <w:t xml:space="preserve">）导轨（横移导轨）提供具有法定检测机构出具的产品检测报告或能证明该产品合格的证明材料（包括但不限于原材料检测报告或原材料生产厂家的产品质量证明书）得2分，至少包含实心方钢30X30规格、镀锌层厚度、布氏硬度、盐雾试验等检测项目均需符合国标，未提供或提供不全的均不得分。</w:t>
      </w:r>
      <w:r/>
    </w:p>
    <w:p>
      <w:pPr>
        <w:ind w:firstLine="420"/>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4</w:t>
      </w:r>
      <w:r>
        <w:rPr>
          <w:rFonts w:hint="eastAsia"/>
          <w:color w:val="auto"/>
          <w:szCs w:val="21"/>
          <w:highlight w:val="none"/>
        </w:rPr>
        <w:t xml:space="preserve">）轴（升降传动轴、横移传动轴）提供具有法定检测机构出具的产品检测报告或能证明该产品合格的证明材料（包括但不限于原材料检测报告或原材料生产厂家的产品质量证明书）得2分，分别对应体现横移传动轴轴径≥33mm，升降传动轴轴径≥62mm规格、涂层厚度、抗拉强度等检测项目均需符合国标，未提供或提供不全的均不得分。</w:t>
      </w:r>
      <w:r/>
    </w:p>
    <w:p>
      <w:pPr>
        <w:ind w:firstLine="420"/>
        <w:spacing w:line="360" w:lineRule="auto"/>
        <w:rPr>
          <w:color w:val="auto"/>
          <w:szCs w:val="21"/>
          <w:highlight w:val="none"/>
        </w:rPr>
      </w:pPr>
      <w:r>
        <w:rPr>
          <w:rFonts w:hint="eastAsia"/>
          <w:color w:val="auto"/>
          <w:szCs w:val="21"/>
          <w:highlight w:val="none"/>
        </w:rPr>
        <w:t xml:space="preserve">3、驱动部分（6分）</w:t>
      </w:r>
      <w:r/>
    </w:p>
    <w:p>
      <w:pPr>
        <w:ind w:firstLine="420"/>
        <w:spacing w:line="360" w:lineRule="auto"/>
        <w:rPr>
          <w:color w:val="auto"/>
          <w:szCs w:val="21"/>
          <w:highlight w:val="none"/>
        </w:rPr>
      </w:pPr>
      <w:r>
        <w:rPr>
          <w:rFonts w:hint="eastAsia"/>
          <w:color w:val="auto"/>
          <w:szCs w:val="21"/>
          <w:highlight w:val="none"/>
        </w:rPr>
        <w:t xml:space="preserve">（1）所投电机提供检测报告、产品图纸及说明。设备证书检测报告内容齐全、产品图纸及说明清晰合理的得3分；设备证书检测报告内容基本具备、产品图纸及说明尚合理的得2分；设备证书检测报告、产品图纸及说明简略且基本无实质性意义的得1分。未提供</w:t>
      </w:r>
      <w:r>
        <w:rPr>
          <w:rFonts w:hint="eastAsia"/>
          <w:color w:val="auto"/>
          <w:szCs w:val="21"/>
          <w:highlight w:val="none"/>
          <w:lang w:val="en-US" w:eastAsia="zh-CN"/>
        </w:rPr>
        <w:t xml:space="preserve">或提供的资料不全的</w:t>
      </w:r>
      <w:r>
        <w:rPr>
          <w:rFonts w:hint="eastAsia"/>
          <w:color w:val="auto"/>
          <w:szCs w:val="21"/>
          <w:highlight w:val="none"/>
        </w:rPr>
        <w:t xml:space="preserve">不得分。</w:t>
      </w:r>
      <w:r/>
    </w:p>
    <w:p>
      <w:pPr>
        <w:ind w:firstLine="420"/>
        <w:spacing w:line="360" w:lineRule="auto"/>
        <w:rPr>
          <w:color w:val="auto"/>
          <w:szCs w:val="21"/>
          <w:highlight w:val="none"/>
        </w:rPr>
      </w:pPr>
      <w:r>
        <w:rPr>
          <w:rFonts w:hint="eastAsia"/>
          <w:color w:val="auto"/>
          <w:szCs w:val="21"/>
          <w:highlight w:val="none"/>
        </w:rPr>
        <w:t xml:space="preserve">（2）主传动提升链条（升降链条）提供产品图纸及技术说明、链条计算书等内容。产品图纸、链条计算书及产品技术说明清晰合理的得3分；产品图纸及技术说明尚合理的得2分；产品图纸及技术说明简略且基本无实质性意义的得1分。未提供</w:t>
      </w:r>
      <w:r>
        <w:rPr>
          <w:rFonts w:hint="eastAsia"/>
          <w:color w:val="auto"/>
          <w:szCs w:val="21"/>
          <w:highlight w:val="none"/>
          <w:lang w:val="en-US" w:eastAsia="zh-CN"/>
        </w:rPr>
        <w:t xml:space="preserve">或提供的资料不全的</w:t>
      </w:r>
      <w:r>
        <w:rPr>
          <w:rFonts w:hint="eastAsia"/>
          <w:color w:val="auto"/>
          <w:szCs w:val="21"/>
          <w:highlight w:val="none"/>
        </w:rPr>
        <w:t xml:space="preserve">不得分。</w:t>
      </w:r>
      <w:r/>
    </w:p>
    <w:p>
      <w:pPr>
        <w:ind w:firstLine="420"/>
        <w:spacing w:line="360" w:lineRule="auto"/>
        <w:rPr>
          <w:color w:val="auto"/>
          <w:szCs w:val="21"/>
          <w:highlight w:val="none"/>
        </w:rPr>
      </w:pPr>
      <w:r>
        <w:rPr>
          <w:rFonts w:hint="eastAsia"/>
          <w:color w:val="auto"/>
          <w:szCs w:val="21"/>
          <w:highlight w:val="none"/>
        </w:rPr>
        <w:t xml:space="preserve">4、安全设置（5分）</w:t>
      </w:r>
      <w:r/>
    </w:p>
    <w:p>
      <w:pPr>
        <w:ind w:firstLine="420"/>
        <w:spacing w:line="360" w:lineRule="auto"/>
        <w:rPr>
          <w:color w:val="auto"/>
          <w:szCs w:val="21"/>
          <w:highlight w:val="none"/>
        </w:rPr>
      </w:pPr>
      <w:r>
        <w:rPr>
          <w:rFonts w:hint="eastAsia"/>
          <w:color w:val="auto"/>
          <w:szCs w:val="21"/>
          <w:highlight w:val="none"/>
        </w:rPr>
        <w:t xml:space="preserve">（1）投标产品采取有效措施防止载车板在运行过程中产生车辆滑动溜车、载车板框架偏离，保证车辆安全平稳运行。提供技术文件及其他佐证材料，产品图纸及技术说明清晰合理的得3分；产品图纸及技术说明尚合理的得</w:t>
      </w:r>
      <w:r>
        <w:rPr>
          <w:rFonts w:hint="eastAsia"/>
          <w:color w:val="auto"/>
          <w:szCs w:val="21"/>
          <w:highlight w:val="none"/>
          <w:lang w:val="en-US" w:eastAsia="zh-CN"/>
        </w:rPr>
        <w:t xml:space="preserve">2</w:t>
      </w:r>
      <w:r>
        <w:rPr>
          <w:rFonts w:hint="eastAsia"/>
          <w:color w:val="auto"/>
          <w:szCs w:val="21"/>
          <w:highlight w:val="none"/>
        </w:rPr>
        <w:t xml:space="preserve">分；产品图纸及技术说明简略且基本无实质性意义的得</w:t>
      </w:r>
      <w:r>
        <w:rPr>
          <w:rFonts w:hint="eastAsia"/>
          <w:color w:val="auto"/>
          <w:szCs w:val="21"/>
          <w:highlight w:val="none"/>
          <w:lang w:val="en-US" w:eastAsia="zh-CN"/>
        </w:rPr>
        <w:t xml:space="preserve">1</w:t>
      </w:r>
      <w:r>
        <w:rPr>
          <w:rFonts w:hint="eastAsia"/>
          <w:color w:val="auto"/>
          <w:szCs w:val="21"/>
          <w:highlight w:val="none"/>
        </w:rPr>
        <w:t xml:space="preserve">分，未提供</w:t>
      </w:r>
      <w:r>
        <w:rPr>
          <w:rFonts w:hint="eastAsia"/>
          <w:color w:val="auto"/>
          <w:szCs w:val="21"/>
          <w:highlight w:val="none"/>
          <w:lang w:val="en-US" w:eastAsia="zh-CN"/>
        </w:rPr>
        <w:t xml:space="preserve">或提供的资料不全的</w:t>
      </w:r>
      <w:r>
        <w:rPr>
          <w:rFonts w:hint="eastAsia"/>
          <w:color w:val="auto"/>
          <w:szCs w:val="21"/>
          <w:highlight w:val="none"/>
        </w:rPr>
        <w:t xml:space="preserve">不得分。</w:t>
      </w:r>
      <w:r/>
    </w:p>
    <w:p>
      <w:pPr>
        <w:ind w:firstLine="420"/>
        <w:spacing w:line="360" w:lineRule="auto"/>
        <w:rPr>
          <w:color w:val="auto"/>
          <w:szCs w:val="21"/>
          <w:highlight w:val="none"/>
        </w:rPr>
      </w:pPr>
      <w:r>
        <w:rPr>
          <w:rFonts w:hint="eastAsia"/>
          <w:color w:val="auto"/>
          <w:szCs w:val="21"/>
          <w:highlight w:val="none"/>
        </w:rPr>
        <w:t xml:space="preserve">（2）提供防坠落装置的型式试验报告或委托检验报告得2分，不提供不得分。</w:t>
      </w:r>
      <w:r/>
    </w:p>
    <w:p>
      <w:pPr>
        <w:ind w:firstLine="422"/>
        <w:spacing w:line="360" w:lineRule="auto"/>
        <w:rPr>
          <w:rFonts w:ascii="宋体" w:hAnsi="宋体" w:cs="宋体"/>
          <w:b/>
          <w:bCs/>
          <w:color w:val="auto"/>
          <w:highlight w:val="none"/>
        </w:rPr>
      </w:pPr>
      <w:r>
        <w:rPr>
          <w:rFonts w:hint="eastAsia"/>
          <w:b/>
          <w:bCs/>
          <w:color w:val="auto"/>
          <w:szCs w:val="21"/>
          <w:highlight w:val="none"/>
        </w:rPr>
        <w:t xml:space="preserve">（三）</w:t>
      </w:r>
      <w:r>
        <w:rPr>
          <w:rFonts w:hint="eastAsia" w:ascii="宋体" w:hAnsi="宋体" w:cs="宋体"/>
          <w:b/>
          <w:bCs/>
          <w:color w:val="auto"/>
          <w:highlight w:val="none"/>
        </w:rPr>
        <w:t xml:space="preserve">技术服务及售后服务方案（最高为</w:t>
      </w:r>
      <w:r>
        <w:rPr>
          <w:rFonts w:hint="eastAsia" w:ascii="宋体" w:hAnsi="宋体" w:cs="宋体"/>
          <w:b/>
          <w:bCs/>
          <w:color w:val="auto"/>
          <w:highlight w:val="none"/>
          <w:lang w:val="en-US" w:eastAsia="zh-CN"/>
        </w:rPr>
        <w:t xml:space="preserve">25</w:t>
      </w:r>
      <w:r>
        <w:rPr>
          <w:rFonts w:hint="eastAsia" w:ascii="宋体" w:hAnsi="宋体" w:cs="宋体"/>
          <w:b/>
          <w:bCs/>
          <w:color w:val="auto"/>
          <w:highlight w:val="none"/>
        </w:rPr>
        <w:t xml:space="preserve">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1、针对本项目的项目实施方案（最高为</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方案各项内容阐述不够全面有缺漏项、针对性说明较为简单、可行性一般、项目进度及质量保证措施一般的得3分；方案各项内容粗略、有缺漏、缺乏针对性说明、项目进度及质量保证措施较差的得1分；未提供相关说明或存在逻辑错误、前后矛盾的不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2、针对本项目的售后服务方案（最高为</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售后服务各项内容阐述不全面、有缺项漏项，内容较为简要，针对性、可行性一般的得3分；售后服务各项内容阐述粗略、有缺漏、缺乏针对性的得1分；未提供相关说明或或存在逻辑错误、前后矛盾的不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3、针对本项目的应急和重大故障解决方案（最高为6分）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6分；应急和重大故障解决方案内容阐述不全面、有缺项漏项，内容较为简要，针对性一般，可行性一般的得3分；应急和重大故障解决方案内容阐述粗略、有缺漏、缺乏针对性的得1分；未提供相关说明或或存在逻辑错误、前后矛盾的不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4、针对本项目使用方人员的技术培训方案（最高为4分）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投标单位提供的针对本项目使用方人员的技术培训方案评定，包括但不限于使用操作、常规检查、保养内容、日常使用注意事项等方面：技术培训服务方案内容无缺项、合理、内容详细，符合项目实际情况，可行性高的得4分；技术培训服务方案阐述不全面、有缺项漏项，内容较为简要，针对性一般，可行性一般的得2分；技术培训服务方案内容阐述粗略、有缺漏、缺乏针对性的的得1分。未提供相关说明或存在逻辑错误、前后矛盾的不得分。</w:t>
      </w:r>
      <w:r/>
    </w:p>
    <w:p>
      <w:pPr>
        <w:ind w:firstLine="420"/>
        <w:spacing w:line="360" w:lineRule="auto"/>
        <w:rPr>
          <w:rFonts w:hint="eastAsia" w:ascii="宋体" w:hAnsi="宋体" w:cs="宋体"/>
          <w:lang w:val="en-US" w:eastAsia="zh-CN"/>
        </w:rPr>
      </w:pPr>
      <w:r>
        <w:rPr>
          <w:rFonts w:hint="eastAsia" w:ascii="宋体" w:hAnsi="宋体" w:cs="宋体"/>
          <w:color w:val="auto"/>
          <w:highlight w:val="none"/>
          <w:lang w:val="en-US" w:eastAsia="zh-CN"/>
        </w:rPr>
        <w:t xml:space="preserve">5、</w:t>
      </w:r>
      <w:r>
        <w:rPr>
          <w:rFonts w:hint="eastAsia" w:ascii="宋体" w:hAnsi="宋体" w:cs="宋体"/>
          <w:lang w:val="en-US" w:eastAsia="zh-CN"/>
        </w:rPr>
        <w:t xml:space="preserve">关键技术、工艺及项目实施的重点、难点和解决方案（5分）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lang w:val="en-US" w:eastAsia="zh-CN"/>
        </w:rPr>
        <w:t xml:space="preserve">能提供深度细化的关键技术、工艺及项目实施的重点、难点和解决方案，清晰合理，符合采购人的需求现状及未来发展要求，包含有针对性的目标、成熟的解决方案等内容得5分；能提供关键技术、工艺及项目实施的重点、难点和解决方案得3分；关键技术、工艺及项目实施的重点、难点和解决方案提供不完整的得1分；未提供的不得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（四）投标单位综合履约能力（最高为</w:t>
      </w:r>
      <w:r>
        <w:rPr>
          <w:rFonts w:hint="eastAsia" w:ascii="宋体" w:hAnsi="宋体" w:cs="宋体"/>
          <w:b/>
          <w:bCs/>
          <w:color w:val="auto"/>
          <w:highlight w:val="none"/>
          <w:lang w:val="en-US" w:eastAsia="zh-CN"/>
        </w:rPr>
        <w:t xml:space="preserve">9</w:t>
      </w:r>
      <w:r>
        <w:rPr>
          <w:rFonts w:hint="eastAsia" w:ascii="宋体" w:hAnsi="宋体" w:cs="宋体"/>
          <w:b/>
          <w:bCs/>
          <w:color w:val="auto"/>
          <w:highlight w:val="none"/>
        </w:rPr>
        <w:t xml:space="preserve">分）</w:t>
      </w:r>
      <w:r/>
    </w:p>
    <w:p>
      <w:pPr>
        <w:ind w:firstLine="420"/>
        <w:spacing w:line="360" w:lineRule="auto"/>
        <w:rPr>
          <w:color w:val="auto"/>
          <w:szCs w:val="21"/>
          <w:highlight w:val="none"/>
          <w:lang w:val="zh-CN"/>
        </w:rPr>
      </w:pPr>
      <w:r>
        <w:rPr>
          <w:rFonts w:hint="eastAsia" w:ascii="宋体" w:hAnsi="宋体" w:cs="宋体"/>
          <w:color w:val="auto"/>
          <w:highlight w:val="none"/>
        </w:rPr>
        <w:t xml:space="preserve">1、</w:t>
      </w:r>
      <w:r>
        <w:rPr>
          <w:rFonts w:hint="eastAsia" w:ascii="宋体" w:hAnsi="宋体"/>
          <w:color w:val="auto"/>
          <w:highlight w:val="none"/>
        </w:rPr>
        <w:t xml:space="preserve">投标单位或所投产品</w:t>
      </w:r>
      <w:r>
        <w:rPr>
          <w:rFonts w:hint="eastAsia" w:ascii="宋体" w:hAnsi="宋体"/>
          <w:color w:val="auto"/>
          <w:highlight w:val="none"/>
          <w:lang w:val="en-US" w:eastAsia="zh-CN"/>
        </w:rPr>
        <w:t xml:space="preserve">制造商</w:t>
      </w:r>
      <w:r>
        <w:rPr>
          <w:rFonts w:ascii="宋体" w:hAnsi="宋体"/>
          <w:color w:val="auto"/>
          <w:highlight w:val="none"/>
        </w:rPr>
        <w:t xml:space="preserve">202</w:t>
      </w:r>
      <w:r>
        <w:rPr>
          <w:rFonts w:hint="eastAsia" w:ascii="宋体" w:hAnsi="宋体"/>
          <w:color w:val="auto"/>
          <w:highlight w:val="none"/>
        </w:rPr>
        <w:t xml:space="preserve">2年1月1日（以合同签订日期为准）以来类似项目情况，每提供一份得2分,最高4分。</w:t>
      </w:r>
      <w:r>
        <w:rPr>
          <w:rFonts w:hint="eastAsia" w:ascii="宋体" w:hAnsi="宋体"/>
          <w:b/>
          <w:color w:val="auto"/>
          <w:highlight w:val="none"/>
        </w:rPr>
        <w:t xml:space="preserve">（注：投标文件提供合同文件、监督检验部门出具的特种设备监督检验报告，不提供不得分。类似业绩日期认定：以签订合同日期为准）</w:t>
      </w:r>
      <w:r>
        <w:rPr>
          <w:rFonts w:hint="eastAsia"/>
          <w:color w:val="auto"/>
          <w:szCs w:val="21"/>
          <w:highlight w:val="none"/>
          <w:lang w:val="zh-CN"/>
        </w:rPr>
        <w:t xml:space="preserve">。</w:t>
      </w:r>
      <w:r/>
    </w:p>
    <w:p>
      <w:pPr>
        <w:ind w:firstLine="420"/>
        <w:spacing w:line="360" w:lineRule="auto"/>
        <w:rPr>
          <w:color w:val="auto"/>
          <w:szCs w:val="21"/>
          <w:highlight w:val="none"/>
        </w:rPr>
      </w:pPr>
      <w:r>
        <w:rPr>
          <w:rFonts w:hint="eastAsia"/>
          <w:color w:val="auto"/>
          <w:szCs w:val="21"/>
          <w:highlight w:val="none"/>
        </w:rPr>
        <w:t xml:space="preserve">2、产品责任险（</w:t>
      </w:r>
      <w:r>
        <w:rPr>
          <w:rFonts w:hint="eastAsia"/>
          <w:color w:val="auto"/>
          <w:szCs w:val="21"/>
          <w:highlight w:val="none"/>
          <w:lang w:val="en-US" w:eastAsia="zh-CN"/>
        </w:rPr>
        <w:t xml:space="preserve">2</w:t>
      </w:r>
      <w:r>
        <w:rPr>
          <w:rFonts w:hint="eastAsia"/>
          <w:color w:val="auto"/>
          <w:szCs w:val="21"/>
          <w:highlight w:val="none"/>
        </w:rPr>
        <w:t xml:space="preserve">分）</w:t>
      </w:r>
      <w:r/>
    </w:p>
    <w:p>
      <w:pPr>
        <w:ind w:firstLine="420"/>
        <w:spacing w:line="360" w:lineRule="auto"/>
        <w:rPr>
          <w:color w:val="auto"/>
          <w:szCs w:val="21"/>
          <w:highlight w:val="none"/>
        </w:rPr>
      </w:pPr>
      <w:r>
        <w:rPr>
          <w:rFonts w:hint="eastAsia"/>
          <w:color w:val="auto"/>
          <w:szCs w:val="21"/>
          <w:highlight w:val="none"/>
        </w:rPr>
        <w:t xml:space="preserve">所投产品制造商产品责任险，累计赔付额度达到10000万（含）以上的得</w:t>
      </w:r>
      <w:r>
        <w:rPr>
          <w:rFonts w:hint="eastAsia"/>
          <w:color w:val="auto"/>
          <w:szCs w:val="21"/>
          <w:highlight w:val="none"/>
          <w:lang w:val="en-US" w:eastAsia="zh-CN"/>
        </w:rPr>
        <w:t xml:space="preserve">2</w:t>
      </w:r>
      <w:r>
        <w:rPr>
          <w:rFonts w:hint="eastAsia"/>
          <w:color w:val="auto"/>
          <w:szCs w:val="21"/>
          <w:highlight w:val="none"/>
        </w:rPr>
        <w:t xml:space="preserve">分；累计赔付额度达到5000万（不含）~10000万（不含）的得1分；累计赔付额度达到3000万（含）~5000万（含）的得0.5分，其他不得分。提供合同有效期内的产品责任险保单扫描件，未提供不得分。</w:t>
      </w:r>
      <w:r/>
    </w:p>
    <w:p>
      <w:pPr>
        <w:ind w:firstLine="420"/>
        <w:spacing w:line="360" w:lineRule="auto"/>
        <w:rPr>
          <w:color w:val="auto"/>
          <w:szCs w:val="21"/>
          <w:highlight w:val="none"/>
        </w:rPr>
      </w:pPr>
      <w:r>
        <w:rPr>
          <w:rFonts w:hint="eastAsia"/>
          <w:color w:val="auto"/>
          <w:szCs w:val="21"/>
          <w:highlight w:val="none"/>
        </w:rPr>
        <w:t xml:space="preserve">3、体系认证（</w:t>
      </w:r>
      <w:r>
        <w:rPr>
          <w:rFonts w:hint="eastAsia"/>
          <w:color w:val="auto"/>
          <w:szCs w:val="21"/>
          <w:highlight w:val="none"/>
          <w:lang w:val="en-US" w:eastAsia="zh-CN"/>
        </w:rPr>
        <w:t xml:space="preserve">3</w:t>
      </w:r>
      <w:r>
        <w:rPr>
          <w:rFonts w:hint="eastAsia"/>
          <w:color w:val="auto"/>
          <w:szCs w:val="21"/>
          <w:highlight w:val="none"/>
        </w:rPr>
        <w:t xml:space="preserve">分）</w:t>
      </w:r>
      <w:r/>
    </w:p>
    <w:p>
      <w:pPr>
        <w:ind w:firstLine="420"/>
        <w:spacing w:line="360" w:lineRule="auto"/>
        <w:rPr>
          <w:color w:val="auto"/>
          <w:szCs w:val="21"/>
          <w:highlight w:val="none"/>
        </w:rPr>
      </w:pPr>
      <w:r>
        <w:rPr>
          <w:rFonts w:hint="eastAsia"/>
          <w:color w:val="auto"/>
          <w:szCs w:val="21"/>
          <w:highlight w:val="none"/>
        </w:rPr>
        <w:t xml:space="preserve">投标人或所投产品制造商具有有效期内的质量管理体系认证、职业健康管理体系认证、环境管理体系认证的有一份得</w:t>
      </w:r>
      <w:r>
        <w:rPr>
          <w:rFonts w:hint="eastAsia"/>
          <w:color w:val="auto"/>
          <w:szCs w:val="21"/>
          <w:highlight w:val="none"/>
          <w:lang w:val="en-US" w:eastAsia="zh-CN"/>
        </w:rPr>
        <w:t xml:space="preserve">1</w:t>
      </w:r>
      <w:r>
        <w:rPr>
          <w:rFonts w:hint="eastAsia"/>
          <w:color w:val="auto"/>
          <w:szCs w:val="21"/>
          <w:highlight w:val="none"/>
        </w:rPr>
        <w:t xml:space="preserve">分，最高得</w:t>
      </w:r>
      <w:r>
        <w:rPr>
          <w:rFonts w:hint="eastAsia"/>
          <w:color w:val="auto"/>
          <w:szCs w:val="21"/>
          <w:highlight w:val="none"/>
          <w:lang w:val="en-US" w:eastAsia="zh-CN"/>
        </w:rPr>
        <w:t xml:space="preserve">3</w:t>
      </w:r>
      <w:r>
        <w:rPr>
          <w:rFonts w:hint="eastAsia"/>
          <w:color w:val="auto"/>
          <w:szCs w:val="21"/>
          <w:highlight w:val="none"/>
        </w:rPr>
        <w:t xml:space="preserve">分。响应文件中提供证书扫描件及国家认证认可监督管理委员会官网查询截图，资料未提供或不全均不得分。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1、付款步骤、交货期限如有负偏离的不得中标。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bookmarkEnd w:id="155"/>
      <w:bookmarkEnd w:id="156"/>
      <w:bookmarkEnd w:id="157"/>
      <w:bookmarkEnd w:id="158"/>
      <w:bookmarkEnd w:id="159"/>
      <w:bookmarkEnd w:id="160"/>
      <w:bookmarkEnd w:id="161"/>
      <w:bookmarkEnd w:id="162"/>
      <w:bookmarkEnd w:id="163"/>
      <w:bookmarkEnd w:id="164"/>
      <w:bookmarkEnd w:id="165"/>
      <w:bookmarkEnd w:id="166"/>
      <w:r/>
    </w:p>
    <w:p>
      <w:pPr>
        <w:ind w:firstLine="310"/>
        <w:rPr>
          <w:rFonts w:ascii="宋体" w:hAnsi="宋体" w:cs="宋体"/>
          <w:b/>
          <w:color w:val="auto"/>
          <w:szCs w:val="21"/>
          <w:highlight w:val="none"/>
        </w:rPr>
      </w:pPr>
      <w:r>
        <w:rPr>
          <w:rFonts w:ascii="宋体" w:hAnsi="宋体" w:cs="宋体"/>
          <w:b/>
          <w:color w:val="auto"/>
          <w:szCs w:val="21"/>
          <w:highlight w:val="none"/>
        </w:rPr>
      </w:r>
      <w:r/>
    </w:p>
    <w:p>
      <w:pPr>
        <w:ind w:firstLine="310"/>
        <w:rPr>
          <w:rFonts w:ascii="宋体" w:hAnsi="宋体" w:cs="宋体"/>
          <w:b/>
          <w:color w:val="auto"/>
          <w:szCs w:val="21"/>
          <w:highlight w:val="none"/>
        </w:rPr>
      </w:pPr>
      <w:r>
        <w:rPr>
          <w:rFonts w:ascii="宋体" w:hAnsi="宋体" w:cs="宋体"/>
          <w:b/>
          <w:color w:val="auto"/>
          <w:szCs w:val="21"/>
          <w:highlight w:val="none"/>
        </w:rPr>
      </w:r>
      <w:r/>
    </w:p>
    <w:p>
      <w:pPr>
        <w:ind w:firstLine="310"/>
        <w:rPr>
          <w:rFonts w:ascii="宋体" w:hAnsi="宋体" w:cs="宋体"/>
          <w:b/>
          <w:color w:val="auto"/>
          <w:szCs w:val="21"/>
          <w:highlight w:val="none"/>
        </w:rPr>
      </w:pPr>
      <w:r>
        <w:rPr>
          <w:rFonts w:hint="eastAsia" w:ascii="宋体" w:hAnsi="宋体" w:cs="宋体"/>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276"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IDCSerif">
    <w:panose1 w:val="020B0503020202020204"/>
  </w:font>
  <w:font w:name="方正细圆简体">
    <w:panose1 w:val="020B0503020202020204"/>
  </w:font>
  <w:font w:name="Arial Black">
    <w:panose1 w:val="020B0A04020102020204"/>
  </w:font>
  <w:font w:name="Tahoma">
    <w:panose1 w:val="020B0604030504040204"/>
  </w:font>
  <w:font w:name="Cambria">
    <w:panose1 w:val="02040503050406030204"/>
  </w:font>
  <w:font w:name="方正行楷繁体">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ˎ̥">
    <w:panose1 w:val="020B0503020202020204"/>
  </w:font>
  <w:font w:name="PMingLiU">
    <w:panose1 w:val="02020500000000000000"/>
  </w:font>
  <w:font w:name="昆仑仿宋">
    <w:panose1 w:val="020B0503020202020204"/>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360"/>
      <w:rPr>
        <w:rStyle w:val="909"/>
      </w:rPr>
      <w:framePr w:wrap="around" w:vAnchor="text" w:hAnchor="margin" w:xAlign="right" w:y="1"/>
    </w:pPr>
    <w:r>
      <w:rPr>
        <w:rStyle w:val="909"/>
        <w:rFonts w:hint="eastAsia"/>
      </w:rPr>
      <w:t xml:space="preserve">第</w:t>
    </w:r>
    <w:r>
      <w:fldChar w:fldCharType="begin"/>
    </w:r>
    <w:r>
      <w:rPr>
        <w:rStyle w:val="909"/>
      </w:rPr>
      <w:instrText xml:space="preserve"> PAGE </w:instrText>
    </w:r>
    <w:r>
      <w:fldChar w:fldCharType="separate"/>
    </w:r>
    <w:r>
      <w:rPr>
        <w:rStyle w:val="909"/>
      </w:rPr>
      <w:t xml:space="preserve">66</w:t>
    </w:r>
    <w:r>
      <w:fldChar w:fldCharType="end"/>
    </w:r>
    <w:r>
      <w:rPr>
        <w:rStyle w:val="909"/>
        <w:rFonts w:hint="eastAsia"/>
      </w:rPr>
      <w:t xml:space="preserve">页</w:t>
    </w:r>
    <w:r/>
  </w:p>
  <w:p>
    <w:pPr>
      <w:pStyle w:val="88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9"/>
      </w:rPr>
      <w:framePr w:wrap="around" w:vAnchor="text" w:hAnchor="margin" w:xAlign="right" w:y="1"/>
    </w:pPr>
    <w:r>
      <w:fldChar w:fldCharType="begin"/>
    </w:r>
    <w:r>
      <w:rPr>
        <w:rStyle w:val="909"/>
      </w:rPr>
      <w:instrText xml:space="preserve">PAGE  </w:instrText>
    </w:r>
    <w:r>
      <w:fldChar w:fldCharType="end"/>
    </w:r>
    <w:r/>
  </w:p>
  <w:p>
    <w:pPr>
      <w:pStyle w:val="88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both"/>
      <w:rPr>
        <w:rFonts w:hint="eastAsia" w:eastAsia="宋体"/>
        <w:lang w:eastAsia="zh-CN"/>
      </w:rPr>
      <w:pBdr>
        <w:bottom w:val="none" w:color="000000" w:sz="0" w:space="0"/>
      </w:pBdr>
    </w:pPr>
    <w:r>
      <w:rPr>
        <w:u w:val="single"/>
      </w:rPr>
      <mc:AlternateContent>
        <mc:Choice Requires="wpg">
          <w:drawing>
            <wp:inline xmlns:wp="http://schemas.openxmlformats.org/drawingml/2006/wordprocessingDrawing" distT="0" distB="0" distL="0" distR="0">
              <wp:extent cx="323215" cy="2387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4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u w:val="single"/>
      </w:rPr>
      <w:t xml:space="preserve">苏州市创杰招投标咨询服务有限公司                               标号：</w:t>
    </w:r>
    <w:r>
      <w:rPr>
        <w:rFonts w:hint="eastAsia" w:ascii="宋体" w:hAnsi="宋体" w:eastAsia="宋体" w:cs="宋体"/>
        <w:u w:val="single"/>
        <w:lang w:eastAsia="zh-CN"/>
      </w:rPr>
      <w:t xml:space="preserve">JSZC-320000-CJZB-G2025-0146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675"/>
    <w:link w:val="670"/>
    <w:uiPriority w:val="9"/>
    <w:rPr>
      <w:rFonts w:ascii="Arial" w:hAnsi="Arial" w:eastAsia="Arial" w:cs="Arial"/>
      <w:b/>
      <w:bCs/>
      <w:sz w:val="24"/>
      <w:szCs w:val="24"/>
    </w:rPr>
  </w:style>
  <w:style w:type="character" w:styleId="23">
    <w:name w:val="Heading 6 Char"/>
    <w:basedOn w:val="675"/>
    <w:link w:val="671"/>
    <w:uiPriority w:val="9"/>
    <w:rPr>
      <w:rFonts w:ascii="Arial" w:hAnsi="Arial" w:eastAsia="Arial" w:cs="Arial"/>
      <w:b/>
      <w:bCs/>
      <w:sz w:val="22"/>
      <w:szCs w:val="22"/>
    </w:rPr>
  </w:style>
  <w:style w:type="character" w:styleId="25">
    <w:name w:val="Heading 7 Char"/>
    <w:basedOn w:val="675"/>
    <w:link w:val="672"/>
    <w:uiPriority w:val="9"/>
    <w:rPr>
      <w:rFonts w:ascii="Arial" w:hAnsi="Arial" w:eastAsia="Arial" w:cs="Arial"/>
      <w:b/>
      <w:bCs/>
      <w:i/>
      <w:iCs/>
      <w:sz w:val="22"/>
      <w:szCs w:val="22"/>
    </w:rPr>
  </w:style>
  <w:style w:type="character" w:styleId="27">
    <w:name w:val="Heading 8 Char"/>
    <w:basedOn w:val="675"/>
    <w:link w:val="673"/>
    <w:uiPriority w:val="9"/>
    <w:rPr>
      <w:rFonts w:ascii="Arial" w:hAnsi="Arial" w:eastAsia="Arial" w:cs="Arial"/>
      <w:i/>
      <w:iCs/>
      <w:sz w:val="22"/>
      <w:szCs w:val="22"/>
    </w:rPr>
  </w:style>
  <w:style w:type="character" w:styleId="29">
    <w:name w:val="Heading 9 Char"/>
    <w:basedOn w:val="675"/>
    <w:link w:val="674"/>
    <w:uiPriority w:val="9"/>
    <w:rPr>
      <w:rFonts w:ascii="Arial" w:hAnsi="Arial" w:eastAsia="Arial" w:cs="Arial"/>
      <w:i/>
      <w:iCs/>
      <w:sz w:val="21"/>
      <w:szCs w:val="21"/>
    </w:rPr>
  </w:style>
  <w:style w:type="character" w:styleId="34">
    <w:name w:val="Title Char"/>
    <w:basedOn w:val="675"/>
    <w:link w:val="701"/>
    <w:uiPriority w:val="10"/>
    <w:rPr>
      <w:sz w:val="48"/>
      <w:szCs w:val="48"/>
    </w:rPr>
  </w:style>
  <w:style w:type="character" w:styleId="36">
    <w:name w:val="Subtitle Char"/>
    <w:basedOn w:val="675"/>
    <w:link w:val="694"/>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6">
    <w:name w:val="Caption Char"/>
    <w:basedOn w:val="681"/>
    <w:link w:val="690"/>
    <w:uiPriority w:val="99"/>
  </w:style>
  <w:style w:type="character" w:styleId="175">
    <w:name w:val="Footnote Text Char"/>
    <w:link w:val="696"/>
    <w:uiPriority w:val="99"/>
    <w:rPr>
      <w:sz w:val="18"/>
    </w:rPr>
  </w:style>
  <w:style w:type="character" w:styleId="178">
    <w:name w:val="Endnote Text Char"/>
    <w:link w:val="688"/>
    <w:uiPriority w:val="99"/>
    <w:rPr>
      <w:sz w:val="20"/>
    </w:rPr>
  </w:style>
  <w:style w:type="paragraph" w:styleId="189">
    <w:name w:val="TOC Heading"/>
    <w:uiPriority w:val="39"/>
    <w:unhideWhenUsed/>
  </w:style>
  <w:style w:type="paragraph" w:styleId="665" w:default="1">
    <w:name w:val="Normal"/>
    <w:next w:val="677"/>
    <w:uiPriority w:val="0"/>
    <w:qFormat/>
    <w:pPr>
      <w:jc w:val="both"/>
      <w:widowControl w:val="off"/>
    </w:pPr>
    <w:rPr>
      <w:rFonts w:ascii="Times New Roman" w:hAnsi="Times New Roman" w:eastAsia="宋体" w:cs="Times New Roman"/>
      <w:sz w:val="21"/>
      <w:lang w:val="en-US" w:eastAsia="zh-CN" w:bidi="ar-SA"/>
    </w:rPr>
  </w:style>
  <w:style w:type="paragraph" w:styleId="666">
    <w:name w:val="Heading 1"/>
    <w:basedOn w:val="665"/>
    <w:next w:val="665"/>
    <w:uiPriority w:val="9"/>
    <w:qFormat/>
    <w:pPr>
      <w:keepLines/>
      <w:keepNext/>
      <w:spacing w:before="480" w:after="200"/>
      <w:outlineLvl w:val="0"/>
    </w:pPr>
    <w:rPr>
      <w:rFonts w:ascii="Arial" w:hAnsi="Arial" w:eastAsia="Arial" w:cs="Arial"/>
      <w:sz w:val="40"/>
      <w:szCs w:val="40"/>
    </w:rPr>
  </w:style>
  <w:style w:type="paragraph" w:styleId="667">
    <w:name w:val="Heading 2"/>
    <w:basedOn w:val="665"/>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668">
    <w:name w:val="Heading 3"/>
    <w:basedOn w:val="665"/>
    <w:next w:val="665"/>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08"/>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09"/>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665"/>
    <w:next w:val="665"/>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665"/>
    <w:next w:val="665"/>
    <w:link w:val="711"/>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665"/>
    <w:next w:val="665"/>
    <w:link w:val="712"/>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customStyle="1">
    <w:name w:val="标题 41"/>
    <w:next w:val="678"/>
    <w:uiPriority w:val="0"/>
    <w:qFormat/>
    <w:pPr>
      <w:ind w:left="600" w:firstLine="357"/>
      <w:spacing w:before="468" w:after="468"/>
      <w:outlineLvl w:val="3"/>
    </w:pPr>
    <w:rPr>
      <w:rFonts w:ascii="宋体" w:hAnsi="宋体" w:eastAsia="宋体" w:cs="Times New Roman"/>
      <w:color w:val="000000"/>
      <w:sz w:val="24"/>
      <w:u w:val="single"/>
      <w:lang w:val="en-US" w:eastAsia="zh-CN" w:bidi="ar-SA"/>
    </w:rPr>
  </w:style>
  <w:style w:type="paragraph" w:styleId="678" w:customStyle="1">
    <w:name w:val="正文缩进1"/>
    <w:basedOn w:val="665"/>
    <w:next w:val="665"/>
    <w:link w:val="860"/>
    <w:uiPriority w:val="0"/>
    <w:qFormat/>
    <w:pPr>
      <w:ind w:firstLine="420"/>
      <w:jc w:val="left"/>
    </w:pPr>
    <w:rPr>
      <w:rFonts w:eastAsia="楷体_GB2312"/>
      <w:sz w:val="24"/>
    </w:rPr>
  </w:style>
  <w:style w:type="paragraph" w:styleId="679">
    <w:name w:val="toc 7"/>
    <w:basedOn w:val="665"/>
    <w:next w:val="665"/>
    <w:uiPriority w:val="39"/>
    <w:unhideWhenUsed/>
    <w:qFormat/>
    <w:pPr>
      <w:ind w:left="1701"/>
      <w:spacing w:after="57"/>
    </w:pPr>
  </w:style>
  <w:style w:type="paragraph" w:styleId="680">
    <w:name w:val="Normal Indent"/>
    <w:basedOn w:val="665"/>
    <w:uiPriority w:val="0"/>
    <w:qFormat/>
    <w:pPr>
      <w:ind w:firstLine="420"/>
    </w:pPr>
    <w:rPr>
      <w:rFonts w:eastAsia="楷体_GB2312"/>
      <w:sz w:val="24"/>
    </w:rPr>
  </w:style>
  <w:style w:type="paragraph" w:styleId="681">
    <w:name w:val="Caption"/>
    <w:basedOn w:val="665"/>
    <w:next w:val="665"/>
    <w:uiPriority w:val="35"/>
    <w:semiHidden/>
    <w:unhideWhenUsed/>
    <w:qFormat/>
    <w:pPr>
      <w:spacing w:line="276" w:lineRule="auto"/>
    </w:pPr>
    <w:rPr>
      <w:b/>
      <w:bCs/>
      <w:color w:val="4f81bd" w:themeColor="accent1"/>
      <w:sz w:val="18"/>
      <w:szCs w:val="18"/>
    </w:rPr>
  </w:style>
  <w:style w:type="paragraph" w:styleId="682">
    <w:name w:val="annotation text"/>
    <w:basedOn w:val="665"/>
    <w:uiPriority w:val="99"/>
    <w:semiHidden/>
    <w:unhideWhenUsed/>
    <w:qFormat/>
    <w:pPr>
      <w:jc w:val="left"/>
    </w:pPr>
  </w:style>
  <w:style w:type="paragraph" w:styleId="683">
    <w:name w:val="Body Text"/>
    <w:basedOn w:val="665"/>
    <w:uiPriority w:val="99"/>
    <w:unhideWhenUsed/>
    <w:qFormat/>
    <w:pPr>
      <w:spacing w:after="120"/>
    </w:pPr>
    <w:rPr>
      <w:sz w:val="20"/>
    </w:rPr>
  </w:style>
  <w:style w:type="paragraph" w:styleId="684">
    <w:name w:val="toc 5"/>
    <w:basedOn w:val="665"/>
    <w:next w:val="665"/>
    <w:uiPriority w:val="39"/>
    <w:unhideWhenUsed/>
    <w:qFormat/>
    <w:pPr>
      <w:ind w:left="1134"/>
      <w:spacing w:after="57"/>
    </w:pPr>
  </w:style>
  <w:style w:type="paragraph" w:styleId="685">
    <w:name w:val="toc 3"/>
    <w:basedOn w:val="665"/>
    <w:next w:val="665"/>
    <w:uiPriority w:val="39"/>
    <w:unhideWhenUsed/>
    <w:qFormat/>
    <w:pPr>
      <w:ind w:left="567"/>
      <w:spacing w:after="57"/>
    </w:pPr>
  </w:style>
  <w:style w:type="paragraph" w:styleId="686">
    <w:name w:val="Plain Text"/>
    <w:basedOn w:val="665"/>
    <w:link w:val="938"/>
    <w:uiPriority w:val="0"/>
    <w:qFormat/>
    <w:rPr>
      <w:rFonts w:ascii="宋体" w:hAnsi="Courier New" w:eastAsia="楷体_GB2312"/>
      <w:sz w:val="26"/>
    </w:rPr>
  </w:style>
  <w:style w:type="paragraph" w:styleId="687">
    <w:name w:val="toc 8"/>
    <w:basedOn w:val="665"/>
    <w:next w:val="665"/>
    <w:uiPriority w:val="39"/>
    <w:unhideWhenUsed/>
    <w:qFormat/>
    <w:pPr>
      <w:ind w:left="1984"/>
      <w:spacing w:after="57"/>
    </w:pPr>
  </w:style>
  <w:style w:type="paragraph" w:styleId="688">
    <w:name w:val="endnote text"/>
    <w:basedOn w:val="665"/>
    <w:link w:val="847"/>
    <w:uiPriority w:val="99"/>
    <w:semiHidden/>
    <w:unhideWhenUsed/>
    <w:qFormat/>
    <w:rPr>
      <w:sz w:val="20"/>
    </w:rPr>
  </w:style>
  <w:style w:type="paragraph" w:styleId="689">
    <w:name w:val="Balloon Text"/>
    <w:basedOn w:val="665"/>
    <w:link w:val="1190"/>
    <w:uiPriority w:val="99"/>
    <w:semiHidden/>
    <w:unhideWhenUsed/>
    <w:qFormat/>
    <w:rPr>
      <w:sz w:val="18"/>
      <w:szCs w:val="18"/>
    </w:rPr>
  </w:style>
  <w:style w:type="paragraph" w:styleId="690">
    <w:name w:val="Footer"/>
    <w:basedOn w:val="665"/>
    <w:link w:val="720"/>
    <w:uiPriority w:val="99"/>
    <w:unhideWhenUsed/>
    <w:qFormat/>
    <w:pPr>
      <w:tabs>
        <w:tab w:val="center" w:pos="7143" w:leader="none"/>
        <w:tab w:val="right" w:pos="14287" w:leader="none"/>
      </w:tabs>
    </w:pPr>
  </w:style>
  <w:style w:type="paragraph" w:styleId="691">
    <w:name w:val="Header"/>
    <w:basedOn w:val="665"/>
    <w:uiPriority w:val="99"/>
    <w:unhideWhenUsed/>
    <w:qFormat/>
    <w:pPr>
      <w:tabs>
        <w:tab w:val="center" w:pos="7143" w:leader="none"/>
        <w:tab w:val="right" w:pos="14287" w:leader="none"/>
      </w:tabs>
    </w:pPr>
  </w:style>
  <w:style w:type="paragraph" w:styleId="692">
    <w:name w:val="toc 1"/>
    <w:basedOn w:val="665"/>
    <w:next w:val="665"/>
    <w:uiPriority w:val="39"/>
    <w:unhideWhenUsed/>
    <w:qFormat/>
    <w:pPr>
      <w:spacing w:after="57"/>
    </w:pPr>
  </w:style>
  <w:style w:type="paragraph" w:styleId="693">
    <w:name w:val="toc 4"/>
    <w:basedOn w:val="665"/>
    <w:next w:val="665"/>
    <w:uiPriority w:val="39"/>
    <w:unhideWhenUsed/>
    <w:qFormat/>
    <w:pPr>
      <w:ind w:left="850"/>
      <w:spacing w:after="57"/>
    </w:pPr>
  </w:style>
  <w:style w:type="paragraph" w:styleId="694">
    <w:name w:val="Subtitle"/>
    <w:basedOn w:val="665"/>
    <w:next w:val="665"/>
    <w:link w:val="715"/>
    <w:uiPriority w:val="11"/>
    <w:qFormat/>
    <w:pPr>
      <w:spacing w:before="200" w:after="200"/>
    </w:pPr>
    <w:rPr>
      <w:sz w:val="24"/>
      <w:szCs w:val="24"/>
    </w:rPr>
  </w:style>
  <w:style w:type="paragraph" w:styleId="695">
    <w:name w:val="List"/>
    <w:basedOn w:val="665"/>
    <w:uiPriority w:val="0"/>
    <w:qFormat/>
    <w:pPr>
      <w:ind w:left="902" w:hanging="482"/>
      <w:spacing w:line="360" w:lineRule="auto"/>
    </w:pPr>
    <w:rPr>
      <w:rFonts w:ascii="昆仑仿宋" w:eastAsia="昆仑仿宋"/>
    </w:rPr>
  </w:style>
  <w:style w:type="paragraph" w:styleId="696">
    <w:name w:val="footnote text"/>
    <w:basedOn w:val="665"/>
    <w:link w:val="846"/>
    <w:uiPriority w:val="99"/>
    <w:semiHidden/>
    <w:unhideWhenUsed/>
    <w:qFormat/>
    <w:pPr>
      <w:spacing w:after="40"/>
    </w:pPr>
    <w:rPr>
      <w:sz w:val="18"/>
    </w:rPr>
  </w:style>
  <w:style w:type="paragraph" w:styleId="697">
    <w:name w:val="toc 6"/>
    <w:basedOn w:val="665"/>
    <w:next w:val="665"/>
    <w:uiPriority w:val="39"/>
    <w:unhideWhenUsed/>
    <w:qFormat/>
    <w:pPr>
      <w:ind w:left="1417"/>
      <w:spacing w:after="57"/>
    </w:pPr>
  </w:style>
  <w:style w:type="paragraph" w:styleId="698">
    <w:name w:val="table of figures"/>
    <w:basedOn w:val="665"/>
    <w:next w:val="665"/>
    <w:uiPriority w:val="99"/>
    <w:unhideWhenUsed/>
    <w:qFormat/>
  </w:style>
  <w:style w:type="paragraph" w:styleId="699">
    <w:name w:val="toc 2"/>
    <w:basedOn w:val="665"/>
    <w:next w:val="665"/>
    <w:uiPriority w:val="39"/>
    <w:unhideWhenUsed/>
    <w:qFormat/>
    <w:pPr>
      <w:ind w:left="283"/>
      <w:spacing w:after="57"/>
    </w:pPr>
  </w:style>
  <w:style w:type="paragraph" w:styleId="700">
    <w:name w:val="toc 9"/>
    <w:basedOn w:val="665"/>
    <w:next w:val="665"/>
    <w:uiPriority w:val="39"/>
    <w:unhideWhenUsed/>
    <w:qFormat/>
    <w:pPr>
      <w:ind w:left="2268"/>
      <w:spacing w:after="57"/>
    </w:pPr>
  </w:style>
  <w:style w:type="paragraph" w:styleId="701">
    <w:name w:val="Title"/>
    <w:basedOn w:val="665"/>
    <w:next w:val="665"/>
    <w:link w:val="714"/>
    <w:uiPriority w:val="10"/>
    <w:qFormat/>
    <w:pPr>
      <w:contextualSpacing/>
      <w:spacing w:before="300" w:after="200"/>
    </w:pPr>
    <w:rPr>
      <w:sz w:val="48"/>
      <w:szCs w:val="48"/>
    </w:r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rPr>
  </w:style>
  <w:style w:type="character" w:styleId="705">
    <w:name w:val="annotation reference"/>
    <w:basedOn w:val="675"/>
    <w:uiPriority w:val="99"/>
    <w:semiHidden/>
    <w:unhideWhenUsed/>
    <w:qFormat/>
    <w:rPr>
      <w:sz w:val="21"/>
      <w:szCs w:val="21"/>
    </w:rPr>
  </w:style>
  <w:style w:type="character" w:styleId="706">
    <w:name w:val="footnote reference"/>
    <w:uiPriority w:val="99"/>
    <w:unhideWhenUsed/>
    <w:qFormat/>
    <w:rPr>
      <w:vertAlign w:val="superscript"/>
    </w:rPr>
  </w:style>
  <w:style w:type="character" w:styleId="707" w:customStyle="1">
    <w:name w:val="Heading 2 Char"/>
    <w:uiPriority w:val="9"/>
    <w:qFormat/>
    <w:rPr>
      <w:rFonts w:ascii="Arial" w:hAnsi="Arial" w:eastAsia="Arial" w:cs="Arial"/>
      <w:sz w:val="34"/>
    </w:rPr>
  </w:style>
  <w:style w:type="character" w:styleId="708" w:customStyle="1">
    <w:name w:val="标题 5 Char"/>
    <w:link w:val="670"/>
    <w:uiPriority w:val="9"/>
    <w:qFormat/>
    <w:rPr>
      <w:rFonts w:ascii="Arial" w:hAnsi="Arial" w:eastAsia="Arial" w:cs="Arial"/>
      <w:b/>
      <w:bCs/>
      <w:sz w:val="24"/>
      <w:szCs w:val="24"/>
    </w:rPr>
  </w:style>
  <w:style w:type="character" w:styleId="709" w:customStyle="1">
    <w:name w:val="标题 6 Char"/>
    <w:link w:val="671"/>
    <w:uiPriority w:val="9"/>
    <w:qFormat/>
    <w:rPr>
      <w:rFonts w:ascii="Arial" w:hAnsi="Arial" w:eastAsia="Arial" w:cs="Arial"/>
      <w:b/>
      <w:bCs/>
      <w:sz w:val="22"/>
      <w:szCs w:val="22"/>
    </w:rPr>
  </w:style>
  <w:style w:type="character" w:styleId="710" w:customStyle="1">
    <w:name w:val="标题 7 Char"/>
    <w:link w:val="672"/>
    <w:uiPriority w:val="9"/>
    <w:qFormat/>
    <w:rPr>
      <w:rFonts w:ascii="Arial" w:hAnsi="Arial" w:eastAsia="Arial" w:cs="Arial"/>
      <w:b/>
      <w:bCs/>
      <w:i/>
      <w:iCs/>
      <w:sz w:val="22"/>
      <w:szCs w:val="22"/>
    </w:rPr>
  </w:style>
  <w:style w:type="character" w:styleId="711" w:customStyle="1">
    <w:name w:val="标题 8 Char"/>
    <w:link w:val="673"/>
    <w:uiPriority w:val="9"/>
    <w:qFormat/>
    <w:rPr>
      <w:rFonts w:ascii="Arial" w:hAnsi="Arial" w:eastAsia="Arial" w:cs="Arial"/>
      <w:i/>
      <w:iCs/>
      <w:sz w:val="22"/>
      <w:szCs w:val="22"/>
    </w:rPr>
  </w:style>
  <w:style w:type="character" w:styleId="712" w:customStyle="1">
    <w:name w:val="标题 9 Char"/>
    <w:link w:val="674"/>
    <w:uiPriority w:val="9"/>
    <w:qFormat/>
    <w:rPr>
      <w:rFonts w:ascii="Arial" w:hAnsi="Arial" w:eastAsia="Arial" w:cs="Arial"/>
      <w:i/>
      <w:iCs/>
      <w:sz w:val="21"/>
      <w:szCs w:val="21"/>
    </w:rPr>
  </w:style>
  <w:style w:type="paragraph" w:styleId="713">
    <w:name w:val="No Spacing"/>
    <w:uiPriority w:val="1"/>
    <w:qFormat/>
    <w:rPr>
      <w:rFonts w:ascii="Times New Roman" w:hAnsi="Times New Roman" w:eastAsia="宋体" w:cs="Times New Roman"/>
      <w:lang w:val="en-US" w:eastAsia="zh-CN" w:bidi="ar-SA"/>
    </w:rPr>
  </w:style>
  <w:style w:type="character" w:styleId="714" w:customStyle="1">
    <w:name w:val="标题 Char"/>
    <w:link w:val="701"/>
    <w:uiPriority w:val="10"/>
    <w:qFormat/>
    <w:rPr>
      <w:sz w:val="48"/>
      <w:szCs w:val="48"/>
    </w:rPr>
  </w:style>
  <w:style w:type="character" w:styleId="715" w:customStyle="1">
    <w:name w:val="副标题 Char"/>
    <w:link w:val="694"/>
    <w:uiPriority w:val="11"/>
    <w:qFormat/>
    <w:rPr>
      <w:sz w:val="24"/>
      <w:szCs w:val="24"/>
    </w:rPr>
  </w:style>
  <w:style w:type="paragraph" w:styleId="716">
    <w:name w:val="Quote"/>
    <w:basedOn w:val="665"/>
    <w:next w:val="665"/>
    <w:link w:val="717"/>
    <w:uiPriority w:val="29"/>
    <w:qFormat/>
    <w:pPr>
      <w:ind w:left="720" w:right="720"/>
    </w:pPr>
    <w:rPr>
      <w:i/>
    </w:rPr>
  </w:style>
  <w:style w:type="character" w:styleId="717" w:customStyle="1">
    <w:name w:val="引用 Char"/>
    <w:link w:val="716"/>
    <w:uiPriority w:val="29"/>
    <w:qFormat/>
    <w:rPr>
      <w:i/>
    </w:rPr>
  </w:style>
  <w:style w:type="paragraph" w:styleId="718">
    <w:name w:val="Intense Quote"/>
    <w:basedOn w:val="665"/>
    <w:next w:val="665"/>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Char"/>
    <w:link w:val="718"/>
    <w:uiPriority w:val="30"/>
    <w:qFormat/>
    <w:rPr>
      <w:i/>
    </w:rPr>
  </w:style>
  <w:style w:type="character" w:styleId="720" w:customStyle="1">
    <w:name w:val="页脚 Char"/>
    <w:link w:val="690"/>
    <w:uiPriority w:val="99"/>
    <w:qFormat/>
  </w:style>
  <w:style w:type="table" w:styleId="7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脚注文本 Char"/>
    <w:link w:val="696"/>
    <w:uiPriority w:val="99"/>
    <w:qFormat/>
    <w:rPr>
      <w:sz w:val="18"/>
    </w:rPr>
  </w:style>
  <w:style w:type="character" w:styleId="847" w:customStyle="1">
    <w:name w:val="尾注文本 Char"/>
    <w:link w:val="688"/>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标题 11"/>
    <w:basedOn w:val="665"/>
    <w:next w:val="665"/>
    <w:link w:val="859"/>
    <w:uiPriority w:val="0"/>
    <w:qFormat/>
    <w:pPr>
      <w:keepLines/>
      <w:keepNext/>
      <w:spacing w:before="340" w:after="330" w:line="576" w:lineRule="auto"/>
      <w:outlineLvl w:val="0"/>
    </w:pPr>
    <w:rPr>
      <w:rFonts w:eastAsia="楷体_GB2312"/>
      <w:b/>
      <w:sz w:val="44"/>
    </w:rPr>
  </w:style>
  <w:style w:type="paragraph" w:styleId="850" w:customStyle="1">
    <w:name w:val="标题 21"/>
    <w:next w:val="665"/>
    <w:uiPriority w:val="0"/>
    <w:qFormat/>
    <w:pPr>
      <w:spacing w:before="624" w:after="312"/>
      <w:outlineLvl w:val="1"/>
    </w:pPr>
    <w:rPr>
      <w:rFonts w:ascii="Arial" w:hAnsi="Arial" w:eastAsia="黑体" w:cs="Times New Roman"/>
      <w:b/>
      <w:color w:val="000000"/>
      <w:spacing w:val="16"/>
      <w:sz w:val="28"/>
      <w:lang w:val="en-US" w:eastAsia="zh-CN" w:bidi="ar-SA"/>
    </w:rPr>
  </w:style>
  <w:style w:type="paragraph" w:styleId="851" w:customStyle="1">
    <w:name w:val="标题 31"/>
    <w:next w:val="665"/>
    <w:uiPriority w:val="0"/>
    <w:qFormat/>
    <w:pPr>
      <w:ind w:left="478" w:right="238"/>
      <w:spacing w:before="468" w:after="468"/>
      <w:outlineLvl w:val="2"/>
    </w:pPr>
    <w:rPr>
      <w:rFonts w:ascii="宋体" w:hAnsi="Times New Roman" w:eastAsia="宋体" w:cs="Times New Roman"/>
      <w:b/>
      <w:color w:val="000000"/>
      <w:spacing w:val="40"/>
      <w:sz w:val="24"/>
      <w:lang w:val="en-US" w:eastAsia="zh-CN" w:bidi="ar-SA"/>
    </w:rPr>
  </w:style>
  <w:style w:type="paragraph" w:styleId="852" w:customStyle="1">
    <w:name w:val="标题 51"/>
    <w:basedOn w:val="665"/>
    <w:next w:val="678"/>
    <w:uiPriority w:val="0"/>
    <w:qFormat/>
    <w:pPr>
      <w:ind w:firstLine="420"/>
      <w:keepLines/>
      <w:keepNext/>
      <w:spacing w:before="100" w:after="100" w:line="376" w:lineRule="atLeast"/>
      <w:outlineLvl w:val="4"/>
    </w:pPr>
    <w:rPr>
      <w:rFonts w:ascii="宋体"/>
      <w:b/>
      <w:i/>
      <w:sz w:val="24"/>
    </w:rPr>
  </w:style>
  <w:style w:type="paragraph" w:styleId="853" w:customStyle="1">
    <w:name w:val="标题 61"/>
    <w:basedOn w:val="665"/>
    <w:next w:val="665"/>
    <w:uiPriority w:val="0"/>
    <w:qFormat/>
    <w:pPr>
      <w:ind w:left="420"/>
      <w:keepNext/>
      <w:outlineLvl w:val="5"/>
    </w:pPr>
    <w:rPr>
      <w:rFonts w:ascii="Arial" w:hAnsi="Arial" w:eastAsia="黑体"/>
      <w:b/>
    </w:rPr>
  </w:style>
  <w:style w:type="paragraph" w:styleId="854" w:customStyle="1">
    <w:name w:val="标题 71"/>
    <w:basedOn w:val="665"/>
    <w:next w:val="678"/>
    <w:uiPriority w:val="0"/>
    <w:qFormat/>
    <w:pPr>
      <w:keepNext/>
      <w:outlineLvl w:val="6"/>
    </w:pPr>
    <w:rPr>
      <w:rFonts w:ascii="Arial" w:hAnsi="Arial" w:eastAsia="黑体"/>
      <w:b/>
      <w:sz w:val="24"/>
    </w:rPr>
  </w:style>
  <w:style w:type="paragraph" w:styleId="855" w:customStyle="1">
    <w:name w:val="标题 81"/>
    <w:basedOn w:val="665"/>
    <w:next w:val="665"/>
    <w:uiPriority w:val="0"/>
    <w:qFormat/>
    <w:pPr>
      <w:keepNext/>
      <w:outlineLvl w:val="7"/>
    </w:pPr>
    <w:rPr>
      <w:rFonts w:ascii="Arial" w:hAnsi="Arial"/>
      <w:b/>
      <w:color w:val="000000"/>
      <w:sz w:val="16"/>
    </w:rPr>
  </w:style>
  <w:style w:type="paragraph" w:styleId="856" w:customStyle="1">
    <w:name w:val="标题 91"/>
    <w:basedOn w:val="665"/>
    <w:next w:val="678"/>
    <w:uiPriority w:val="0"/>
    <w:qFormat/>
    <w:pPr>
      <w:keepLines/>
      <w:keepNext/>
      <w:spacing w:before="240" w:after="64" w:line="317" w:lineRule="auto"/>
      <w:outlineLvl w:val="8"/>
    </w:pPr>
    <w:rPr>
      <w:rFonts w:ascii="Arial" w:hAnsi="Arial" w:eastAsia="黑体"/>
    </w:rPr>
  </w:style>
  <w:style w:type="character" w:styleId="857" w:customStyle="1">
    <w:name w:val="默认段落字体1"/>
    <w:uiPriority w:val="0"/>
    <w:qFormat/>
  </w:style>
  <w:style w:type="table" w:styleId="858" w:customStyle="1">
    <w:name w:val="普通表格1"/>
    <w:uiPriority w:val="0"/>
    <w:semiHidden/>
    <w:qFormat/>
    <w:tblPr>
      <w:tblCellMar>
        <w:left w:w="0" w:type="dxa"/>
        <w:top w:w="0" w:type="dxa"/>
        <w:right w:w="0" w:type="dxa"/>
        <w:bottom w:w="0" w:type="dxa"/>
      </w:tblCellMar>
    </w:tblPr>
  </w:style>
  <w:style w:type="character" w:styleId="859" w:customStyle="1">
    <w:name w:val="标题 1 Char"/>
    <w:link w:val="849"/>
    <w:uiPriority w:val="0"/>
    <w:qFormat/>
    <w:rPr>
      <w:rFonts w:eastAsia="楷体_GB2312"/>
      <w:b/>
      <w:sz w:val="44"/>
    </w:rPr>
  </w:style>
  <w:style w:type="character" w:styleId="860" w:customStyle="1">
    <w:name w:val="正文缩进 Char"/>
    <w:link w:val="678"/>
    <w:uiPriority w:val="0"/>
    <w:qFormat/>
    <w:rPr>
      <w:rFonts w:eastAsia="楷体_GB2312"/>
      <w:sz w:val="24"/>
      <w:lang w:val="en-US" w:eastAsia="zh-CN" w:bidi="ar-SA"/>
    </w:rPr>
  </w:style>
  <w:style w:type="paragraph" w:styleId="861" w:customStyle="1">
    <w:name w:val="列表 31"/>
    <w:basedOn w:val="665"/>
    <w:uiPriority w:val="0"/>
    <w:qFormat/>
    <w:pPr>
      <w:ind w:left="100" w:hanging="200"/>
      <w:spacing w:line="360" w:lineRule="auto"/>
    </w:pPr>
    <w:rPr>
      <w:sz w:val="24"/>
    </w:rPr>
  </w:style>
  <w:style w:type="paragraph" w:styleId="862" w:customStyle="1">
    <w:name w:val="目录 71"/>
    <w:basedOn w:val="665"/>
    <w:next w:val="665"/>
    <w:uiPriority w:val="0"/>
    <w:qFormat/>
    <w:pPr>
      <w:ind w:left="2520"/>
    </w:pPr>
  </w:style>
  <w:style w:type="paragraph" w:styleId="863" w:customStyle="1">
    <w:name w:val="列表项目符号 41"/>
    <w:basedOn w:val="665"/>
    <w:uiPriority w:val="0"/>
    <w:qFormat/>
    <w:pPr>
      <w:ind w:left="1620" w:hanging="360"/>
      <w:spacing w:after="120"/>
      <w:tabs>
        <w:tab w:val="left" w:pos="1620" w:leader="none"/>
      </w:tabs>
    </w:pPr>
    <w:rPr>
      <w:sz w:val="28"/>
    </w:rPr>
  </w:style>
  <w:style w:type="paragraph" w:styleId="864" w:customStyle="1">
    <w:name w:val="列表编号1"/>
    <w:basedOn w:val="665"/>
    <w:uiPriority w:val="0"/>
    <w:qFormat/>
    <w:pPr>
      <w:ind w:left="360" w:hanging="360"/>
      <w:jc w:val="left"/>
      <w:widowControl/>
      <w:tabs>
        <w:tab w:val="left" w:pos="360" w:leader="none"/>
      </w:tabs>
    </w:pPr>
    <w:rPr>
      <w:sz w:val="24"/>
    </w:rPr>
  </w:style>
  <w:style w:type="paragraph" w:styleId="865" w:customStyle="1">
    <w:name w:val="题注1"/>
    <w:basedOn w:val="665"/>
    <w:next w:val="665"/>
    <w:uiPriority w:val="0"/>
    <w:qFormat/>
    <w:pPr>
      <w:ind w:left="1260" w:hanging="720"/>
      <w:tabs>
        <w:tab w:val="left" w:pos="180" w:leader="none"/>
        <w:tab w:val="left" w:pos="840" w:leader="none"/>
      </w:tabs>
    </w:pPr>
    <w:rPr>
      <w:rFonts w:ascii="宋体" w:hAnsi="宋体"/>
      <w:b/>
    </w:rPr>
  </w:style>
  <w:style w:type="paragraph" w:styleId="866" w:customStyle="1">
    <w:name w:val="文档结构图1"/>
    <w:basedOn w:val="665"/>
    <w:uiPriority w:val="0"/>
    <w:qFormat/>
    <w:pPr>
      <w:shd w:val="clear" w:color="auto" w:fill="000080"/>
    </w:pPr>
  </w:style>
  <w:style w:type="paragraph" w:styleId="867" w:customStyle="1">
    <w:name w:val="批注文字1"/>
    <w:basedOn w:val="665"/>
    <w:link w:val="868"/>
    <w:uiPriority w:val="0"/>
    <w:qFormat/>
    <w:pPr>
      <w:jc w:val="left"/>
    </w:pPr>
  </w:style>
  <w:style w:type="character" w:styleId="868" w:customStyle="1">
    <w:name w:val="批注文字 Char"/>
    <w:link w:val="867"/>
    <w:uiPriority w:val="0"/>
    <w:qFormat/>
    <w:rPr>
      <w:sz w:val="21"/>
    </w:rPr>
  </w:style>
  <w:style w:type="paragraph" w:styleId="869" w:customStyle="1">
    <w:name w:val="正文文本 31"/>
    <w:basedOn w:val="665"/>
    <w:uiPriority w:val="0"/>
    <w:qFormat/>
    <w:rPr>
      <w:color w:val="0000ff"/>
    </w:rPr>
  </w:style>
  <w:style w:type="paragraph" w:styleId="870" w:customStyle="1">
    <w:name w:val="列表项目符号 31"/>
    <w:basedOn w:val="665"/>
    <w:uiPriority w:val="0"/>
    <w:qFormat/>
    <w:pPr>
      <w:ind w:left="1200" w:hanging="360"/>
      <w:spacing w:after="120"/>
      <w:tabs>
        <w:tab w:val="left" w:pos="1200" w:leader="none"/>
      </w:tabs>
    </w:pPr>
    <w:rPr>
      <w:sz w:val="28"/>
    </w:rPr>
  </w:style>
  <w:style w:type="paragraph" w:styleId="871" w:customStyle="1">
    <w:name w:val="正文文本1"/>
    <w:basedOn w:val="665"/>
    <w:next w:val="665"/>
    <w:link w:val="872"/>
    <w:uiPriority w:val="0"/>
    <w:qFormat/>
    <w:rPr>
      <w:sz w:val="24"/>
    </w:rPr>
  </w:style>
  <w:style w:type="character" w:styleId="872" w:customStyle="1">
    <w:name w:val="正文文本 Char"/>
    <w:link w:val="871"/>
    <w:uiPriority w:val="0"/>
    <w:qFormat/>
    <w:rPr>
      <w:sz w:val="24"/>
    </w:rPr>
  </w:style>
  <w:style w:type="paragraph" w:styleId="873" w:customStyle="1">
    <w:name w:val="正文文本缩进1"/>
    <w:basedOn w:val="665"/>
    <w:link w:val="874"/>
    <w:uiPriority w:val="0"/>
    <w:qFormat/>
    <w:pPr>
      <w:ind w:firstLine="425"/>
      <w:spacing w:line="360" w:lineRule="auto"/>
    </w:pPr>
    <w:rPr>
      <w:sz w:val="24"/>
    </w:rPr>
  </w:style>
  <w:style w:type="character" w:styleId="874" w:customStyle="1">
    <w:name w:val="正文文本缩进 Char"/>
    <w:link w:val="873"/>
    <w:uiPriority w:val="0"/>
    <w:qFormat/>
    <w:rPr>
      <w:sz w:val="24"/>
    </w:rPr>
  </w:style>
  <w:style w:type="paragraph" w:styleId="875" w:customStyle="1">
    <w:name w:val="列表 21"/>
    <w:basedOn w:val="665"/>
    <w:uiPriority w:val="0"/>
    <w:qFormat/>
    <w:pPr>
      <w:ind w:left="100" w:hanging="200"/>
      <w:spacing w:line="360" w:lineRule="auto"/>
    </w:pPr>
    <w:rPr>
      <w:sz w:val="24"/>
    </w:rPr>
  </w:style>
  <w:style w:type="paragraph" w:styleId="876" w:customStyle="1">
    <w:name w:val="文本块1"/>
    <w:basedOn w:val="849"/>
    <w:next w:val="665"/>
    <w:uiPriority w:val="0"/>
    <w:qFormat/>
    <w:pPr>
      <w:ind w:left="276" w:right="212"/>
      <w:jc w:val="left"/>
      <w:spacing w:line="240" w:lineRule="exact"/>
    </w:pPr>
    <w:rPr>
      <w:rFonts w:ascii="Arial" w:hAnsi="Arial"/>
      <w:color w:val="000000"/>
      <w:sz w:val="18"/>
    </w:rPr>
  </w:style>
  <w:style w:type="paragraph" w:styleId="877" w:customStyle="1">
    <w:name w:val="列表项目符号 21"/>
    <w:basedOn w:val="665"/>
    <w:uiPriority w:val="0"/>
    <w:qFormat/>
    <w:pPr>
      <w:ind w:left="780" w:hanging="360"/>
      <w:spacing w:after="120"/>
      <w:tabs>
        <w:tab w:val="left" w:pos="780" w:leader="none"/>
      </w:tabs>
    </w:pPr>
    <w:rPr>
      <w:sz w:val="28"/>
    </w:rPr>
  </w:style>
  <w:style w:type="paragraph" w:styleId="878" w:customStyle="1">
    <w:name w:val="目录 51"/>
    <w:basedOn w:val="665"/>
    <w:next w:val="665"/>
    <w:uiPriority w:val="0"/>
    <w:qFormat/>
    <w:pPr>
      <w:ind w:left="1680"/>
    </w:pPr>
  </w:style>
  <w:style w:type="paragraph" w:styleId="879" w:customStyle="1">
    <w:name w:val="目录 31"/>
    <w:basedOn w:val="665"/>
    <w:next w:val="665"/>
    <w:uiPriority w:val="0"/>
    <w:qFormat/>
    <w:pPr>
      <w:ind w:left="840"/>
    </w:pPr>
  </w:style>
  <w:style w:type="paragraph" w:styleId="880" w:customStyle="1">
    <w:name w:val="纯文本11"/>
    <w:basedOn w:val="665"/>
    <w:link w:val="881"/>
    <w:uiPriority w:val="0"/>
    <w:qFormat/>
    <w:rPr>
      <w:rFonts w:ascii="宋体" w:hAnsi="Courier New" w:eastAsia="楷体_GB2312"/>
      <w:sz w:val="26"/>
    </w:rPr>
  </w:style>
  <w:style w:type="character" w:styleId="881" w:customStyle="1">
    <w:name w:val="纯文本 Char"/>
    <w:link w:val="880"/>
    <w:uiPriority w:val="0"/>
    <w:qFormat/>
    <w:rPr>
      <w:rFonts w:ascii="宋体" w:hAnsi="Courier New" w:eastAsia="楷体_GB2312"/>
      <w:sz w:val="26"/>
    </w:rPr>
  </w:style>
  <w:style w:type="paragraph" w:styleId="882" w:customStyle="1">
    <w:name w:val="目录 81"/>
    <w:basedOn w:val="665"/>
    <w:next w:val="665"/>
    <w:uiPriority w:val="0"/>
    <w:qFormat/>
    <w:pPr>
      <w:ind w:left="2940"/>
    </w:pPr>
  </w:style>
  <w:style w:type="paragraph" w:styleId="883" w:customStyle="1">
    <w:name w:val="日期1"/>
    <w:basedOn w:val="665"/>
    <w:next w:val="665"/>
    <w:link w:val="884"/>
    <w:uiPriority w:val="0"/>
    <w:qFormat/>
    <w:rPr>
      <w:rFonts w:ascii="宋体" w:hAnsi="宋体" w:eastAsia="楷体_GB2312"/>
      <w:sz w:val="24"/>
    </w:rPr>
  </w:style>
  <w:style w:type="character" w:styleId="884" w:customStyle="1">
    <w:name w:val="日期 Char"/>
    <w:link w:val="883"/>
    <w:uiPriority w:val="0"/>
    <w:qFormat/>
    <w:rPr>
      <w:rFonts w:ascii="宋体" w:hAnsi="宋体" w:eastAsia="楷体_GB2312"/>
      <w:sz w:val="24"/>
    </w:rPr>
  </w:style>
  <w:style w:type="paragraph" w:styleId="885" w:customStyle="1">
    <w:name w:val="正文文本缩进 21"/>
    <w:basedOn w:val="665"/>
    <w:link w:val="886"/>
    <w:uiPriority w:val="0"/>
    <w:qFormat/>
    <w:pPr>
      <w:ind w:firstLine="540"/>
      <w:spacing w:line="360" w:lineRule="auto"/>
    </w:pPr>
    <w:rPr>
      <w:rFonts w:ascii="宋体" w:hAnsi="宋体"/>
      <w:sz w:val="24"/>
    </w:rPr>
  </w:style>
  <w:style w:type="character" w:styleId="886" w:customStyle="1">
    <w:name w:val="正文文本缩进 2 Char"/>
    <w:link w:val="885"/>
    <w:uiPriority w:val="0"/>
    <w:qFormat/>
    <w:rPr>
      <w:rFonts w:ascii="宋体" w:hAnsi="宋体"/>
      <w:sz w:val="24"/>
    </w:rPr>
  </w:style>
  <w:style w:type="paragraph" w:styleId="887" w:customStyle="1">
    <w:name w:val="批注框文本1"/>
    <w:basedOn w:val="665"/>
    <w:uiPriority w:val="0"/>
    <w:qFormat/>
    <w:rPr>
      <w:sz w:val="18"/>
    </w:rPr>
  </w:style>
  <w:style w:type="paragraph" w:styleId="888" w:customStyle="1">
    <w:name w:val="页脚1"/>
    <w:basedOn w:val="665"/>
    <w:uiPriority w:val="0"/>
    <w:qFormat/>
    <w:pPr>
      <w:jc w:val="left"/>
      <w:tabs>
        <w:tab w:val="center" w:pos="4153" w:leader="none"/>
        <w:tab w:val="right" w:pos="8306" w:leader="none"/>
      </w:tabs>
    </w:pPr>
    <w:rPr>
      <w:rFonts w:eastAsia="楷体_GB2312"/>
      <w:sz w:val="18"/>
    </w:rPr>
  </w:style>
  <w:style w:type="paragraph" w:styleId="889" w:customStyle="1">
    <w:name w:val="页眉1"/>
    <w:basedOn w:val="665"/>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890" w:customStyle="1">
    <w:name w:val="目录 11"/>
    <w:basedOn w:val="665"/>
    <w:next w:val="665"/>
    <w:uiPriority w:val="39"/>
    <w:qFormat/>
    <w:pPr>
      <w:jc w:val="left"/>
      <w:spacing w:line="360" w:lineRule="auto"/>
      <w:tabs>
        <w:tab w:val="right" w:pos="8302" w:leader="dot"/>
      </w:tabs>
    </w:pPr>
    <w:rPr>
      <w:rFonts w:ascii="宋体" w:hAnsi="宋体"/>
      <w:sz w:val="24"/>
    </w:rPr>
  </w:style>
  <w:style w:type="paragraph" w:styleId="891" w:customStyle="1">
    <w:name w:val="目录 41"/>
    <w:basedOn w:val="665"/>
    <w:next w:val="665"/>
    <w:uiPriority w:val="0"/>
    <w:qFormat/>
    <w:pPr>
      <w:ind w:left="1260"/>
    </w:pPr>
  </w:style>
  <w:style w:type="paragraph" w:styleId="892" w:customStyle="1">
    <w:name w:val="列表1"/>
    <w:basedOn w:val="665"/>
    <w:uiPriority w:val="0"/>
    <w:qFormat/>
    <w:pPr>
      <w:ind w:left="420" w:hanging="420"/>
      <w:spacing w:line="360" w:lineRule="auto"/>
    </w:pPr>
    <w:rPr>
      <w:rFonts w:eastAsia="仿宋_GB2312"/>
      <w:sz w:val="24"/>
    </w:rPr>
  </w:style>
  <w:style w:type="paragraph" w:styleId="893" w:customStyle="1">
    <w:name w:val="脚注文本1"/>
    <w:basedOn w:val="849"/>
    <w:next w:val="876"/>
    <w:uiPriority w:val="0"/>
    <w:qFormat/>
    <w:pPr>
      <w:ind w:firstLine="3584"/>
      <w:spacing w:before="0" w:after="0" w:line="360" w:lineRule="auto"/>
    </w:pPr>
  </w:style>
  <w:style w:type="paragraph" w:styleId="894" w:customStyle="1">
    <w:name w:val="目录 61"/>
    <w:basedOn w:val="665"/>
    <w:next w:val="665"/>
    <w:uiPriority w:val="0"/>
    <w:qFormat/>
    <w:pPr>
      <w:ind w:left="2100"/>
    </w:pPr>
  </w:style>
  <w:style w:type="paragraph" w:styleId="895" w:customStyle="1">
    <w:name w:val="正文文本缩进 31"/>
    <w:basedOn w:val="665"/>
    <w:uiPriority w:val="0"/>
    <w:qFormat/>
    <w:pPr>
      <w:ind w:firstLine="570"/>
      <w:spacing w:line="520" w:lineRule="exact"/>
    </w:pPr>
    <w:rPr>
      <w:rFonts w:ascii="宋体" w:hAnsi="宋体"/>
      <w:sz w:val="24"/>
      <w:u w:val="single"/>
    </w:rPr>
  </w:style>
  <w:style w:type="paragraph" w:styleId="896" w:customStyle="1">
    <w:name w:val="目录 21"/>
    <w:basedOn w:val="665"/>
    <w:next w:val="665"/>
    <w:uiPriority w:val="0"/>
    <w:qFormat/>
    <w:pPr>
      <w:ind w:left="420"/>
    </w:pPr>
  </w:style>
  <w:style w:type="paragraph" w:styleId="897" w:customStyle="1">
    <w:name w:val="目录 91"/>
    <w:basedOn w:val="665"/>
    <w:next w:val="665"/>
    <w:uiPriority w:val="0"/>
    <w:qFormat/>
    <w:pPr>
      <w:ind w:left="3360"/>
    </w:pPr>
  </w:style>
  <w:style w:type="paragraph" w:styleId="898" w:customStyle="1">
    <w:name w:val="正文文本 21"/>
    <w:basedOn w:val="665"/>
    <w:link w:val="899"/>
    <w:uiPriority w:val="0"/>
    <w:qFormat/>
    <w:pPr>
      <w:spacing w:line="360" w:lineRule="auto"/>
    </w:pPr>
    <w:rPr>
      <w:color w:val="ff0000"/>
    </w:rPr>
  </w:style>
  <w:style w:type="character" w:styleId="899" w:customStyle="1">
    <w:name w:val="正文文本 2 Char"/>
    <w:link w:val="898"/>
    <w:uiPriority w:val="0"/>
    <w:qFormat/>
    <w:rPr>
      <w:color w:val="ff0000"/>
      <w:sz w:val="21"/>
    </w:rPr>
  </w:style>
  <w:style w:type="paragraph" w:styleId="900" w:customStyle="1">
    <w:name w:val="HTML 预设格式1"/>
    <w:basedOn w:val="6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1" w:customStyle="1">
    <w:name w:val="普通(网站)1"/>
    <w:basedOn w:val="665"/>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02" w:customStyle="1">
    <w:name w:val="索引 11"/>
    <w:basedOn w:val="665"/>
    <w:next w:val="665"/>
    <w:uiPriority w:val="0"/>
    <w:qFormat/>
    <w:rPr>
      <w:rFonts w:ascii="宋体" w:hAnsi="宋体"/>
    </w:rPr>
  </w:style>
  <w:style w:type="paragraph" w:styleId="903" w:customStyle="1">
    <w:name w:val="标题11"/>
    <w:basedOn w:val="665"/>
    <w:uiPriority w:val="0"/>
    <w:qFormat/>
    <w:pPr>
      <w:jc w:val="center"/>
      <w:spacing w:before="156"/>
    </w:pPr>
    <w:rPr>
      <w:rFonts w:eastAsia="黑体"/>
      <w:b/>
      <w:sz w:val="32"/>
    </w:rPr>
  </w:style>
  <w:style w:type="paragraph" w:styleId="904" w:customStyle="1">
    <w:name w:val="批注主题1"/>
    <w:basedOn w:val="867"/>
    <w:next w:val="867"/>
    <w:uiPriority w:val="0"/>
    <w:qFormat/>
    <w:rPr>
      <w:b/>
      <w:bCs/>
    </w:rPr>
  </w:style>
  <w:style w:type="paragraph" w:styleId="905" w:customStyle="1">
    <w:name w:val="正文首行缩进1"/>
    <w:basedOn w:val="665"/>
    <w:uiPriority w:val="0"/>
    <w:qFormat/>
    <w:pPr>
      <w:ind w:firstLine="425"/>
      <w:spacing w:line="360" w:lineRule="auto"/>
    </w:pPr>
    <w:rPr>
      <w:sz w:val="24"/>
    </w:rPr>
  </w:style>
  <w:style w:type="paragraph" w:styleId="906" w:customStyle="1">
    <w:name w:val="正文首行缩进 21"/>
    <w:basedOn w:val="873"/>
    <w:uiPriority w:val="0"/>
    <w:qFormat/>
    <w:pPr>
      <w:ind w:left="420" w:firstLine="420"/>
      <w:spacing w:after="120"/>
    </w:pPr>
  </w:style>
  <w:style w:type="table" w:styleId="907" w:customStyle="1">
    <w:name w:val="网格型1"/>
    <w:basedOn w:val="858"/>
    <w:uiPriority w:val="0"/>
    <w:qFormat/>
    <w:tblPr>
      <w:tblCellMar>
        <w:left w:w="0" w:type="dxa"/>
        <w:top w:w="0" w:type="dxa"/>
        <w:right w:w="0" w:type="dxa"/>
        <w:bottom w:w="0" w:type="dxa"/>
      </w:tblCellMar>
    </w:tblPr>
  </w:style>
  <w:style w:type="character" w:styleId="908" w:customStyle="1">
    <w:name w:val="要点1"/>
    <w:uiPriority w:val="0"/>
    <w:qFormat/>
    <w:rPr>
      <w:b/>
    </w:rPr>
  </w:style>
  <w:style w:type="character" w:styleId="909" w:customStyle="1">
    <w:name w:val="页码1"/>
    <w:basedOn w:val="857"/>
    <w:uiPriority w:val="0"/>
    <w:qFormat/>
  </w:style>
  <w:style w:type="character" w:styleId="910" w:customStyle="1">
    <w:name w:val="已访问的超链接1"/>
    <w:uiPriority w:val="99"/>
    <w:qFormat/>
    <w:rPr>
      <w:color w:val="800080"/>
      <w:u w:val="none"/>
    </w:rPr>
  </w:style>
  <w:style w:type="character" w:styleId="911" w:customStyle="1">
    <w:name w:val="强调1"/>
    <w:uiPriority w:val="0"/>
    <w:qFormat/>
  </w:style>
  <w:style w:type="character" w:styleId="912" w:customStyle="1">
    <w:name w:val="HTML 打字机1"/>
    <w:uiPriority w:val="0"/>
    <w:qFormat/>
    <w:rPr>
      <w:rFonts w:ascii="黑体" w:hAnsi="Courier New" w:eastAsia="黑体" w:cs="Courier New"/>
      <w:sz w:val="14"/>
      <w:szCs w:val="14"/>
    </w:rPr>
  </w:style>
  <w:style w:type="character" w:styleId="913" w:customStyle="1">
    <w:name w:val="超链接1"/>
    <w:uiPriority w:val="99"/>
    <w:qFormat/>
    <w:rPr>
      <w:color w:val="0000ff"/>
      <w:u w:val="none"/>
    </w:rPr>
  </w:style>
  <w:style w:type="character" w:styleId="914" w:customStyle="1">
    <w:name w:val="批注引用1"/>
    <w:uiPriority w:val="0"/>
    <w:qFormat/>
    <w:rPr>
      <w:sz w:val="21"/>
      <w:szCs w:val="21"/>
    </w:rPr>
  </w:style>
  <w:style w:type="character" w:styleId="915" w:customStyle="1">
    <w:name w:val="HTML 引文1"/>
    <w:uiPriority w:val="0"/>
    <w:qFormat/>
    <w:rPr>
      <w:color w:val="008000"/>
    </w:rPr>
  </w:style>
  <w:style w:type="character" w:styleId="916" w:customStyle="1">
    <w:name w:val="cn21"/>
    <w:uiPriority w:val="0"/>
    <w:qFormat/>
    <w:rPr>
      <w:color w:val="ffffff"/>
      <w:sz w:val="18"/>
      <w:u w:val="none"/>
    </w:rPr>
  </w:style>
  <w:style w:type="character" w:styleId="917" w:customStyle="1">
    <w:name w:val="标题 2 Char"/>
    <w:uiPriority w:val="0"/>
    <w:qFormat/>
    <w:rPr>
      <w:rFonts w:ascii="Arial" w:hAnsi="Arial" w:eastAsia="黑体"/>
      <w:b/>
      <w:color w:val="000000"/>
      <w:spacing w:val="16"/>
      <w:sz w:val="28"/>
      <w:lang w:val="en-US" w:eastAsia="zh-CN"/>
    </w:rPr>
  </w:style>
  <w:style w:type="character" w:styleId="918" w:customStyle="1">
    <w:name w:val="11"/>
    <w:uiPriority w:val="0"/>
    <w:qFormat/>
    <w:rPr>
      <w:rFonts w:hint="eastAsia" w:ascii="宋体" w:hAnsi="宋体" w:eastAsia="宋体"/>
      <w:sz w:val="18"/>
      <w:u w:val="none"/>
    </w:rPr>
  </w:style>
  <w:style w:type="character" w:styleId="919" w:customStyle="1">
    <w:name w:val="newscontent1"/>
    <w:uiPriority w:val="0"/>
    <w:qFormat/>
    <w:rPr>
      <w:rFonts w:ascii="Verdana" w:hAnsi="Verdana"/>
      <w:color w:val="333333"/>
      <w:sz w:val="18"/>
    </w:rPr>
  </w:style>
  <w:style w:type="character" w:styleId="920" w:customStyle="1">
    <w:name w:val="line1"/>
    <w:basedOn w:val="857"/>
    <w:uiPriority w:val="0"/>
    <w:qFormat/>
  </w:style>
  <w:style w:type="character" w:styleId="921" w:customStyle="1">
    <w:name w:val="Balloon Text Char"/>
    <w:uiPriority w:val="0"/>
    <w:qFormat/>
    <w:rPr>
      <w:rFonts w:ascii="宋体" w:eastAsia="宋体"/>
      <w:sz w:val="18"/>
      <w:lang w:val="en-US" w:eastAsia="zh-CN"/>
    </w:rPr>
  </w:style>
  <w:style w:type="character" w:styleId="922" w:customStyle="1">
    <w:name w:val="方案正文 Char Char"/>
    <w:uiPriority w:val="0"/>
    <w:qFormat/>
    <w:rPr>
      <w:rFonts w:eastAsia="宋体"/>
      <w:sz w:val="24"/>
      <w:lang w:val="en-US" w:eastAsia="zh-CN"/>
    </w:rPr>
  </w:style>
  <w:style w:type="character" w:styleId="923" w:customStyle="1">
    <w:name w:val="param_td12"/>
    <w:basedOn w:val="857"/>
    <w:uiPriority w:val="0"/>
    <w:qFormat/>
  </w:style>
  <w:style w:type="character" w:styleId="924" w:customStyle="1">
    <w:name w:val="表格 Char Char"/>
    <w:uiPriority w:val="0"/>
    <w:qFormat/>
    <w:rPr>
      <w:rFonts w:ascii="宋体" w:eastAsia="宋体"/>
      <w:sz w:val="24"/>
      <w:lang w:val="en-US" w:eastAsia="zh-CN"/>
    </w:rPr>
  </w:style>
  <w:style w:type="character" w:styleId="925" w:customStyle="1">
    <w:name w:val="NICMAN Body Text Char Char"/>
    <w:uiPriority w:val="0"/>
    <w:qFormat/>
    <w:rPr>
      <w:rFonts w:eastAsia="宋体"/>
      <w:sz w:val="24"/>
      <w:lang w:val="en-US" w:eastAsia="zh-CN"/>
    </w:rPr>
  </w:style>
  <w:style w:type="character" w:styleId="926" w:customStyle="1">
    <w:name w:val="l131"/>
    <w:uiPriority w:val="0"/>
    <w:qFormat/>
    <w:rPr>
      <w:sz w:val="18"/>
    </w:rPr>
  </w:style>
  <w:style w:type="character" w:styleId="927" w:customStyle="1">
    <w:name w:val="Char Char5"/>
    <w:uiPriority w:val="0"/>
    <w:qFormat/>
    <w:rPr>
      <w:rFonts w:ascii="宋体" w:hAnsi="宋体" w:eastAsia="宋体"/>
      <w:sz w:val="24"/>
      <w:u w:val="single"/>
      <w:lang w:val="en-US" w:eastAsia="zh-CN"/>
    </w:rPr>
  </w:style>
  <w:style w:type="character" w:styleId="928" w:customStyle="1">
    <w:name w:val="Heading 3 Char"/>
    <w:uiPriority w:val="0"/>
    <w:qFormat/>
    <w:rPr>
      <w:rFonts w:ascii="宋体" w:eastAsia="宋体"/>
      <w:b/>
      <w:sz w:val="32"/>
      <w:lang w:val="en-US" w:eastAsia="zh-CN"/>
    </w:rPr>
  </w:style>
  <w:style w:type="character" w:styleId="929" w:customStyle="1">
    <w:name w:val="技术标题 4 Char"/>
    <w:uiPriority w:val="0"/>
    <w:qFormat/>
    <w:rPr>
      <w:rFonts w:ascii="宋体" w:hAnsi="宋体" w:eastAsia="宋体"/>
      <w:color w:val="000000"/>
      <w:sz w:val="24"/>
      <w:u w:val="single"/>
      <w:lang w:val="en-US" w:eastAsia="zh-CN"/>
    </w:rPr>
  </w:style>
  <w:style w:type="character" w:styleId="930" w:customStyle="1">
    <w:name w:val="body"/>
    <w:basedOn w:val="857"/>
    <w:uiPriority w:val="0"/>
    <w:qFormat/>
  </w:style>
  <w:style w:type="character" w:styleId="931" w:customStyle="1">
    <w:name w:val="PIM 9 Char"/>
    <w:uiPriority w:val="0"/>
    <w:qFormat/>
    <w:rPr>
      <w:rFonts w:ascii="Arial" w:hAnsi="Arial" w:eastAsia="黑体"/>
      <w:sz w:val="21"/>
      <w:lang w:val="en-US" w:eastAsia="zh-CN"/>
    </w:rPr>
  </w:style>
  <w:style w:type="character" w:styleId="932" w:customStyle="1">
    <w:name w:val="text"/>
    <w:basedOn w:val="857"/>
    <w:uiPriority w:val="0"/>
    <w:qFormat/>
  </w:style>
  <w:style w:type="character" w:styleId="933" w:customStyle="1">
    <w:name w:val="b11"/>
    <w:uiPriority w:val="0"/>
    <w:qFormat/>
    <w:rPr>
      <w:color w:val="626262"/>
      <w:sz w:val="20"/>
      <w:u w:val="none"/>
    </w:rPr>
  </w:style>
  <w:style w:type="character" w:styleId="934" w:customStyle="1">
    <w:name w:val="NormalCharacter1"/>
    <w:uiPriority w:val="0"/>
    <w:qFormat/>
    <w:rPr>
      <w:sz w:val="21"/>
      <w:lang w:val="en-US" w:eastAsia="zh-CN" w:bidi="ar-SA"/>
    </w:rPr>
  </w:style>
  <w:style w:type="character" w:styleId="935" w:customStyle="1">
    <w:name w:val="Body Text Indent 2 Char"/>
    <w:uiPriority w:val="0"/>
    <w:qFormat/>
    <w:rPr>
      <w:rFonts w:ascii="宋体" w:hAnsi="Arial" w:eastAsia="宋体"/>
      <w:sz w:val="24"/>
      <w:lang w:val="en-US" w:eastAsia="zh-CN"/>
    </w:rPr>
  </w:style>
  <w:style w:type="character" w:styleId="936" w:customStyle="1">
    <w:name w:val="标题 3 Char Char Char"/>
    <w:uiPriority w:val="0"/>
    <w:qFormat/>
    <w:rPr>
      <w:rFonts w:eastAsia="宋体"/>
      <w:b/>
      <w:color w:val="000000"/>
      <w:sz w:val="28"/>
      <w:lang w:val="en-US" w:eastAsia="zh-CN"/>
    </w:rPr>
  </w:style>
  <w:style w:type="character" w:styleId="937" w:customStyle="1">
    <w:name w:val="Char Char6"/>
    <w:uiPriority w:val="0"/>
    <w:qFormat/>
    <w:rPr>
      <w:rFonts w:ascii="宋体" w:hAnsi="宋体" w:eastAsia="宋体"/>
      <w:sz w:val="24"/>
      <w:lang w:val="en-US" w:eastAsia="zh-CN"/>
    </w:rPr>
  </w:style>
  <w:style w:type="character" w:styleId="938" w:customStyle="1">
    <w:name w:val="纯文本 Char1"/>
    <w:link w:val="686"/>
    <w:uiPriority w:val="0"/>
    <w:qFormat/>
    <w:rPr>
      <w:rFonts w:ascii="宋体" w:hAnsi="Courier New" w:eastAsia="楷体_GB2312"/>
      <w:sz w:val="26"/>
    </w:rPr>
  </w:style>
  <w:style w:type="character" w:styleId="939" w:customStyle="1">
    <w:name w:val="jianju1"/>
    <w:uiPriority w:val="0"/>
    <w:qFormat/>
    <w:rPr>
      <w:sz w:val="13"/>
    </w:rPr>
  </w:style>
  <w:style w:type="character" w:styleId="940" w:customStyle="1">
    <w:name w:val="unnamed21"/>
    <w:uiPriority w:val="0"/>
    <w:qFormat/>
    <w:rPr>
      <w:color w:val="000000"/>
      <w:sz w:val="22"/>
    </w:rPr>
  </w:style>
  <w:style w:type="character" w:styleId="941" w:customStyle="1">
    <w:name w:val="span21"/>
    <w:uiPriority w:val="0"/>
    <w:qFormat/>
    <w:rPr>
      <w:color w:val="c00000"/>
    </w:rPr>
  </w:style>
  <w:style w:type="character" w:styleId="942" w:customStyle="1">
    <w:name w:val="Char Char2"/>
    <w:uiPriority w:val="0"/>
    <w:qFormat/>
    <w:rPr>
      <w:rFonts w:ascii="Arial Unicode MS" w:hAnsi="Arial Unicode MS" w:eastAsia="Arial Unicode MS"/>
      <w:color w:val="000000"/>
      <w:sz w:val="24"/>
      <w:lang w:val="en-US" w:eastAsia="zh-CN"/>
    </w:rPr>
  </w:style>
  <w:style w:type="character" w:styleId="943" w:customStyle="1">
    <w:name w:val="H5 Char"/>
    <w:uiPriority w:val="0"/>
    <w:qFormat/>
    <w:rPr>
      <w:rFonts w:ascii="宋体" w:eastAsia="宋体"/>
      <w:b/>
      <w:i/>
      <w:sz w:val="24"/>
      <w:lang w:val="en-US" w:eastAsia="zh-CN"/>
    </w:rPr>
  </w:style>
  <w:style w:type="character" w:styleId="944" w:customStyle="1">
    <w:name w:val="Char Char7"/>
    <w:uiPriority w:val="0"/>
    <w:qFormat/>
    <w:rPr>
      <w:rFonts w:eastAsia="宋体"/>
      <w:sz w:val="18"/>
      <w:lang w:val="en-US" w:eastAsia="zh-CN"/>
    </w:rPr>
  </w:style>
  <w:style w:type="character" w:styleId="945" w:customStyle="1">
    <w:name w:val="Heading 1 Char"/>
    <w:uiPriority w:val="0"/>
    <w:qFormat/>
    <w:rPr>
      <w:rFonts w:ascii="方正行楷繁体" w:eastAsia="方正行楷繁体"/>
      <w:b/>
      <w:sz w:val="36"/>
      <w:lang w:val="en-US" w:eastAsia="zh-CN"/>
    </w:rPr>
  </w:style>
  <w:style w:type="character" w:styleId="946" w:customStyle="1">
    <w:name w:val="1page sec3 Char Char"/>
    <w:uiPriority w:val="0"/>
    <w:qFormat/>
    <w:rPr>
      <w:rFonts w:eastAsia="楷体_GB2312"/>
      <w:sz w:val="18"/>
      <w:lang w:val="en-US" w:eastAsia="zh-CN"/>
    </w:rPr>
  </w:style>
  <w:style w:type="character" w:styleId="947" w:customStyle="1">
    <w:name w:val="条文 Char Char"/>
    <w:uiPriority w:val="0"/>
    <w:qFormat/>
    <w:rPr>
      <w:rFonts w:eastAsia="宋体"/>
      <w:sz w:val="28"/>
      <w:lang w:val="en-US" w:eastAsia="zh-CN"/>
    </w:rPr>
  </w:style>
  <w:style w:type="character" w:styleId="948" w:customStyle="1">
    <w:name w:val="Header Char"/>
    <w:uiPriority w:val="0"/>
    <w:qFormat/>
    <w:rPr>
      <w:rFonts w:ascii="宋体" w:eastAsia="宋体"/>
      <w:sz w:val="18"/>
      <w:lang w:val="en-US" w:eastAsia="zh-CN"/>
    </w:rPr>
  </w:style>
  <w:style w:type="character" w:styleId="949" w:customStyle="1">
    <w:name w:val="style14"/>
    <w:basedOn w:val="857"/>
    <w:uiPriority w:val="0"/>
    <w:qFormat/>
  </w:style>
  <w:style w:type="character" w:styleId="950" w:customStyle="1">
    <w:name w:val="注意框体 Char"/>
    <w:uiPriority w:val="0"/>
    <w:qFormat/>
    <w:rPr>
      <w:rFonts w:ascii="Arial" w:hAnsi="Arial" w:eastAsia="宋体"/>
      <w:b/>
      <w:color w:val="000000"/>
      <w:sz w:val="16"/>
      <w:lang w:val="en-US" w:eastAsia="zh-CN"/>
    </w:rPr>
  </w:style>
  <w:style w:type="character" w:styleId="951" w:customStyle="1">
    <w:name w:val="style11"/>
    <w:uiPriority w:val="0"/>
    <w:qFormat/>
    <w:rPr>
      <w:rFonts w:ascii="Verdana" w:hAnsi="Verdana"/>
      <w:sz w:val="21"/>
    </w:rPr>
  </w:style>
  <w:style w:type="character" w:styleId="952" w:customStyle="1">
    <w:name w:val="小黑点符号 Char"/>
    <w:uiPriority w:val="0"/>
    <w:qFormat/>
    <w:rPr>
      <w:rFonts w:eastAsia="宋体"/>
      <w:sz w:val="24"/>
      <w:lang w:val="en-US" w:eastAsia="zh-CN"/>
    </w:rPr>
  </w:style>
  <w:style w:type="character" w:styleId="953" w:customStyle="1">
    <w:name w:val="DIY文本正文 Char Char"/>
    <w:uiPriority w:val="0"/>
    <w:qFormat/>
    <w:rPr>
      <w:rFonts w:ascii="长城仿宋" w:eastAsia="宋体"/>
      <w:sz w:val="24"/>
      <w:lang w:val="en-US" w:eastAsia="zh-CN"/>
    </w:rPr>
  </w:style>
  <w:style w:type="character" w:styleId="954" w:customStyle="1">
    <w:name w:val="Footer Char"/>
    <w:uiPriority w:val="0"/>
    <w:qFormat/>
    <w:rPr>
      <w:rFonts w:ascii="宋体" w:eastAsia="宋体"/>
      <w:sz w:val="18"/>
      <w:lang w:val="en-US" w:eastAsia="zh-CN"/>
    </w:rPr>
  </w:style>
  <w:style w:type="character" w:styleId="955" w:customStyle="1">
    <w:name w:val="表格文字 Char Char"/>
    <w:uiPriority w:val="0"/>
    <w:qFormat/>
    <w:rPr>
      <w:rFonts w:eastAsia="宋体"/>
      <w:sz w:val="21"/>
      <w:lang w:val="en-US" w:eastAsia="zh-CN"/>
    </w:rPr>
  </w:style>
  <w:style w:type="character" w:styleId="956" w:customStyle="1">
    <w:name w:val="H6 Char"/>
    <w:uiPriority w:val="0"/>
    <w:qFormat/>
    <w:rPr>
      <w:rFonts w:ascii="Arial" w:hAnsi="Arial" w:eastAsia="黑体"/>
      <w:b/>
      <w:sz w:val="21"/>
      <w:lang w:val="en-US" w:eastAsia="zh-CN"/>
    </w:rPr>
  </w:style>
  <w:style w:type="character" w:styleId="957" w:customStyle="1">
    <w:name w:val="diy Char Char"/>
    <w:uiPriority w:val="0"/>
    <w:qFormat/>
    <w:rPr>
      <w:rFonts w:ascii="宋体" w:hAnsi="宋体" w:eastAsia="宋体"/>
      <w:sz w:val="24"/>
      <w:lang w:val="en-US" w:eastAsia="zh-CN"/>
    </w:rPr>
  </w:style>
  <w:style w:type="character" w:styleId="958" w:customStyle="1">
    <w:name w:val="fs1"/>
    <w:uiPriority w:val="0"/>
    <w:qFormat/>
    <w:rPr>
      <w:rFonts w:ascii="Verdana" w:hAnsi="Verdana"/>
      <w:color w:val="003366"/>
      <w:sz w:val="18"/>
      <w:u w:val="none"/>
    </w:rPr>
  </w:style>
  <w:style w:type="character" w:styleId="959" w:customStyle="1">
    <w:name w:val="text1"/>
    <w:uiPriority w:val="0"/>
    <w:qFormat/>
    <w:rPr>
      <w:color w:val="cccccc"/>
      <w:sz w:val="18"/>
    </w:rPr>
  </w:style>
  <w:style w:type="character" w:styleId="960" w:customStyle="1">
    <w:name w:val="style201"/>
    <w:uiPriority w:val="0"/>
    <w:qFormat/>
    <w:rPr>
      <w:color w:val="000000"/>
    </w:rPr>
  </w:style>
  <w:style w:type="character" w:styleId="961" w:customStyle="1">
    <w:name w:val="porttext"/>
    <w:basedOn w:val="857"/>
    <w:uiPriority w:val="0"/>
    <w:qFormat/>
  </w:style>
  <w:style w:type="character" w:styleId="962" w:customStyle="1">
    <w:name w:val="black1"/>
    <w:uiPriority w:val="0"/>
    <w:qFormat/>
    <w:rPr>
      <w:color w:val="4f331c"/>
      <w:sz w:val="18"/>
      <w:u w:val="none"/>
    </w:rPr>
  </w:style>
  <w:style w:type="character" w:styleId="963" w:customStyle="1">
    <w:name w:val="缩进 Char Char Char Char Char Char"/>
    <w:uiPriority w:val="0"/>
    <w:qFormat/>
    <w:rPr>
      <w:rFonts w:eastAsia="宋体"/>
      <w:sz w:val="21"/>
      <w:lang w:val="en-US" w:eastAsia="zh-CN"/>
    </w:rPr>
  </w:style>
  <w:style w:type="character" w:styleId="964" w:customStyle="1">
    <w:name w:val="列出段落 Char"/>
    <w:link w:val="965"/>
    <w:uiPriority w:val="0"/>
    <w:qFormat/>
    <w:rPr>
      <w:rFonts w:ascii="宋体" w:eastAsia="宋体"/>
      <w:sz w:val="24"/>
      <w:lang w:val="en-US" w:eastAsia="zh-CN" w:bidi="ar-SA"/>
    </w:rPr>
  </w:style>
  <w:style w:type="paragraph" w:styleId="965">
    <w:name w:val="List Paragraph"/>
    <w:basedOn w:val="665"/>
    <w:link w:val="964"/>
    <w:uiPriority w:val="0"/>
    <w:qFormat/>
    <w:pPr>
      <w:ind w:firstLine="420"/>
    </w:pPr>
    <w:rPr>
      <w:rFonts w:ascii="宋体"/>
      <w:sz w:val="24"/>
    </w:rPr>
  </w:style>
  <w:style w:type="character" w:styleId="966" w:customStyle="1">
    <w:name w:val="Heading 4 Char"/>
    <w:uiPriority w:val="0"/>
    <w:qFormat/>
    <w:rPr>
      <w:rFonts w:ascii="Cambria" w:hAnsi="Cambria" w:eastAsia="宋体"/>
      <w:b/>
      <w:sz w:val="28"/>
      <w:lang w:val="en-US" w:eastAsia="zh-CN"/>
    </w:rPr>
  </w:style>
  <w:style w:type="character" w:styleId="967" w:customStyle="1">
    <w:name w:val="PIM 7 Char"/>
    <w:uiPriority w:val="0"/>
    <w:qFormat/>
    <w:rPr>
      <w:rFonts w:ascii="Arial" w:hAnsi="Arial" w:eastAsia="黑体"/>
      <w:b/>
      <w:sz w:val="24"/>
      <w:lang w:val="en-US" w:eastAsia="zh-CN"/>
    </w:rPr>
  </w:style>
  <w:style w:type="character" w:styleId="968" w:customStyle="1">
    <w:name w:val="c-icon14"/>
    <w:basedOn w:val="857"/>
    <w:uiPriority w:val="0"/>
    <w:qFormat/>
  </w:style>
  <w:style w:type="character" w:styleId="969" w:customStyle="1">
    <w:name w:val="Char Char"/>
    <w:basedOn w:val="952"/>
    <w:uiPriority w:val="0"/>
    <w:qFormat/>
  </w:style>
  <w:style w:type="character" w:styleId="970" w:customStyle="1">
    <w:name w:val="Char Char3"/>
    <w:uiPriority w:val="0"/>
    <w:qFormat/>
    <w:rPr>
      <w:rFonts w:ascii="宋体" w:hAnsi="宋体" w:eastAsia="楷体_GB2312"/>
      <w:sz w:val="24"/>
      <w:lang w:val="en-US" w:eastAsia="zh-CN"/>
    </w:rPr>
  </w:style>
  <w:style w:type="character" w:styleId="971" w:customStyle="1">
    <w:name w:val="font"/>
    <w:basedOn w:val="857"/>
    <w:uiPriority w:val="0"/>
    <w:qFormat/>
  </w:style>
  <w:style w:type="character" w:styleId="972" w:customStyle="1">
    <w:name w:val="Char Char1"/>
    <w:uiPriority w:val="0"/>
    <w:qFormat/>
    <w:rPr>
      <w:rFonts w:ascii="宋体" w:hAnsi="Courier New" w:eastAsia="楷体_GB2312"/>
      <w:sz w:val="26"/>
      <w:lang w:val="en-US" w:eastAsia="zh-CN"/>
    </w:rPr>
  </w:style>
  <w:style w:type="character" w:styleId="973" w:customStyle="1">
    <w:name w:val="H1 Char"/>
    <w:uiPriority w:val="0"/>
    <w:qFormat/>
    <w:rPr>
      <w:rFonts w:eastAsia="楷体_GB2312"/>
      <w:b/>
      <w:sz w:val="44"/>
      <w:lang w:val="en-US" w:eastAsia="zh-CN"/>
    </w:rPr>
  </w:style>
  <w:style w:type="character" w:styleId="974" w:customStyle="1">
    <w:name w:val="new1"/>
    <w:uiPriority w:val="0"/>
    <w:qFormat/>
    <w:rPr>
      <w:rFonts w:ascii="Verdana" w:hAnsi="Verdana"/>
      <w:color w:val="333333"/>
      <w:sz w:val="18"/>
      <w:shd w:val="clear" w:color="auto" w:fill="ffffff"/>
    </w:rPr>
  </w:style>
  <w:style w:type="character" w:styleId="975" w:customStyle="1">
    <w:name w:val="Char Char8"/>
    <w:uiPriority w:val="0"/>
    <w:qFormat/>
    <w:rPr>
      <w:rFonts w:eastAsia="宋体"/>
      <w:sz w:val="21"/>
      <w:lang w:val="en-US" w:eastAsia="zh-CN"/>
    </w:rPr>
  </w:style>
  <w:style w:type="character" w:styleId="976" w:customStyle="1">
    <w:name w:val="Body Text Indent Char"/>
    <w:uiPriority w:val="0"/>
    <w:qFormat/>
    <w:rPr>
      <w:rFonts w:ascii="宋体" w:eastAsia="宋体"/>
      <w:sz w:val="24"/>
      <w:lang w:val="en-US" w:eastAsia="zh-CN"/>
    </w:rPr>
  </w:style>
  <w:style w:type="character" w:styleId="977" w:customStyle="1">
    <w:name w:val="正文缩进 Char1"/>
    <w:uiPriority w:val="0"/>
    <w:qFormat/>
    <w:rPr>
      <w:rFonts w:eastAsia="楷体_GB2312"/>
      <w:sz w:val="24"/>
      <w:lang w:val="en-US" w:eastAsia="zh-CN" w:bidi="ar-SA"/>
    </w:rPr>
  </w:style>
  <w:style w:type="character" w:styleId="978" w:customStyle="1">
    <w:name w:val="9font1"/>
    <w:uiPriority w:val="0"/>
    <w:qFormat/>
    <w:rPr>
      <w:rFonts w:hint="eastAsia" w:ascii="黑体" w:eastAsia="黑体"/>
      <w:color w:val="000000"/>
      <w:sz w:val="20"/>
    </w:rPr>
  </w:style>
  <w:style w:type="character" w:styleId="979" w:customStyle="1">
    <w:name w:val="style3"/>
    <w:basedOn w:val="857"/>
    <w:uiPriority w:val="0"/>
    <w:qFormat/>
  </w:style>
  <w:style w:type="character" w:styleId="980" w:customStyle="1">
    <w:name w:val="正文缩进 Char Char1"/>
    <w:uiPriority w:val="0"/>
    <w:qFormat/>
    <w:rPr>
      <w:rFonts w:eastAsia="楷体_GB2312"/>
      <w:sz w:val="24"/>
      <w:lang w:val="en-US" w:eastAsia="zh-CN" w:bidi="ar-SA"/>
    </w:rPr>
  </w:style>
  <w:style w:type="character" w:styleId="981" w:customStyle="1">
    <w:name w:val="section:3 Char"/>
    <w:uiPriority w:val="0"/>
    <w:qFormat/>
    <w:rPr>
      <w:rFonts w:ascii="宋体" w:eastAsia="宋体"/>
      <w:b/>
      <w:color w:val="000000"/>
      <w:spacing w:val="40"/>
      <w:sz w:val="24"/>
      <w:lang w:val="en-US" w:eastAsia="zh-CN"/>
    </w:rPr>
  </w:style>
  <w:style w:type="character" w:styleId="982" w:customStyle="1">
    <w:name w:val="nr"/>
    <w:basedOn w:val="857"/>
    <w:uiPriority w:val="0"/>
    <w:qFormat/>
  </w:style>
  <w:style w:type="character" w:styleId="983" w:customStyle="1">
    <w:name w:val="c-icon"/>
    <w:basedOn w:val="857"/>
    <w:uiPriority w:val="0"/>
    <w:qFormat/>
  </w:style>
  <w:style w:type="character" w:styleId="984" w:customStyle="1">
    <w:name w:val="dan1"/>
    <w:uiPriority w:val="0"/>
    <w:qFormat/>
    <w:rPr>
      <w:color w:val="666666"/>
      <w:sz w:val="18"/>
      <w:u w:val="none"/>
    </w:rPr>
  </w:style>
  <w:style w:type="character" w:styleId="985" w:customStyle="1">
    <w:name w:val="Char Char4"/>
    <w:uiPriority w:val="0"/>
    <w:qFormat/>
    <w:rPr>
      <w:rFonts w:eastAsia="宋体"/>
      <w:color w:val="0000ff"/>
      <w:sz w:val="21"/>
      <w:lang w:val="en-US" w:eastAsia="zh-CN"/>
    </w:rPr>
  </w:style>
  <w:style w:type="character" w:styleId="986" w:customStyle="1">
    <w:name w:val="h Char"/>
    <w:uiPriority w:val="0"/>
    <w:qFormat/>
    <w:rPr>
      <w:rFonts w:eastAsia="楷体_GB2312"/>
      <w:sz w:val="18"/>
      <w:lang w:val="en-US" w:eastAsia="zh-CN"/>
    </w:rPr>
  </w:style>
  <w:style w:type="paragraph" w:styleId="987" w:customStyle="1">
    <w:name w:val="xl24"/>
    <w:basedOn w:val="66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988" w:customStyle="1">
    <w:name w:val="font0"/>
    <w:basedOn w:val="665"/>
    <w:uiPriority w:val="0"/>
    <w:qFormat/>
    <w:pPr>
      <w:jc w:val="left"/>
      <w:spacing w:before="100" w:beforeAutospacing="1" w:after="100" w:afterAutospacing="1"/>
      <w:widowControl/>
    </w:pPr>
    <w:rPr>
      <w:rFonts w:hint="eastAsia" w:ascii="宋体" w:hAnsi="宋体"/>
      <w:sz w:val="24"/>
    </w:rPr>
  </w:style>
  <w:style w:type="paragraph" w:styleId="989" w:customStyle="1">
    <w:name w:val="表正文"/>
    <w:basedOn w:val="665"/>
    <w:next w:val="665"/>
    <w:uiPriority w:val="0"/>
    <w:qFormat/>
    <w:rPr>
      <w:sz w:val="24"/>
    </w:rPr>
  </w:style>
  <w:style w:type="paragraph" w:styleId="990" w:customStyle="1">
    <w:name w:val="xl39"/>
    <w:basedOn w:val="66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991" w:customStyle="1">
    <w:name w:val="xl15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sz w:val="20"/>
    </w:rPr>
  </w:style>
  <w:style w:type="paragraph" w:styleId="992" w:customStyle="1">
    <w:name w:val="样式 目录 1 + 段前: 1 行 段后: 0.5 行"/>
    <w:basedOn w:val="890"/>
    <w:uiPriority w:val="0"/>
    <w:qFormat/>
    <w:pPr>
      <w:jc w:val="center"/>
      <w:spacing w:before="312" w:after="156"/>
      <w:tabs>
        <w:tab w:val="clear" w:pos="8302" w:leader="none"/>
      </w:tabs>
      <w:outlineLvl w:val="0"/>
    </w:pPr>
    <w:rPr>
      <w:rFonts w:ascii="Times New Roman" w:hAnsi="Times New Roman" w:eastAsia="黑体"/>
      <w:b/>
      <w:caps/>
      <w:sz w:val="30"/>
    </w:rPr>
  </w:style>
  <w:style w:type="paragraph" w:styleId="993" w:customStyle="1">
    <w:name w:val="xl69"/>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olor w:val="ff0000"/>
      <w:sz w:val="20"/>
    </w:rPr>
  </w:style>
  <w:style w:type="paragraph" w:styleId="994" w:customStyle="1">
    <w:name w:val="xl71"/>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0"/>
    </w:rPr>
  </w:style>
  <w:style w:type="paragraph" w:styleId="995" w:customStyle="1">
    <w:name w:val="xl4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996" w:customStyle="1">
    <w:name w:val="È±Ê¡ÎÄ±¾"/>
    <w:basedOn w:val="665"/>
    <w:uiPriority w:val="0"/>
    <w:qFormat/>
    <w:pPr>
      <w:widowControl/>
    </w:pPr>
    <w:rPr>
      <w:sz w:val="24"/>
    </w:rPr>
  </w:style>
  <w:style w:type="paragraph" w:styleId="997" w:customStyle="1">
    <w:name w:val="列出段落1"/>
    <w:basedOn w:val="665"/>
    <w:uiPriority w:val="0"/>
    <w:qFormat/>
    <w:pPr>
      <w:ind w:firstLine="420"/>
      <w:spacing w:line="360" w:lineRule="auto"/>
    </w:pPr>
    <w:rPr>
      <w:sz w:val="24"/>
    </w:rPr>
  </w:style>
  <w:style w:type="paragraph" w:styleId="998" w:customStyle="1">
    <w:name w:val="xl13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999" w:customStyle="1">
    <w:name w:val="样式 首行缩进:  2 字符"/>
    <w:basedOn w:val="665"/>
    <w:uiPriority w:val="0"/>
    <w:qFormat/>
    <w:pPr>
      <w:ind w:firstLine="560"/>
      <w:spacing w:line="360" w:lineRule="auto"/>
    </w:pPr>
    <w:rPr>
      <w:sz w:val="24"/>
    </w:rPr>
  </w:style>
  <w:style w:type="paragraph" w:styleId="1000" w:customStyle="1">
    <w:name w:val="xl65"/>
    <w:basedOn w:val="66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rPr>
  </w:style>
  <w:style w:type="paragraph" w:styleId="1001" w:customStyle="1">
    <w:name w:val="编号2"/>
    <w:basedOn w:val="665"/>
    <w:uiPriority w:val="0"/>
    <w:qFormat/>
    <w:pPr>
      <w:ind w:left="425" w:hanging="425"/>
      <w:spacing w:after="120" w:line="360" w:lineRule="auto"/>
      <w:tabs>
        <w:tab w:val="left" w:pos="840" w:leader="none"/>
        <w:tab w:val="left" w:pos="1100" w:leader="none"/>
      </w:tabs>
    </w:pPr>
    <w:rPr>
      <w:rFonts w:ascii="宋体"/>
      <w:sz w:val="24"/>
    </w:rPr>
  </w:style>
  <w:style w:type="paragraph" w:styleId="1002" w:customStyle="1">
    <w:name w:val="正文文字1"/>
    <w:basedOn w:val="871"/>
    <w:uiPriority w:val="0"/>
    <w:qFormat/>
    <w:pPr>
      <w:ind w:firstLine="560"/>
      <w:spacing w:before="156" w:after="156" w:line="360" w:lineRule="auto"/>
    </w:pPr>
    <w:rPr>
      <w:rFonts w:ascii="Arial" w:hAnsi="宋体"/>
    </w:rPr>
  </w:style>
  <w:style w:type="paragraph" w:styleId="1003" w:customStyle="1">
    <w:name w:val="xl50"/>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04" w:customStyle="1">
    <w:name w:val="Command"/>
    <w:uiPriority w:val="0"/>
    <w:qFormat/>
    <w:pPr>
      <w:spacing w:before="160" w:after="160"/>
    </w:pPr>
    <w:rPr>
      <w:rFonts w:ascii="Arial" w:hAnsi="Arial" w:eastAsia="黑体" w:cs="Times New Roman"/>
      <w:sz w:val="21"/>
      <w:lang w:val="en-US" w:eastAsia="zh-CN" w:bidi="ar-SA"/>
    </w:rPr>
  </w:style>
  <w:style w:type="paragraph" w:styleId="1005" w:customStyle="1">
    <w:name w:val="font5"/>
    <w:basedOn w:val="665"/>
    <w:uiPriority w:val="0"/>
    <w:qFormat/>
    <w:pPr>
      <w:jc w:val="left"/>
      <w:spacing w:before="100" w:beforeAutospacing="1" w:after="100" w:afterAutospacing="1"/>
      <w:widowControl/>
    </w:pPr>
    <w:rPr>
      <w:rFonts w:hint="eastAsia" w:ascii="宋体" w:hAnsi="宋体"/>
      <w:sz w:val="18"/>
    </w:rPr>
  </w:style>
  <w:style w:type="paragraph" w:styleId="1006" w:customStyle="1">
    <w:name w:val="Table Text"/>
    <w:basedOn w:val="665"/>
    <w:next w:val="665"/>
    <w:uiPriority w:val="0"/>
    <w:qFormat/>
    <w:pPr>
      <w:jc w:val="left"/>
      <w:keepNext/>
      <w:spacing w:before="40" w:after="40"/>
      <w:widowControl/>
    </w:pPr>
    <w:rPr>
      <w:rFonts w:ascii="Arial" w:hAnsi="Arial" w:eastAsia="PMingLiU"/>
      <w:sz w:val="18"/>
    </w:rPr>
  </w:style>
  <w:style w:type="paragraph" w:styleId="1007" w:customStyle="1">
    <w:name w:val="标书正文格式"/>
    <w:uiPriority w:val="0"/>
    <w:qFormat/>
    <w:pPr>
      <w:ind w:firstLine="200"/>
      <w:spacing w:line="360" w:lineRule="auto"/>
    </w:pPr>
    <w:rPr>
      <w:rFonts w:ascii="Times New Roman" w:hAnsi="Times New Roman" w:eastAsia="仿宋_GB2312" w:cs="Times New Roman"/>
      <w:sz w:val="28"/>
      <w:lang w:val="en-US" w:eastAsia="zh-CN" w:bidi="ar-SA"/>
    </w:rPr>
  </w:style>
  <w:style w:type="paragraph" w:styleId="1008" w:customStyle="1">
    <w:name w:val="word2"/>
    <w:basedOn w:val="665"/>
    <w:uiPriority w:val="0"/>
    <w:qFormat/>
    <w:pPr>
      <w:jc w:val="left"/>
      <w:spacing w:before="100" w:beforeAutospacing="1" w:after="100" w:afterAutospacing="1" w:line="348" w:lineRule="atLeast"/>
      <w:widowControl/>
    </w:pPr>
    <w:rPr>
      <w:rFonts w:ascii="宋体" w:hAnsi="宋体"/>
    </w:rPr>
  </w:style>
  <w:style w:type="paragraph" w:styleId="1009" w:customStyle="1">
    <w:name w:val="xl4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10" w:customStyle="1">
    <w:name w:val="xl35"/>
    <w:basedOn w:val="665"/>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011" w:customStyle="1">
    <w:name w:val="xl143"/>
    <w:basedOn w:val="66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olor w:val="000000"/>
      <w:sz w:val="20"/>
    </w:rPr>
  </w:style>
  <w:style w:type="paragraph" w:styleId="1012" w:customStyle="1">
    <w:name w:val="xl6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13" w:customStyle="1">
    <w:name w:val="项目符号2"/>
    <w:basedOn w:val="665"/>
    <w:uiPriority w:val="0"/>
    <w:qFormat/>
    <w:pPr>
      <w:spacing w:line="360" w:lineRule="auto"/>
    </w:pPr>
    <w:rPr>
      <w:sz w:val="24"/>
    </w:rPr>
  </w:style>
  <w:style w:type="paragraph" w:styleId="1014" w:customStyle="1">
    <w:name w:val="正文加强"/>
    <w:basedOn w:val="665"/>
    <w:uiPriority w:val="0"/>
    <w:qFormat/>
    <w:pPr>
      <w:ind w:left="840" w:hanging="420"/>
      <w:jc w:val="left"/>
      <w:spacing w:line="360" w:lineRule="auto"/>
      <w:widowControl/>
      <w:tabs>
        <w:tab w:val="left" w:pos="840" w:leader="none"/>
      </w:tabs>
    </w:pPr>
    <w:rPr>
      <w:rFonts w:ascii="宋体" w:hAnsi="宋体"/>
      <w:b/>
      <w:color w:val="ff0000"/>
      <w:sz w:val="24"/>
    </w:rPr>
  </w:style>
  <w:style w:type="paragraph" w:styleId="1015" w:customStyle="1">
    <w:name w:val="Char1 Char Char Char Char Char Char"/>
    <w:basedOn w:val="665"/>
    <w:uiPriority w:val="0"/>
    <w:qFormat/>
    <w:rPr>
      <w:rFonts w:ascii="Tahoma" w:hAnsi="Tahoma"/>
      <w:sz w:val="24"/>
    </w:rPr>
  </w:style>
  <w:style w:type="paragraph" w:styleId="1016" w:customStyle="1">
    <w:name w:val="表格栏头"/>
    <w:basedOn w:val="1017"/>
    <w:next w:val="1017"/>
    <w:uiPriority w:val="0"/>
    <w:qFormat/>
    <w:rPr>
      <w:b/>
    </w:rPr>
  </w:style>
  <w:style w:type="paragraph" w:styleId="1017" w:customStyle="1">
    <w:name w:val="表格正文"/>
    <w:basedOn w:val="665"/>
    <w:uiPriority w:val="0"/>
    <w:qFormat/>
    <w:pPr>
      <w:ind w:hanging="108"/>
      <w:jc w:val="left"/>
      <w:spacing w:before="60" w:after="60"/>
      <w:widowControl/>
    </w:pPr>
    <w:rPr>
      <w:rFonts w:ascii="宋体" w:hAnsi="宋体"/>
      <w:sz w:val="24"/>
    </w:rPr>
  </w:style>
  <w:style w:type="paragraph" w:styleId="1018" w:customStyle="1">
    <w:name w:val="table"/>
    <w:basedOn w:val="665"/>
    <w:uiPriority w:val="0"/>
    <w:qFormat/>
    <w:pPr>
      <w:jc w:val="left"/>
      <w:spacing w:before="100" w:beforeAutospacing="1" w:after="100" w:afterAutospacing="1"/>
      <w:widowControl/>
    </w:pPr>
    <w:rPr>
      <w:rFonts w:ascii="宋体" w:hAnsi="宋体"/>
      <w:sz w:val="24"/>
    </w:rPr>
  </w:style>
  <w:style w:type="paragraph" w:styleId="1019" w:customStyle="1">
    <w:name w:val="样式 标题 1 + 非加粗 居中 行距: 1.5 倍行距"/>
    <w:basedOn w:val="849"/>
    <w:uiPriority w:val="0"/>
    <w:qFormat/>
    <w:pPr>
      <w:ind w:left="420" w:hanging="420"/>
      <w:jc w:val="center"/>
      <w:spacing w:before="360" w:after="360" w:line="360" w:lineRule="auto"/>
    </w:pPr>
    <w:rPr>
      <w:rFonts w:ascii="宋体" w:hAnsi="宋体" w:eastAsia="宋体"/>
      <w:sz w:val="36"/>
    </w:rPr>
  </w:style>
  <w:style w:type="paragraph" w:styleId="1020" w:customStyle="1">
    <w:name w:val="xl13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21" w:customStyle="1">
    <w:name w:val="无缩进正文"/>
    <w:basedOn w:val="665"/>
    <w:uiPriority w:val="0"/>
    <w:qFormat/>
  </w:style>
  <w:style w:type="paragraph" w:styleId="1022" w:customStyle="1">
    <w:name w:val="xl166"/>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023" w:customStyle="1">
    <w:name w:val="SRS标题1"/>
    <w:basedOn w:val="665"/>
    <w:uiPriority w:val="0"/>
    <w:qFormat/>
    <w:pPr>
      <w:ind w:left="432" w:hanging="432"/>
      <w:jc w:val="left"/>
      <w:spacing w:before="468" w:after="156"/>
      <w:widowControl/>
      <w:tabs>
        <w:tab w:val="left" w:pos="432" w:leader="none"/>
      </w:tabs>
      <w:outlineLvl w:val="0"/>
    </w:pPr>
    <w:rPr>
      <w:b/>
      <w:sz w:val="32"/>
    </w:rPr>
  </w:style>
  <w:style w:type="paragraph" w:styleId="1024" w:customStyle="1">
    <w:name w:val="BodyText1"/>
    <w:basedOn w:val="665"/>
    <w:uiPriority w:val="0"/>
    <w:qFormat/>
    <w:pPr>
      <w:spacing w:before="120" w:after="120" w:line="360" w:lineRule="auto"/>
      <w:widowControl/>
    </w:pPr>
    <w:rPr>
      <w:rFonts w:ascii="宋体"/>
      <w:sz w:val="28"/>
    </w:rPr>
  </w:style>
  <w:style w:type="paragraph" w:styleId="1025" w:customStyle="1">
    <w:name w:val="xh21"/>
    <w:basedOn w:val="665"/>
    <w:uiPriority w:val="0"/>
    <w:qFormat/>
    <w:pPr>
      <w:jc w:val="left"/>
      <w:spacing w:before="100" w:beforeAutospacing="1" w:after="100" w:afterAutospacing="1"/>
      <w:widowControl/>
    </w:pPr>
    <w:rPr>
      <w:rFonts w:ascii="Arial Unicode MS" w:hAnsi="Arial Unicode MS" w:eastAsia="Arial Unicode MS"/>
      <w:sz w:val="18"/>
    </w:rPr>
  </w:style>
  <w:style w:type="paragraph" w:styleId="1026" w:customStyle="1">
    <w:name w:val="css03"/>
    <w:basedOn w:val="665"/>
    <w:uiPriority w:val="0"/>
    <w:qFormat/>
    <w:pPr>
      <w:jc w:val="left"/>
      <w:spacing w:before="100" w:beforeAutospacing="1" w:after="100" w:afterAutospacing="1"/>
      <w:widowControl/>
    </w:pPr>
    <w:rPr>
      <w:rFonts w:ascii="宋体" w:hAnsi="宋体"/>
      <w:color w:val="000000"/>
      <w:sz w:val="24"/>
    </w:rPr>
  </w:style>
  <w:style w:type="paragraph" w:styleId="1027" w:customStyle="1">
    <w:name w:val="纯文本1"/>
    <w:basedOn w:val="665"/>
    <w:uiPriority w:val="0"/>
    <w:qFormat/>
    <w:rPr>
      <w:rFonts w:ascii="宋体" w:hAnsi="Courier New" w:eastAsia="楷体_GB2312"/>
      <w:sz w:val="28"/>
    </w:rPr>
  </w:style>
  <w:style w:type="paragraph" w:styleId="1028" w:customStyle="1">
    <w:name w:val="_Style 28"/>
    <w:basedOn w:val="665"/>
    <w:next w:val="880"/>
    <w:uiPriority w:val="0"/>
    <w:qFormat/>
    <w:rPr>
      <w:rFonts w:ascii="宋体" w:hAnsi="Courier New"/>
    </w:rPr>
  </w:style>
  <w:style w:type="paragraph" w:styleId="1029" w:customStyle="1">
    <w:name w:val="xl54"/>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030" w:customStyle="1">
    <w:name w:val="xl2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31" w:customStyle="1">
    <w:name w:val="样式SZA"/>
    <w:basedOn w:val="871"/>
    <w:uiPriority w:val="0"/>
    <w:qFormat/>
    <w:pPr>
      <w:ind w:left="660" w:hanging="660"/>
      <w:jc w:val="left"/>
      <w:spacing w:after="220" w:line="220" w:lineRule="atLeast"/>
      <w:widowControl/>
      <w:tabs>
        <w:tab w:val="left" w:pos="660" w:leader="none"/>
      </w:tabs>
    </w:pPr>
    <w:rPr>
      <w:sz w:val="21"/>
    </w:rPr>
  </w:style>
  <w:style w:type="paragraph" w:styleId="1032" w:customStyle="1">
    <w:name w:val="xl64"/>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033" w:customStyle="1">
    <w:name w:val="xl4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20"/>
    </w:rPr>
  </w:style>
  <w:style w:type="paragraph" w:styleId="1034" w:customStyle="1">
    <w:name w:val="第一级"/>
    <w:basedOn w:val="849"/>
    <w:next w:val="1035"/>
    <w:uiPriority w:val="0"/>
    <w:qFormat/>
    <w:pPr>
      <w:ind w:left="425" w:hanging="425"/>
      <w:jc w:val="center"/>
      <w:spacing w:before="0" w:after="0" w:line="240" w:lineRule="auto"/>
      <w:tabs>
        <w:tab w:val="left" w:pos="1440" w:leader="none"/>
      </w:tabs>
    </w:pPr>
    <w:rPr>
      <w:rFonts w:ascii="宋体" w:hAnsi="宋体" w:eastAsia="黑体"/>
      <w:b w:val="0"/>
      <w:sz w:val="30"/>
    </w:rPr>
  </w:style>
  <w:style w:type="paragraph" w:styleId="1035" w:customStyle="1">
    <w:name w:val="内容正文"/>
    <w:basedOn w:val="665"/>
    <w:uiPriority w:val="0"/>
    <w:qFormat/>
    <w:pPr>
      <w:ind w:firstLine="425"/>
      <w:spacing w:line="312" w:lineRule="auto"/>
    </w:pPr>
    <w:rPr>
      <w:sz w:val="24"/>
    </w:rPr>
  </w:style>
  <w:style w:type="paragraph" w:styleId="1036" w:customStyle="1">
    <w:name w:val="xl14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800080"/>
      <w:sz w:val="20"/>
    </w:rPr>
  </w:style>
  <w:style w:type="paragraph" w:styleId="1037" w:customStyle="1">
    <w:name w:val="xl156"/>
    <w:basedOn w:val="665"/>
    <w:uiPriority w:val="0"/>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b/>
      <w:sz w:val="24"/>
    </w:rPr>
  </w:style>
  <w:style w:type="paragraph" w:styleId="1038" w:customStyle="1">
    <w:name w:val="标题5"/>
    <w:basedOn w:val="665"/>
    <w:uiPriority w:val="0"/>
    <w:qFormat/>
    <w:pPr>
      <w:spacing w:line="360" w:lineRule="auto"/>
    </w:pPr>
    <w:rPr>
      <w:sz w:val="24"/>
    </w:rPr>
  </w:style>
  <w:style w:type="paragraph" w:styleId="1039" w:customStyle="1">
    <w:name w:val="Txt"/>
    <w:basedOn w:val="1040"/>
    <w:uiPriority w:val="0"/>
    <w:qFormat/>
  </w:style>
  <w:style w:type="paragraph" w:styleId="1040" w:customStyle="1">
    <w:name w:val="Txt."/>
    <w:basedOn w:val="677"/>
    <w:uiPriority w:val="0"/>
    <w:qFormat/>
    <w:pPr>
      <w:ind w:left="0" w:firstLine="0"/>
      <w:jc w:val="both"/>
      <w:keepLines/>
      <w:keepNext/>
      <w:spacing w:before="280" w:after="290" w:line="372" w:lineRule="auto"/>
      <w:widowControl w:val="off"/>
    </w:pPr>
    <w:rPr>
      <w:rFonts w:ascii="Arial" w:hAnsi="Arial" w:eastAsia="黑体"/>
      <w:b/>
      <w:sz w:val="28"/>
      <w:u w:val="none"/>
    </w:rPr>
  </w:style>
  <w:style w:type="paragraph" w:styleId="1041" w:customStyle="1">
    <w:name w:val="xl155"/>
    <w:basedOn w:val="665"/>
    <w:uiPriority w:val="0"/>
    <w:qFormat/>
    <w:pPr>
      <w:jc w:val="left"/>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b/>
      <w:sz w:val="24"/>
    </w:rPr>
  </w:style>
  <w:style w:type="paragraph" w:styleId="1042" w:customStyle="1">
    <w:name w:val="方案正文"/>
    <w:basedOn w:val="665"/>
    <w:uiPriority w:val="0"/>
    <w:qFormat/>
    <w:pPr>
      <w:spacing w:line="360" w:lineRule="auto"/>
    </w:pPr>
    <w:rPr>
      <w:sz w:val="24"/>
    </w:rPr>
  </w:style>
  <w:style w:type="paragraph" w:styleId="104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_Style 30"/>
    <w:basedOn w:val="665"/>
    <w:next w:val="880"/>
    <w:uiPriority w:val="0"/>
    <w:qFormat/>
    <w:rPr>
      <w:rFonts w:ascii="宋体" w:hAnsi="Courier New"/>
    </w:rPr>
  </w:style>
  <w:style w:type="paragraph" w:styleId="1045" w:customStyle="1">
    <w:name w:val="font6"/>
    <w:basedOn w:val="665"/>
    <w:uiPriority w:val="0"/>
    <w:qFormat/>
    <w:pPr>
      <w:jc w:val="left"/>
      <w:spacing w:before="100" w:beforeAutospacing="1" w:after="100" w:afterAutospacing="1"/>
      <w:widowControl/>
    </w:pPr>
    <w:rPr>
      <w:rFonts w:hint="eastAsia" w:ascii="宋体" w:hAnsi="宋体"/>
      <w:sz w:val="20"/>
    </w:rPr>
  </w:style>
  <w:style w:type="paragraph" w:styleId="1046" w:customStyle="1">
    <w:name w:val="xl150"/>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olor w:val="800080"/>
      <w:sz w:val="20"/>
    </w:rPr>
  </w:style>
  <w:style w:type="paragraph" w:styleId="1047" w:customStyle="1">
    <w:name w:val="_Style 31"/>
    <w:basedOn w:val="665"/>
    <w:next w:val="880"/>
    <w:uiPriority w:val="0"/>
    <w:qFormat/>
    <w:rPr>
      <w:rFonts w:ascii="宋体" w:hAnsi="Courier New"/>
    </w:rPr>
  </w:style>
  <w:style w:type="paragraph" w:styleId="1048" w:customStyle="1">
    <w:name w:val="xl25"/>
    <w:basedOn w:val="66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049" w:customStyle="1">
    <w:name w:val="Í¼ºÅ"/>
    <w:basedOn w:val="665"/>
    <w:uiPriority w:val="0"/>
    <w:qFormat/>
    <w:pPr>
      <w:jc w:val="center"/>
      <w:spacing w:after="210"/>
      <w:widowControl/>
    </w:pPr>
    <w:rPr>
      <w:rFonts w:ascii="宋体"/>
    </w:rPr>
  </w:style>
  <w:style w:type="paragraph" w:styleId="1050" w:customStyle="1">
    <w:name w:val="卜"/>
    <w:basedOn w:val="665"/>
    <w:uiPriority w:val="0"/>
    <w:qFormat/>
    <w:pPr>
      <w:spacing w:line="480" w:lineRule="exact"/>
    </w:pPr>
    <w:rPr>
      <w:b/>
      <w:sz w:val="24"/>
    </w:rPr>
  </w:style>
  <w:style w:type="paragraph" w:styleId="1051" w:customStyle="1">
    <w:name w:val="xl36"/>
    <w:basedOn w:val="665"/>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52" w:customStyle="1">
    <w:name w:val="页脚 New"/>
    <w:basedOn w:val="1043"/>
    <w:uiPriority w:val="0"/>
    <w:qFormat/>
    <w:pPr>
      <w:jc w:val="left"/>
      <w:tabs>
        <w:tab w:val="center" w:pos="4153" w:leader="none"/>
        <w:tab w:val="right" w:pos="8306" w:leader="none"/>
      </w:tabs>
    </w:pPr>
    <w:rPr>
      <w:sz w:val="18"/>
      <w:szCs w:val="18"/>
    </w:rPr>
  </w:style>
  <w:style w:type="paragraph" w:styleId="1053" w:customStyle="1">
    <w:name w:val="首行缩进"/>
    <w:basedOn w:val="665"/>
    <w:uiPriority w:val="0"/>
    <w:qFormat/>
    <w:pPr>
      <w:ind w:firstLine="480"/>
      <w:jc w:val="left"/>
      <w:spacing w:line="360" w:lineRule="auto"/>
    </w:pPr>
    <w:rPr>
      <w:rFonts w:ascii="宋体" w:hAnsi="宋体"/>
      <w:sz w:val="24"/>
    </w:rPr>
  </w:style>
  <w:style w:type="paragraph" w:styleId="1054" w:customStyle="1">
    <w:name w:val="font10"/>
    <w:basedOn w:val="665"/>
    <w:uiPriority w:val="0"/>
    <w:qFormat/>
    <w:pPr>
      <w:jc w:val="left"/>
      <w:spacing w:before="100" w:beforeAutospacing="1" w:after="100" w:afterAutospacing="1"/>
      <w:widowControl/>
    </w:pPr>
    <w:rPr>
      <w:rFonts w:ascii="Tahoma" w:hAnsi="Tahoma"/>
      <w:color w:val="000000"/>
      <w:sz w:val="18"/>
    </w:rPr>
  </w:style>
  <w:style w:type="paragraph" w:styleId="1055" w:customStyle="1">
    <w:name w:val="样式 图表 + 段后: 1 行"/>
    <w:basedOn w:val="665"/>
    <w:uiPriority w:val="0"/>
    <w:qFormat/>
    <w:pPr>
      <w:jc w:val="center"/>
      <w:keepNext/>
      <w:spacing w:after="312"/>
    </w:pPr>
    <w:rPr>
      <w:rFonts w:ascii="Arial" w:hAnsi="Arial"/>
      <w:b/>
      <w:color w:val="333333"/>
      <w:sz w:val="24"/>
    </w:rPr>
  </w:style>
  <w:style w:type="paragraph" w:styleId="1056" w:customStyle="1">
    <w:name w:val="xl134"/>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057" w:customStyle="1">
    <w:name w:val="样式 样式 注释文字 + 段后: 0.5 行 + 段后: 0.5 行"/>
    <w:basedOn w:val="665"/>
    <w:uiPriority w:val="0"/>
    <w:qFormat/>
    <w:pPr>
      <w:ind w:firstLine="482"/>
      <w:spacing w:after="156"/>
      <w:shd w:val="clear" w:color="auto" w:fill="f3f3f3"/>
    </w:pPr>
    <w:rPr>
      <w:sz w:val="18"/>
    </w:rPr>
  </w:style>
  <w:style w:type="paragraph" w:styleId="1058" w:customStyle="1">
    <w:name w:val="xl146"/>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olor w:val="0000ff"/>
      <w:sz w:val="20"/>
    </w:rPr>
  </w:style>
  <w:style w:type="paragraph" w:styleId="1059" w:customStyle="1">
    <w:name w:val="表格吧"/>
    <w:basedOn w:val="665"/>
    <w:uiPriority w:val="0"/>
    <w:qFormat/>
    <w:pPr>
      <w:ind w:left="420"/>
      <w:widowControl/>
    </w:pPr>
    <w:rPr>
      <w:rFonts w:ascii="宋体" w:hAnsi="宋体"/>
      <w:color w:val="000000"/>
      <w:sz w:val="24"/>
    </w:rPr>
  </w:style>
  <w:style w:type="paragraph" w:styleId="1060" w:customStyle="1">
    <w:name w:val="正文 + 首行缩进:  2 字符"/>
    <w:basedOn w:val="665"/>
    <w:uiPriority w:val="0"/>
    <w:qFormat/>
    <w:pPr>
      <w:ind w:firstLine="200"/>
      <w:spacing w:before="120" w:after="120" w:line="360" w:lineRule="auto"/>
    </w:pPr>
    <w:rPr>
      <w:rFonts w:ascii="宋体"/>
      <w:sz w:val="24"/>
    </w:rPr>
  </w:style>
  <w:style w:type="paragraph" w:styleId="1061" w:customStyle="1">
    <w:name w:val="xl165"/>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rPr>
  </w:style>
  <w:style w:type="paragraph" w:styleId="1062" w:customStyle="1">
    <w:name w:val="缺省文本"/>
    <w:basedOn w:val="665"/>
    <w:uiPriority w:val="0"/>
    <w:qFormat/>
    <w:pPr>
      <w:jc w:val="left"/>
    </w:pPr>
    <w:rPr>
      <w:sz w:val="24"/>
    </w:rPr>
  </w:style>
  <w:style w:type="paragraph" w:styleId="1063" w:customStyle="1">
    <w:name w:val="table text"/>
    <w:basedOn w:val="665"/>
    <w:uiPriority w:val="0"/>
    <w:qFormat/>
    <w:pPr>
      <w:jc w:val="left"/>
      <w:spacing w:before="40" w:after="40" w:line="240" w:lineRule="atLeast"/>
      <w:widowControl/>
    </w:pPr>
    <w:rPr>
      <w:color w:val="000000"/>
      <w:sz w:val="20"/>
    </w:rPr>
  </w:style>
  <w:style w:type="paragraph" w:styleId="1064" w:customStyle="1">
    <w:name w:val="Table bold"/>
    <w:basedOn w:val="665"/>
    <w:uiPriority w:val="0"/>
    <w:qFormat/>
    <w:pPr>
      <w:ind w:left="420" w:hanging="420"/>
      <w:tabs>
        <w:tab w:val="left" w:pos="420" w:leader="none"/>
      </w:tabs>
    </w:pPr>
    <w:rPr>
      <w:rFonts w:ascii="宋体" w:hAnsi="宋体"/>
      <w:b/>
      <w:sz w:val="28"/>
    </w:rPr>
  </w:style>
  <w:style w:type="paragraph" w:styleId="1065" w:customStyle="1">
    <w:name w:val="xl38"/>
    <w:basedOn w:val="665"/>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066" w:customStyle="1">
    <w:name w:val="xl27"/>
    <w:basedOn w:val="66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67" w:customStyle="1">
    <w:name w:val="xl157"/>
    <w:basedOn w:val="665"/>
    <w:uiPriority w:val="0"/>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b/>
      <w:sz w:val="24"/>
    </w:rPr>
  </w:style>
  <w:style w:type="paragraph" w:styleId="1068" w:customStyle="1">
    <w:name w:val="xl133"/>
    <w:basedOn w:val="66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20"/>
    </w:rPr>
  </w:style>
  <w:style w:type="paragraph" w:styleId="1069" w:customStyle="1">
    <w:name w:val="声明标题"/>
    <w:basedOn w:val="665"/>
    <w:uiPriority w:val="0"/>
    <w:qFormat/>
    <w:pPr>
      <w:ind w:hanging="108"/>
      <w:jc w:val="left"/>
      <w:spacing w:before="1680" w:after="600" w:line="400" w:lineRule="exact"/>
      <w:widowControl/>
    </w:pPr>
    <w:rPr>
      <w:rFonts w:ascii="Arial" w:hAnsi="Arial" w:eastAsia="黑体"/>
      <w:b/>
      <w:sz w:val="36"/>
    </w:rPr>
  </w:style>
  <w:style w:type="paragraph" w:styleId="1070" w:customStyle="1">
    <w:name w:val="font11"/>
    <w:basedOn w:val="665"/>
    <w:uiPriority w:val="0"/>
    <w:qFormat/>
    <w:pPr>
      <w:jc w:val="left"/>
      <w:spacing w:before="100" w:beforeAutospacing="1" w:after="100" w:afterAutospacing="1"/>
      <w:widowControl/>
    </w:pPr>
    <w:rPr>
      <w:rFonts w:hint="eastAsia" w:ascii="宋体" w:hAnsi="宋体"/>
      <w:color w:val="000000"/>
      <w:sz w:val="18"/>
    </w:rPr>
  </w:style>
  <w:style w:type="paragraph" w:styleId="1071" w:customStyle="1">
    <w:name w:val="font7"/>
    <w:basedOn w:val="665"/>
    <w:uiPriority w:val="0"/>
    <w:qFormat/>
    <w:pPr>
      <w:jc w:val="left"/>
      <w:spacing w:before="100" w:beforeAutospacing="1" w:after="100" w:afterAutospacing="1"/>
      <w:widowControl/>
    </w:pPr>
    <w:rPr>
      <w:rFonts w:ascii="Verdana" w:hAnsi="Verdana"/>
      <w:sz w:val="20"/>
    </w:rPr>
  </w:style>
  <w:style w:type="paragraph" w:styleId="1072" w:customStyle="1">
    <w:name w:val="重点条目"/>
    <w:basedOn w:val="871"/>
    <w:next w:val="871"/>
    <w:uiPriority w:val="0"/>
    <w:qFormat/>
    <w:pPr>
      <w:spacing w:before="240" w:after="120" w:line="360" w:lineRule="auto"/>
      <w:widowControl/>
    </w:pPr>
    <w:rPr>
      <w:rFonts w:ascii="宋体" w:eastAsia="楷体_GB2312"/>
      <w:b/>
      <w:spacing w:val="20"/>
      <w:sz w:val="28"/>
    </w:rPr>
  </w:style>
  <w:style w:type="paragraph" w:styleId="1073" w:customStyle="1">
    <w:name w:val="dit"/>
    <w:basedOn w:val="677"/>
    <w:uiPriority w:val="0"/>
    <w:qFormat/>
    <w:pPr>
      <w:ind w:left="0" w:firstLine="0"/>
      <w:jc w:val="both"/>
      <w:keepLines/>
      <w:keepNext/>
      <w:spacing w:before="0" w:after="0" w:line="300" w:lineRule="auto"/>
      <w:widowControl w:val="off"/>
    </w:pPr>
    <w:rPr>
      <w:b/>
      <w:u w:val="none"/>
    </w:rPr>
  </w:style>
  <w:style w:type="paragraph" w:styleId="1074" w:customStyle="1">
    <w:name w:val="xl5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20"/>
    </w:rPr>
  </w:style>
  <w:style w:type="paragraph" w:styleId="1075" w:customStyle="1">
    <w:name w:val="样式 样式 标题 2H2Heading 2 HiddenHeading 2 CCBS部分标题h2Underrubrik1... ..."/>
    <w:basedOn w:val="665"/>
    <w:uiPriority w:val="0"/>
    <w:qFormat/>
    <w:pPr>
      <w:ind w:left="1197" w:hanging="420"/>
      <w:keepLines/>
      <w:keepNext/>
      <w:spacing w:before="156" w:line="360" w:lineRule="auto"/>
      <w:tabs>
        <w:tab w:val="left" w:pos="1197" w:leader="none"/>
      </w:tabs>
      <w:outlineLvl w:val="1"/>
    </w:pPr>
    <w:rPr>
      <w:rFonts w:ascii="宋体" w:hAnsi="宋体" w:eastAsia="黑体"/>
      <w:b/>
      <w:sz w:val="28"/>
    </w:rPr>
  </w:style>
  <w:style w:type="paragraph" w:styleId="1076" w:customStyle="1">
    <w:name w:val="xl62"/>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077" w:customStyle="1">
    <w:name w:val="样式 标题 2 + 两端对齐"/>
    <w:basedOn w:val="850"/>
    <w:uiPriority w:val="0"/>
    <w:qFormat/>
    <w:pPr>
      <w:ind w:left="992" w:hanging="567"/>
      <w:jc w:val="both"/>
      <w:keepLines/>
      <w:keepNext/>
      <w:spacing w:before="156" w:after="156" w:line="360" w:lineRule="auto"/>
      <w:widowControl w:val="off"/>
      <w:tabs>
        <w:tab w:val="left" w:pos="992" w:leader="none"/>
      </w:tabs>
    </w:pPr>
    <w:rPr>
      <w:rFonts w:ascii="黑体" w:hAnsi="宋体" w:eastAsia="宋体"/>
      <w:b w:val="0"/>
      <w:spacing w:val="0"/>
    </w:rPr>
  </w:style>
  <w:style w:type="paragraph" w:styleId="1078" w:customStyle="1">
    <w:name w:val="xl14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800080"/>
      <w:sz w:val="20"/>
    </w:rPr>
  </w:style>
  <w:style w:type="paragraph" w:styleId="1079" w:customStyle="1">
    <w:name w:val="xl15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ff0000"/>
      <w:sz w:val="20"/>
    </w:rPr>
  </w:style>
  <w:style w:type="paragraph" w:styleId="1080" w:customStyle="1">
    <w:name w:val="xl34"/>
    <w:basedOn w:val="66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81" w:customStyle="1">
    <w:name w:val="blue"/>
    <w:basedOn w:val="665"/>
    <w:uiPriority w:val="0"/>
    <w:qFormat/>
    <w:pPr>
      <w:jc w:val="left"/>
      <w:spacing w:before="100" w:beforeAutospacing="1" w:after="100" w:afterAutospacing="1"/>
      <w:widowControl/>
    </w:pPr>
    <w:rPr>
      <w:rFonts w:ascii="Arial Unicode MS" w:hAnsi="Arial Unicode MS" w:eastAsia="Arial Unicode MS"/>
      <w:color w:val="315494"/>
      <w:sz w:val="18"/>
    </w:rPr>
  </w:style>
  <w:style w:type="paragraph" w:styleId="108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083" w:customStyle="1">
    <w:name w:val="xl14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ff"/>
      <w:sz w:val="20"/>
    </w:rPr>
  </w:style>
  <w:style w:type="paragraph" w:styleId="1084" w:customStyle="1">
    <w:name w:val="xl5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085" w:customStyle="1">
    <w:name w:val="xl153"/>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ff"/>
      <w:sz w:val="20"/>
    </w:rPr>
  </w:style>
  <w:style w:type="paragraph" w:styleId="1086" w:customStyle="1">
    <w:name w:val="xl44"/>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sz w:val="20"/>
    </w:rPr>
  </w:style>
  <w:style w:type="paragraph" w:styleId="1087" w:customStyle="1">
    <w:name w:val="xl5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088" w:customStyle="1">
    <w:name w:val="font8"/>
    <w:basedOn w:val="665"/>
    <w:uiPriority w:val="0"/>
    <w:qFormat/>
    <w:pPr>
      <w:jc w:val="left"/>
      <w:spacing w:before="100" w:beforeAutospacing="1" w:after="100" w:afterAutospacing="1"/>
      <w:widowControl/>
    </w:pPr>
    <w:rPr>
      <w:rFonts w:hint="eastAsia" w:ascii="宋体" w:hAnsi="宋体"/>
      <w:color w:val="000000"/>
      <w:sz w:val="20"/>
    </w:rPr>
  </w:style>
  <w:style w:type="paragraph" w:styleId="1089" w:customStyle="1">
    <w:name w:val="xl16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rPr>
  </w:style>
  <w:style w:type="paragraph" w:styleId="1090" w:customStyle="1">
    <w:name w:val="xl16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091" w:customStyle="1">
    <w:name w:val="样式 样式 (西文) 宋体 小四 首行缩进:  2 字符 + 首行缩进:  2 字符"/>
    <w:basedOn w:val="665"/>
    <w:uiPriority w:val="0"/>
    <w:qFormat/>
    <w:pPr>
      <w:ind w:left="425" w:hanging="425"/>
      <w:tabs>
        <w:tab w:val="left" w:pos="425" w:leader="none"/>
      </w:tabs>
    </w:pPr>
  </w:style>
  <w:style w:type="paragraph" w:styleId="1092" w:customStyle="1">
    <w:name w:val="p0"/>
    <w:basedOn w:val="665"/>
    <w:uiPriority w:val="0"/>
    <w:qFormat/>
    <w:pPr>
      <w:widowControl/>
    </w:pPr>
    <w:rPr>
      <w:szCs w:val="21"/>
    </w:rPr>
  </w:style>
  <w:style w:type="paragraph" w:styleId="1093" w:customStyle="1">
    <w:name w:val="图片"/>
    <w:basedOn w:val="665"/>
    <w:uiPriority w:val="0"/>
    <w:qFormat/>
    <w:pPr>
      <w:ind w:firstLine="200"/>
      <w:spacing w:line="360" w:lineRule="auto"/>
    </w:pPr>
    <w:rPr>
      <w:sz w:val="24"/>
    </w:rPr>
  </w:style>
  <w:style w:type="paragraph" w:styleId="1094" w:customStyle="1">
    <w:name w:val="Char"/>
    <w:basedOn w:val="665"/>
    <w:uiPriority w:val="0"/>
    <w:qFormat/>
  </w:style>
  <w:style w:type="paragraph" w:styleId="1095" w:customStyle="1">
    <w:name w:val="xl15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olor w:val="ff0000"/>
      <w:sz w:val="20"/>
    </w:rPr>
  </w:style>
  <w:style w:type="paragraph" w:styleId="1096" w:customStyle="1">
    <w:name w:val="样式1"/>
    <w:basedOn w:val="665"/>
    <w:next w:val="849"/>
    <w:uiPriority w:val="0"/>
    <w:qFormat/>
    <w:pPr>
      <w:jc w:val="center"/>
    </w:pPr>
    <w:rPr>
      <w:rFonts w:ascii="Arial" w:hAnsi="Arial"/>
      <w:sz w:val="24"/>
    </w:rPr>
  </w:style>
  <w:style w:type="paragraph" w:styleId="1097" w:customStyle="1">
    <w:name w:val="xl14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098" w:customStyle="1">
    <w:name w:val="正文段"/>
    <w:basedOn w:val="665"/>
    <w:uiPriority w:val="0"/>
    <w:qFormat/>
    <w:pPr>
      <w:ind w:firstLine="454"/>
      <w:spacing w:after="240" w:line="360" w:lineRule="atLeast"/>
      <w:widowControl/>
    </w:pPr>
    <w:rPr>
      <w:rFonts w:ascii="宋体"/>
      <w:sz w:val="24"/>
    </w:rPr>
  </w:style>
  <w:style w:type="paragraph" w:styleId="1099" w:customStyle="1">
    <w:name w:val="xl46"/>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00" w:customStyle="1">
    <w:name w:val="xl161"/>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01" w:customStyle="1">
    <w:name w:val="xl147"/>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color w:val="800080"/>
      <w:sz w:val="20"/>
    </w:rPr>
  </w:style>
  <w:style w:type="paragraph" w:styleId="1102" w:customStyle="1">
    <w:name w:val="xl31"/>
    <w:basedOn w:val="66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03" w:customStyle="1">
    <w:name w:val="xl132"/>
    <w:basedOn w:val="665"/>
    <w:uiPriority w:val="0"/>
    <w:qFormat/>
    <w:pPr>
      <w:spacing w:before="100" w:beforeAutospacing="1" w:after="100" w:afterAutospacing="1"/>
      <w:widowControl/>
      <w:pBdr>
        <w:bottom w:val="single" w:color="000000" w:sz="4" w:space="0"/>
        <w:right w:val="single" w:color="000000" w:sz="4" w:space="0"/>
      </w:pBdr>
    </w:pPr>
    <w:rPr>
      <w:rFonts w:ascii="Arial Unicode MS" w:hAnsi="Arial Unicode MS"/>
      <w:sz w:val="20"/>
    </w:rPr>
  </w:style>
  <w:style w:type="paragraph" w:styleId="1104" w:customStyle="1">
    <w:name w:val="Char Char Char Char Char Char Char"/>
    <w:basedOn w:val="665"/>
    <w:uiPriority w:val="0"/>
    <w:qFormat/>
    <w:pPr>
      <w:ind w:firstLine="480"/>
      <w:spacing w:line="360" w:lineRule="auto"/>
    </w:pPr>
    <w:rPr>
      <w:rFonts w:ascii="Tahoma" w:hAnsi="Tahoma"/>
    </w:rPr>
  </w:style>
  <w:style w:type="paragraph" w:styleId="1105" w:customStyle="1">
    <w:name w:val="Style1"/>
    <w:basedOn w:val="665"/>
    <w:uiPriority w:val="0"/>
    <w:qFormat/>
    <w:pPr>
      <w:ind w:left="420" w:firstLine="980"/>
      <w:spacing w:line="360" w:lineRule="auto"/>
      <w:widowControl/>
    </w:pPr>
    <w:rPr>
      <w:rFonts w:ascii="ˎ̥" w:hAnsi="ˎ̥"/>
      <w:i/>
      <w:sz w:val="24"/>
      <w:u w:val="single"/>
    </w:rPr>
  </w:style>
  <w:style w:type="paragraph" w:styleId="1106" w:customStyle="1">
    <w:name w:val="xl154"/>
    <w:basedOn w:val="665"/>
    <w:uiPriority w:val="0"/>
    <w:qFormat/>
    <w:pPr>
      <w:jc w:val="center"/>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sz w:val="20"/>
    </w:rPr>
  </w:style>
  <w:style w:type="paragraph" w:styleId="1107" w:customStyle="1">
    <w:name w:val="样式7"/>
    <w:basedOn w:val="665"/>
    <w:uiPriority w:val="0"/>
    <w:qFormat/>
    <w:pPr>
      <w:ind w:firstLine="601"/>
      <w:spacing w:line="440" w:lineRule="atLeast"/>
    </w:pPr>
    <w:rPr>
      <w:rFonts w:ascii="宋体"/>
      <w:sz w:val="24"/>
    </w:rPr>
  </w:style>
  <w:style w:type="paragraph" w:styleId="1108" w:customStyle="1">
    <w:name w:val="Table Art"/>
    <w:basedOn w:val="665"/>
    <w:next w:val="665"/>
    <w:uiPriority w:val="0"/>
    <w:qFormat/>
    <w:pPr>
      <w:jc w:val="left"/>
      <w:spacing w:before="40"/>
      <w:widowControl/>
    </w:pPr>
    <w:rPr>
      <w:rFonts w:eastAsia="PMingLiU"/>
      <w:sz w:val="20"/>
      <w:lang w:eastAsia="en-US"/>
    </w:rPr>
  </w:style>
  <w:style w:type="paragraph" w:styleId="1109" w:customStyle="1">
    <w:name w:val="xl15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rPr>
  </w:style>
  <w:style w:type="paragraph" w:styleId="1110" w:customStyle="1">
    <w:name w:val="标题3"/>
    <w:basedOn w:val="665"/>
    <w:uiPriority w:val="0"/>
    <w:qFormat/>
    <w:pPr>
      <w:spacing w:before="78" w:after="78" w:line="300" w:lineRule="auto"/>
    </w:pPr>
    <w:rPr>
      <w:rFonts w:ascii="宋体" w:hAnsi="宋体"/>
      <w:b/>
      <w:sz w:val="28"/>
    </w:rPr>
  </w:style>
  <w:style w:type="paragraph" w:styleId="1111" w:customStyle="1">
    <w:name w:val="新正文"/>
    <w:basedOn w:val="665"/>
    <w:uiPriority w:val="0"/>
    <w:qFormat/>
    <w:pPr>
      <w:ind w:firstLine="510"/>
      <w:spacing w:line="360" w:lineRule="auto"/>
    </w:pPr>
    <w:rPr>
      <w:rFonts w:eastAsia="仿宋_GB2312"/>
      <w:sz w:val="24"/>
    </w:rPr>
  </w:style>
  <w:style w:type="paragraph" w:styleId="1112" w:customStyle="1">
    <w:name w:val="+正文"/>
    <w:basedOn w:val="665"/>
    <w:uiPriority w:val="0"/>
    <w:qFormat/>
    <w:pPr>
      <w:ind w:firstLine="200"/>
      <w:spacing w:line="360" w:lineRule="auto"/>
    </w:pPr>
    <w:rPr>
      <w:sz w:val="24"/>
    </w:rPr>
  </w:style>
  <w:style w:type="paragraph" w:styleId="1113" w:customStyle="1">
    <w:name w:val="普通文字1"/>
    <w:basedOn w:val="665"/>
    <w:uiPriority w:val="0"/>
    <w:qFormat/>
    <w:pPr>
      <w:jc w:val="center"/>
      <w:spacing w:line="480" w:lineRule="auto"/>
    </w:pPr>
  </w:style>
  <w:style w:type="paragraph" w:styleId="1114" w:customStyle="1">
    <w:name w:val="xl43"/>
    <w:basedOn w:val="665"/>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15" w:customStyle="1">
    <w:name w:val="xl63"/>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116" w:customStyle="1">
    <w:name w:val="xl70"/>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17" w:customStyle="1">
    <w:name w:val="插图说明"/>
    <w:next w:val="665"/>
    <w:uiPriority w:val="0"/>
    <w:qFormat/>
    <w:pPr>
      <w:jc w:val="center"/>
      <w:spacing w:before="120" w:after="240"/>
    </w:pPr>
    <w:rPr>
      <w:rFonts w:ascii="Times New Roman" w:hAnsi="Times New Roman" w:eastAsia="楷体_GB2312" w:cs="Times New Roman"/>
      <w:sz w:val="24"/>
      <w:lang w:val="en-US" w:eastAsia="zh-CN" w:bidi="ar-SA"/>
    </w:rPr>
  </w:style>
  <w:style w:type="paragraph" w:styleId="1118" w:customStyle="1">
    <w:name w:val="条目1"/>
    <w:basedOn w:val="665"/>
    <w:uiPriority w:val="0"/>
    <w:qFormat/>
    <w:pPr>
      <w:ind w:left="425" w:hanging="425"/>
      <w:tabs>
        <w:tab w:val="left" w:pos="425" w:leader="none"/>
      </w:tabs>
    </w:pPr>
    <w:rPr>
      <w:rFonts w:ascii="宋体" w:hAnsi="Courier New"/>
      <w:color w:val="000000"/>
      <w:sz w:val="24"/>
    </w:rPr>
  </w:style>
  <w:style w:type="paragraph" w:styleId="1119" w:customStyle="1">
    <w:name w:val="Char Char Char"/>
    <w:basedOn w:val="665"/>
    <w:uiPriority w:val="0"/>
    <w:qFormat/>
    <w:pPr>
      <w:ind w:left="1545" w:hanging="1545"/>
      <w:tabs>
        <w:tab w:val="left" w:pos="1545" w:leader="none"/>
      </w:tabs>
    </w:pPr>
  </w:style>
  <w:style w:type="paragraph" w:styleId="1120" w:customStyle="1">
    <w:name w:val="xl163"/>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sz w:val="20"/>
    </w:rPr>
  </w:style>
  <w:style w:type="paragraph" w:styleId="1121" w:customStyle="1">
    <w:name w:val="xl131"/>
    <w:basedOn w:val="66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22" w:customStyle="1">
    <w:name w:val="符号列表"/>
    <w:basedOn w:val="665"/>
    <w:uiPriority w:val="0"/>
    <w:qFormat/>
    <w:pPr>
      <w:jc w:val="left"/>
      <w:spacing w:line="440" w:lineRule="exact"/>
      <w:widowControl/>
    </w:pPr>
    <w:rPr>
      <w:rFonts w:ascii="宋体" w:hAnsi="宋体"/>
      <w:color w:val="000000"/>
    </w:rPr>
  </w:style>
  <w:style w:type="paragraph" w:styleId="1123" w:customStyle="1">
    <w:name w:val="xl56"/>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20"/>
    </w:rPr>
  </w:style>
  <w:style w:type="paragraph" w:styleId="1124" w:customStyle="1">
    <w:name w:val="xl26"/>
    <w:basedOn w:val="66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25" w:customStyle="1">
    <w:name w:val="xl5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26" w:customStyle="1">
    <w:name w:val="修订1"/>
    <w:uiPriority w:val="99"/>
    <w:unhideWhenUsed/>
    <w:qFormat/>
    <w:rPr>
      <w:rFonts w:ascii="Times New Roman" w:hAnsi="Times New Roman" w:eastAsia="宋体" w:cs="Times New Roman"/>
      <w:sz w:val="21"/>
      <w:lang w:val="en-US" w:eastAsia="zh-CN" w:bidi="ar-SA"/>
    </w:rPr>
  </w:style>
  <w:style w:type="paragraph" w:styleId="1127" w:customStyle="1">
    <w:name w:val="信息标题2"/>
    <w:basedOn w:val="865"/>
    <w:next w:val="865"/>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28" w:customStyle="1">
    <w:name w:val="font9"/>
    <w:basedOn w:val="665"/>
    <w:uiPriority w:val="0"/>
    <w:qFormat/>
    <w:pPr>
      <w:jc w:val="left"/>
      <w:spacing w:before="100" w:beforeAutospacing="1" w:after="100" w:afterAutospacing="1"/>
      <w:widowControl/>
    </w:pPr>
    <w:rPr>
      <w:b/>
      <w:sz w:val="20"/>
    </w:rPr>
  </w:style>
  <w:style w:type="paragraph" w:styleId="1129" w:customStyle="1">
    <w:name w:val="页眉 New"/>
    <w:basedOn w:val="1043"/>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xl42"/>
    <w:basedOn w:val="665"/>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1" w:customStyle="1">
    <w:name w:val="文档正文"/>
    <w:basedOn w:val="665"/>
    <w:uiPriority w:val="0"/>
    <w:qFormat/>
    <w:pPr>
      <w:ind w:firstLine="567"/>
      <w:spacing w:line="480" w:lineRule="atLeast"/>
    </w:pPr>
    <w:rPr>
      <w:rFonts w:ascii="长城仿宋"/>
      <w:sz w:val="24"/>
    </w:rPr>
  </w:style>
  <w:style w:type="paragraph" w:styleId="1132" w:customStyle="1">
    <w:name w:val="xl130"/>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33" w:customStyle="1">
    <w:name w:val="xl33"/>
    <w:basedOn w:val="66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34" w:customStyle="1">
    <w:name w:val="xl60"/>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35" w:customStyle="1">
    <w:name w:val="xl47"/>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36" w:customStyle="1">
    <w:name w:val="纯文本2"/>
    <w:basedOn w:val="665"/>
    <w:uiPriority w:val="0"/>
    <w:qFormat/>
    <w:pPr>
      <w:jc w:val="left"/>
      <w:widowControl/>
    </w:pPr>
    <w:rPr>
      <w:rFonts w:ascii="宋体" w:hAnsi="Courier New" w:eastAsia="楷体_GB2312"/>
      <w:sz w:val="26"/>
    </w:rPr>
  </w:style>
  <w:style w:type="paragraph" w:styleId="1137" w:customStyle="1">
    <w:name w:val="条文"/>
    <w:basedOn w:val="665"/>
    <w:uiPriority w:val="0"/>
    <w:qFormat/>
    <w:pPr>
      <w:ind w:left="420" w:hanging="420"/>
      <w:spacing w:line="360" w:lineRule="auto"/>
      <w:tabs>
        <w:tab w:val="left" w:pos="420" w:leader="none"/>
      </w:tabs>
    </w:pPr>
    <w:rPr>
      <w:sz w:val="28"/>
    </w:rPr>
  </w:style>
  <w:style w:type="paragraph" w:styleId="1138" w:customStyle="1">
    <w:name w:val="xl138"/>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139" w:customStyle="1">
    <w:name w:val="xl30"/>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0" w:customStyle="1">
    <w:name w:val="段"/>
    <w:next w:val="665"/>
    <w:uiPriority w:val="0"/>
    <w:qFormat/>
    <w:pPr>
      <w:ind w:firstLine="200"/>
      <w:jc w:val="both"/>
    </w:pPr>
    <w:rPr>
      <w:rFonts w:ascii="宋体" w:hAnsi="Times New Roman" w:eastAsia="宋体" w:cs="Times New Roman"/>
      <w:sz w:val="21"/>
      <w:szCs w:val="22"/>
      <w:lang w:val="en-US" w:eastAsia="zh-CN" w:bidi="ar-SA"/>
    </w:rPr>
  </w:style>
  <w:style w:type="paragraph" w:styleId="1141" w:customStyle="1">
    <w:name w:val="xl13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42" w:customStyle="1">
    <w:name w:val="H2]"/>
    <w:basedOn w:val="849"/>
    <w:uiPriority w:val="0"/>
    <w:qFormat/>
    <w:rPr>
      <w:rFonts w:eastAsia="宋体"/>
      <w:sz w:val="36"/>
    </w:rPr>
  </w:style>
  <w:style w:type="paragraph" w:styleId="1143" w:customStyle="1">
    <w:name w:val="第二级"/>
    <w:basedOn w:val="850"/>
    <w:next w:val="1035"/>
    <w:uiPriority w:val="0"/>
    <w:qFormat/>
    <w:pPr>
      <w:ind w:left="992" w:hanging="992"/>
      <w:jc w:val="both"/>
      <w:keepLines/>
      <w:keepNext/>
      <w:spacing w:before="0" w:after="0"/>
      <w:widowControl w:val="off"/>
      <w:tabs>
        <w:tab w:val="left" w:pos="992" w:leader="none"/>
      </w:tabs>
    </w:pPr>
    <w:rPr>
      <w:rFonts w:ascii="宋体" w:hAnsi="宋体"/>
      <w:spacing w:val="0"/>
    </w:rPr>
  </w:style>
  <w:style w:type="paragraph" w:styleId="1144" w:customStyle="1">
    <w:name w:val="new"/>
    <w:basedOn w:val="665"/>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45" w:customStyle="1">
    <w:name w:val="SRS标题2"/>
    <w:basedOn w:val="665"/>
    <w:uiPriority w:val="0"/>
    <w:qFormat/>
    <w:pPr>
      <w:ind w:left="431" w:hanging="431"/>
      <w:jc w:val="left"/>
      <w:spacing w:before="312"/>
      <w:widowControl/>
      <w:tabs>
        <w:tab w:val="left" w:pos="720" w:leader="none"/>
      </w:tabs>
      <w:outlineLvl w:val="1"/>
    </w:pPr>
    <w:rPr>
      <w:b/>
      <w:sz w:val="28"/>
    </w:rPr>
  </w:style>
  <w:style w:type="paragraph" w:styleId="1146" w:customStyle="1">
    <w:name w:val="xl5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47" w:customStyle="1">
    <w:name w:val="_Style 29"/>
    <w:basedOn w:val="665"/>
    <w:next w:val="880"/>
    <w:uiPriority w:val="0"/>
    <w:qFormat/>
    <w:rPr>
      <w:rFonts w:ascii="宋体" w:hAnsi="Courier New"/>
    </w:rPr>
  </w:style>
  <w:style w:type="paragraph" w:styleId="1148" w:customStyle="1">
    <w:name w:val="xl3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49" w:customStyle="1">
    <w:name w:val="xl37"/>
    <w:basedOn w:val="665"/>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50" w:customStyle="1">
    <w:name w:val="标题2"/>
    <w:basedOn w:val="850"/>
    <w:uiPriority w:val="0"/>
    <w:qFormat/>
    <w:pPr>
      <w:jc w:val="both"/>
      <w:keepLines/>
      <w:keepNext/>
      <w:spacing w:before="78" w:after="78" w:line="440" w:lineRule="exact"/>
      <w:widowControl w:val="off"/>
    </w:pPr>
    <w:rPr>
      <w:rFonts w:eastAsia="宋体"/>
      <w:spacing w:val="0"/>
      <w:sz w:val="32"/>
    </w:rPr>
  </w:style>
  <w:style w:type="paragraph" w:styleId="1151" w:customStyle="1">
    <w:name w:val="xl67"/>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52" w:customStyle="1">
    <w:name w:val="表格文字"/>
    <w:basedOn w:val="665"/>
    <w:uiPriority w:val="0"/>
    <w:qFormat/>
  </w:style>
  <w:style w:type="paragraph" w:styleId="1153" w:customStyle="1">
    <w:name w:val="xl61"/>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54" w:customStyle="1">
    <w:name w:val="声明文字"/>
    <w:basedOn w:val="665"/>
    <w:uiPriority w:val="0"/>
    <w:qFormat/>
    <w:pPr>
      <w:ind w:hanging="108"/>
      <w:spacing w:before="60" w:after="240" w:line="400" w:lineRule="exact"/>
      <w:widowControl/>
    </w:pPr>
    <w:rPr>
      <w:rFonts w:eastAsia="楷体_GB2312"/>
      <w:sz w:val="24"/>
    </w:rPr>
  </w:style>
  <w:style w:type="paragraph" w:styleId="1155" w:customStyle="1">
    <w:name w:val="版权"/>
    <w:basedOn w:val="665"/>
    <w:uiPriority w:val="0"/>
    <w:qFormat/>
    <w:pPr>
      <w:ind w:hanging="108"/>
      <w:jc w:val="center"/>
      <w:spacing w:before="120" w:line="400" w:lineRule="exact"/>
    </w:pPr>
    <w:rPr>
      <w:rFonts w:ascii="楷体_GB2312" w:hAnsi="Tahoma" w:eastAsia="楷体_GB2312"/>
      <w:b/>
      <w:sz w:val="24"/>
    </w:rPr>
  </w:style>
  <w:style w:type="paragraph" w:styleId="1156" w:customStyle="1">
    <w:name w:val="xl4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7" w:customStyle="1">
    <w:name w:val="Item step"/>
    <w:basedOn w:val="665"/>
    <w:uiPriority w:val="0"/>
    <w:qFormat/>
    <w:pPr>
      <w:ind w:left="782" w:hanging="362"/>
      <w:tabs>
        <w:tab w:val="left" w:pos="810" w:leader="none"/>
      </w:tabs>
    </w:pPr>
  </w:style>
  <w:style w:type="paragraph" w:styleId="1158" w:customStyle="1">
    <w:name w:val="第三级"/>
    <w:basedOn w:val="851"/>
    <w:next w:val="1035"/>
    <w:uiPriority w:val="0"/>
    <w:qFormat/>
    <w:pPr>
      <w:ind w:left="1304" w:right="0" w:hanging="1304"/>
      <w:jc w:val="both"/>
      <w:spacing w:before="0" w:after="0"/>
      <w:widowControl w:val="off"/>
      <w:tabs>
        <w:tab w:val="left" w:pos="615" w:leader="none"/>
      </w:tabs>
    </w:pPr>
    <w:rPr>
      <w:rFonts w:ascii="Times New Roman" w:eastAsia="黑体"/>
      <w:spacing w:val="0"/>
      <w:sz w:val="32"/>
      <w:lang w:val="en-GB"/>
    </w:rPr>
  </w:style>
  <w:style w:type="paragraph" w:styleId="1159" w:customStyle="1">
    <w:name w:val="xl5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60" w:customStyle="1">
    <w:name w:val="xl41"/>
    <w:basedOn w:val="665"/>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1" w:customStyle="1">
    <w:name w:val="列表内容"/>
    <w:basedOn w:val="665"/>
    <w:next w:val="665"/>
    <w:uiPriority w:val="0"/>
    <w:qFormat/>
    <w:pPr>
      <w:ind w:firstLine="200"/>
      <w:jc w:val="left"/>
      <w:widowControl/>
      <w:tabs>
        <w:tab w:val="left" w:pos="840" w:leader="none"/>
      </w:tabs>
    </w:pPr>
    <w:rPr>
      <w:sz w:val="18"/>
    </w:rPr>
  </w:style>
  <w:style w:type="paragraph" w:styleId="1162" w:customStyle="1">
    <w:name w:val="xl6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 w:val="20"/>
    </w:rPr>
  </w:style>
  <w:style w:type="paragraph" w:styleId="1163" w:customStyle="1">
    <w:name w:val="diy"/>
    <w:basedOn w:val="665"/>
    <w:uiPriority w:val="0"/>
    <w:qFormat/>
    <w:pPr>
      <w:ind w:firstLine="480"/>
      <w:spacing w:before="156" w:after="156" w:line="300" w:lineRule="auto"/>
      <w:tabs>
        <w:tab w:val="right" w:pos="9030" w:leader="middleDot"/>
      </w:tabs>
    </w:pPr>
    <w:rPr>
      <w:rFonts w:ascii="宋体" w:hAnsi="宋体"/>
      <w:sz w:val="24"/>
    </w:rPr>
  </w:style>
  <w:style w:type="paragraph" w:styleId="1164" w:customStyle="1">
    <w:name w:val="xl12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65" w:customStyle="1">
    <w:name w:val="普通 (Web)"/>
    <w:basedOn w:val="665"/>
    <w:uiPriority w:val="0"/>
    <w:qFormat/>
    <w:pPr>
      <w:ind w:left="359" w:right="34" w:firstLine="480"/>
      <w:jc w:val="left"/>
      <w:spacing w:line="360" w:lineRule="auto"/>
      <w:widowControl/>
    </w:pPr>
    <w:rPr>
      <w:rFonts w:ascii="Arial" w:hAnsi="Arial"/>
      <w:sz w:val="24"/>
    </w:rPr>
  </w:style>
  <w:style w:type="paragraph" w:styleId="1166" w:customStyle="1">
    <w:name w:val="xl14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olor w:val="000000"/>
      <w:sz w:val="20"/>
    </w:rPr>
  </w:style>
  <w:style w:type="paragraph" w:styleId="1167" w:customStyle="1">
    <w:name w:val="xl16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68" w:customStyle="1">
    <w:name w:val="DIY文本正文"/>
    <w:basedOn w:val="665"/>
    <w:uiPriority w:val="0"/>
    <w:qFormat/>
    <w:pPr>
      <w:ind w:firstLine="454"/>
      <w:spacing w:line="300" w:lineRule="auto"/>
    </w:pPr>
    <w:rPr>
      <w:rFonts w:ascii="长城仿宋"/>
      <w:sz w:val="24"/>
    </w:rPr>
  </w:style>
  <w:style w:type="paragraph" w:styleId="1169" w:customStyle="1">
    <w:name w:val="样式6"/>
    <w:basedOn w:val="665"/>
    <w:next w:val="665"/>
    <w:uiPriority w:val="0"/>
    <w:qFormat/>
    <w:pPr>
      <w:ind w:firstLine="425"/>
      <w:spacing w:line="360" w:lineRule="auto"/>
    </w:pPr>
    <w:rPr>
      <w:rFonts w:ascii="方正细圆简体" w:eastAsia="方正细圆简体"/>
      <w:spacing w:val="10"/>
    </w:rPr>
  </w:style>
  <w:style w:type="paragraph" w:styleId="1170" w:customStyle="1">
    <w:name w:val="List Bullet 1"/>
    <w:basedOn w:val="851"/>
    <w:uiPriority w:val="0"/>
    <w:qFormat/>
    <w:pPr>
      <w:ind w:left="3240" w:right="0" w:hanging="360"/>
      <w:jc w:val="both"/>
      <w:keepLines/>
      <w:spacing w:before="60" w:after="95" w:line="360" w:lineRule="auto"/>
      <w:tabs>
        <w:tab w:val="left" w:pos="0" w:leader="none"/>
      </w:tabs>
    </w:pPr>
    <w:rPr>
      <w:rFonts w:ascii="IDCSerif" w:hAnsi="IDCSerif" w:eastAsia="黑体"/>
      <w:b w:val="0"/>
      <w:spacing w:val="0"/>
      <w:lang w:eastAsia="en-US"/>
    </w:rPr>
  </w:style>
  <w:style w:type="paragraph" w:styleId="1171" w:customStyle="1">
    <w:name w:val="text12"/>
    <w:basedOn w:val="665"/>
    <w:uiPriority w:val="0"/>
    <w:qFormat/>
    <w:pPr>
      <w:jc w:val="left"/>
      <w:spacing w:before="100" w:beforeAutospacing="1" w:after="100" w:afterAutospacing="1"/>
      <w:widowControl/>
    </w:pPr>
    <w:rPr>
      <w:rFonts w:ascii="宋体" w:hAnsi="宋体"/>
      <w:sz w:val="24"/>
    </w:rPr>
  </w:style>
  <w:style w:type="paragraph" w:styleId="1172" w:customStyle="1">
    <w:name w:val="表格"/>
    <w:basedOn w:val="665"/>
    <w:uiPriority w:val="0"/>
    <w:qFormat/>
    <w:pPr>
      <w:ind w:firstLine="42"/>
    </w:pPr>
    <w:rPr>
      <w:rFonts w:ascii="宋体"/>
      <w:sz w:val="24"/>
    </w:rPr>
  </w:style>
  <w:style w:type="paragraph" w:styleId="1173" w:customStyle="1">
    <w:name w:val="xl14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74" w:customStyle="1">
    <w:name w:val="xl14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75" w:customStyle="1">
    <w:name w:val="xl55"/>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76" w:customStyle="1">
    <w:name w:val="Normal 12 after"/>
    <w:basedOn w:val="665"/>
    <w:uiPriority w:val="0"/>
    <w:qFormat/>
    <w:pPr>
      <w:ind w:left="720"/>
      <w:spacing w:after="120"/>
      <w:widowControl/>
    </w:pPr>
    <w:rPr>
      <w:rFonts w:ascii="Century Schoolbook" w:hAnsi="Century Schoolbook"/>
      <w:color w:val="000000"/>
      <w:sz w:val="20"/>
    </w:rPr>
  </w:style>
  <w:style w:type="paragraph" w:styleId="1177" w:customStyle="1">
    <w:name w:val="标题1"/>
    <w:basedOn w:val="851"/>
    <w:uiPriority w:val="0"/>
    <w:qFormat/>
    <w:pPr>
      <w:ind w:left="0" w:right="0"/>
      <w:jc w:val="center"/>
      <w:keepLines/>
      <w:keepNext/>
      <w:spacing w:before="78" w:after="78" w:line="300" w:lineRule="auto"/>
      <w:widowControl w:val="off"/>
    </w:pPr>
    <w:rPr>
      <w:rFonts w:hAnsi="宋体"/>
      <w:spacing w:val="0"/>
      <w:sz w:val="44"/>
    </w:rPr>
  </w:style>
  <w:style w:type="paragraph" w:styleId="1178" w:customStyle="1">
    <w:name w:val="纯文本3"/>
    <w:basedOn w:val="665"/>
    <w:uiPriority w:val="0"/>
    <w:qFormat/>
    <w:rPr>
      <w:rFonts w:ascii="宋体" w:hAnsi="Courier New" w:eastAsia="楷体_GB2312"/>
      <w:sz w:val="26"/>
    </w:rPr>
  </w:style>
  <w:style w:type="paragraph" w:styleId="1179" w:customStyle="1">
    <w:name w:val="正文（小四）"/>
    <w:basedOn w:val="665"/>
    <w:uiPriority w:val="0"/>
    <w:qFormat/>
    <w:pPr>
      <w:ind w:firstLine="480"/>
      <w:jc w:val="left"/>
      <w:spacing w:line="360" w:lineRule="auto"/>
    </w:pPr>
    <w:rPr>
      <w:rFonts w:hAnsi="宋体"/>
      <w:sz w:val="24"/>
    </w:rPr>
  </w:style>
  <w:style w:type="paragraph" w:styleId="1180" w:customStyle="1">
    <w:name w:val="xl160"/>
    <w:basedOn w:val="66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b/>
      <w:sz w:val="20"/>
    </w:rPr>
  </w:style>
  <w:style w:type="paragraph" w:styleId="1181" w:customStyle="1">
    <w:name w:val="Figure-1"/>
    <w:uiPriority w:val="0"/>
    <w:qFormat/>
    <w:pPr>
      <w:ind w:left="1304"/>
      <w:spacing w:after="156"/>
    </w:pPr>
    <w:rPr>
      <w:rFonts w:ascii="Arial" w:hAnsi="Arial" w:eastAsia="宋体" w:cs="Times New Roman"/>
      <w:color w:val="000000"/>
      <w:lang w:val="zh-CN" w:eastAsia="zh-CN" w:bidi="ar-SA"/>
    </w:rPr>
  </w:style>
  <w:style w:type="paragraph" w:styleId="1182" w:customStyle="1">
    <w:name w:val="_Style 27"/>
    <w:basedOn w:val="665"/>
    <w:next w:val="880"/>
    <w:uiPriority w:val="0"/>
    <w:qFormat/>
    <w:rPr>
      <w:rFonts w:ascii="宋体" w:hAnsi="Courier New"/>
    </w:rPr>
  </w:style>
  <w:style w:type="paragraph" w:styleId="1183" w:customStyle="1">
    <w:name w:val="title1"/>
    <w:basedOn w:val="665"/>
    <w:uiPriority w:val="0"/>
    <w:qFormat/>
    <w:pPr>
      <w:ind w:left="960" w:hanging="240"/>
      <w:jc w:val="left"/>
    </w:pPr>
    <w:rPr>
      <w:rFonts w:ascii="Wingdings" w:hAnsi="Wingdings" w:eastAsia="PMingLiU"/>
      <w:b/>
      <w:sz w:val="24"/>
      <w:lang w:eastAsia="zh-TW"/>
    </w:rPr>
  </w:style>
  <w:style w:type="paragraph" w:styleId="1184" w:customStyle="1">
    <w:name w:val="xl136"/>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rPr>
  </w:style>
  <w:style w:type="paragraph" w:styleId="1185" w:customStyle="1">
    <w:name w:val="列出段落11"/>
    <w:basedOn w:val="665"/>
    <w:uiPriority w:val="0"/>
    <w:qFormat/>
    <w:pPr>
      <w:ind w:firstLine="420"/>
      <w:jc w:val="left"/>
      <w:spacing w:line="360" w:lineRule="auto"/>
    </w:pPr>
    <w:rPr>
      <w:rFonts w:cs="黑体"/>
      <w:szCs w:val="22"/>
    </w:rPr>
  </w:style>
  <w:style w:type="paragraph" w:styleId="1186" w:customStyle="1">
    <w:name w:val="小标题"/>
    <w:basedOn w:val="665"/>
    <w:uiPriority w:val="0"/>
    <w:qFormat/>
    <w:pPr>
      <w:spacing w:line="360" w:lineRule="auto"/>
    </w:pPr>
    <w:rPr>
      <w:rFonts w:ascii="宋体" w:hAnsi="Arial"/>
      <w:b/>
    </w:rPr>
  </w:style>
  <w:style w:type="paragraph" w:styleId="1187" w:customStyle="1">
    <w:name w:val="规范正文"/>
    <w:basedOn w:val="665"/>
    <w:uiPriority w:val="0"/>
    <w:qFormat/>
    <w:pPr>
      <w:ind w:left="480"/>
      <w:spacing w:line="360" w:lineRule="auto"/>
    </w:pPr>
    <w:rPr>
      <w:sz w:val="24"/>
    </w:rPr>
  </w:style>
  <w:style w:type="paragraph" w:styleId="1188" w:customStyle="1">
    <w:name w:val="xl2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9" w:customStyle="1">
    <w:name w:val="图片文字"/>
    <w:basedOn w:val="665"/>
    <w:uiPriority w:val="0"/>
    <w:qFormat/>
    <w:rPr>
      <w:rFonts w:ascii="宋体"/>
      <w:color w:val="000000"/>
      <w:sz w:val="18"/>
    </w:rPr>
  </w:style>
  <w:style w:type="character" w:styleId="1190" w:customStyle="1">
    <w:name w:val="批注框文本 Char"/>
    <w:basedOn w:val="675"/>
    <w:link w:val="689"/>
    <w:uiPriority w:val="99"/>
    <w:semiHidden/>
    <w:qFormat/>
    <w:rPr>
      <w:sz w:val="18"/>
      <w:szCs w:val="18"/>
    </w:rPr>
  </w:style>
  <w:style w:type="numbering" w:styleId="12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路丽丽</cp:lastModifiedBy>
  <cp:revision>10</cp:revision>
  <dcterms:created xsi:type="dcterms:W3CDTF">2024-08-07T08:55:00Z</dcterms:created>
  <dcterms:modified xsi:type="dcterms:W3CDTF">2025-09-10T07:11:14Z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eyJoZGlkIjoiYTg2ZGIyZWRmZTk5MGEyN2Y5Y2Y2MjllNTgyNjIzMzUiLCJ1c2VySWQiOiIxMDQzMzQ5ODU4In0=</vt:lpwstr>
  </property>
  <property fmtid="{D5CDD505-2E9C-101B-9397-08002B2CF9AE}" pid="3" name="KSOProductBuildVer">
    <vt:lpwstr>2052-12.1.0.22529</vt:lpwstr>
  </property>
  <property fmtid="{D5CDD505-2E9C-101B-9397-08002B2CF9AE}" pid="4" name="ICV">
    <vt:lpwstr>786CA13BF50E47C09E7A6728A1E3C2F0_13</vt:lpwstr>
  </property>
</Properties>
</file>