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太仓市政府采购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项目编号：</w:t>
      </w:r>
      <w:r>
        <w:rPr>
          <w:rFonts w:hint="eastAsia" w:ascii="宋体" w:hAnsi="宋体" w:eastAsia="宋体" w:cs="宋体"/>
          <w:b/>
          <w:color w:val="000000"/>
          <w:sz w:val="36"/>
          <w:lang w:eastAsia="zh-CN"/>
        </w:rPr>
        <w:t xml:space="preserve">JSZC-320585-JZCG-G2024-0038</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项目名称：</w:t>
      </w:r>
      <w:r>
        <w:rPr>
          <w:rFonts w:hint="eastAsia" w:ascii="宋体" w:hAnsi="宋体" w:eastAsia="宋体" w:cs="宋体"/>
          <w:b/>
          <w:color w:val="000000"/>
          <w:sz w:val="36"/>
          <w:lang w:eastAsia="zh-CN"/>
        </w:rPr>
        <w:t xml:space="preserve">2024年监控及信息化系统维保</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采购单位：</w:t>
      </w:r>
      <w:r>
        <w:rPr>
          <w:rFonts w:hint="eastAsia" w:ascii="宋体" w:hAnsi="宋体" w:eastAsia="宋体" w:cs="宋体"/>
          <w:b/>
          <w:color w:val="000000"/>
          <w:sz w:val="36"/>
          <w:lang w:eastAsia="zh-CN"/>
        </w:rPr>
        <w:t xml:space="preserve">太仓市公安局</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采购项目类别：服务类</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标的所属行业：</w:t>
      </w:r>
      <w:r>
        <w:rPr>
          <w:rFonts w:hint="eastAsia" w:ascii="宋体" w:hAnsi="宋体" w:eastAsia="宋体" w:cs="宋体"/>
          <w:b/>
          <w:color w:val="000000"/>
          <w:sz w:val="36"/>
          <w:lang w:eastAsia="zh-CN"/>
        </w:rPr>
        <w:t xml:space="preserve">(十二)软件和信息技术服务业</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center"/>
        <w:spacing w:after="0" w:line="85" w:lineRule="atLeast"/>
        <w:rPr>
          <w:rFonts w:ascii="宋体" w:hAnsi="宋体" w:eastAsia="宋体" w:cs="宋体"/>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202</w:t>
      </w:r>
      <w:r>
        <w:rPr>
          <w:rFonts w:hint="eastAsia" w:ascii="宋体" w:hAnsi="宋体" w:eastAsia="宋体" w:cs="宋体"/>
          <w:color w:val="000000"/>
          <w:sz w:val="44"/>
          <w:lang w:eastAsia="zh-CN"/>
        </w:rPr>
        <w:t xml:space="preserve">4</w:t>
      </w:r>
      <w:r>
        <w:rPr>
          <w:rFonts w:ascii="宋体" w:hAnsi="宋体" w:eastAsia="宋体" w:cs="宋体"/>
          <w:color w:val="000000"/>
          <w:sz w:val="44"/>
          <w:lang w:eastAsia="zh-CN"/>
        </w:rPr>
        <w:t xml:space="preserve">年</w:t>
      </w:r>
      <w:r>
        <w:rPr>
          <w:rFonts w:hint="eastAsia" w:ascii="宋体" w:hAnsi="宋体" w:eastAsia="宋体" w:cs="宋体"/>
          <w:color w:val="000000"/>
          <w:sz w:val="44"/>
          <w:lang w:eastAsia="zh-CN"/>
        </w:rPr>
        <w:t xml:space="preserve">5</w:t>
      </w:r>
      <w:r>
        <w:rPr>
          <w:rFonts w:ascii="宋体" w:hAnsi="宋体" w:eastAsia="宋体" w:cs="宋体"/>
          <w:color w:val="000000"/>
          <w:sz w:val="44"/>
          <w:lang w:eastAsia="zh-CN"/>
        </w:rPr>
        <w:t xml:space="preserve">月</w:t>
      </w:r>
      <w:r>
        <w:rPr>
          <w:rFonts w:ascii="宋体" w:hAnsi="宋体" w:eastAsia="宋体" w:cs="宋体"/>
          <w:color w:val="000000"/>
          <w:sz w:val="44"/>
          <w:lang w:eastAsia="zh-CN"/>
        </w:rPr>
        <w:br w:type="page" w:clear="all"/>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第一部分：招标公告</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第二部分：投标人须知</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第三部分：项目需求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第四部分：投标文件格式</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第五部分：评标方法与评标标准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742"/>
        <w:jc w:val="center"/>
        <w:rPr>
          <w:rFonts w:ascii="宋体" w:hAnsi="宋体" w:eastAsia="宋体" w:cs="宋体"/>
          <w:b/>
          <w:color w:val="000000"/>
          <w:sz w:val="44"/>
          <w:lang w:eastAsia="zh-CN"/>
        </w:rPr>
      </w:pPr>
      <w:r>
        <w:rPr>
          <w:rFonts w:ascii="宋体" w:hAnsi="宋体" w:eastAsia="宋体" w:cs="宋体"/>
          <w:b/>
          <w:color w:val="000000"/>
          <w:sz w:val="44"/>
          <w:lang w:eastAsia="zh-CN"/>
        </w:rPr>
        <w:t xml:space="preserve">第一部分招标公告</w:t>
      </w:r>
      <w:r/>
    </w:p>
    <w:p>
      <w:pPr>
        <w:jc w:val="center"/>
        <w:rPr>
          <w:rFonts w:ascii="宋体" w:hAnsi="宋体" w:eastAsia="宋体" w:cs="宋体"/>
          <w:b/>
          <w:color w:val="000000"/>
          <w:sz w:val="44"/>
        </w:rPr>
      </w:pPr>
      <w:r>
        <w:rPr>
          <w:rFonts w:ascii="宋体" w:hAnsi="宋体" w:eastAsia="宋体" w:cs="宋体"/>
          <w:b/>
          <w:color w:val="000000"/>
          <w:sz w:val="44"/>
        </w:rPr>
      </w:r>
      <w:r/>
    </w:p>
    <w:tbl>
      <w:tblPr>
        <w:tblStyle w:val="752"/>
        <w:tblW w:w="935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52"/>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pStyle w:val="775"/>
              <w:spacing w:beforeAutospacing="0" w:afterAutospacing="0" w:line="15" w:lineRule="atLeast"/>
              <w:rPr>
                <w:szCs w:val="24"/>
              </w:rPr>
            </w:pPr>
            <w:r>
              <w:rPr>
                <w:rFonts w:ascii="仿宋" w:hAnsi="仿宋" w:eastAsia="仿宋" w:cs="仿宋"/>
                <w:color w:val="333333"/>
                <w:szCs w:val="24"/>
              </w:rPr>
              <w:t xml:space="preserve">项目概况</w:t>
            </w:r>
            <w:r/>
          </w:p>
          <w:p>
            <w:pPr>
              <w:pStyle w:val="775"/>
              <w:spacing w:beforeAutospacing="0" w:afterAutospacing="0" w:line="15" w:lineRule="atLeast"/>
              <w:rPr>
                <w:szCs w:val="24"/>
              </w:rPr>
            </w:pPr>
            <w:r>
              <w:rPr>
                <w:rFonts w:hint="eastAsia" w:ascii="仿宋" w:hAnsi="仿宋" w:eastAsia="仿宋" w:cs="仿宋"/>
                <w:color w:val="333333"/>
                <w:szCs w:val="24"/>
              </w:rPr>
              <w:t xml:space="preserve">2024年监控及信息化系统维保 JSZC-320585-JZCG-G2024-0038招标项目的潜在投标人应在“苏采云”系统（网址：http://jszfcg.jsczt.cn/）自行下载 获取招标文件，并于2024-06-20 09:30 （北京时间）前递交投标文件。</w:t>
            </w:r>
            <w:r/>
          </w:p>
        </w:tc>
      </w:tr>
    </w:tbl>
    <w:p>
      <w:pPr>
        <w:pStyle w:val="743"/>
        <w:keepLines w:val="0"/>
        <w:keepNext w:val="0"/>
        <w:spacing w:before="0" w:after="0" w:line="23" w:lineRule="atLeast"/>
        <w:shd w:val="clear" w:color="auto" w:fill="ffffff"/>
        <w:rPr>
          <w:rFonts w:ascii="宋体" w:hAnsi="宋体" w:eastAsia="宋体" w:cs="宋体"/>
          <w:color w:val="333333"/>
          <w:lang w:eastAsia="zh-CN"/>
        </w:rPr>
      </w:pPr>
      <w:r>
        <w:rPr>
          <w:rStyle w:val="780"/>
          <w:rFonts w:ascii="黑体" w:hAnsi="宋体" w:eastAsia="黑体" w:cs="黑体"/>
          <w:color w:val="333333"/>
          <w:sz w:val="28"/>
          <w:szCs w:val="28"/>
          <w:shd w:val="clear" w:color="auto" w:fill="ffffff"/>
          <w:lang w:eastAsia="zh-CN"/>
        </w:rPr>
        <w:t xml:space="preserve">一、项目基本情况</w:t>
      </w:r>
      <w:r/>
    </w:p>
    <w:p>
      <w:pPr>
        <w:pStyle w:val="775"/>
        <w:spacing w:beforeAutospacing="0" w:afterAutospacing="0" w:line="15" w:lineRule="atLeast"/>
        <w:shd w:val="clear" w:color="auto" w:fill="ffffff"/>
        <w:rPr>
          <w:rFonts w:ascii="宋体" w:hAnsi="宋体" w:eastAsia="仿宋" w:cs="宋体"/>
          <w:color w:val="333333"/>
          <w:szCs w:val="24"/>
        </w:rPr>
      </w:pPr>
      <w:r>
        <w:rPr>
          <w:rFonts w:hint="eastAsia" w:ascii="仿宋" w:hAnsi="仿宋" w:eastAsia="仿宋" w:cs="仿宋"/>
          <w:color w:val="333333"/>
          <w:szCs w:val="24"/>
          <w:shd w:val="clear" w:color="auto" w:fill="ffffff"/>
        </w:rPr>
        <w:t xml:space="preserve">项目编号：JSZC-320585-JZCG-G2024-0038</w:t>
      </w:r>
      <w:r/>
    </w:p>
    <w:p>
      <w:pPr>
        <w:pStyle w:val="775"/>
        <w:spacing w:beforeAutospacing="0" w:afterAutospacing="0" w:line="15" w:lineRule="atLeast"/>
        <w:shd w:val="clear" w:color="auto" w:fill="ffffff"/>
        <w:rPr>
          <w:rFonts w:ascii="宋体" w:hAnsi="宋体" w:eastAsia="宋体" w:cs="宋体"/>
          <w:color w:val="333333"/>
          <w:szCs w:val="24"/>
        </w:rPr>
      </w:pPr>
      <w:r>
        <w:rPr>
          <w:rFonts w:hint="eastAsia" w:ascii="仿宋" w:hAnsi="仿宋" w:eastAsia="仿宋" w:cs="仿宋"/>
          <w:color w:val="333333"/>
          <w:szCs w:val="24"/>
          <w:shd w:val="clear" w:color="auto" w:fill="ffffff"/>
        </w:rPr>
        <w:t xml:space="preserve">项目名称：2024年监控及信息化系统维保 </w:t>
      </w:r>
      <w:r/>
    </w:p>
    <w:p>
      <w:pPr>
        <w:pStyle w:val="775"/>
        <w:spacing w:beforeAutospacing="0" w:afterAutospacing="0" w:line="15" w:lineRule="atLeast"/>
        <w:shd w:val="clear" w:color="auto" w:fill="ffffff"/>
        <w:rPr>
          <w:rFonts w:ascii="宋体" w:hAnsi="宋体" w:eastAsia="宋体" w:cs="宋体"/>
          <w:color w:val="333333"/>
          <w:szCs w:val="24"/>
        </w:rPr>
      </w:pPr>
      <w:r>
        <w:rPr>
          <w:rFonts w:hint="eastAsia" w:ascii="仿宋" w:hAnsi="仿宋" w:eastAsia="仿宋" w:cs="仿宋"/>
          <w:color w:val="333333"/>
          <w:szCs w:val="24"/>
          <w:shd w:val="clear" w:color="auto" w:fill="ffffff"/>
        </w:rPr>
        <w:t xml:space="preserve">预算金额：600万元 </w:t>
      </w:r>
      <w:r/>
    </w:p>
    <w:p>
      <w:pPr>
        <w:pStyle w:val="775"/>
        <w:spacing w:beforeAutospacing="0" w:afterAutospacing="0" w:line="15" w:lineRule="atLeast"/>
        <w:shd w:val="clear" w:color="auto" w:fill="ffffff"/>
        <w:rPr>
          <w:szCs w:val="24"/>
        </w:rPr>
      </w:pPr>
      <w:r>
        <w:rPr>
          <w:rFonts w:hint="eastAsia" w:ascii="仿宋" w:hAnsi="仿宋" w:eastAsia="仿宋" w:cs="仿宋"/>
          <w:color w:val="333333"/>
          <w:szCs w:val="24"/>
          <w:shd w:val="clear" w:color="auto" w:fill="ffffff"/>
        </w:rPr>
        <w:t xml:space="preserve">最高限价（如有）：600万元</w:t>
      </w:r>
      <w:r/>
    </w:p>
    <w:p>
      <w:pPr>
        <w:pStyle w:val="775"/>
        <w:spacing w:beforeAutospacing="0" w:afterAutospacing="0" w:line="15" w:lineRule="atLeast"/>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采购需求：太仓市公安局在用且已过保的历年信息化建设项目的专业综合维护服务；太仓市治安监控（前端监控设备、人脸识别、高清抓拍、内部监控、中心机房配套设备等）、市局、警务中心、派出所、交警等其他内部监控及机房配套设备维护。具体内容详见第三部分项目需求</w:t>
      </w:r>
      <w:r/>
    </w:p>
    <w:p>
      <w:pPr>
        <w:pStyle w:val="775"/>
        <w:spacing w:beforeAutospacing="0" w:afterAutospacing="0" w:line="15" w:lineRule="atLeast"/>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合同履行期限：信息化维保服务一年，起止时间以合同约定为准。</w:t>
      </w:r>
      <w:r/>
    </w:p>
    <w:p>
      <w:pPr>
        <w:pStyle w:val="775"/>
        <w:spacing w:beforeAutospacing="0" w:afterAutospacing="0" w:line="15" w:lineRule="atLeast"/>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本项目（是/否）接受联合体投标：不接受联合体</w:t>
      </w:r>
      <w:r/>
    </w:p>
    <w:p>
      <w:pPr>
        <w:pStyle w:val="743"/>
        <w:keepLines w:val="0"/>
        <w:keepNext w:val="0"/>
        <w:spacing w:before="0" w:after="0" w:line="23" w:lineRule="atLeast"/>
        <w:rPr>
          <w:lang w:eastAsia="zh-CN"/>
        </w:rPr>
      </w:pPr>
      <w:r>
        <w:rPr>
          <w:rStyle w:val="780"/>
          <w:rFonts w:hint="eastAsia" w:ascii="黑体" w:hAnsi="宋体" w:eastAsia="黑体" w:cs="黑体"/>
          <w:color w:val="333333"/>
          <w:sz w:val="28"/>
          <w:szCs w:val="28"/>
          <w:shd w:val="clear" w:color="auto" w:fill="ffffff"/>
          <w:lang w:eastAsia="zh-CN"/>
        </w:rPr>
        <w:t xml:space="preserve">二、申请人的资格要求</w:t>
      </w:r>
      <w:r/>
    </w:p>
    <w:p>
      <w:pPr>
        <w:pStyle w:val="775"/>
        <w:spacing w:beforeAutospacing="0" w:afterAutospacing="0" w:line="15" w:lineRule="atLeast"/>
        <w:rPr>
          <w:szCs w:val="24"/>
        </w:rPr>
      </w:pPr>
      <w:r>
        <w:rPr>
          <w:rFonts w:hint="eastAsia" w:ascii="仿宋" w:hAnsi="仿宋" w:eastAsia="仿宋" w:cs="仿宋"/>
          <w:color w:val="333333"/>
          <w:szCs w:val="24"/>
          <w:shd w:val="clear" w:color="auto" w:fill="ffffff"/>
        </w:rPr>
        <w:t xml:space="preserve">（一）满足《中华人民共和国政府采购法》第二十二条规定；</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1.具有独立承担民事责任的能力</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2.具有良好的商业信誉和健全的财务会计制度</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3.具有履行合同所必需的设备和专业技术能力</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4.有依法缴纳税收和社会保障资金的良好记录</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5.参加政府采购活动前三年内，在经营活动中没有重大违法记录</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6.法律、行政法规规定的其他条件</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（二）落实政府采购政策需满足的资格要求：</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（三）本项目的特定资格要求： </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2.落实政府采购政策需满足的资格要求</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（四）拒绝下述供应商参加本次采购活动：</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1、供应商单位负责人为同一人或者存在直接控股、管理关系的不同供应商，不得参加同一合同项下的政府采购活动。</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2、凡为采购项目提供整体设计、规范编制或者项目管理、监理、检测等服务的供应商，不得再参加本项目的采购活动。</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3、法人的分支机构不得参加响应活动（除银行、保险、石油石化、电力、电信等行业特殊情况外）。</w:t>
      </w:r>
      <w:r/>
    </w:p>
    <w:p>
      <w:pPr>
        <w:pStyle w:val="775"/>
        <w:spacing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43"/>
        <w:keepLines w:val="0"/>
        <w:keepNext w:val="0"/>
        <w:spacing w:before="0" w:after="0" w:line="23" w:lineRule="atLeast"/>
        <w:rPr>
          <w:lang w:eastAsia="zh-CN"/>
        </w:rPr>
      </w:pPr>
      <w:r>
        <w:rPr>
          <w:rStyle w:val="780"/>
          <w:rFonts w:hint="eastAsia" w:ascii="黑体" w:hAnsi="宋体" w:eastAsia="黑体" w:cs="黑体"/>
          <w:color w:val="333333"/>
          <w:sz w:val="28"/>
          <w:szCs w:val="28"/>
          <w:shd w:val="clear" w:color="auto" w:fill="ffffff"/>
          <w:lang w:eastAsia="zh-CN"/>
        </w:rPr>
        <w:t xml:space="preserve">三、获取招标文件</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时间：</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2024年05月29日至2024年06月05日，每天上午00:00-12:00，下午12:00-23:59（北京时间，法定节假日除外）</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地点：苏采云政府采购一体化平台</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方式：进入苏州市政府采购网，点击底部苏采云图标，登录苏采云政府采购一体化平台，对参与项目进行报名，并下载电子招标文件。 </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售价：0.00元 </w:t>
      </w:r>
      <w:r/>
    </w:p>
    <w:p>
      <w:pPr>
        <w:pStyle w:val="743"/>
        <w:keepLines w:val="0"/>
        <w:keepNext w:val="0"/>
        <w:spacing w:before="0" w:after="0" w:line="23" w:lineRule="atLeast"/>
        <w:rPr>
          <w:lang w:eastAsia="zh-CN"/>
        </w:rPr>
      </w:pPr>
      <w:r>
        <w:rPr>
          <w:rStyle w:val="780"/>
          <w:rFonts w:hint="eastAsia" w:ascii="黑体" w:hAnsi="宋体" w:eastAsia="黑体" w:cs="黑体"/>
          <w:color w:val="333333"/>
          <w:sz w:val="28"/>
          <w:szCs w:val="28"/>
          <w:shd w:val="clear" w:color="auto" w:fill="ffffff"/>
          <w:lang w:eastAsia="zh-CN"/>
        </w:rPr>
        <w:t xml:space="preserve">四、提交投标文件截止时间、开标时间和地点</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2024-06-20</w:t>
      </w:r>
      <w:r>
        <w:rPr>
          <w:rFonts w:ascii="仿宋" w:hAnsi="仿宋" w:eastAsia="仿宋" w:cs="仿宋"/>
          <w:szCs w:val="24"/>
          <w:shd w:val="clear" w:color="auto" w:fill="ffffff"/>
        </w:rPr>
        <w:t xml:space="preserve"> 09:30</w:t>
      </w:r>
      <w:r>
        <w:rPr>
          <w:rFonts w:hint="eastAsia" w:ascii="仿宋" w:hAnsi="仿宋" w:eastAsia="仿宋" w:cs="仿宋"/>
          <w:szCs w:val="24"/>
          <w:shd w:val="clear" w:color="auto" w:fill="ffffff"/>
        </w:rPr>
        <w:t xml:space="preserve"> （北京时间）</w:t>
      </w:r>
      <w:r/>
    </w:p>
    <w:p>
      <w:pPr>
        <w:pStyle w:val="775"/>
        <w:spacing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地点：</w:t>
      </w:r>
      <w:r>
        <w:rPr>
          <w:rFonts w:ascii="仿宋" w:hAnsi="仿宋" w:eastAsia="仿宋" w:cs="仿宋"/>
          <w:szCs w:val="24"/>
          <w:shd w:val="clear" w:color="auto" w:fill="ffffff"/>
        </w:rPr>
        <w:t xml:space="preserve">苏州市公共资源交易中心太仓分中心</w:t>
      </w:r>
      <w:r>
        <w:rPr>
          <w:rFonts w:hint="eastAsia" w:ascii="仿宋" w:hAnsi="仿宋" w:eastAsia="仿宋" w:cs="仿宋"/>
          <w:szCs w:val="24"/>
          <w:shd w:val="clear" w:color="auto" w:fill="ffffff"/>
        </w:rPr>
        <w:t xml:space="preserve"> </w:t>
      </w:r>
      <w:r/>
    </w:p>
    <w:p>
      <w:pPr>
        <w:pStyle w:val="743"/>
        <w:keepLines w:val="0"/>
        <w:keepNext w:val="0"/>
        <w:spacing w:before="0" w:after="0" w:line="23" w:lineRule="atLeast"/>
        <w:shd w:val="clear" w:color="auto" w:fill="ffffff"/>
        <w:rPr>
          <w:rFonts w:ascii="宋体" w:hAnsi="宋体" w:eastAsia="宋体" w:cs="宋体"/>
          <w:color w:val="333333"/>
          <w:lang w:eastAsia="zh-CN"/>
        </w:rPr>
      </w:pPr>
      <w:r>
        <w:rPr>
          <w:rStyle w:val="780"/>
          <w:rFonts w:hint="eastAsia" w:ascii="黑体" w:hAnsi="宋体" w:eastAsia="黑体" w:cs="黑体"/>
          <w:color w:val="333333"/>
          <w:sz w:val="28"/>
          <w:szCs w:val="28"/>
          <w:shd w:val="clear" w:color="auto" w:fill="ffffff"/>
          <w:lang w:eastAsia="zh-CN"/>
        </w:rPr>
        <w:t xml:space="preserve">五、公告期限</w:t>
      </w:r>
      <w:r/>
    </w:p>
    <w:p>
      <w:pPr>
        <w:pStyle w:val="775"/>
        <w:spacing w:beforeAutospacing="0" w:afterAutospacing="0" w:line="15" w:lineRule="atLeast"/>
        <w:shd w:val="clear" w:color="auto" w:fill="ffffff"/>
        <w:rPr>
          <w:rFonts w:ascii="宋体" w:hAnsi="宋体" w:eastAsia="宋体" w:cs="宋体"/>
          <w:color w:val="333333"/>
          <w:szCs w:val="24"/>
        </w:rPr>
      </w:pPr>
      <w:r>
        <w:rPr>
          <w:rFonts w:hint="eastAsia" w:ascii="仿宋" w:hAnsi="仿宋" w:eastAsia="仿宋" w:cs="仿宋"/>
          <w:color w:val="333333"/>
          <w:szCs w:val="24"/>
          <w:shd w:val="clear" w:color="auto" w:fill="ffffff"/>
        </w:rPr>
        <w:t xml:space="preserve">自本公告发布之日起5个工作日。</w:t>
      </w:r>
      <w:r/>
    </w:p>
    <w:p>
      <w:pPr>
        <w:pStyle w:val="743"/>
        <w:keepLines w:val="0"/>
        <w:keepNext w:val="0"/>
        <w:spacing w:before="0" w:after="0" w:line="23" w:lineRule="atLeast"/>
        <w:rPr>
          <w:lang w:eastAsia="zh-CN"/>
        </w:rPr>
      </w:pPr>
      <w:r>
        <w:rPr>
          <w:rStyle w:val="780"/>
          <w:rFonts w:hint="eastAsia" w:ascii="黑体" w:hAnsi="宋体" w:eastAsia="黑体" w:cs="黑体"/>
          <w:color w:val="333333"/>
          <w:sz w:val="28"/>
          <w:szCs w:val="28"/>
          <w:shd w:val="clear" w:color="auto" w:fill="ffffff"/>
          <w:lang w:eastAsia="zh-CN"/>
        </w:rPr>
        <w:t xml:space="preserve">六、其他补充事宜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lang w:eastAsia="zh-CN"/>
        </w:rPr>
        <w:t xml:space="preserve">2、本项目采用不见面开标，投标人开标时无需到开标现场进行解密，采取网上开标大厅解密电子投标文件，投标人远程解密要求如下：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2）投标人登录苏采云系统，点击开标大厅，选择开标项目，完成不见面开标流程。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3）投标截止时间后根据系统提示解密电子投标文件。</w:t>
      </w:r>
      <w:r>
        <w:rPr>
          <w:rFonts w:hint="eastAsia" w:ascii="仿宋" w:hAnsi="仿宋" w:eastAsia="仿宋" w:cs="仿宋"/>
          <w:b/>
          <w:color w:val="000000"/>
          <w:sz w:val="24"/>
          <w:szCs w:val="24"/>
          <w:lang w:eastAsia="zh-CN"/>
        </w:rPr>
        <w:t xml:space="preserve">解密时间为15分钟，</w:t>
      </w:r>
      <w:r>
        <w:rPr>
          <w:rFonts w:hint="eastAsia" w:ascii="仿宋" w:hAnsi="仿宋" w:eastAsia="仿宋" w:cs="仿宋"/>
          <w:color w:val="000000"/>
          <w:sz w:val="24"/>
          <w:szCs w:val="24"/>
          <w:lang w:eastAsia="zh-CN"/>
        </w:rPr>
        <w:t xml:space="preserve">未在规定时间内完成解密，其投标文件将被拒绝，不参与后续投标流程。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hint="eastAsia" w:ascii="仿宋" w:hAnsi="仿宋" w:eastAsia="仿宋" w:cs="仿宋"/>
          <w:b/>
          <w:color w:val="000000"/>
          <w:sz w:val="24"/>
          <w:szCs w:val="24"/>
          <w:lang w:eastAsia="zh-CN"/>
        </w:rPr>
        <w:t xml:space="preserve">有关苏采云系统驱动安装，</w:t>
      </w:r>
      <w:r>
        <w:rPr>
          <w:rFonts w:hint="eastAsia" w:ascii="仿宋" w:hAnsi="仿宋" w:eastAsia="仿宋" w:cs="仿宋"/>
          <w:color w:val="000000"/>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color w:val="000000"/>
          <w:sz w:val="24"/>
          <w:szCs w:val="24"/>
          <w:lang w:eastAsia="zh-CN"/>
        </w:rPr>
        <w:t xml:space="preserve">“政务CA、方正签章控件驱动安装包及安装说明”</w:t>
      </w:r>
      <w:r>
        <w:rPr>
          <w:rFonts w:hint="eastAsia" w:ascii="仿宋" w:hAnsi="仿宋" w:eastAsia="仿宋" w:cs="仿宋"/>
          <w:color w:val="000000"/>
          <w:sz w:val="24"/>
          <w:szCs w:val="24"/>
          <w:lang w:eastAsia="zh-CN"/>
        </w:rPr>
        <w:t xml:space="preserve">文件，按要求安装驱动。</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w:t>
      </w:r>
      <w:r>
        <w:rPr>
          <w:rFonts w:hint="eastAsia" w:ascii="仿宋" w:hAnsi="仿宋" w:eastAsia="仿宋" w:cs="仿宋"/>
          <w:b/>
          <w:color w:val="000000"/>
          <w:sz w:val="24"/>
          <w:szCs w:val="24"/>
          <w:lang w:eastAsia="zh-CN"/>
        </w:rPr>
        <w:t xml:space="preserve">有关供应商注册、报名、下载电子招标文件、制作上传电子投标文件</w:t>
      </w:r>
      <w:r>
        <w:rPr>
          <w:rFonts w:hint="eastAsia" w:ascii="仿宋" w:hAnsi="仿宋" w:eastAsia="仿宋" w:cs="仿宋"/>
          <w:color w:val="000000"/>
          <w:sz w:val="24"/>
          <w:szCs w:val="24"/>
          <w:lang w:eastAsia="zh-CN"/>
        </w:rPr>
        <w:t xml:space="preserve">、不见面开标及其他注意事项登录苏州政府采购网，在“下载中心”栏目下载“</w:t>
      </w:r>
      <w:r>
        <w:rPr>
          <w:rFonts w:hint="eastAsia" w:ascii="仿宋" w:hAnsi="仿宋" w:eastAsia="仿宋" w:cs="仿宋"/>
          <w:b/>
          <w:color w:val="000000"/>
          <w:sz w:val="24"/>
          <w:szCs w:val="24"/>
          <w:lang w:eastAsia="zh-CN"/>
        </w:rPr>
        <w:t xml:space="preserve">苏采云系统供应商操作手册”</w:t>
      </w:r>
      <w:r>
        <w:rPr>
          <w:rFonts w:hint="eastAsia" w:ascii="仿宋" w:hAnsi="仿宋" w:eastAsia="仿宋" w:cs="仿宋"/>
          <w:color w:val="000000"/>
          <w:sz w:val="24"/>
          <w:szCs w:val="24"/>
          <w:lang w:eastAsia="zh-CN"/>
        </w:rPr>
        <w:t xml:space="preserve">查阅。</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5、有关</w:t>
      </w:r>
      <w:r>
        <w:rPr>
          <w:rFonts w:hint="eastAsia" w:ascii="仿宋" w:hAnsi="仿宋" w:eastAsia="仿宋" w:cs="仿宋"/>
          <w:b/>
          <w:bCs/>
          <w:color w:val="000000"/>
          <w:sz w:val="24"/>
          <w:szCs w:val="24"/>
          <w:lang w:eastAsia="zh-CN"/>
        </w:rPr>
        <w:t xml:space="preserve">办理CA数字申领及电子签章事项</w:t>
      </w:r>
      <w:r>
        <w:rPr>
          <w:rFonts w:hint="eastAsia" w:ascii="仿宋" w:hAnsi="仿宋" w:eastAsia="仿宋" w:cs="仿宋"/>
          <w:color w:val="000000"/>
          <w:sz w:val="24"/>
          <w:szCs w:val="24"/>
          <w:lang w:eastAsia="zh-CN"/>
        </w:rPr>
        <w:t xml:space="preserve">，登录苏州政府采购网，点击页面底部苏采云图标，进入苏采云政府采购一体化平台，下载</w:t>
      </w:r>
      <w:r>
        <w:rPr>
          <w:rFonts w:hint="eastAsia" w:ascii="仿宋" w:hAnsi="仿宋" w:eastAsia="仿宋" w:cs="仿宋"/>
          <w:b/>
          <w:bCs/>
          <w:color w:val="000000"/>
          <w:sz w:val="24"/>
          <w:szCs w:val="24"/>
          <w:lang w:eastAsia="zh-CN"/>
        </w:rPr>
        <w:t xml:space="preserve">“新CA办理指南”</w:t>
      </w:r>
      <w:r>
        <w:rPr>
          <w:rFonts w:hint="eastAsia" w:ascii="仿宋" w:hAnsi="仿宋" w:eastAsia="仿宋" w:cs="仿宋"/>
          <w:color w:val="000000"/>
          <w:sz w:val="24"/>
          <w:szCs w:val="24"/>
          <w:lang w:eastAsia="zh-CN"/>
        </w:rPr>
        <w:t xml:space="preserve">文件查阅。</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6、有关电子投标制作技术疑问，请咨询苏采云软件公司客服：18261002950、0512-69820854、0519-86722802</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7、政府采购监督电话：0512-53512539</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8、本次招标投标保证金：本项目无须缴纳投标保证金。</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9、政府采购履约资金扶持政策：中标供应商可凭政府采购合同办理融资贷款，详情请见江苏政府采购网“政采贷”专栏。</w:t>
      </w:r>
      <w:r/>
    </w:p>
    <w:p>
      <w:pPr>
        <w:pStyle w:val="743"/>
        <w:keepLines w:val="0"/>
        <w:keepNext w:val="0"/>
        <w:spacing w:before="0" w:after="0" w:line="23" w:lineRule="atLeast"/>
        <w:rPr>
          <w:lang w:eastAsia="zh-CN"/>
        </w:rPr>
      </w:pPr>
      <w:r>
        <w:rPr>
          <w:rStyle w:val="780"/>
          <w:rFonts w:hint="eastAsia" w:ascii="黑体" w:hAnsi="宋体" w:eastAsia="黑体" w:cs="黑体"/>
          <w:color w:val="333333"/>
          <w:sz w:val="28"/>
          <w:szCs w:val="28"/>
          <w:shd w:val="clear" w:color="auto" w:fill="ffffff"/>
          <w:lang w:eastAsia="zh-CN"/>
        </w:rPr>
        <w:t xml:space="preserve">七、对本次招标提出询问，请按以下方式联系</w:t>
      </w:r>
      <w:r/>
    </w:p>
    <w:p>
      <w:pPr>
        <w:pStyle w:val="775"/>
        <w:spacing w:beforeAutospacing="0" w:afterAutospacing="0" w:line="15" w:lineRule="atLeast"/>
        <w:rPr>
          <w:szCs w:val="24"/>
        </w:rPr>
      </w:pPr>
      <w:r>
        <w:rPr>
          <w:rFonts w:hint="eastAsia" w:ascii="仿宋" w:hAnsi="仿宋" w:eastAsia="仿宋" w:cs="仿宋"/>
          <w:color w:val="333333"/>
          <w:szCs w:val="24"/>
          <w:shd w:val="clear" w:color="auto" w:fill="ffffff"/>
        </w:rPr>
        <w:t xml:space="preserve">1.采购人信息</w:t>
      </w:r>
      <w:r>
        <w:rPr>
          <w:rFonts w:hint="eastAsia" w:ascii="微软雅黑" w:hAnsi="微软雅黑" w:eastAsia="微软雅黑" w:cs="微软雅黑"/>
          <w:color w:val="333333"/>
          <w:szCs w:val="24"/>
          <w:shd w:val="clear" w:color="auto" w:fill="ffffff"/>
        </w:rPr>
        <w:t xml:space="preserve"> </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单位名称：太仓市公安局</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单位地址：太仓市上海东路58号</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联系人：计侃 </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联系电话：0512-33055606</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2.采购代理机构信息（如有）</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单位名称：苏州市公共资源交易中心太仓分中心</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单位地址：太仓市县府东街99号政务服务中心</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联系人：周萌</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联系电话：0512-53890581</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3.项目联系方式</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项目联系人：周萌</w:t>
      </w:r>
      <w:r/>
    </w:p>
    <w:p>
      <w:pPr>
        <w:pStyle w:val="775"/>
        <w:spacing w:beforeAutospacing="0" w:afterAutospacing="0" w:line="480" w:lineRule="atLeast"/>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电话：0512-53890581</w:t>
      </w:r>
      <w:r/>
    </w:p>
    <w:p>
      <w:pPr>
        <w:jc w:val="both"/>
        <w:rPr>
          <w:rFonts w:ascii="宋体" w:hAnsi="宋体" w:eastAsia="宋体" w:cs="宋体"/>
          <w:b/>
          <w:color w:val="000000"/>
          <w:sz w:val="24"/>
          <w:szCs w:val="24"/>
          <w:lang w:eastAsia="zh-CN"/>
        </w:rPr>
      </w:pPr>
      <w:r>
        <w:rPr>
          <w:rFonts w:ascii="宋体" w:hAnsi="宋体" w:eastAsia="宋体" w:cs="宋体"/>
          <w:b/>
          <w:color w:val="000000"/>
          <w:sz w:val="24"/>
          <w:szCs w:val="24"/>
          <w:lang w:eastAsia="zh-CN"/>
        </w:rPr>
      </w:r>
      <w:r/>
    </w:p>
    <w:p>
      <w:pPr>
        <w:pStyle w:val="759"/>
        <w:rPr>
          <w:lang w:eastAsia="zh-CN"/>
        </w:rPr>
      </w:pPr>
      <w:r>
        <w:rPr>
          <w:lang w:eastAsia="zh-CN"/>
        </w:rPr>
      </w:r>
      <w:r/>
    </w:p>
    <w:p>
      <w:pPr>
        <w:jc w:val="right"/>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 </w:t>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pStyle w:val="742"/>
        <w:jc w:val="center"/>
        <w:rPr>
          <w:lang w:eastAsia="zh-CN"/>
        </w:rPr>
      </w:pP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15.2.2.8其他投标人认为需要提供的材料；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26.7</w:t>
      </w:r>
      <w:r>
        <w:rPr>
          <w:rFonts w:ascii="宋体" w:hAnsi="宋体" w:eastAsia="宋体" w:cs="宋体"/>
          <w:b/>
          <w:color w:val="000000"/>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32.2中标通知书在中标公告发布后将发布在业务系统中，中标通知书发布之日视为中标供应商领取之日，中标供应商自行在业务系统中下载打印。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32.3中标通知书将成为合同的组成部分。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32.4采购代理机构对未中标供应商不承担解释未中标原因的义务。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35.节能产品和环境标志产品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36.中小企业相关政策：</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36.1本项目专门面向中小企业采购，执行以下相关政策：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lang w:eastAsia="zh-CN"/>
        </w:rPr>
        <w:t xml:space="preserve">否则视为投标无效。</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36.1.1中小企业划分：</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（1）符合中小企业划分标准的个体工商户，在政府采购活动中视同中小企业。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（2）中小企业划分标准详见“工信部联企业〔2011〕300号通知”</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36.1.2残疾人福利性单位政策：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36.1.3监狱企业发展政策：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36.1.5、</w:t>
      </w:r>
      <w:r>
        <w:rPr>
          <w:rFonts w:ascii="宋体" w:hAnsi="宋体" w:eastAsia="宋体" w:cs="宋体"/>
          <w:b/>
          <w:color w:val="000000"/>
          <w:sz w:val="24"/>
          <w:lang w:eastAsia="zh-CN"/>
        </w:rPr>
        <w:t xml:space="preserve">专门面向中小企业采购的项目，不再执行价格评审优惠的扶持政策。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九、其他事项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37. 监督和公证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37.1政府有关监督部门将对招投标全过程进行监督。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37.2采购代理机构的招标过程将通过公证机关进行公证。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38.未尽事宜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38.1按《中华人民共和国政府采购法》及其他有关法律法规的规定执行。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742"/>
        <w:jc w:val="center"/>
        <w:rPr>
          <w:lang w:eastAsia="zh-CN"/>
        </w:rPr>
      </w:pPr>
      <w:r>
        <w:rPr>
          <w:rFonts w:ascii="宋体" w:hAnsi="宋体" w:eastAsia="宋体" w:cs="宋体"/>
          <w:b/>
          <w:color w:val="000000"/>
          <w:sz w:val="44"/>
          <w:lang w:eastAsia="zh-CN"/>
        </w:rPr>
        <w:t xml:space="preserve">第三部分</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项目需求</w:t>
      </w:r>
      <w:r/>
    </w:p>
    <w:p>
      <w:pPr>
        <w:keepNext/>
        <w:spacing w:line="440" w:lineRule="exact"/>
        <w:widowControl w:val="off"/>
        <w:rPr>
          <w:rStyle w:val="943"/>
          <w:rFonts w:ascii="宋体" w:hAnsi="宋体" w:cs="宋体"/>
          <w:b/>
          <w:sz w:val="24"/>
          <w:szCs w:val="24"/>
          <w:lang w:val="zh-CN" w:eastAsia="zh-CN"/>
        </w:rPr>
        <w:outlineLvl w:val="1"/>
      </w:pPr>
      <w:r>
        <w:rPr>
          <w:rStyle w:val="943"/>
          <w:rFonts w:hint="eastAsia" w:ascii="宋体" w:hAnsi="宋体" w:cs="宋体"/>
          <w:b/>
          <w:sz w:val="24"/>
          <w:szCs w:val="24"/>
          <w:lang w:val="zh-CN" w:eastAsia="zh-CN"/>
        </w:rPr>
        <w:t xml:space="preserve">一、项目内容：</w:t>
      </w:r>
      <w:r/>
    </w:p>
    <w:p>
      <w:pPr>
        <w:keepNext/>
        <w:spacing w:line="440" w:lineRule="exact"/>
        <w:widowControl w:val="off"/>
        <w:rPr>
          <w:rFonts w:ascii="宋体" w:hAnsi="宋体" w:eastAsia="宋体" w:cs="宋体"/>
          <w:b/>
          <w:sz w:val="24"/>
          <w:szCs w:val="24"/>
          <w:lang w:eastAsia="zh-CN"/>
        </w:rPr>
        <w:outlineLvl w:val="2"/>
      </w:pPr>
      <w:r>
        <w:rPr>
          <w:rFonts w:hint="eastAsia" w:ascii="宋体" w:hAnsi="宋体" w:eastAsia="宋体" w:cs="宋体"/>
          <w:b/>
          <w:sz w:val="24"/>
          <w:szCs w:val="24"/>
          <w:lang w:eastAsia="zh-CN"/>
        </w:rPr>
        <w:t xml:space="preserve">（一）背景介绍</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随着太仓市经济和城市建设的快速发展，及当前治安形势多样性、复杂性、犯罪作案手段隐蔽性以及刑事案件高发，治安监控的作用越来越重要，但因太仓市公安局已建监控及各类信息化系统逐渐过保、老化、损坏，如果没有专项经费和专业队伍维护，无法满足现有的维护使用要求，迫切需要落实对全市公安专业系统、治安监控、内部监控、车辆抓拍、人脸识别、感知采集、视频会议、指挥大屏、机房弱电网络、服务器、虚拟化设备、核心交换设备等前后端设备的专门维护工作，增强系统的稳定性，提升基础工作、治安管理、案件防范。</w:t>
      </w:r>
      <w:r/>
    </w:p>
    <w:p>
      <w:pPr>
        <w:keepNext/>
        <w:spacing w:line="420" w:lineRule="exact"/>
        <w:widowControl w:val="off"/>
        <w:rPr>
          <w:rFonts w:ascii="宋体" w:hAnsi="宋体" w:eastAsia="宋体" w:cs="宋体"/>
          <w:b/>
          <w:sz w:val="24"/>
          <w:szCs w:val="24"/>
          <w:lang w:eastAsia="zh-CN"/>
        </w:rPr>
        <w:outlineLvl w:val="2"/>
      </w:pPr>
      <w:r>
        <w:rPr>
          <w:rFonts w:hint="eastAsia" w:ascii="宋体" w:hAnsi="宋体" w:eastAsia="宋体" w:cs="宋体"/>
          <w:b/>
          <w:sz w:val="24"/>
          <w:szCs w:val="24"/>
          <w:lang w:eastAsia="zh-CN"/>
        </w:rPr>
        <w:t xml:space="preserve">（二）维护时间：</w:t>
      </w:r>
      <w:r/>
    </w:p>
    <w:p>
      <w:pPr>
        <w:ind w:firstLine="480"/>
        <w:jc w:val="both"/>
        <w:spacing w:line="4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维保服务一年，起止时间以合同约定为准。</w:t>
      </w:r>
      <w:r/>
    </w:p>
    <w:p>
      <w:pPr>
        <w:ind w:firstLine="420"/>
        <w:spacing w:line="420" w:lineRule="exact"/>
        <w:rPr>
          <w:rFonts w:ascii="宋体" w:hAnsi="宋体" w:cs="宋体"/>
          <w:sz w:val="21"/>
          <w:szCs w:val="21"/>
          <w:shd w:val="clear" w:color="auto" w:fill="ffffff"/>
          <w:lang w:eastAsia="zh-CN"/>
        </w:rPr>
      </w:pPr>
      <w:r>
        <w:rPr>
          <w:rFonts w:hint="eastAsia" w:ascii="宋体" w:hAnsi="宋体" w:cs="宋体"/>
          <w:sz w:val="21"/>
          <w:szCs w:val="21"/>
          <w:shd w:val="clear" w:color="auto" w:fill="ffffff"/>
          <w:lang w:eastAsia="zh-CN"/>
        </w:rPr>
        <w:t xml:space="preserve">太仓市公安局在用且已过保的历年信息化建设项目的专业综合维护服务；</w:t>
      </w:r>
      <w:r>
        <w:rPr>
          <w:rFonts w:ascii="宋体" w:hAnsi="宋体" w:cs="宋体"/>
          <w:sz w:val="21"/>
          <w:szCs w:val="21"/>
          <w:shd w:val="clear" w:color="auto" w:fill="ffffff"/>
          <w:lang w:eastAsia="zh-CN"/>
        </w:rPr>
        <w:t xml:space="preserve">太仓市治安监控（前端</w:t>
      </w:r>
      <w:r>
        <w:rPr>
          <w:rFonts w:hint="eastAsia" w:ascii="宋体" w:hAnsi="宋体" w:cs="宋体"/>
          <w:sz w:val="21"/>
          <w:szCs w:val="21"/>
          <w:shd w:val="clear" w:color="auto" w:fill="ffffff"/>
          <w:lang w:eastAsia="zh-CN"/>
        </w:rPr>
        <w:t xml:space="preserve">监控</w:t>
      </w:r>
      <w:r>
        <w:rPr>
          <w:rFonts w:ascii="宋体" w:hAnsi="宋体" w:cs="宋体"/>
          <w:sz w:val="21"/>
          <w:szCs w:val="21"/>
          <w:shd w:val="clear" w:color="auto" w:fill="ffffff"/>
          <w:lang w:eastAsia="zh-CN"/>
        </w:rPr>
        <w:t xml:space="preserve">设备、人脸识别、高清抓拍、内部监控、中心机房</w:t>
      </w:r>
      <w:r>
        <w:rPr>
          <w:rFonts w:hint="eastAsia" w:ascii="宋体" w:hAnsi="宋体" w:cs="宋体"/>
          <w:sz w:val="21"/>
          <w:szCs w:val="21"/>
          <w:shd w:val="clear" w:color="auto" w:fill="ffffff"/>
          <w:lang w:eastAsia="zh-CN"/>
        </w:rPr>
        <w:t xml:space="preserve">配套</w:t>
      </w:r>
      <w:r>
        <w:rPr>
          <w:rFonts w:ascii="宋体" w:hAnsi="宋体" w:cs="宋体"/>
          <w:sz w:val="21"/>
          <w:szCs w:val="21"/>
          <w:shd w:val="clear" w:color="auto" w:fill="ffffff"/>
          <w:lang w:eastAsia="zh-CN"/>
        </w:rPr>
        <w:t xml:space="preserve">设备等）、</w:t>
      </w:r>
      <w:r>
        <w:rPr>
          <w:rFonts w:hint="eastAsia" w:ascii="宋体" w:hAnsi="宋体" w:cs="宋体"/>
          <w:sz w:val="21"/>
          <w:szCs w:val="21"/>
          <w:shd w:val="clear" w:color="auto" w:fill="ffffff"/>
          <w:lang w:eastAsia="zh-CN"/>
        </w:rPr>
        <w:t xml:space="preserve">市局、警务中心、</w:t>
      </w:r>
      <w:r>
        <w:rPr>
          <w:rFonts w:ascii="宋体" w:hAnsi="宋体" w:cs="宋体"/>
          <w:sz w:val="21"/>
          <w:szCs w:val="21"/>
          <w:shd w:val="clear" w:color="auto" w:fill="ffffff"/>
          <w:lang w:eastAsia="zh-CN"/>
        </w:rPr>
        <w:t xml:space="preserve">派出所</w:t>
      </w:r>
      <w:r>
        <w:rPr>
          <w:rFonts w:hint="eastAsia" w:ascii="宋体" w:hAnsi="宋体" w:cs="宋体"/>
          <w:sz w:val="21"/>
          <w:szCs w:val="21"/>
          <w:shd w:val="clear" w:color="auto" w:fill="ffffff"/>
          <w:lang w:eastAsia="zh-CN"/>
        </w:rPr>
        <w:t xml:space="preserve">、</w:t>
      </w:r>
      <w:r>
        <w:rPr>
          <w:rFonts w:ascii="宋体" w:hAnsi="宋体" w:cs="宋体"/>
          <w:sz w:val="21"/>
          <w:szCs w:val="21"/>
          <w:shd w:val="clear" w:color="auto" w:fill="ffffff"/>
          <w:lang w:eastAsia="zh-CN"/>
        </w:rPr>
        <w:t xml:space="preserve">交警</w:t>
      </w:r>
      <w:r>
        <w:rPr>
          <w:rFonts w:hint="eastAsia" w:ascii="宋体" w:hAnsi="宋体" w:cs="宋体"/>
          <w:sz w:val="21"/>
          <w:szCs w:val="21"/>
          <w:shd w:val="clear" w:color="auto" w:fill="ffffff"/>
          <w:lang w:eastAsia="zh-CN"/>
        </w:rPr>
        <w:t xml:space="preserve">等其他</w:t>
      </w:r>
      <w:r>
        <w:rPr>
          <w:rFonts w:ascii="宋体" w:hAnsi="宋体" w:cs="宋体"/>
          <w:sz w:val="21"/>
          <w:szCs w:val="21"/>
          <w:shd w:val="clear" w:color="auto" w:fill="ffffff"/>
          <w:lang w:eastAsia="zh-CN"/>
        </w:rPr>
        <w:t xml:space="preserve">内部监控及机房</w:t>
      </w:r>
      <w:r>
        <w:rPr>
          <w:rFonts w:hint="eastAsia" w:ascii="宋体" w:hAnsi="宋体" w:cs="宋体"/>
          <w:sz w:val="21"/>
          <w:szCs w:val="21"/>
          <w:shd w:val="clear" w:color="auto" w:fill="ffffff"/>
          <w:lang w:eastAsia="zh-CN"/>
        </w:rPr>
        <w:t xml:space="preserve">配套</w:t>
      </w:r>
      <w:r>
        <w:rPr>
          <w:rFonts w:ascii="宋体" w:hAnsi="宋体" w:cs="宋体"/>
          <w:sz w:val="21"/>
          <w:szCs w:val="21"/>
          <w:shd w:val="clear" w:color="auto" w:fill="ffffff"/>
          <w:lang w:eastAsia="zh-CN"/>
        </w:rPr>
        <w:t xml:space="preserve">设备</w:t>
      </w:r>
      <w:r>
        <w:rPr>
          <w:rFonts w:hint="eastAsia" w:ascii="宋体" w:hAnsi="宋体" w:cs="宋体"/>
          <w:sz w:val="21"/>
          <w:szCs w:val="21"/>
          <w:shd w:val="clear" w:color="auto" w:fill="ffffff"/>
          <w:lang w:eastAsia="zh-CN"/>
        </w:rPr>
        <w:t xml:space="preserve">维护</w:t>
      </w:r>
      <w:r>
        <w:rPr>
          <w:rFonts w:ascii="宋体" w:hAnsi="宋体" w:cs="宋体"/>
          <w:sz w:val="21"/>
          <w:szCs w:val="21"/>
          <w:shd w:val="clear" w:color="auto" w:fill="ffffff"/>
          <w:lang w:eastAsia="zh-CN"/>
        </w:rPr>
        <w:t xml:space="preserve">。</w:t>
      </w:r>
      <w:r/>
    </w:p>
    <w:p>
      <w:pPr>
        <w:keepNext/>
        <w:spacing w:line="420" w:lineRule="exact"/>
        <w:widowControl w:val="off"/>
        <w:rPr>
          <w:rFonts w:ascii="宋体" w:hAnsi="宋体" w:eastAsia="宋体" w:cs="宋体"/>
          <w:b/>
          <w:sz w:val="24"/>
          <w:szCs w:val="24"/>
          <w:lang w:eastAsia="zh-CN"/>
        </w:rPr>
        <w:outlineLvl w:val="2"/>
      </w:pPr>
      <w:r>
        <w:rPr>
          <w:rFonts w:hint="eastAsia" w:ascii="宋体" w:hAnsi="宋体" w:eastAsia="宋体" w:cs="宋体"/>
          <w:b/>
          <w:sz w:val="24"/>
          <w:szCs w:val="24"/>
          <w:lang w:eastAsia="zh-CN"/>
        </w:rPr>
        <w:t xml:space="preserve">（三）维护主要内容：</w:t>
      </w:r>
      <w:r/>
    </w:p>
    <w:p>
      <w:pPr>
        <w:pStyle w:val="745"/>
        <w:numPr>
          <w:ilvl w:val="0"/>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信息化建设项目的专业综合维护服务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太仓市公安局综合业务服务器数据库、PGIS系统数据库一年专业维护</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350M电台系统、基站和设备的专业维护（五个基站+电台基础维护）</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监控运维平台维保一年、互联网微信云工单服务一年及一年驻场服务1人</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科达视频会议驻场服务1人</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雪亮工程接入云维护服务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太仓市视频联网共享平台、信息港社会面监控联网共享平台管理维护服务及驻场维护服务人员</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市局主页维护及部分更新服务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公安海康监控联网平台授权服务及安排驻场维护服务人员</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大华监控平台及云存储平台的维护服务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网络安全服务（渗透测试、安全咨询培训、灾难恢复演练）</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太仓旅馆民宿系统新装、维护服务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太仓在册旅馆民宿治安管理信息系统维护服务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基础工作双网融合平台部分定制服务工作及基础运维服务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民警健康档案系统运行维护服务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太仓合成维稳系统维护服务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南郊智慧检查站集成维护服务及南郊检查站、洋桥检查站配套系统、弱电设施、监控设施、机房设施、弱电管线设施的维护服务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小区人像感知运维服务（服务时间2024.11-2025.11）</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雪亮一期过保软硬件设施（含运维平台）</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社会面监控汇聚平台服务及维护服务（2024.1-2025.8.24共20个月）</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ETC智慧感知系统项目及苏州市公安局下发的20套etc设备的维护（一年）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火车站反恐维稳项目到期（含铁塔服务）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太仓站、太仓南站公安技防设施到期运维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雪亮工程驻场维护服务人员2人到期，需要继续驻场服务1年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监视居住专用场所（智能化）改造工程</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智慧交通一期基础预备项目到期运维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2020年度人像卡口项目标段一到期运维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2020年度人像卡口项目标段二采购部分到期运维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太仓市智慧技防小区数字化管理系统维保服务费用</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指挥中心大屏建设项目到期运维</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二维码门牌管理平台维护服务</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视频监控系统（含平台）及配套设备维护、对部分高清监控前后端进行维护修复,包含4G车载监控、其他移动图传设备、视频会议系统等</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高清抓拍系统（含平台）及配套设备维护、对部分高清抓拍前后端进行维护修复</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人脸识别系统前后端及配套设备维护调式及对部分人像卡口前后端进行维护修复</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对全市公安各级机关的弱电网络线路维护</w:t>
      </w:r>
      <w:r/>
    </w:p>
    <w:p>
      <w:pPr>
        <w:numPr>
          <w:ilvl w:val="1"/>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太仓市公安局全员考系统一年的维护服务</w:t>
      </w:r>
      <w:r/>
    </w:p>
    <w:p>
      <w:pPr>
        <w:pStyle w:val="745"/>
        <w:numPr>
          <w:ilvl w:val="0"/>
          <w:numId w:val="1"/>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治安监控系统及前后端配套设备维护服务</w:t>
      </w:r>
      <w:r/>
    </w:p>
    <w:p>
      <w:pPr>
        <w:pStyle w:val="746"/>
        <w:spacing w:line="420" w:lineRule="exact"/>
        <w:rPr>
          <w:rFonts w:ascii="宋体" w:hAnsi="宋体" w:eastAsia="宋体" w:cs="宋体"/>
          <w:lang w:eastAsia="zh-CN"/>
        </w:rPr>
      </w:pPr>
      <w:r>
        <w:rPr>
          <w:rFonts w:hint="eastAsia" w:ascii="宋体" w:hAnsi="宋体" w:eastAsia="宋体" w:cs="宋体"/>
          <w:shd w:val="clear" w:color="auto" w:fill="ffffff"/>
          <w:lang w:eastAsia="zh-CN"/>
        </w:rPr>
        <w:t xml:space="preserve">2.1、</w:t>
      </w:r>
      <w:r>
        <w:rPr>
          <w:rFonts w:hint="eastAsia" w:ascii="宋体" w:hAnsi="宋体" w:eastAsia="宋体" w:cs="宋体"/>
          <w:lang w:eastAsia="zh-CN"/>
        </w:rPr>
        <w:t xml:space="preserve">太仓市公安局及下属单位所有过保的治安监控系统和单位内部监控系统的维护服务</w:t>
      </w:r>
      <w:r/>
    </w:p>
    <w:p>
      <w:pPr>
        <w:pStyle w:val="944"/>
        <w:ind w:firstLine="480"/>
        <w:spacing w:line="42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太仓市公安局所有过保的治安监控和单位内部监控的前端设备以及各级监控中心机房相关配套设备的一年维保服务，视频专网治安监控2143台，视频专网内部监控1300台；公安网内部监控合计543路。合计视频监控3986路，硬盘录像机218台。另有中心存储3台。</w:t>
      </w:r>
      <w:r/>
    </w:p>
    <w:p>
      <w:pPr>
        <w:pStyle w:val="746"/>
        <w:spacing w:line="420" w:lineRule="exact"/>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2.2、太仓市公安局已经过保的车辆高清抓拍卡口系统前后端等设备的维护及服务</w:t>
      </w:r>
      <w:r/>
    </w:p>
    <w:p>
      <w:pPr>
        <w:ind w:firstLine="48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对已经过保的车辆高清抓拍卡口系统前后端等设备的维护服务。合计243套抓拍主机。                                                                                                               </w:t>
      </w:r>
      <w:r/>
    </w:p>
    <w:p>
      <w:pPr>
        <w:pStyle w:val="746"/>
        <w:spacing w:line="420" w:lineRule="exact"/>
        <w:rPr>
          <w:rFonts w:ascii="宋体" w:hAnsi="宋体" w:eastAsia="宋体" w:cs="宋体"/>
          <w:bCs w:val="0"/>
          <w:shd w:val="clear" w:color="auto" w:fill="ffffff"/>
          <w:lang w:eastAsia="zh-CN"/>
        </w:rPr>
      </w:pPr>
      <w:r>
        <w:rPr>
          <w:rFonts w:hint="eastAsia" w:ascii="宋体" w:hAnsi="宋体" w:eastAsia="宋体" w:cs="宋体"/>
          <w:bCs w:val="0"/>
          <w:shd w:val="clear" w:color="auto" w:fill="ffffff"/>
          <w:lang w:eastAsia="zh-CN"/>
        </w:rPr>
        <w:t xml:space="preserve">2.3、</w:t>
      </w:r>
      <w:r>
        <w:rPr>
          <w:rFonts w:hint="eastAsia" w:ascii="宋体" w:hAnsi="宋体" w:eastAsia="宋体" w:cs="宋体"/>
          <w:lang w:eastAsia="zh-CN"/>
        </w:rPr>
        <w:t xml:space="preserve">太仓市公安局及下属单位所有过保的人脸识别系统的维护服务</w:t>
      </w:r>
      <w:r>
        <w:rPr>
          <w:rFonts w:hint="eastAsia" w:ascii="宋体" w:hAnsi="宋体" w:eastAsia="宋体" w:cs="宋体"/>
          <w:bCs w:val="0"/>
          <w:shd w:val="clear" w:color="auto" w:fill="ffffff"/>
          <w:lang w:eastAsia="zh-CN"/>
        </w:rPr>
        <w:t xml:space="preserve">： </w:t>
      </w:r>
      <w:r/>
    </w:p>
    <w:p>
      <w:pPr>
        <w:ind w:firstLine="480"/>
        <w:spacing w:line="420" w:lineRule="exact"/>
        <w:rPr>
          <w:rFonts w:ascii="宋体" w:hAnsi="宋体" w:eastAsia="宋体" w:cs="宋体"/>
          <w:sz w:val="24"/>
          <w:szCs w:val="24"/>
          <w:lang w:eastAsia="zh-CN"/>
        </w:rPr>
      </w:pPr>
      <w:r>
        <w:rPr>
          <w:rFonts w:hint="eastAsia" w:ascii="宋体" w:hAnsi="宋体" w:eastAsia="宋体" w:cs="宋体"/>
          <w:bCs/>
          <w:sz w:val="24"/>
          <w:szCs w:val="24"/>
          <w:shd w:val="clear" w:color="auto" w:fill="ffffff"/>
          <w:lang w:eastAsia="zh-CN"/>
        </w:rPr>
        <w:t xml:space="preserve">已经过保的人脸识别系统及配套设备的维护及服务，合计122个动态人像卡口</w:t>
      </w:r>
      <w:r/>
    </w:p>
    <w:p>
      <w:pPr>
        <w:pStyle w:val="746"/>
        <w:spacing w:line="420" w:lineRule="exact"/>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2.4、对市局过保的移动图传设备的维护服务</w:t>
      </w:r>
      <w:r/>
    </w:p>
    <w:p>
      <w:pPr>
        <w:ind w:firstLine="480"/>
        <w:spacing w:line="42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对市局过保的42套4G车载图传设备、4G布控球、4G单兵、4G执法仪、无人机单兵等设备的维护及服务，包含架设、安装、改装、搬迁、维护、现场应急安保等。</w:t>
      </w:r>
      <w:r/>
    </w:p>
    <w:p>
      <w:pPr>
        <w:pStyle w:val="746"/>
        <w:spacing w:line="420" w:lineRule="exact"/>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2.5、对市局所有使用的视频会议系统的维护服务：</w:t>
      </w:r>
      <w:r/>
    </w:p>
    <w:p>
      <w:pPr>
        <w:ind w:firstLine="48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对市局所有使用的视频会议系统（57套）及一键点调系统（33套）维保服务</w:t>
      </w:r>
      <w:r/>
    </w:p>
    <w:p>
      <w:pPr>
        <w:pStyle w:val="746"/>
        <w:spacing w:line="420" w:lineRule="exact"/>
        <w:rPr>
          <w:rFonts w:ascii="宋体" w:hAnsi="宋体" w:eastAsia="宋体" w:cs="宋体"/>
          <w:shd w:val="clear" w:color="auto" w:fill="ffffff"/>
          <w:lang w:eastAsia="zh-CN"/>
        </w:rPr>
      </w:pPr>
      <w:r>
        <w:rPr>
          <w:rFonts w:hint="eastAsia" w:ascii="宋体" w:hAnsi="宋体" w:eastAsia="宋体" w:cs="宋体"/>
          <w:shd w:val="clear" w:color="auto" w:fill="ffffff"/>
          <w:lang w:eastAsia="zh-CN"/>
        </w:rPr>
        <w:t xml:space="preserve">2.6、其他内容：</w:t>
      </w:r>
      <w:r/>
    </w:p>
    <w:p>
      <w:pPr>
        <w:pStyle w:val="747"/>
        <w:ind w:left="426"/>
        <w:spacing w:line="420" w:lineRule="exact"/>
        <w:rPr>
          <w:rFonts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2.6.1应急安保：因应急安保、市政施工、道路重新规划、供电系统改造、路面修补（损坏）、自然灾害等原因引起的设备采购、点位迁移及维护修复工作</w:t>
      </w:r>
      <w:r/>
    </w:p>
    <w:p>
      <w:pPr>
        <w:pStyle w:val="747"/>
        <w:ind w:left="426"/>
        <w:spacing w:line="420" w:lineRule="exact"/>
        <w:rPr>
          <w:rFonts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2.6.2对全局各部门已经过保的各类指挥大屏、拼接屏、小间距屏的维护及修复服务 </w:t>
      </w:r>
      <w:r/>
    </w:p>
    <w:p>
      <w:pPr>
        <w:pStyle w:val="747"/>
        <w:ind w:left="426"/>
        <w:spacing w:line="420" w:lineRule="exact"/>
        <w:rPr>
          <w:rFonts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2.6.3其他配套设施：对市局、警务中心、指挥中心及各下属派出所、业务大队、交警中队等部门超过质保期的机房交换机、服务器、存储、硬盘、防火墙、安全边界、网闸、指挥大屏(指挥中心、警务中心、业务大队、派出所、中队及其他有关单位)、ups电源、空调、门禁等其他设备的一年维护及保养</w:t>
      </w:r>
      <w:r/>
    </w:p>
    <w:p>
      <w:pPr>
        <w:pStyle w:val="945"/>
        <w:ind w:firstLine="480"/>
        <w:spacing w:line="420" w:lineRule="exact"/>
        <w:rPr>
          <w:rFonts w:hAnsi="宋体" w:cs="宋体"/>
          <w:sz w:val="24"/>
          <w:szCs w:val="24"/>
        </w:rPr>
      </w:pPr>
      <w:r>
        <w:rPr>
          <w:rFonts w:hAnsi="宋体" w:cs="宋体"/>
          <w:sz w:val="24"/>
          <w:szCs w:val="24"/>
        </w:rPr>
      </w:r>
      <w:r/>
    </w:p>
    <w:p>
      <w:pPr>
        <w:pStyle w:val="745"/>
        <w:numPr>
          <w:ilvl w:val="0"/>
          <w:numId w:val="1"/>
        </w:numPr>
        <w:spacing w:line="42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维护具体要求</w:t>
      </w:r>
      <w:r/>
    </w:p>
    <w:p>
      <w:pPr>
        <w:pStyle w:val="746"/>
        <w:spacing w:line="420" w:lineRule="exact"/>
        <w:rPr>
          <w:rFonts w:ascii="宋体" w:hAnsi="宋体" w:eastAsia="宋体" w:cs="宋体"/>
          <w:shd w:val="clear" w:color="auto" w:fill="ffffff"/>
        </w:rPr>
      </w:pPr>
      <w:r>
        <w:rPr>
          <w:rFonts w:hint="eastAsia" w:ascii="宋体" w:hAnsi="宋体" w:eastAsia="宋体" w:cs="宋体"/>
          <w:shd w:val="clear" w:color="auto" w:fill="ffffff"/>
        </w:rPr>
        <w:t xml:space="preserve">3.1、定期维护要求</w:t>
      </w:r>
      <w:r/>
    </w:p>
    <w:p>
      <w:pPr>
        <w:ind w:firstLine="48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每季度定期巡检，其中对维保范围内超过质保期并已损坏的设备，中标方应当立即组织现场维修，无法当场修复的必须更换全新设备，全新更换设备免费保修期不少于12个月且性能型号不低于原设备。所需费用由中标方承担。</w:t>
      </w:r>
      <w:r/>
    </w:p>
    <w:p>
      <w:pPr>
        <w:pStyle w:val="746"/>
        <w:spacing w:line="420" w:lineRule="exact"/>
        <w:rPr>
          <w:rFonts w:ascii="宋体" w:hAnsi="宋体" w:eastAsia="宋体" w:cs="宋体"/>
          <w:b w:val="0"/>
          <w:bCs w:val="0"/>
          <w:shd w:val="clear" w:color="auto" w:fill="ffffff"/>
          <w:lang w:eastAsia="zh-CN"/>
        </w:rPr>
      </w:pPr>
      <w:r>
        <w:rPr>
          <w:rFonts w:hint="eastAsia" w:ascii="宋体" w:hAnsi="宋体" w:eastAsia="宋体" w:cs="宋体"/>
          <w:shd w:val="clear" w:color="auto" w:fill="ffffff"/>
          <w:lang w:eastAsia="zh-CN"/>
        </w:rPr>
        <w:t xml:space="preserve">3.2、应急事件等维护内容</w:t>
      </w:r>
      <w:r/>
    </w:p>
    <w:p>
      <w:pPr>
        <w:pStyle w:val="756"/>
        <w:ind w:firstLine="480"/>
        <w:spacing w:line="420" w:lineRule="exact"/>
        <w:shd w:val="clear" w:color="auto" w:fil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因应急安保、市政施工、道路重新规划、供电系统改造、路面修补（损坏）等原因引起的设备采购及维护修复工作（含全市所有高清抓拍点位、治安监控、其他技防设施以及相关配套设备）。对于紧急安保事件，甲方提出方案，由乙方提供必要的设备和安装施工调试。其他因公安实际工作变化原因需要迁移、改造的监控及抓拍点位及其他相关维护工作，由乙方承担基础施工和相关人工费用。</w:t>
      </w:r>
      <w:r/>
    </w:p>
    <w:p>
      <w:pPr>
        <w:spacing w:line="420" w:lineRule="exact"/>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r>
      <w:r/>
    </w:p>
    <w:p>
      <w:pPr>
        <w:pStyle w:val="746"/>
        <w:spacing w:line="420" w:lineRule="exact"/>
        <w:rPr>
          <w:rFonts w:ascii="宋体" w:hAnsi="宋体" w:eastAsia="宋体" w:cs="宋体"/>
          <w:lang w:eastAsia="zh-CN"/>
        </w:rPr>
      </w:pPr>
      <w:r>
        <w:rPr>
          <w:rFonts w:hint="eastAsia" w:ascii="宋体" w:hAnsi="宋体" w:eastAsia="宋体" w:cs="宋体"/>
          <w:lang w:eastAsia="zh-CN"/>
        </w:rPr>
        <w:t xml:space="preserve">3.3、专业维护服务项</w:t>
      </w:r>
      <w:r/>
    </w:p>
    <w:p>
      <w:pPr>
        <w:pStyle w:val="747"/>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3.3.1、</w:t>
      </w:r>
      <w:r>
        <w:rPr>
          <w:rFonts w:hint="eastAsia" w:ascii="宋体" w:hAnsi="宋体" w:eastAsia="宋体" w:cs="宋体"/>
          <w:sz w:val="24"/>
          <w:szCs w:val="24"/>
          <w:shd w:val="clear" w:color="auto" w:fill="ffffff"/>
          <w:lang w:eastAsia="zh-CN"/>
        </w:rPr>
        <w:t xml:space="preserve">太仓市公安局综合业务服务器数据库、PGIS系统数据库一年专业维护</w:t>
      </w:r>
      <w:r/>
    </w:p>
    <w:p>
      <w:pPr>
        <w:pStyle w:val="944"/>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太仓市公安局综合业务服务器数据库、PGIS系统数据库一年专业维护。太仓市公安局在数据库出现故障后，</w:t>
      </w:r>
      <w:r>
        <w:rPr>
          <w:rFonts w:hint="eastAsia" w:ascii="宋体" w:hAnsi="宋体" w:eastAsia="宋体" w:cs="宋体"/>
          <w:sz w:val="24"/>
          <w:szCs w:val="24"/>
          <w:lang w:eastAsia="zh-CN"/>
        </w:rPr>
        <w:t xml:space="preserve">要求中标单位立即派员做远程或者现场的技术支撑服务，保证各项业务数据库的稳定运行。</w:t>
      </w:r>
      <w:r/>
    </w:p>
    <w:p>
      <w:pPr>
        <w:pStyle w:val="747"/>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3.3.2、</w:t>
      </w:r>
      <w:r>
        <w:rPr>
          <w:rFonts w:hint="eastAsia" w:ascii="宋体" w:hAnsi="宋体" w:eastAsia="宋体" w:cs="宋体"/>
          <w:sz w:val="24"/>
          <w:szCs w:val="24"/>
          <w:shd w:val="clear" w:color="auto" w:fill="ffffff"/>
          <w:lang w:eastAsia="zh-CN"/>
        </w:rPr>
        <w:t xml:space="preserve">350M电台系统、基站和设备的专业维护（五个基站+电台基础维护）</w:t>
      </w:r>
      <w:r/>
    </w:p>
    <w:p>
      <w:pPr>
        <w:pStyle w:val="944"/>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350兆系统维保，要求中标单位与专业维护公司签订框架协议对太仓公安所有已建基站进行定期巡检（每季度不少于1次），保障设备正常运行。保修期内对基站设备免费保修。对于上级要求的PDT系统建设及加密模块配置，系统软件升级，声码器转换，以及其他要求做到7*24小时及时响应，及时派专人处理。开展大型活动，或者重大安保任务时，应甲方要求应当派遣专业技术人员进行现场保障。做好全市880个手台及基地台常规性维护服务工作。因信号覆盖问题，需要调整基站位置的，负责搬迁基站。</w:t>
      </w:r>
      <w:r>
        <w:rPr>
          <w:rFonts w:hint="eastAsia" w:ascii="宋体" w:hAnsi="宋体" w:eastAsia="宋体" w:cs="宋体"/>
          <w:sz w:val="24"/>
          <w:szCs w:val="24"/>
          <w:shd w:val="clear" w:color="auto" w:fill="ffffff"/>
          <w:lang w:eastAsia="zh-CN"/>
        </w:rPr>
        <w:t xml:space="preserve">对其中过保且损坏无法修复的设备，更换性能型号不低于原设备的新设备。</w:t>
      </w:r>
      <w:r/>
    </w:p>
    <w:p>
      <w:pPr>
        <w:pStyle w:val="747"/>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3.3.3、</w:t>
      </w:r>
      <w:r>
        <w:rPr>
          <w:rFonts w:hint="eastAsia" w:ascii="宋体" w:hAnsi="宋体" w:eastAsia="宋体" w:cs="宋体"/>
          <w:sz w:val="24"/>
          <w:szCs w:val="24"/>
          <w:shd w:val="clear" w:color="auto" w:fill="ffffff"/>
          <w:lang w:eastAsia="zh-CN"/>
        </w:rPr>
        <w:t xml:space="preserve">监控运维平台维保一年、互联网微信云工单服务一年及一年驻场服务1人</w:t>
      </w:r>
      <w:r/>
    </w:p>
    <w:p>
      <w:pPr>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监控运维平台维保一年</w:t>
      </w:r>
      <w:r/>
    </w:p>
    <w:p>
      <w:pPr>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安排不少于1人的驻场维护，主要负责监控运维平台、资产库平台的日常维护管理、微信端云工单业务管理维护。平台资产日常一机一档点位管理维护、与苏州市公安局业务对接管理服务等，工作时间与公安局机关一致，午饭自理。对突发故障须做到7*24小时响应维护并修复。</w:t>
      </w:r>
      <w:r/>
    </w:p>
    <w:p>
      <w:pPr>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在互联网微信端建设云工单管理服务，按照上级公安要求以边界安全技术方式对接公安视频专网监控运维平台资产管理、工单管理、用户管理、地图管理和统计模型等。</w:t>
      </w:r>
      <w:r/>
    </w:p>
    <w:p>
      <w:pPr>
        <w:pStyle w:val="759"/>
        <w:spacing w:line="420" w:lineRule="exact"/>
        <w:rPr>
          <w:rFonts w:hAnsi="宋体" w:eastAsia="宋体" w:cs="宋体"/>
          <w:sz w:val="24"/>
          <w:szCs w:val="24"/>
          <w:lang w:eastAsia="zh-CN"/>
        </w:rPr>
      </w:pPr>
      <w:r>
        <w:rPr>
          <w:rFonts w:hint="eastAsia" w:hAnsi="宋体" w:eastAsia="宋体" w:cs="宋体"/>
          <w:sz w:val="24"/>
          <w:szCs w:val="24"/>
          <w:lang w:eastAsia="zh-CN"/>
        </w:rPr>
        <w:t xml:space="preserve">互联网微信云工单服务主要参数如下：</w:t>
      </w:r>
      <w:r/>
    </w:p>
    <w:tbl>
      <w:tblPr>
        <w:tblStyle w:val="752"/>
        <w:tblW w:w="0" w:type="auto"/>
        <w:jc w:val="center"/>
        <w:tblLayout w:type="fixed"/>
        <w:tblCellMar>
          <w:left w:w="15" w:type="dxa"/>
          <w:top w:w="0" w:type="dxa"/>
          <w:right w:w="15" w:type="dxa"/>
          <w:bottom w:w="0" w:type="dxa"/>
        </w:tblCellMar>
        <w:tblLook w:val="04A0" w:firstRow="1" w:lastRow="0" w:firstColumn="1" w:lastColumn="0" w:noHBand="0" w:noVBand="1"/>
      </w:tblPr>
      <w:tblGrid>
        <w:gridCol w:w="1992"/>
        <w:gridCol w:w="6875"/>
      </w:tblGrid>
      <w:tr>
        <w:trPr>
          <w:jc w:val="center"/>
          <w:trHeight w:val="90"/>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需求内容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1运行监测态势</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包括各单位运行监测的相关指标和报表展示，完好数、拆除数、在修数、录像异常数、时钟异常数、OSD异常数、离线数、图片数据质量异常（包含人卡、车卡、超卡、电警、结构化相机等并分类，主要对图片时间异常、前端抓拍异常进行预警）。                                                                                                      </w:t>
            </w:r>
            <w:r/>
          </w:p>
        </w:tc>
      </w:tr>
      <w:tr>
        <w:trPr>
          <w:jc w:val="center"/>
          <w:trHeight w:val="950"/>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2.工单处理态势</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工单处理态势主要针对各单位工单处理流程相关指标的统计，告警工单总数、待响应数、正在维修数、待确认数、复检未通过数、维修完成数、响应率、完成率。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3.工作量统计</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微信端使用人员工作量统计</w:t>
            </w:r>
            <w:r/>
          </w:p>
        </w:tc>
      </w:tr>
      <w:tr>
        <w:trPr>
          <w:jc w:val="center"/>
          <w:trHeight w:val="2831"/>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4.工单管理</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工单管理功能包括：</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(1)工单管理模块分民警和维保单位两个角色，不同角色的可操作功能不同。</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(2)民警角色，默认为管理员角色（分部门和总管理员），具有对全量告警工单进行告警录入、催办、关闭审核、响应、反馈、延期审核、核验、列表查询、查看工单详情操作。</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(3)责任单位或维保单位角色（可以定位到维护人员），具有对所属告警工单进行响应、反馈、延期、关闭、申诉、列表查询、查看工单详情操作，可以人工进行告警录入。</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(4)支持分级分类查看、管理、流转、反馈、统计</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5.资产管理--状态变更</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(1)状态变更主要是针对将要拆除的资产进行流程化审批管理，资产使用状态的变更需要进行严格审核。</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(2)状态变更业务流程在移动端流转，移动端状态变更流程执行成功后先修改对应资产在移动端数据库资产表中的状态为拆除；若该资产已在工单流程中，则需结束对应的工单流程，修改工单业务表对应流程状态为维修完成。</w:t>
            </w:r>
            <w:r/>
          </w:p>
        </w:tc>
      </w:tr>
      <w:tr>
        <w:trPr>
          <w:jc w:val="center"/>
          <w:trHeight w:val="3144"/>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6.资产管理--数据采集</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lang w:eastAsia="zh-CN"/>
              </w:rPr>
              <w:t xml:space="preserve">(1)数据采集主要是为方便下级责任单位或维保单位进行资产数据的录入和更新，数据采集主要功能是资产属性的采集、更新。</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(2)按照前端设备命名规范，前端设备名称应以地点方位来命名。维保人员到达设备安装现场后可以用资产名称模糊搜索出需要更新的资产设备，选择对应设备并绑定当前位置的坐标，即可实现对资产经纬度坐标的更新。</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(3)将采集到的前端设备最新的坐标转换成WGS84坐标系后更新到移动端数据库资产表中，与PC端数据库进行数据同步。</w:t>
            </w:r>
            <w:r>
              <w:rPr>
                <w:rFonts w:hint="eastAsia" w:ascii="宋体" w:hAnsi="宋体" w:eastAsia="宋体" w:cs="宋体"/>
                <w:sz w:val="24"/>
                <w:szCs w:val="24"/>
                <w:lang w:eastAsia="zh-CN"/>
              </w:rPr>
              <w:br/>
            </w:r>
            <w:r>
              <w:rPr>
                <w:rFonts w:hint="eastAsia" w:ascii="宋体" w:hAnsi="宋体" w:eastAsia="宋体" w:cs="宋体"/>
                <w:sz w:val="24"/>
                <w:szCs w:val="24"/>
              </w:rPr>
              <w:t xml:space="preserve">(4)支持现场图片信息采集、发送、审核；</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7.消息推送</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推送设备资产采集、更新的任务到“云工单”。</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8.后台管理</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（1）支持系统用户权限管理。</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（2）支持微信绑定及解除绑定。</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（3）支持个人用户信息展示。</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（4）支持用户登录及退出登录。</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（5）支持对接消息队列获取数据。</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（6）支持和PC端数据对接。</w:t>
            </w:r>
            <w:r/>
          </w:p>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（7）支持视频专网通过安全边界和互联网数据交互。</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9.录像检测</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检测前端设备的录像的完整性并生成工单流转服务。</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10.前端OSD检测</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检测前端设备OSD规范性，并生成工单流转服务。</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11.时钟检测</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时钟检测算法服务，与标准北京时间误差1分钟及以上的自动下发工单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12.个性化对接展示服务</w:t>
            </w:r>
            <w:r/>
          </w:p>
        </w:tc>
        <w:tc>
          <w:tcPr>
            <w:tcBorders>
              <w:top w:val="single" w:color="000000" w:sz="4" w:space="0"/>
              <w:left w:val="single" w:color="000000" w:sz="4" w:space="0"/>
              <w:bottom w:val="single" w:color="000000" w:sz="4" w:space="0"/>
              <w:right w:val="single" w:color="000000" w:sz="4" w:space="0"/>
            </w:tcBorders>
            <w:tcW w:w="6875"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服务器、交换机、虚拟机、存储等设备检测结果展示服务；数据库、中间件检测等SNMP探测结果按照甲方要求制作网页个性化展示服务。</w:t>
            </w:r>
            <w:r/>
          </w:p>
        </w:tc>
      </w:tr>
    </w:tbl>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3.3.4、科达视频会议驻场服务1人</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科达视频会议驻场服务1人，工作时间与公安局机关一致，午饭自理。对突发故障须做到7*24小时响应维护并修复。参与图控中心会议值守、设备维护、会议调试等工作，夜间有会议的情况下需要根据排班表参与值班。</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3.3.5、雪亮工程接入云维护服务</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接入服务</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通过级联数据库和直连感知前端设备等方式实现感知数据在甲方接入云感知数据资源库的汇聚接入，对接入数据的稳定、及时、规范进行运维监控，每日梳理问题点位清单（接入延时、倒挂设备、无数据活跃设备）通知并配合相关厂商排查并解决问题。</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转发服务</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甲方接入云感知数据按照甲方要求转发至苏州市局、本地公安网、本地视频网等相关平台（非1400标准协议对接需另行协商），确保转发数据的稳定、及时、规范，每日梳理问题点位清单（接入延时、倒挂设备、无数据活跃设备），通知并配合相关厂商排查并解决问题。</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接口服务</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对接入的各类数据提供接口服务（非1400标准协议对接需另行协商），满足公安机关各项应用及运维业务的需求。</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维护服务</w:t>
      </w:r>
      <w:r/>
    </w:p>
    <w:p>
      <w:pPr>
        <w:pStyle w:val="759"/>
        <w:ind w:firstLine="480"/>
        <w:rPr>
          <w:rFonts w:hAnsi="宋体" w:eastAsia="宋体" w:cs="宋体"/>
          <w:sz w:val="24"/>
          <w:szCs w:val="24"/>
          <w:lang w:eastAsia="zh-CN"/>
        </w:rPr>
      </w:pPr>
      <w:r>
        <w:rPr>
          <w:rFonts w:hint="eastAsia" w:hAnsi="宋体" w:eastAsia="宋体" w:cs="宋体"/>
          <w:sz w:val="24"/>
          <w:szCs w:val="24"/>
          <w:lang w:eastAsia="zh-CN"/>
        </w:rPr>
        <w:t xml:space="preserve">对接入云相关前后端设备的基础维护，对突发故障须做到7*24小时响应维护并修复。</w:t>
      </w:r>
      <w:r/>
    </w:p>
    <w:p>
      <w:pPr>
        <w:ind w:firstLine="480"/>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3.3.6、太仓市联网视频联网共享平台、信息港社会面监控联网共享平台管理维护服务及驻场维护服务人员</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负责太仓市级监控联网共享平台和太仓市公安局部署在信息港机房的社会面监控联网共享平台的维护（含点位接入授权服务不少于5万路），安排一名驻场维护服务人员，主要负责协调综指中心、太仓市公安局、各乡镇（联动中心、小区）对接各类视频监控，进行平台管理维护、做好驻场维护服务以及现场解决方案和现场协调（配合对二类、三类监控、一机一档数据采集建档，做好OSD标注及命名规范）和相关文案报表工作。工作地点在太仓市公安局，工作时间参照太仓市公安局的工作时间，午餐自理，必要时需要根据驻场单位工作情况酌情加班。</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3.3.7、市局主页维护及部分更新服务</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太仓市公安局主页系统的基础运维管理，主页个性化模板定制服务，7*24小时的应急保障服务。</w:t>
      </w:r>
      <w:r/>
    </w:p>
    <w:p>
      <w:pPr>
        <w:pStyle w:val="947"/>
        <w:ind w:left="1482" w:hanging="522"/>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具体维护服务：</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（1）.乙方培训和指导甲方系统管理员对系统相关故障的诊断，制定维护计划，提供相关故障的处理方案，协调并解决系统运行过程中的各类问题。</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（2）.乙方指导甲方做好数据的备份，数据库备份和数据库异机备份由甲方或甲方委托第三方公司负责；</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（3）. 乙方的服务方式主要为：电话服务、QQ或微信的线上服务；在通过上述服务无法解决问题时，可提供现场服务；在甲方遇到紧急情况时，乙方技术人员须1.5小时内到达现场。</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（4）.根据甲方要求，乙方提供对系统管理员的培训、使用人员的操作培训。</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（5）.乙方及时提供软件的补丁升级，补丁升级包括对甲方已有的软件性能的提升、缺陷的修正，补丁升级的工作量不计入业务系统功能调整的工作量中。</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（6）.乙方在节假日前需根据甲方要求提供主页节日元素设计，并及时维护更新。</w:t>
      </w:r>
      <w:r/>
    </w:p>
    <w:p>
      <w:pPr>
        <w:pStyle w:val="947"/>
        <w:ind w:left="1482" w:hanging="522"/>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具体更新服务;</w:t>
      </w:r>
      <w:r/>
    </w:p>
    <w:p>
      <w:pPr>
        <w:pStyle w:val="947"/>
        <w:ind w:left="1482" w:hanging="522"/>
        <w:rPr>
          <w:rFonts w:ascii="宋体" w:hAnsi="宋体" w:eastAsia="宋体" w:cs="宋体"/>
          <w:b/>
          <w:bCs/>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b/>
          <w:bCs/>
          <w:sz w:val="24"/>
          <w:szCs w:val="24"/>
          <w:lang w:eastAsia="zh-CN"/>
        </w:rPr>
        <w:t xml:space="preserve">、苏州通知修改</w:t>
      </w:r>
      <w:r/>
    </w:p>
    <w:p>
      <w:pPr>
        <w:pStyle w:val="947"/>
        <w:ind w:left="993" w:firstLine="425"/>
        <w:rPr>
          <w:rFonts w:ascii="宋体" w:hAnsi="宋体" w:eastAsia="宋体" w:cs="宋体"/>
          <w:sz w:val="24"/>
          <w:szCs w:val="24"/>
          <w:lang w:eastAsia="zh-CN"/>
        </w:rPr>
      </w:pPr>
      <w:r>
        <w:rPr>
          <w:rFonts w:hint="eastAsia" w:ascii="宋体" w:hAnsi="宋体" w:eastAsia="宋体" w:cs="宋体"/>
          <w:sz w:val="24"/>
          <w:szCs w:val="24"/>
          <w:lang w:eastAsia="zh-CN"/>
        </w:rPr>
        <w:t xml:space="preserve">调整苏州通知的页面，使其页面风格与网站的当前风格一致。调整后，该页面将展示每一条信息的标题、时间、链接，用户点击标题可以跳转到苏州GA网内对应信息的详情页。</w:t>
      </w:r>
      <w:r/>
    </w:p>
    <w:p>
      <w:pPr>
        <w:pStyle w:val="947"/>
        <w:ind w:left="1482" w:hanging="522"/>
        <w:rPr>
          <w:rFonts w:ascii="宋体" w:hAnsi="宋体" w:eastAsia="宋体" w:cs="宋体"/>
          <w:b/>
          <w:bCs/>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b/>
          <w:bCs/>
          <w:sz w:val="24"/>
          <w:szCs w:val="24"/>
          <w:lang w:eastAsia="zh-CN"/>
        </w:rPr>
        <w:t xml:space="preserve">、值班管理修改</w:t>
      </w:r>
      <w:r/>
    </w:p>
    <w:p>
      <w:pPr>
        <w:pStyle w:val="947"/>
        <w:ind w:left="909"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后台管理：提供值班管理的后台管理功能，系统管理员可以在后台管理页面手动添加值班详情。</w:t>
      </w:r>
      <w:r/>
    </w:p>
    <w:p>
      <w:pPr>
        <w:pStyle w:val="947"/>
        <w:ind w:left="909"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页面展示：提供值班管理的前台展示栏目，网站的用户点击值班管理可以查看值班详情</w:t>
      </w:r>
      <w:r/>
    </w:p>
    <w:p>
      <w:pPr>
        <w:pStyle w:val="947"/>
        <w:ind w:left="1482" w:hanging="522"/>
        <w:rPr>
          <w:rFonts w:ascii="宋体" w:hAnsi="宋体" w:eastAsia="宋体" w:cs="宋体"/>
          <w:b/>
          <w:bCs/>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b/>
          <w:bCs/>
          <w:sz w:val="24"/>
          <w:szCs w:val="24"/>
          <w:lang w:eastAsia="zh-CN"/>
        </w:rPr>
        <w:t xml:space="preserve">、通讯录修改</w:t>
      </w:r>
      <w:r/>
    </w:p>
    <w:p>
      <w:pPr>
        <w:pStyle w:val="947"/>
        <w:ind w:left="993" w:firstLine="425"/>
        <w:rPr>
          <w:rFonts w:ascii="宋体" w:hAnsi="宋体" w:eastAsia="宋体" w:cs="宋体"/>
          <w:sz w:val="24"/>
          <w:szCs w:val="24"/>
          <w:lang w:eastAsia="zh-CN"/>
        </w:rPr>
      </w:pPr>
      <w:r>
        <w:rPr>
          <w:rFonts w:hint="eastAsia" w:ascii="宋体" w:hAnsi="宋体" w:eastAsia="宋体" w:cs="宋体"/>
          <w:sz w:val="24"/>
          <w:szCs w:val="24"/>
          <w:lang w:eastAsia="zh-CN"/>
        </w:rPr>
        <w:t xml:space="preserve">通讯录管理人员可设置联系人的群组，将联系人进行分组，方便查找不同部门的用户信息，通讯录可供单位中的所有人员进行查看 </w:t>
      </w:r>
      <w:r/>
    </w:p>
    <w:p>
      <w:pPr>
        <w:pStyle w:val="947"/>
        <w:ind w:left="851" w:firstLine="567"/>
        <w:rPr>
          <w:rFonts w:ascii="宋体" w:hAnsi="宋体" w:eastAsia="宋体" w:cs="宋体"/>
          <w:sz w:val="24"/>
          <w:szCs w:val="24"/>
          <w:lang w:eastAsia="zh-CN"/>
        </w:rPr>
      </w:pPr>
      <w:r>
        <w:rPr>
          <w:rFonts w:hint="eastAsia" w:ascii="宋体" w:hAnsi="宋体" w:eastAsia="宋体" w:cs="宋体"/>
          <w:sz w:val="24"/>
          <w:szCs w:val="24"/>
          <w:lang w:eastAsia="zh-CN"/>
        </w:rPr>
        <w:t xml:space="preserve">分组设置：提供分组设置功能，打开分组管理按钮可添加分组，添加的分组在页面侧的列表中显示。</w:t>
      </w:r>
      <w:r/>
    </w:p>
    <w:p>
      <w:pPr>
        <w:pStyle w:val="947"/>
        <w:ind w:left="851" w:firstLine="567"/>
        <w:rPr>
          <w:rFonts w:ascii="宋体" w:hAnsi="宋体" w:eastAsia="宋体" w:cs="宋体"/>
          <w:sz w:val="24"/>
          <w:szCs w:val="24"/>
          <w:lang w:eastAsia="zh-CN"/>
        </w:rPr>
      </w:pPr>
      <w:r>
        <w:rPr>
          <w:rFonts w:hint="eastAsia" w:ascii="宋体" w:hAnsi="宋体" w:eastAsia="宋体" w:cs="宋体"/>
          <w:sz w:val="24"/>
          <w:szCs w:val="24"/>
          <w:lang w:eastAsia="zh-CN"/>
        </w:rPr>
        <w:t xml:space="preserve">维护联系人：支持对联系人进行新增、修改、删除功能。管理人员可以在分组列表中选择组别，可在该组别下添加、修改、删除联系人信息。</w:t>
      </w:r>
      <w:r/>
    </w:p>
    <w:p>
      <w:pPr>
        <w:pStyle w:val="947"/>
        <w:ind w:left="851" w:firstLine="567"/>
        <w:rPr>
          <w:rFonts w:ascii="宋体" w:hAnsi="宋体" w:eastAsia="宋体" w:cs="宋体"/>
          <w:sz w:val="24"/>
          <w:szCs w:val="24"/>
          <w:lang w:eastAsia="zh-CN"/>
        </w:rPr>
      </w:pPr>
      <w:r>
        <w:rPr>
          <w:rFonts w:hint="eastAsia" w:ascii="宋体" w:hAnsi="宋体" w:eastAsia="宋体" w:cs="宋体"/>
          <w:sz w:val="24"/>
          <w:szCs w:val="24"/>
          <w:lang w:eastAsia="zh-CN"/>
        </w:rPr>
        <w:t xml:space="preserve">三级分组：添加通讯录三级部门分组，添加的分组在页面列表显示。</w:t>
      </w:r>
      <w:r/>
    </w:p>
    <w:p>
      <w:pPr>
        <w:pStyle w:val="947"/>
        <w:ind w:left="851" w:firstLine="567"/>
        <w:rPr>
          <w:rFonts w:ascii="宋体" w:hAnsi="宋体" w:eastAsia="宋体" w:cs="宋体"/>
          <w:sz w:val="24"/>
          <w:szCs w:val="24"/>
          <w:lang w:eastAsia="zh-CN"/>
        </w:rPr>
      </w:pPr>
      <w:r>
        <w:rPr>
          <w:rFonts w:hint="eastAsia" w:ascii="宋体" w:hAnsi="宋体" w:eastAsia="宋体" w:cs="宋体"/>
          <w:sz w:val="24"/>
          <w:szCs w:val="24"/>
          <w:lang w:eastAsia="zh-CN"/>
        </w:rPr>
        <w:t xml:space="preserve">访问权限控制：通讯录前台添加访问权限控制（仅太仓公安内部访问），后台添加通讯录修改日志功能，记录IP和修改操作。</w:t>
      </w:r>
      <w:r/>
    </w:p>
    <w:p>
      <w:pPr>
        <w:pStyle w:val="947"/>
        <w:ind w:left="1482" w:hanging="522"/>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b/>
          <w:sz w:val="24"/>
          <w:szCs w:val="24"/>
          <w:lang w:eastAsia="zh-CN"/>
        </w:rPr>
        <w:t xml:space="preserve">主页网站证书登录</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将主页网站后台登录改为证书登录，进一步提升主页网站管理安全性。</w:t>
      </w:r>
      <w:r/>
    </w:p>
    <w:p>
      <w:pPr>
        <w:pStyle w:val="947"/>
        <w:ind w:left="1482" w:hanging="522"/>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b/>
          <w:sz w:val="24"/>
          <w:szCs w:val="24"/>
          <w:lang w:eastAsia="zh-CN"/>
        </w:rPr>
        <w:t xml:space="preserve">主页新增信息排名模块</w:t>
      </w:r>
      <w:r/>
    </w:p>
    <w:p>
      <w:pPr>
        <w:pStyle w:val="947"/>
        <w:ind w:left="1480" w:hanging="520"/>
        <w:rPr>
          <w:rFonts w:ascii="宋体" w:hAnsi="宋体" w:eastAsia="宋体" w:cs="宋体"/>
          <w:sz w:val="24"/>
          <w:szCs w:val="24"/>
          <w:lang w:eastAsia="zh-CN"/>
        </w:rPr>
      </w:pPr>
      <w:r>
        <w:rPr>
          <w:rFonts w:hint="eastAsia" w:ascii="宋体" w:hAnsi="宋体" w:eastAsia="宋体" w:cs="宋体"/>
          <w:sz w:val="24"/>
          <w:szCs w:val="24"/>
          <w:lang w:eastAsia="zh-CN"/>
        </w:rPr>
        <w:t xml:space="preserve">新增信息排名模块，展示各部门信息排名情况。</w:t>
      </w:r>
      <w:r/>
    </w:p>
    <w:p>
      <w:pPr>
        <w:pStyle w:val="759"/>
        <w:ind w:firstLine="420"/>
        <w:rPr>
          <w:rFonts w:hAnsi="宋体" w:eastAsia="宋体" w:cs="宋体"/>
          <w:sz w:val="24"/>
          <w:szCs w:val="24"/>
          <w:lang w:eastAsia="zh-CN"/>
        </w:rPr>
      </w:pPr>
      <w:r>
        <w:rPr>
          <w:rFonts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3.3.8、公安</w:t>
      </w:r>
      <w:r>
        <w:rPr>
          <w:rFonts w:hint="eastAsia" w:ascii="宋体" w:hAnsi="宋体" w:eastAsia="宋体" w:cs="宋体"/>
          <w:sz w:val="24"/>
          <w:szCs w:val="24"/>
          <w:shd w:val="clear" w:color="auto" w:fill="ffffff"/>
          <w:lang w:eastAsia="zh-CN"/>
        </w:rPr>
        <w:t xml:space="preserve">监控联网平台授权服务及安排驻场维护服务人员</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负责太仓市公安局视频感知网监控平台软硬件的使用服务及基础运维服务，含点位接入授权服务，以实际使用量为准（不大于10万路），安排一名驻场维护服务人员，主要负责对接调试各类视频监控相关设备、平台管理维</w:t>
      </w:r>
      <w:r>
        <w:rPr>
          <w:rFonts w:hint="eastAsia" w:ascii="宋体" w:hAnsi="宋体" w:eastAsia="宋体" w:cs="宋体"/>
          <w:sz w:val="24"/>
          <w:szCs w:val="24"/>
          <w:lang w:eastAsia="zh-CN"/>
        </w:rPr>
        <w:t xml:space="preserve">护保障、网关管理维护保障、点位推送服务、安保值守、现场解决方案和现场协调等。日常需做好系统巡检、日志管理、运维管理、建档管理、配置管理等。保障好监控平台与太仓市级监控联网共享平台、苏州市公安局、太仓市公安局公安网科达平台、太仓市公安局雪亮工程平台等各平台的实时对接、推送等。保障好平台关联所有云存储系统、CVR中心存储、NVR等设备与平台对接运行稳定。工作地点在太仓市公安局，工作时间参照太仓市公安局的工作时间，午餐自理，必要时需要根据驻场单位工作情况酌情加班。重大安保任务需随叫随到，应急保障时间为7*24小时</w:t>
      </w:r>
      <w:r/>
    </w:p>
    <w:p>
      <w:pPr>
        <w:ind w:firstLine="480"/>
        <w:spacing w:line="360" w:lineRule="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技术指标见4</w:t>
      </w:r>
      <w:r>
        <w:rPr>
          <w:rFonts w:ascii="宋体" w:hAnsi="宋体" w:eastAsia="宋体" w:cs="宋体"/>
          <w:sz w:val="24"/>
          <w:szCs w:val="24"/>
          <w:shd w:val="clear" w:color="auto" w:fill="ffffff"/>
          <w:lang w:eastAsia="zh-CN"/>
        </w:rPr>
        <w:t xml:space="preserve">.3</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3.3.9、大华监控平台及云存储平台的维护服务</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支持7*24小时应急保障服务，发生故障后1.5小时候到达现场。</w:t>
      </w:r>
      <w:r/>
    </w:p>
    <w:tbl>
      <w:tblPr>
        <w:tblStyle w:val="752"/>
        <w:tblW w:w="0" w:type="auto"/>
        <w:jc w:val="center"/>
        <w:tblLayout w:type="fixed"/>
        <w:tblCellMar>
          <w:left w:w="15" w:type="dxa"/>
          <w:top w:w="0" w:type="dxa"/>
          <w:right w:w="15" w:type="dxa"/>
          <w:bottom w:w="0" w:type="dxa"/>
        </w:tblCellMar>
        <w:tblLook w:val="04A0" w:firstRow="1" w:lastRow="0" w:firstColumn="1" w:lastColumn="0" w:noHBand="0" w:noVBand="1"/>
      </w:tblPr>
      <w:tblGrid>
        <w:gridCol w:w="1260"/>
        <w:gridCol w:w="7613"/>
      </w:tblGrid>
      <w:tr>
        <w:trPr>
          <w:jc w:val="center"/>
          <w:trHeight w:val="285"/>
        </w:trPr>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流媒体能力</w:t>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支持实时视频转发并发数不小于1万，含授权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支持以RTSP、HLS协议、FLV协议、RTMP协议获取码流</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流媒体集群具有负载均衡、集群容灾、横向扩展的功能</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视频能力</w:t>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H264、H265、SAVC等编码格式播放，支持播放叠加设备信息，包括日期、时间、星期，码流编码标准、码流分辨率和码流实时速率等，支持窗口预览下30秒、1分钟、2分钟、5分钟和10分钟等5种可选时间范围的录像回放，时间进度条自由调整</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即定分割，在当前选定通道下保存视图，启动恢复上次视图，支持窗口预览通道或所有通道等自定义收藏，预览过的通道可自动加入历史记录，支持通道自定义轮巡、收藏夹轮巡、视图轮巡，支持以30秒、1分钟、2分钟、5分钟或10分钟等5种可选轮巡间隔</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最多4个预览业务视窗并行活动，支持1、4、6、8、9、13、16、20、25、36、64或自定义等多种视窗分割选择，预览画面可展示智能规则线，支持窗口预览无分割、1+3模式、1+5模式3种分割模式选择，支持在分割子画面拖移，实现视频局部放大的功能</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回放能力</w:t>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支持录像播放、暂停或停止，回放时间精度可定位到秒，支持同步播放控制多通道录像，支持最高64倍、最小1/64倍、单帧的正倒放，正倒放切换画面流畅不跳帧</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支持配置下级平台的通道视频存储在本级计划，支持配置录像生命周期，支持配置通道计划的断网补录功能</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地图能力</w:t>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支持在地图上快速根据区域或者部门所在位置进行定位，支持地图上调整通道经纬度，支持地图上展示可视域摄像机的可视域覆盖范围，并实时刷新，支持在地图上根据地图层级聚散点位信息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支持视频追踪，可实时追踪和录像追踪，并可设置追踪范围和方向，支持在地图上绘制追踪轨迹</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集群负载</w:t>
            </w:r>
            <w:r>
              <w:rPr>
                <w:rFonts w:hint="eastAsia" w:ascii="宋体" w:hAnsi="宋体" w:eastAsia="宋体" w:cs="宋体"/>
                <w:sz w:val="24"/>
                <w:szCs w:val="24"/>
              </w:rPr>
              <w:br/>
            </w:r>
            <w:r>
              <w:rPr>
                <w:rFonts w:hint="eastAsia" w:ascii="宋体" w:hAnsi="宋体" w:eastAsia="宋体" w:cs="宋体"/>
                <w:sz w:val="24"/>
                <w:szCs w:val="24"/>
              </w:rPr>
              <w:t xml:space="preserve">功能检验</w:t>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支持平台多域管理，可同时管理ipsan存储和云存储两种存储模式，设备可接入各自域</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7613"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支持平台级联时，直接获取下级媒体流</w:t>
            </w:r>
            <w:r/>
          </w:p>
        </w:tc>
      </w:tr>
    </w:tbl>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3.3.10、网络安全服务（渗透测试、安全咨询培训、灾难恢复演练）</w:t>
      </w:r>
      <w:r/>
    </w:p>
    <w:p>
      <w:pPr>
        <w:pStyle w:val="947"/>
        <w:numPr>
          <w:ilvl w:val="0"/>
          <w:numId w:val="2"/>
        </w:num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对市局现有安全管理体系和技术防护体系工作进行合规性检查，并提出整改方案，完善安全管理体系（制度、人员、系统、运维）</w:t>
      </w:r>
      <w:r/>
    </w:p>
    <w:p>
      <w:pPr>
        <w:numPr>
          <w:ilvl w:val="0"/>
          <w:numId w:val="2"/>
        </w:num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提供渗透测试服务（模拟恶意攻击；发现网络、系统、主机、应用的安全漏洞）</w:t>
      </w:r>
      <w:r/>
    </w:p>
    <w:p>
      <w:pPr>
        <w:numPr>
          <w:ilvl w:val="0"/>
          <w:numId w:val="2"/>
        </w:num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提供灾难恢复演练（数据恢复演练、硬件故障演练、网络攻击防御演练）</w:t>
      </w:r>
      <w:r/>
    </w:p>
    <w:p>
      <w:pPr>
        <w:numPr>
          <w:ilvl w:val="0"/>
          <w:numId w:val="2"/>
        </w:numPr>
        <w:rPr>
          <w:rFonts w:ascii="宋体" w:hAnsi="宋体" w:eastAsia="宋体" w:cs="宋体"/>
          <w:sz w:val="24"/>
          <w:szCs w:val="24"/>
          <w:lang w:eastAsia="zh-CN"/>
        </w:rPr>
      </w:pPr>
      <w:r>
        <w:rPr>
          <w:rFonts w:hint="eastAsia" w:ascii="宋体" w:hAnsi="宋体" w:eastAsia="宋体" w:cs="宋体"/>
          <w:sz w:val="24"/>
          <w:szCs w:val="24"/>
          <w:lang w:eastAsia="zh-CN"/>
        </w:rPr>
        <w:t xml:space="preserve">提供应急安全响应服务（针对特殊性、紧急性的重大安全问题，提供紧急响应服务，12小时内落实技术人员现场排除隐患，抵御清除安全隐患）</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3.3.11、太仓旅馆民宿新装系统费用、维护</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对全市48家旅馆民宿新装旅馆业治安管理信息系统，做好接入维护服务，确保正常登记及数据正常对接传输。维护保障期限为一年，做到7*24小时响应。</w:t>
      </w:r>
      <w:r/>
    </w:p>
    <w:p>
      <w:pPr>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3.3.12、太仓在册旅馆民宿治安管理信息系统维护</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对太仓全市在册325家旅馆民宿治安管理信息系统的维护服务，维护保障时间为7*24小时。确保正常登记及数据正常对接传输。维护保障期限为一年，做到7*24小时响应。</w:t>
      </w:r>
      <w:r/>
    </w:p>
    <w:p>
      <w:pPr>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3.3.13、基础工作双网融合平台部分定制服务工作及基础运维服务</w:t>
      </w:r>
      <w:r/>
    </w:p>
    <w:p>
      <w:pPr>
        <w:pStyle w:val="749"/>
        <w:ind w:firstLine="484"/>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3.3.13.1、人房基础采集模块与联动中心对接以及技术支持</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房屋新增修改删除管理功能业务以及数据对接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人口新增修改删除管理功能业务以及数据对接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标准地址相关业务以及数据对接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境外人员业务以及数据对接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人员核查等业务以及数据对接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房屋隐患功能业务以及数据对接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系统用户业务以及数据对接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系统用户权限业务以及数据对接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系统组织机构业务以及数据对接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系统社区以及街路巷字典信息业务以及数据对接</w:t>
      </w:r>
      <w:r/>
    </w:p>
    <w:p>
      <w:pPr>
        <w:numPr>
          <w:ilvl w:val="0"/>
          <w:numId w:val="3"/>
        </w:numPr>
        <w:spacing w:line="360" w:lineRule="auto"/>
        <w:rPr>
          <w:rFonts w:ascii="宋体" w:hAnsi="宋体" w:eastAsia="宋体" w:cs="宋体"/>
          <w:bCs/>
          <w:sz w:val="24"/>
          <w:szCs w:val="24"/>
        </w:rPr>
      </w:pPr>
      <w:r>
        <w:rPr>
          <w:rFonts w:hint="eastAsia" w:ascii="宋体" w:hAnsi="宋体" w:eastAsia="宋体" w:cs="宋体"/>
          <w:bCs/>
          <w:sz w:val="24"/>
          <w:szCs w:val="24"/>
        </w:rPr>
        <w:t xml:space="preserve">系统日志管理功能对接</w:t>
      </w:r>
      <w:r/>
    </w:p>
    <w:p>
      <w:pPr>
        <w:numPr>
          <w:ilvl w:val="0"/>
          <w:numId w:val="3"/>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所有系统业务字典数据表以及数据对接</w:t>
      </w:r>
      <w:r/>
    </w:p>
    <w:p>
      <w:pPr>
        <w:pStyle w:val="749"/>
        <w:ind w:left="389"/>
        <w:rPr>
          <w:rFonts w:ascii="宋体" w:hAnsi="宋体" w:eastAsia="宋体" w:cs="宋体"/>
          <w:bCs/>
          <w:sz w:val="24"/>
          <w:szCs w:val="24"/>
        </w:rPr>
      </w:pPr>
      <w:r>
        <w:rPr>
          <w:rFonts w:hint="eastAsia" w:ascii="宋体" w:hAnsi="宋体" w:eastAsia="宋体" w:cs="宋体"/>
          <w:bCs/>
          <w:sz w:val="24"/>
          <w:szCs w:val="24"/>
        </w:rPr>
        <w:t xml:space="preserve">3.3.13.2、系统日常运维处理</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用户、部门、角色调整支持：因人事调动，公安民警或辅警需在平台中进行用户、部门和角色调整，工作日内甲方提出调整申请后乙方安排人员48小时内完成调整</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根据工作需要，对原平台内统计分析功能进行新增和完善</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与基础平台数据对接的平台发生变化时，配合做好与相关平台数据对接工作</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根据工作需要，做好社区民警考核模块考核内容调整工作</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BUG完善：系统存在BUG，甲方提出问题申请后乙方安排人员48小时内改进</w:t>
      </w:r>
      <w:r/>
    </w:p>
    <w:p>
      <w:pPr>
        <w:numPr>
          <w:ilvl w:val="0"/>
          <w:numId w:val="4"/>
        </w:numPr>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每周保障：乙方每周安排人员对系统进行一次例行检查，保障系统的稳定性</w:t>
      </w:r>
      <w:r/>
    </w:p>
    <w:p>
      <w:pPr>
        <w:numPr>
          <w:ilvl w:val="0"/>
          <w:numId w:val="4"/>
        </w:numPr>
        <w:spacing w:line="360" w:lineRule="auto"/>
        <w:rPr>
          <w:rFonts w:ascii="宋体" w:hAnsi="宋体" w:eastAsia="宋体" w:cs="宋体"/>
          <w:sz w:val="24"/>
          <w:szCs w:val="24"/>
          <w:lang w:eastAsia="zh-CN"/>
        </w:rPr>
      </w:pPr>
      <w:r>
        <w:rPr>
          <w:rFonts w:hint="eastAsia" w:ascii="宋体" w:hAnsi="宋体" w:eastAsia="宋体" w:cs="宋体"/>
          <w:bCs/>
          <w:sz w:val="24"/>
          <w:szCs w:val="24"/>
          <w:lang w:eastAsia="zh-CN"/>
        </w:rPr>
        <w:t xml:space="preserve">紧急保障：当系统出现病毒感染、硬盘故障等导致瘫痪现象，接收到甲方申请后，乙方承诺48小时内解决</w:t>
      </w:r>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3.3.14、民警健康档案系统维护服务</w:t>
      </w:r>
      <w:r/>
    </w:p>
    <w:p>
      <w:pPr>
        <w:pStyle w:val="759"/>
        <w:rPr>
          <w:rFonts w:hAnsi="宋体" w:eastAsia="宋体" w:cs="宋体"/>
          <w:bCs/>
          <w:sz w:val="24"/>
          <w:szCs w:val="24"/>
          <w:lang w:eastAsia="zh-CN"/>
        </w:rPr>
      </w:pPr>
      <w:r>
        <w:rPr>
          <w:rFonts w:hint="eastAsia" w:hAnsi="宋体" w:eastAsia="宋体" w:cs="宋体"/>
          <w:bCs/>
          <w:sz w:val="24"/>
          <w:szCs w:val="24"/>
          <w:lang w:eastAsia="zh-CN"/>
        </w:rPr>
        <w:t xml:space="preserve">民警健康档案系统运行保障维护，主要包括：</w:t>
      </w:r>
      <w:r/>
    </w:p>
    <w:p>
      <w:pPr>
        <w:pStyle w:val="759"/>
        <w:numPr>
          <w:ilvl w:val="3"/>
          <w:numId w:val="5"/>
        </w:numPr>
        <w:ind w:left="709"/>
        <w:rPr>
          <w:rFonts w:hAnsi="宋体" w:eastAsia="宋体" w:cs="宋体"/>
          <w:bCs/>
          <w:sz w:val="24"/>
          <w:szCs w:val="24"/>
          <w:lang w:eastAsia="zh-CN"/>
        </w:rPr>
      </w:pPr>
      <w:r>
        <w:rPr>
          <w:rFonts w:hint="eastAsia" w:hAnsi="宋体" w:eastAsia="宋体" w:cs="宋体"/>
          <w:bCs/>
          <w:sz w:val="24"/>
          <w:szCs w:val="24"/>
          <w:lang w:eastAsia="zh-CN"/>
        </w:rPr>
        <w:t xml:space="preserve">收集民警或其他工作人员历年体检数据，整理后导入系统中，并对各项体检数据进行纵向和横向的分析。提供各项分析结果报表，如实检率、人员健康率、疾病统计率、病症统计结果等。</w:t>
      </w:r>
      <w:r/>
    </w:p>
    <w:p>
      <w:pPr>
        <w:pStyle w:val="759"/>
        <w:numPr>
          <w:ilvl w:val="3"/>
          <w:numId w:val="5"/>
        </w:numPr>
        <w:ind w:left="709"/>
        <w:rPr>
          <w:rFonts w:hAnsi="宋体" w:eastAsia="宋体" w:cs="宋体"/>
          <w:bCs/>
          <w:sz w:val="24"/>
          <w:szCs w:val="24"/>
          <w:lang w:eastAsia="zh-CN"/>
        </w:rPr>
      </w:pPr>
      <w:r>
        <w:rPr>
          <w:rFonts w:hint="eastAsia" w:hAnsi="宋体" w:eastAsia="宋体" w:cs="宋体"/>
          <w:bCs/>
          <w:sz w:val="24"/>
          <w:szCs w:val="24"/>
          <w:lang w:eastAsia="zh-CN"/>
        </w:rPr>
        <w:t xml:space="preserve">系统中有预约挂号功能，各民警或其他工作人员可根据自身需求完成预约工作，医生根据预约信息进行诊疗服务。</w:t>
      </w:r>
      <w:r/>
    </w:p>
    <w:p>
      <w:pPr>
        <w:pStyle w:val="759"/>
        <w:numPr>
          <w:ilvl w:val="3"/>
          <w:numId w:val="5"/>
        </w:numPr>
        <w:ind w:left="709"/>
        <w:rPr>
          <w:rFonts w:hAnsi="宋体" w:eastAsia="宋体" w:cs="宋体"/>
          <w:bCs/>
          <w:sz w:val="24"/>
          <w:szCs w:val="24"/>
          <w:lang w:eastAsia="zh-CN"/>
        </w:rPr>
      </w:pPr>
      <w:r>
        <w:rPr>
          <w:rFonts w:hint="eastAsia" w:hAnsi="宋体" w:eastAsia="宋体" w:cs="宋体"/>
          <w:bCs/>
          <w:sz w:val="24"/>
          <w:szCs w:val="24"/>
          <w:lang w:eastAsia="zh-CN"/>
        </w:rPr>
        <w:t xml:space="preserve">基础资料的维护，系统中民警或其他工作人员的用户资料都有统一的管理且能定期更新。对于用户的权限，部门也能因为工作变更进行更新。</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3.3.15、太仓合成维稳系统维护服务。</w:t>
      </w:r>
      <w:r/>
    </w:p>
    <w:p>
      <w:pPr>
        <w:ind w:firstLine="547"/>
        <w:rPr>
          <w:rFonts w:ascii="宋体" w:hAnsi="宋体" w:eastAsia="宋体" w:cs="宋体"/>
          <w:sz w:val="24"/>
          <w:szCs w:val="24"/>
          <w:lang w:eastAsia="zh-CN"/>
        </w:rPr>
      </w:pPr>
      <w:r>
        <w:rPr>
          <w:rFonts w:hint="eastAsia" w:ascii="宋体" w:hAnsi="宋体" w:eastAsia="宋体" w:cs="宋体"/>
          <w:sz w:val="24"/>
          <w:szCs w:val="24"/>
          <w:lang w:eastAsia="zh-CN"/>
        </w:rPr>
        <w:t xml:space="preserve">平台主要包括统一用户身份认证、合成作战平台、业务系统对接、布控预警指令等。</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3766"/>
        <w:gridCol w:w="5336"/>
      </w:tblGrid>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b/>
                <w:bCs/>
                <w:sz w:val="24"/>
                <w:szCs w:val="24"/>
              </w:rPr>
            </w:pPr>
            <w:r>
              <w:rPr>
                <w:rFonts w:hint="eastAsia" w:hAnsi="宋体" w:eastAsia="宋体" w:cs="宋体"/>
                <w:b/>
                <w:bCs/>
                <w:sz w:val="24"/>
                <w:szCs w:val="24"/>
              </w:rPr>
              <w:t xml:space="preserve">一级功能模块</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b/>
                <w:bCs/>
                <w:sz w:val="24"/>
                <w:szCs w:val="24"/>
              </w:rPr>
            </w:pPr>
            <w:r>
              <w:rPr>
                <w:rFonts w:hint="eastAsia" w:hAnsi="宋体" w:eastAsia="宋体" w:cs="宋体"/>
                <w:b/>
                <w:bCs/>
                <w:sz w:val="24"/>
                <w:szCs w:val="24"/>
              </w:rPr>
              <w:t xml:space="preserve">二级功能模块</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系统名称修改以及功能菜单调整</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系统名称修改以及功能菜单调整</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事件管理优化</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事件管理界面优化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重点群体库</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一级重点事件群体库管理</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lang w:eastAsia="zh-CN"/>
              </w:rPr>
            </w:pPr>
            <w:r>
              <w:rPr>
                <w:rFonts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二级事件重点事件群体库关联</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lang w:eastAsia="zh-CN"/>
              </w:rPr>
            </w:pPr>
            <w:r>
              <w:rPr>
                <w:rFonts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二级事件重点事件群体库查询</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人员库</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人员库管理</w:t>
            </w:r>
            <w:r/>
          </w:p>
        </w:tc>
      </w:tr>
      <w:tr>
        <w:trPr>
          <w:trHeight w:val="340" w:hRule="exact"/>
        </w:trPr>
        <w:tc>
          <w:tcPr>
            <w:tcBorders>
              <w:top w:val="single" w:color="000000" w:sz="4" w:space="0"/>
              <w:left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人员布控</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人员人像数据完善</w:t>
            </w:r>
            <w:r/>
          </w:p>
        </w:tc>
      </w:tr>
      <w:tr>
        <w:trPr>
          <w:trHeight w:val="340" w:hRule="exact"/>
        </w:trPr>
        <w:tc>
          <w:tcPr>
            <w:tcBorders>
              <w:top w:val="single" w:color="000000" w:sz="4" w:space="0"/>
              <w:left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人员布控</w:t>
            </w:r>
            <w:r/>
          </w:p>
        </w:tc>
      </w:tr>
      <w:tr>
        <w:trPr>
          <w:trHeight w:val="340" w:hRule="exact"/>
        </w:trPr>
        <w:tc>
          <w:tcPr>
            <w:tcBorders>
              <w:top w:val="single" w:color="000000" w:sz="4" w:space="0"/>
              <w:left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已布控人员</w:t>
            </w:r>
            <w:r/>
          </w:p>
        </w:tc>
      </w:tr>
      <w:tr>
        <w:trPr>
          <w:trHeight w:val="340" w:hRule="exact"/>
        </w:trPr>
        <w:tc>
          <w:tcPr>
            <w:tcBorders>
              <w:top w:val="single" w:color="000000" w:sz="4" w:space="0"/>
              <w:left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人员预警</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人员火车票布控</w:t>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人员火车票布控</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火车票布控人员</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人员火车票预警</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重点动车轨迹</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指令下发</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指令下发反馈</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情报动态指令下发反馈填充</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功能优化改造</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涉稳人员标签完善</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系统现有各类标签优化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lang w:eastAsia="zh-CN"/>
              </w:rPr>
            </w:pPr>
            <w:r>
              <w:rPr>
                <w:rFonts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生成台账优化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人员导出优化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人员历次维权情况功能优化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lang w:eastAsia="zh-CN"/>
              </w:rPr>
            </w:pPr>
            <w:r>
              <w:rPr>
                <w:rFonts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人员相关情况优化</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合成维稳首页可视化展示</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lang w:eastAsia="zh-CN"/>
              </w:rPr>
            </w:pPr>
            <w:r>
              <w:rPr>
                <w:rFonts w:hint="eastAsia" w:hAnsi="宋体" w:eastAsia="宋体" w:cs="宋体"/>
                <w:sz w:val="24"/>
                <w:szCs w:val="24"/>
                <w:lang w:eastAsia="zh-CN"/>
              </w:rPr>
              <w:t xml:space="preserve">合成维稳首页可视化展示</w:t>
            </w:r>
            <w:r/>
          </w:p>
        </w:tc>
      </w:tr>
      <w:tr>
        <w:trPr>
          <w:trHeight w:val="340" w:hRule="exact"/>
        </w:trPr>
        <w:tc>
          <w:tcPr>
            <w:tcBorders>
              <w:top w:val="single" w:color="000000" w:sz="4" w:space="0"/>
              <w:left w:val="single" w:color="000000" w:sz="4" w:space="0"/>
              <w:bottom w:val="single" w:color="auto" w:sz="4" w:space="0"/>
              <w:right w:val="single" w:color="000000" w:sz="4" w:space="0"/>
            </w:tcBorders>
            <w:tcW w:w="376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人员汽车票布控</w:t>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人员汽车票布控</w:t>
            </w:r>
            <w:r/>
          </w:p>
        </w:tc>
      </w:tr>
      <w:tr>
        <w:trPr>
          <w:trHeight w:val="340" w:hRule="exact"/>
        </w:trPr>
        <w:tc>
          <w:tcPr>
            <w:tcBorders>
              <w:top w:val="single" w:color="000000" w:sz="4" w:space="0"/>
              <w:left w:val="single" w:color="000000" w:sz="4" w:space="0"/>
              <w:bottom w:val="single" w:color="auto"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汽车票布控人员</w:t>
            </w:r>
            <w:r/>
          </w:p>
        </w:tc>
      </w:tr>
      <w:tr>
        <w:trPr>
          <w:trHeight w:val="340" w:hRule="exact"/>
        </w:trPr>
        <w:tc>
          <w:tcPr>
            <w:tcBorders>
              <w:top w:val="single" w:color="000000" w:sz="4" w:space="0"/>
              <w:left w:val="single" w:color="000000" w:sz="4" w:space="0"/>
              <w:bottom w:val="single" w:color="auto" w:sz="4" w:space="0"/>
              <w:right w:val="single" w:color="000000" w:sz="4" w:space="0"/>
            </w:tcBorders>
            <w:tcW w:w="3766" w:type="dxa"/>
            <w:vAlign w:val="center"/>
            <w:vMerge w:val="continue"/>
            <w:textDirection w:val="lrTb"/>
            <w:noWrap w:val="false"/>
          </w:tcPr>
          <w:p>
            <w:pPr>
              <w:pStyle w:val="759"/>
              <w:spacing w:line="240" w:lineRule="auto"/>
              <w:rPr>
                <w:rFonts w:hAnsi="宋体" w:eastAsia="宋体" w:cs="宋体"/>
                <w:sz w:val="24"/>
                <w:szCs w:val="24"/>
              </w:rPr>
            </w:pP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6" w:type="dxa"/>
            <w:vAlign w:val="center"/>
            <w:vMerge w:val="restart"/>
            <w:textDirection w:val="lrTb"/>
            <w:noWrap w:val="false"/>
          </w:tcPr>
          <w:p>
            <w:pPr>
              <w:pStyle w:val="759"/>
              <w:spacing w:line="240" w:lineRule="auto"/>
              <w:rPr>
                <w:rFonts w:hAnsi="宋体" w:eastAsia="宋体" w:cs="宋体"/>
                <w:sz w:val="24"/>
                <w:szCs w:val="24"/>
              </w:rPr>
            </w:pPr>
            <w:r>
              <w:rPr>
                <w:rFonts w:hint="eastAsia" w:hAnsi="宋体" w:eastAsia="宋体" w:cs="宋体"/>
                <w:sz w:val="24"/>
                <w:szCs w:val="24"/>
              </w:rPr>
              <w:t xml:space="preserve">人员汽车票预警</w:t>
            </w:r>
            <w:r/>
          </w:p>
        </w:tc>
      </w:tr>
    </w:tbl>
    <w:p>
      <w:pPr>
        <w:ind w:firstLine="480"/>
        <w:rPr>
          <w:rFonts w:ascii="宋体" w:hAnsi="宋体" w:eastAsia="宋体" w:cs="宋体"/>
          <w:sz w:val="24"/>
          <w:szCs w:val="24"/>
        </w:rPr>
      </w:pPr>
      <w:r>
        <w:rPr>
          <w:rFonts w:ascii="宋体" w:hAnsi="宋体" w:eastAsia="宋体" w:cs="宋体"/>
          <w:sz w:val="24"/>
          <w:szCs w:val="24"/>
        </w:rPr>
      </w:r>
      <w:r/>
    </w:p>
    <w:p>
      <w:pPr>
        <w:pStyle w:val="747"/>
        <w:ind w:firstLine="426"/>
        <w:rPr>
          <w:rFonts w:ascii="宋体" w:hAnsi="宋体" w:eastAsia="宋体" w:cs="宋体"/>
          <w:sz w:val="24"/>
          <w:szCs w:val="24"/>
          <w:lang w:eastAsia="zh-CN"/>
        </w:rPr>
      </w:pPr>
      <w:r>
        <w:rPr>
          <w:rFonts w:hint="eastAsia" w:ascii="宋体" w:hAnsi="宋体" w:eastAsia="宋体" w:cs="宋体"/>
          <w:sz w:val="24"/>
          <w:szCs w:val="24"/>
          <w:lang w:eastAsia="zh-CN"/>
        </w:rPr>
        <w:t xml:space="preserve">3.3.16、</w:t>
      </w:r>
      <w:r>
        <w:rPr>
          <w:rFonts w:hint="eastAsia" w:ascii="宋体" w:hAnsi="宋体" w:eastAsia="宋体" w:cs="宋体"/>
          <w:sz w:val="24"/>
          <w:szCs w:val="24"/>
          <w:shd w:val="clear" w:color="auto" w:fill="ffffff"/>
          <w:lang w:eastAsia="zh-CN"/>
        </w:rPr>
        <w:t xml:space="preserve">南郊智慧检查站集成维护服务</w:t>
      </w:r>
      <w:r>
        <w:rPr>
          <w:rFonts w:hint="eastAsia" w:ascii="宋体" w:hAnsi="宋体" w:eastAsia="宋体" w:cs="宋体"/>
          <w:sz w:val="24"/>
          <w:szCs w:val="24"/>
          <w:lang w:eastAsia="zh-CN"/>
        </w:rPr>
        <w:t xml:space="preserve">及南郊检查站、洋桥检查站、嘉太检查站配套系统、弱电设施、监控设施、机房设施、弱电管线设施的维护服务。</w:t>
      </w:r>
      <w:r/>
    </w:p>
    <w:p>
      <w:pPr>
        <w:pStyle w:val="947"/>
        <w:ind w:firstLine="480"/>
        <w:spacing w:line="360" w:lineRule="auto"/>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南郊智慧检查站集成维护服务</w:t>
      </w:r>
      <w:r>
        <w:rPr>
          <w:rFonts w:hint="eastAsia" w:ascii="宋体" w:hAnsi="宋体" w:eastAsia="宋体" w:cs="宋体"/>
          <w:sz w:val="24"/>
          <w:szCs w:val="24"/>
          <w:lang w:eastAsia="zh-CN"/>
        </w:rPr>
        <w:t xml:space="preserve">，做好该检查站中配套的平台系统、弱电设施、监控设施、机房设施、弱电管线设施的维护。</w:t>
      </w:r>
      <w:r/>
    </w:p>
    <w:p>
      <w:pPr>
        <w:pStyle w:val="948"/>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    包括以下设施的一年维保服务，南郊检查站具体明细如下：</w:t>
      </w:r>
      <w:r/>
    </w:p>
    <w:tbl>
      <w:tblPr>
        <w:tblStyle w:val="752"/>
        <w:tblW w:w="0" w:type="auto"/>
        <w:tblInd w:w="0" w:type="dxa"/>
        <w:tblLayout w:type="fixed"/>
        <w:tblCellMar>
          <w:left w:w="15" w:type="dxa"/>
          <w:top w:w="0" w:type="dxa"/>
          <w:right w:w="15" w:type="dxa"/>
          <w:bottom w:w="0" w:type="dxa"/>
        </w:tblCellMar>
        <w:tblLook w:val="04A0" w:firstRow="1" w:lastRow="0" w:firstColumn="1" w:lastColumn="0" w:noHBand="0" w:noVBand="1"/>
      </w:tblPr>
      <w:tblGrid>
        <w:gridCol w:w="1583"/>
        <w:gridCol w:w="4178"/>
        <w:gridCol w:w="1711"/>
        <w:gridCol w:w="1572"/>
      </w:tblGrid>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2"/>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2"/>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设备</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单位</w:t>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948"/>
              <w:ind w:firstLine="442"/>
              <w:spacing w:line="240" w:lineRule="auto"/>
              <w:shd w:val="clear" w:color="auto" w:fill="c0c0c0"/>
              <w:rPr>
                <w:rFonts w:ascii="宋体" w:hAnsi="宋体" w:eastAsia="宋体" w:cs="宋体"/>
                <w:b/>
                <w:bCs/>
                <w:sz w:val="24"/>
                <w:szCs w:val="24"/>
                <w:shd w:val="clear" w:color="auto" w:fill="c0c0c0"/>
              </w:rPr>
            </w:pPr>
            <w:r>
              <w:rPr>
                <w:rFonts w:hint="eastAsia" w:ascii="宋体" w:hAnsi="宋体" w:eastAsia="宋体" w:cs="宋体"/>
                <w:b/>
                <w:bCs/>
                <w:sz w:val="24"/>
                <w:szCs w:val="24"/>
                <w:shd w:val="clear" w:color="auto" w:fill="c0c0c0"/>
              </w:rPr>
              <w:t xml:space="preserve">软件系统及服务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检查站系统平台</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比对预警接口服务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报警展示服务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彻底扫描服务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监控接入服务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解码上墙服务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4178" w:type="dxa"/>
            <w:vAlign w:val="bottom"/>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声光报警定制服务</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项</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4178" w:type="dxa"/>
            <w:vAlign w:val="bottom"/>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自动防冲撞系统</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948"/>
              <w:ind w:firstLine="442"/>
              <w:spacing w:line="240" w:lineRule="auto"/>
              <w:shd w:val="clear" w:color="auto" w:fill="c0c0c0"/>
              <w:rPr>
                <w:rFonts w:ascii="宋体" w:hAnsi="宋体" w:eastAsia="宋体" w:cs="宋体"/>
                <w:b/>
                <w:bCs/>
                <w:sz w:val="24"/>
                <w:szCs w:val="24"/>
                <w:shd w:val="clear" w:color="auto" w:fill="c0c0c0"/>
              </w:rPr>
            </w:pPr>
            <w:r>
              <w:rPr>
                <w:rFonts w:hint="eastAsia" w:ascii="宋体" w:hAnsi="宋体" w:eastAsia="宋体" w:cs="宋体"/>
                <w:b/>
                <w:bCs/>
                <w:sz w:val="24"/>
                <w:szCs w:val="24"/>
                <w:shd w:val="clear" w:color="auto" w:fill="c0c0c0"/>
              </w:rPr>
              <w:t xml:space="preserve">服务器设备</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平台服务器</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车底服务器</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32路NVR</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南郊检查站解码器</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联动中心解码器</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948"/>
              <w:ind w:firstLine="442"/>
              <w:spacing w:line="240" w:lineRule="auto"/>
              <w:shd w:val="clear" w:color="auto" w:fill="c0c0c0"/>
              <w:rPr>
                <w:rFonts w:ascii="宋体" w:hAnsi="宋体" w:eastAsia="宋体" w:cs="宋体"/>
                <w:b/>
                <w:bCs/>
                <w:sz w:val="24"/>
                <w:szCs w:val="24"/>
                <w:shd w:val="clear" w:color="auto" w:fill="c0c0c0"/>
              </w:rPr>
            </w:pPr>
            <w:r>
              <w:rPr>
                <w:rFonts w:hint="eastAsia" w:ascii="宋体" w:hAnsi="宋体" w:eastAsia="宋体" w:cs="宋体"/>
                <w:b/>
                <w:bCs/>
                <w:sz w:val="24"/>
                <w:szCs w:val="24"/>
                <w:shd w:val="clear" w:color="auto" w:fill="c0c0c0"/>
              </w:rPr>
              <w:t xml:space="preserve">监控设备</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外部相机</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内部相机</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bottom w:val="single" w:color="000000" w:sz="4" w:space="0"/>
            </w:tcBorders>
            <w:tcW w:w="4178" w:type="dxa"/>
            <w:vAlign w:val="bottom"/>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人卡相机</w:t>
            </w:r>
            <w:r/>
          </w:p>
        </w:tc>
        <w:tc>
          <w:tcPr>
            <w:tcBorders>
              <w:top w:val="single" w:color="000000" w:sz="4" w:space="0"/>
              <w:left w:val="singl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948"/>
              <w:ind w:firstLine="442"/>
              <w:spacing w:line="240" w:lineRule="auto"/>
              <w:shd w:val="clear" w:color="auto" w:fill="c0c0c0"/>
              <w:rPr>
                <w:rFonts w:ascii="宋体" w:hAnsi="宋体" w:eastAsia="宋体" w:cs="宋体"/>
                <w:b/>
                <w:bCs/>
                <w:sz w:val="24"/>
                <w:szCs w:val="24"/>
                <w:shd w:val="clear" w:color="auto" w:fill="c0c0c0"/>
              </w:rPr>
            </w:pPr>
            <w:r>
              <w:rPr>
                <w:rFonts w:hint="eastAsia" w:ascii="宋体" w:hAnsi="宋体" w:eastAsia="宋体" w:cs="宋体"/>
                <w:b/>
                <w:bCs/>
                <w:sz w:val="24"/>
                <w:szCs w:val="24"/>
                <w:shd w:val="clear" w:color="auto" w:fill="c0c0c0"/>
              </w:rPr>
              <w:t xml:space="preserve">进市设备</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抓拍机1</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抓拍机2</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车底终端</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人证机</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761" w:type="dxa"/>
            <w:vAlign w:val="center"/>
            <w:textDirection w:val="lrTb"/>
            <w:noWrap w:val="false"/>
          </w:tcPr>
          <w:p>
            <w:pPr>
              <w:pStyle w:val="948"/>
              <w:ind w:firstLine="442"/>
              <w:spacing w:line="240" w:lineRule="auto"/>
              <w:shd w:val="clear" w:color="auto" w:fill="c0c0c0"/>
              <w:rPr>
                <w:rFonts w:ascii="宋体" w:hAnsi="宋体" w:eastAsia="宋体" w:cs="宋体"/>
                <w:b/>
                <w:bCs/>
                <w:sz w:val="24"/>
                <w:szCs w:val="24"/>
                <w:shd w:val="clear" w:color="auto" w:fill="c0c0c0"/>
              </w:rPr>
            </w:pPr>
            <w:r>
              <w:rPr>
                <w:rFonts w:hint="eastAsia" w:ascii="宋体" w:hAnsi="宋体" w:eastAsia="宋体" w:cs="宋体"/>
                <w:b/>
                <w:bCs/>
                <w:sz w:val="24"/>
                <w:szCs w:val="24"/>
                <w:shd w:val="clear" w:color="auto" w:fill="c0c0c0"/>
              </w:rPr>
              <w:t xml:space="preserve">出市设备</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抓拍机1</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抓拍机2</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抓拍机3</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车底终端</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人证核验机1</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人证核验机2</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LED警示屏</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LED联动枪机</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4178" w:type="dxa"/>
            <w:vAlign w:val="center"/>
            <w:textDirection w:val="lrTb"/>
            <w:noWrap w:val="false"/>
          </w:tcPr>
          <w:p>
            <w:pPr>
              <w:pStyle w:val="948"/>
              <w:ind w:firstLine="440"/>
              <w:jc w:val="center"/>
              <w:spacing w:line="240" w:lineRule="auto"/>
              <w:rPr>
                <w:rFonts w:ascii="宋体" w:hAnsi="宋体" w:eastAsia="宋体" w:cs="宋体"/>
                <w:sz w:val="24"/>
                <w:szCs w:val="24"/>
              </w:rPr>
            </w:pPr>
            <w:r>
              <w:rPr>
                <w:rFonts w:hint="eastAsia" w:ascii="宋体" w:hAnsi="宋体" w:eastAsia="宋体" w:cs="宋体"/>
                <w:sz w:val="24"/>
                <w:szCs w:val="24"/>
              </w:rPr>
              <w:t xml:space="preserve">自动防冲撞柱</w:t>
            </w:r>
            <w:r/>
          </w:p>
        </w:tc>
        <w:tc>
          <w:tcPr>
            <w:tcBorders>
              <w:top w:val="single" w:color="000000" w:sz="4" w:space="0"/>
              <w:left w:val="none" w:color="000000" w:sz="4" w:space="0"/>
              <w:bottom w:val="single" w:color="000000" w:sz="4" w:space="0"/>
              <w:right w:val="single" w:color="000000" w:sz="4" w:space="0"/>
            </w:tcBorders>
            <w:tcW w:w="1711"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1572" w:type="dxa"/>
            <w:vAlign w:val="bottom"/>
            <w:textDirection w:val="lrTb"/>
            <w:noWrap w:val="false"/>
          </w:tcPr>
          <w:p>
            <w:pPr>
              <w:pStyle w:val="948"/>
              <w:ind w:firstLine="440"/>
              <w:spacing w:line="240" w:lineRule="auto"/>
              <w:rPr>
                <w:rFonts w:ascii="宋体" w:hAnsi="宋体" w:eastAsia="宋体" w:cs="宋体"/>
                <w:sz w:val="24"/>
                <w:szCs w:val="24"/>
              </w:rPr>
            </w:pPr>
            <w:r>
              <w:rPr>
                <w:rFonts w:hint="eastAsia" w:ascii="宋体" w:hAnsi="宋体" w:eastAsia="宋体" w:cs="宋体"/>
                <w:sz w:val="24"/>
                <w:szCs w:val="24"/>
              </w:rPr>
              <w:t xml:space="preserve">根</w:t>
            </w:r>
            <w:r/>
          </w:p>
        </w:tc>
      </w:tr>
    </w:tbl>
    <w:p>
      <w:pPr>
        <w:pStyle w:val="94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947"/>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洋桥检查站具体明细如下：</w:t>
      </w:r>
      <w:r/>
    </w:p>
    <w:tbl>
      <w:tblPr>
        <w:tblStyle w:val="752"/>
        <w:tblW w:w="0" w:type="auto"/>
        <w:tblInd w:w="0" w:type="dxa"/>
        <w:tblLayout w:type="autofit"/>
        <w:tblCellMar>
          <w:left w:w="15" w:type="dxa"/>
          <w:top w:w="15" w:type="dxa"/>
          <w:right w:w="15" w:type="dxa"/>
          <w:bottom w:w="15" w:type="dxa"/>
        </w:tblCellMar>
        <w:tblLook w:val="04A0" w:firstRow="1" w:lastRow="0" w:firstColumn="1" w:lastColumn="0" w:noHBand="0" w:noVBand="1"/>
      </w:tblPr>
      <w:tblGrid>
        <w:gridCol w:w="752"/>
        <w:gridCol w:w="2400"/>
        <w:gridCol w:w="3648"/>
        <w:gridCol w:w="1155"/>
        <w:gridCol w:w="633"/>
        <w:gridCol w:w="512"/>
      </w:tblGrid>
      <w:tr>
        <w:trPr>
          <w:trHeight w:val="285"/>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标的物名称</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品牌、规格</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生产厂家</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数量</w:t>
            </w:r>
            <w:r/>
          </w:p>
        </w:tc>
      </w:tr>
      <w:tr>
        <w:trPr>
          <w:trHeight w:val="285"/>
        </w:trPr>
        <w:tc>
          <w:tcPr>
            <w:gridSpan w:val="6"/>
            <w:tcBorders>
              <w:top w:val="single" w:color="000000" w:sz="4" w:space="0"/>
              <w:left w:val="single" w:color="000000" w:sz="4" w:space="0"/>
              <w:bottom w:val="single" w:color="000000" w:sz="4" w:space="0"/>
            </w:tcBorders>
            <w:tcW w:w="0" w:type="auto"/>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（一）、双基色卡口警示屏系统</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LED卡口警示屏（双基色）</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 YDBZ-0-B-HKYD-160</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平方米</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3.28</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警示屏防水防尘机箱</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 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卡口警示屏控制箱（聅动）</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 DS-TVL000-0-7</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报警专用警灯</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海康威视WLD012B2RB001</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个</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LED警示屏双立杆</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个</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400万星光级轻智能抓拍筒型网络摄像机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海康威视DS-2CD7A47BX/EWD-LZ</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gridSpan w:val="6"/>
            <w:tcBorders>
              <w:top w:val="single" w:color="000000" w:sz="4" w:space="0"/>
              <w:left w:val="single" w:color="000000" w:sz="4" w:space="0"/>
              <w:bottom w:val="single" w:color="000000" w:sz="4" w:space="0"/>
            </w:tcBorders>
            <w:tcW w:w="0" w:type="auto"/>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（二）、检查站出入口车牌抓拍.人证识别系统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出入口抓拍一体机</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海康威视DS-TCG227-A</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出口抓拍机立柱</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海康威视ESP-L1300-R117(TCG227)</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线圈</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车辆检测处理器</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海康威视DS-TMG022</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出入口控制终端</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海康威视DS-TPE300</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人证核验终端</w:t>
            </w:r>
            <w:r/>
          </w:p>
        </w:tc>
        <w:tc>
          <w:tcPr>
            <w:shd w:val="clear" w:color="auto" w:fill="ffffff"/>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海康威视DS-K5603T-H</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室内人证终端</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海康威视DS-K5603</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千兆交换机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H3C LS-5110V2-28P-SI</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华三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r>
      <w:tr>
        <w:trPr>
          <w:trHeight w:val="285"/>
        </w:trPr>
        <w:tc>
          <w:tcPr>
            <w:gridSpan w:val="6"/>
            <w:tcBorders>
              <w:top w:val="single" w:color="000000" w:sz="4" w:space="0"/>
              <w:left w:val="single" w:color="000000" w:sz="4" w:space="0"/>
              <w:bottom w:val="single" w:color="000000" w:sz="4" w:space="0"/>
            </w:tcBorders>
            <w:tcW w:w="0" w:type="auto"/>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（三）、检查站人脸识别、安检棚通道监控系统</w:t>
            </w:r>
            <w:r/>
          </w:p>
        </w:tc>
      </w:tr>
      <w:tr>
        <w:trPr>
          <w:trHeight w:val="96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200万人脸抓拍一体化AI筒型网络摄像机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海康威视DS-2CD7627XWD-XB</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r>
      <w:tr>
        <w:trPr>
          <w:trHeight w:val="96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400万星光级轻智能抓拍筒型网络摄像机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海康威视DS-2CD7A47BX/EWD-LZ</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人脸抓拍支架</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电源变换器</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摄像机电源</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15</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网络硬盘录像机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海康威视DS-8664N-I16</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监控硬盘</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希捷ST4000VX000</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希捷</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千兆交换机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H3C LS-5110V2-28P-SI</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华三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gridSpan w:val="6"/>
            <w:tcBorders>
              <w:top w:val="single" w:color="000000" w:sz="4" w:space="0"/>
              <w:left w:val="single" w:color="000000" w:sz="4" w:space="0"/>
              <w:bottom w:val="single" w:color="000000" w:sz="4" w:space="0"/>
            </w:tcBorders>
            <w:tcW w:w="0" w:type="auto"/>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（四）、检查站勤务指挥室LCD拼接屏系统</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LCD拼接屏</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海康威视DS-D2055NL-B</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LCD拼接屏支架</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配套</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4路输出网络解码器</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海康威视DS-6904UD</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海康威视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HDMI线缆</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秋叶原</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国产</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r>
      <w:tr>
        <w:trPr>
          <w:trHeight w:val="72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28</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千兆交换机</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H3C LS-5110V2-28P-SI</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华三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光模块</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个</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标准机柜</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大唐卫士</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（五）、其他</w:t>
            </w:r>
            <w:r/>
          </w:p>
        </w:tc>
      </w:tr>
      <w:tr>
        <w:trPr>
          <w:trHeight w:val="480"/>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管材、线材、辅材等</w:t>
            </w:r>
            <w:r/>
          </w:p>
        </w:tc>
        <w:tc>
          <w:tcPr>
            <w:tcBorders>
              <w:top w:val="single" w:color="000000" w:sz="4" w:space="0"/>
              <w:left w:val="none" w:color="000000" w:sz="4" w:space="0"/>
              <w:bottom w:val="single" w:color="000000" w:sz="4" w:space="0"/>
              <w:right w:val="single" w:color="000000" w:sz="4" w:space="0"/>
            </w:tcBorders>
            <w:tcW w:w="364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国产</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r>
    </w:tbl>
    <w:p>
      <w:pPr>
        <w:pStyle w:val="94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947"/>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嘉太检查站维保内容：</w:t>
      </w:r>
      <w:r/>
    </w:p>
    <w:tbl>
      <w:tblPr>
        <w:tblStyle w:val="75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8"/>
        <w:gridCol w:w="1991"/>
        <w:gridCol w:w="4900"/>
        <w:gridCol w:w="768"/>
        <w:gridCol w:w="816"/>
      </w:tblGrid>
      <w:tr>
        <w:trPr>
          <w:trHeight w:val="480"/>
        </w:trPr>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991"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采购内容</w:t>
            </w:r>
            <w:r/>
          </w:p>
        </w:tc>
        <w:tc>
          <w:tcPr>
            <w:tcBorders>
              <w:top w:val="single" w:color="000000" w:sz="4" w:space="0"/>
              <w:left w:val="none" w:color="000000" w:sz="4" w:space="0"/>
              <w:bottom w:val="single" w:color="000000" w:sz="4" w:space="0"/>
              <w:right w:val="single" w:color="000000" w:sz="4" w:space="0"/>
            </w:tcBorders>
            <w:tcW w:w="4900" w:type="dxa"/>
            <w:textDirection w:val="lrTb"/>
            <w:noWrap w:val="false"/>
          </w:tcPr>
          <w:p>
            <w:pPr>
              <w:jc w:val="cente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品牌、规格、型号、制造厂商、产地</w:t>
            </w:r>
            <w:r/>
          </w:p>
        </w:tc>
        <w:tc>
          <w:tcPr>
            <w:tcBorders>
              <w:top w:val="single" w:color="000000" w:sz="4" w:space="0"/>
              <w:left w:val="none" w:color="000000" w:sz="4" w:space="0"/>
              <w:bottom w:val="single" w:color="000000" w:sz="4" w:space="0"/>
              <w:right w:val="single" w:color="000000" w:sz="4" w:space="0"/>
            </w:tcBorders>
            <w:tcW w:w="768"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816"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网络交换机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H3C 5560S-52S-SI、中国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一键点调</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科达视频会议H650、中国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电视机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创维 60吋、中国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电视机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创维 75吋、中国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电视机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创维 55吋</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一键点调</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科达视频会议H650、中国 </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半球摄像机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海康威视 DS-2CD2126FWDV2-IS、中国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HDMI</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秋叶原 HDMI2.0 4K 10米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布线管材</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公元、中国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半球摄像机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海康威视 DS-2CD2126FWDV2-IS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网络交换机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H3C 5120V2-52P-LI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POE交换机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H3C S1224-p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录像机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海康威视 DS-8632N-K8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硬盘</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4T</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配线架</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康定贝尔 24口六类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理线架</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48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枪式摄像机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海康威视 400W星光级DS-2CD7A47EWD-IZ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48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球机</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海康威视 IDS-2DE7423MX-A/SI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光模块</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博扬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对</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光纤跳线</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3米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网线</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康宁贝尔 六类 中国</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r>
      <w:tr>
        <w:trPr>
          <w:trHeight w:val="270"/>
        </w:trPr>
        <w:tc>
          <w:tcPr>
            <w:tcBorders>
              <w:top w:val="none" w:color="000000" w:sz="4" w:space="0"/>
              <w:left w:val="single" w:color="000000" w:sz="4" w:space="0"/>
              <w:bottom w:val="single" w:color="000000" w:sz="4" w:space="0"/>
              <w:right w:val="single" w:color="000000" w:sz="4" w:space="0"/>
            </w:tcBorders>
            <w:tcW w:w="69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single" w:color="000000" w:sz="4" w:space="0"/>
              <w:right w:val="single" w:color="000000" w:sz="4" w:space="0"/>
            </w:tcBorders>
            <w:tcW w:w="199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辅材</w:t>
            </w:r>
            <w:r/>
          </w:p>
        </w:tc>
        <w:tc>
          <w:tcPr>
            <w:tcBorders>
              <w:top w:val="none" w:color="000000" w:sz="4" w:space="0"/>
              <w:left w:val="none" w:color="000000" w:sz="4" w:space="0"/>
              <w:bottom w:val="single" w:color="000000" w:sz="4" w:space="0"/>
              <w:right w:val="single" w:color="000000" w:sz="4" w:space="0"/>
            </w:tcBorders>
            <w:tcW w:w="4900"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施工辅材</w:t>
            </w:r>
            <w:r/>
          </w:p>
        </w:tc>
        <w:tc>
          <w:tcPr>
            <w:tcBorders>
              <w:top w:val="none" w:color="000000" w:sz="4" w:space="0"/>
              <w:left w:val="none" w:color="000000" w:sz="4" w:space="0"/>
              <w:bottom w:val="single" w:color="000000" w:sz="4" w:space="0"/>
              <w:right w:val="single" w:color="000000" w:sz="4" w:space="0"/>
            </w:tcBorders>
            <w:tcW w:w="7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tcBorders>
              <w:top w:val="none" w:color="000000" w:sz="4" w:space="0"/>
              <w:left w:val="none" w:color="000000" w:sz="4" w:space="0"/>
              <w:bottom w:val="single" w:color="000000" w:sz="4" w:space="0"/>
              <w:right w:val="single" w:color="000000" w:sz="4" w:space="0"/>
            </w:tcBorders>
            <w:tcW w:w="81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pStyle w:val="947"/>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包括对三个检查站的临时安</w:t>
      </w:r>
      <w:r>
        <w:rPr>
          <w:rFonts w:hint="eastAsia" w:ascii="宋体" w:hAnsi="宋体" w:eastAsia="宋体" w:cs="宋体"/>
          <w:sz w:val="24"/>
          <w:szCs w:val="24"/>
          <w:highlight w:val="none"/>
          <w:lang w:eastAsia="zh-CN"/>
        </w:rPr>
        <w:t xml:space="preserve">保、点位迁移、设备维修更换等维护服务</w:t>
      </w:r>
      <w:r/>
    </w:p>
    <w:p>
      <w:pPr>
        <w:pStyle w:val="747"/>
        <w:ind w:firstLine="425"/>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3.3.17、</w:t>
      </w:r>
      <w:r>
        <w:rPr>
          <w:rFonts w:hint="eastAsia" w:ascii="宋体" w:hAnsi="宋体" w:eastAsia="宋体" w:cs="宋体"/>
          <w:sz w:val="24"/>
          <w:szCs w:val="24"/>
          <w:highlight w:val="none"/>
          <w:shd w:val="clear" w:color="auto" w:fill="ffffff"/>
          <w:lang w:eastAsia="zh-CN"/>
        </w:rPr>
        <w:t xml:space="preserve">小区人像感知运维服务（服务时间2023.11-2024.11</w:t>
      </w:r>
      <w:r>
        <w:rPr>
          <w:rFonts w:hint="eastAsia" w:ascii="宋体" w:hAnsi="宋体" w:eastAsia="宋体" w:cs="宋体"/>
          <w:sz w:val="24"/>
          <w:szCs w:val="24"/>
          <w:highlight w:val="none"/>
          <w:lang w:eastAsia="zh-CN"/>
        </w:rPr>
        <w:t xml:space="preserve">）</w:t>
      </w:r>
      <w:r/>
    </w:p>
    <w:p>
      <w:pPr>
        <w:ind w:firstLine="42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对建成的系统功能和数据库进行巡检与维护，主要有：</w:t>
      </w:r>
      <w:r/>
    </w:p>
    <w:p>
      <w:pPr>
        <w:numPr>
          <w:ilvl w:val="3"/>
          <w:numId w:val="6"/>
        </w:numPr>
        <w:ind w:left="426"/>
        <w:rPr>
          <w:rFonts w:ascii="宋体" w:hAnsi="宋体" w:eastAsia="宋体" w:cs="宋体"/>
          <w:sz w:val="24"/>
          <w:szCs w:val="24"/>
          <w:lang w:eastAsia="zh-CN"/>
        </w:rPr>
      </w:pPr>
      <w:r>
        <w:rPr>
          <w:rFonts w:hint="eastAsia" w:ascii="宋体" w:hAnsi="宋体" w:eastAsia="宋体" w:cs="宋体"/>
          <w:sz w:val="24"/>
          <w:szCs w:val="24"/>
          <w:highlight w:val="none"/>
          <w:lang w:eastAsia="zh-CN"/>
        </w:rPr>
        <w:t xml:space="preserve">数据质态巡检，主要有：“照片模糊无法辨认”，“登记在册仍预警”（误报），是否在5%范围内，不在此范围，需要核对问题所在。“登记在册仍预警”，查询原因，是否存在识别错误，运算漏洞或人员</w:t>
      </w:r>
      <w:r>
        <w:rPr>
          <w:rFonts w:hint="eastAsia" w:ascii="宋体" w:hAnsi="宋体" w:eastAsia="宋体" w:cs="宋体"/>
          <w:sz w:val="24"/>
          <w:szCs w:val="24"/>
          <w:lang w:eastAsia="zh-CN"/>
        </w:rPr>
        <w:t xml:space="preserve">信息错误。“照片模糊无法辨认”查询是否存在摄像头模糊或口罩头盔。</w:t>
      </w:r>
      <w:r/>
    </w:p>
    <w:p>
      <w:pPr>
        <w:numPr>
          <w:ilvl w:val="3"/>
          <w:numId w:val="6"/>
        </w:numPr>
        <w:ind w:left="426"/>
        <w:rPr>
          <w:rFonts w:ascii="宋体" w:hAnsi="宋体" w:eastAsia="宋体" w:cs="宋体"/>
          <w:sz w:val="24"/>
          <w:szCs w:val="24"/>
          <w:lang w:eastAsia="zh-CN"/>
        </w:rPr>
      </w:pPr>
      <w:r>
        <w:rPr>
          <w:rFonts w:hint="eastAsia" w:ascii="宋体" w:hAnsi="宋体" w:eastAsia="宋体" w:cs="宋体"/>
          <w:sz w:val="24"/>
          <w:szCs w:val="24"/>
          <w:lang w:eastAsia="zh-CN"/>
        </w:rPr>
        <w:t xml:space="preserve">运行状态巡检，主要有：预警数量情况是否正常；是否存在小区摄像头问题或运算逻辑漏洞导致预警数量较少；小区是否满足人像感知预警条件，小区是否封闭，摄像头位置是否合适。白名单更新是否正常，是否存在无身份证信息情况</w:t>
      </w:r>
      <w:r/>
    </w:p>
    <w:p>
      <w:pPr>
        <w:numPr>
          <w:ilvl w:val="3"/>
          <w:numId w:val="6"/>
        </w:numPr>
        <w:ind w:left="426"/>
        <w:rPr>
          <w:rFonts w:ascii="宋体" w:hAnsi="宋体" w:eastAsia="宋体" w:cs="宋体"/>
          <w:sz w:val="24"/>
          <w:szCs w:val="24"/>
          <w:lang w:eastAsia="zh-CN"/>
        </w:rPr>
      </w:pPr>
      <w:r>
        <w:rPr>
          <w:rFonts w:hint="eastAsia" w:ascii="宋体" w:hAnsi="宋体" w:eastAsia="宋体" w:cs="宋体"/>
          <w:sz w:val="24"/>
          <w:szCs w:val="24"/>
          <w:lang w:eastAsia="zh-CN"/>
        </w:rPr>
        <w:t xml:space="preserve">程序优化,主要有：需要优化预警运算方式，目前循环过慢；且全天运行预警有随机性；计划修改为按照各派出所区分，分配周一到周五固定运行。</w:t>
      </w:r>
      <w:r/>
    </w:p>
    <w:p>
      <w:pPr>
        <w:numPr>
          <w:ilvl w:val="3"/>
          <w:numId w:val="6"/>
        </w:numPr>
        <w:ind w:left="426"/>
        <w:rPr>
          <w:rFonts w:ascii="宋体" w:hAnsi="宋体" w:eastAsia="宋体" w:cs="宋体"/>
          <w:sz w:val="24"/>
          <w:szCs w:val="24"/>
          <w:lang w:eastAsia="zh-CN"/>
        </w:rPr>
      </w:pPr>
      <w:r>
        <w:rPr>
          <w:rFonts w:hint="eastAsia" w:ascii="宋体" w:hAnsi="宋体" w:eastAsia="宋体" w:cs="宋体"/>
          <w:sz w:val="24"/>
          <w:szCs w:val="24"/>
          <w:lang w:eastAsia="zh-CN"/>
        </w:rPr>
        <w:t xml:space="preserve">其他系统运维，系统用户、小区以及摄像头等系统运行配置。</w:t>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3.3.18、</w:t>
      </w:r>
      <w:r>
        <w:rPr>
          <w:rFonts w:hint="eastAsia" w:ascii="宋体" w:hAnsi="宋体" w:eastAsia="宋体" w:cs="宋体"/>
          <w:bCs w:val="0"/>
          <w:sz w:val="24"/>
          <w:szCs w:val="24"/>
          <w:lang w:eastAsia="zh-CN"/>
        </w:rPr>
        <w:t xml:space="preserve">雪亮一期过保软硬件设施（含运维平台）</w:t>
      </w:r>
      <w:r/>
    </w:p>
    <w:p>
      <w:pPr>
        <w:pStyle w:val="947"/>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对雪亮平台雪亮一期主平台过保相关软硬件设施的运维服务</w:t>
      </w:r>
      <w:r/>
    </w:p>
    <w:p>
      <w:pPr>
        <w:pStyle w:val="947"/>
        <w:ind w:left="960" w:firstLine="360"/>
        <w:rPr>
          <w:rFonts w:ascii="宋体" w:hAnsi="宋体" w:eastAsia="宋体" w:cs="宋体"/>
          <w:sz w:val="24"/>
          <w:szCs w:val="24"/>
        </w:rPr>
      </w:pPr>
      <w:r>
        <w:rPr>
          <w:rFonts w:hint="eastAsia" w:ascii="宋体" w:hAnsi="宋体" w:eastAsia="宋体" w:cs="宋体"/>
          <w:sz w:val="24"/>
          <w:szCs w:val="24"/>
        </w:rPr>
        <w:t xml:space="preserve">主要包括：</w:t>
      </w:r>
      <w:r/>
    </w:p>
    <w:tbl>
      <w:tblPr>
        <w:tblStyle w:val="752"/>
        <w:tblW w:w="8340" w:type="dxa"/>
        <w:tblInd w:w="0" w:type="dxa"/>
        <w:tblLayout w:type="autofit"/>
        <w:tblCellMar>
          <w:left w:w="15" w:type="dxa"/>
          <w:top w:w="15" w:type="dxa"/>
          <w:right w:w="15" w:type="dxa"/>
          <w:bottom w:w="15" w:type="dxa"/>
        </w:tblCellMar>
        <w:tblLook w:val="04A0" w:firstRow="1" w:lastRow="0" w:firstColumn="1" w:lastColumn="0" w:noHBand="0" w:noVBand="1"/>
      </w:tblPr>
      <w:tblGrid>
        <w:gridCol w:w="540"/>
        <w:gridCol w:w="2565"/>
        <w:gridCol w:w="3525"/>
        <w:gridCol w:w="630"/>
        <w:gridCol w:w="1080"/>
      </w:tblGrid>
      <w:tr>
        <w:trPr>
          <w:trHeight w:val="570"/>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视频存储解析系统</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CloudIVS3000SCR</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视频云节点1</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CloudIVS3000SCR</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视频云节点2</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CloudIVS3000SCR</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视频云节点3</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CloudIVS3000SCR</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虚拟化平台</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FusionCube</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服务器接入交换机</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CloudEngine6881-48S6CQ</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服务器管理交换机</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S5720-56C-EI-AC</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设备管理交换机</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S5720-56C-EI-AC</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安全区管理交换机</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S5720-56C-EI-AC</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网管系统</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esight</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监控智能运维系统</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中翔</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智能非现场执法服务器</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2288 V5</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视频联网平台服务器</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IVS3000S</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案事件服务器1</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2288 V5</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56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案事件服务器2</w:t>
            </w:r>
            <w:r/>
          </w:p>
        </w:tc>
        <w:tc>
          <w:tcPr>
            <w:tcBorders>
              <w:top w:val="single" w:color="000000" w:sz="4" w:space="0"/>
              <w:left w:val="single" w:color="000000" w:sz="4" w:space="0"/>
              <w:bottom w:val="single" w:color="000000" w:sz="4" w:space="0"/>
              <w:right w:val="single" w:color="000000" w:sz="4" w:space="0"/>
            </w:tcBorders>
            <w:tcW w:w="3525"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 2288 V5</w:t>
            </w:r>
            <w:r/>
          </w:p>
        </w:tc>
        <w:tc>
          <w:tcPr>
            <w:tcBorders>
              <w:top w:val="single" w:color="000000" w:sz="4" w:space="0"/>
              <w:left w:val="single" w:color="000000" w:sz="4" w:space="0"/>
              <w:bottom w:val="single" w:color="000000" w:sz="4" w:space="0"/>
              <w:right w:val="single" w:color="000000" w:sz="4" w:space="0"/>
            </w:tcBorders>
            <w:tcW w:w="63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ind w:firstLine="480"/>
        <w:rPr>
          <w:rFonts w:ascii="宋体" w:hAnsi="宋体" w:eastAsia="宋体" w:cs="宋体"/>
          <w:sz w:val="24"/>
          <w:szCs w:val="24"/>
        </w:rPr>
      </w:pPr>
      <w:r>
        <w:rPr>
          <w:rFonts w:ascii="宋体" w:hAnsi="宋体" w:eastAsia="宋体" w:cs="宋体"/>
          <w:sz w:val="24"/>
          <w:szCs w:val="24"/>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3.3.19、</w:t>
      </w:r>
      <w:r>
        <w:rPr>
          <w:rFonts w:hint="eastAsia" w:ascii="宋体" w:hAnsi="宋体" w:eastAsia="宋体" w:cs="宋体"/>
          <w:sz w:val="24"/>
          <w:szCs w:val="24"/>
          <w:shd w:val="clear" w:color="auto" w:fill="ffffff"/>
          <w:lang w:eastAsia="zh-CN"/>
        </w:rPr>
        <w:t xml:space="preserve">社会面监控汇聚平台服务及维护服务</w:t>
      </w:r>
      <w:r/>
    </w:p>
    <w:p>
      <w:pPr>
        <w:pStyle w:val="748"/>
        <w:rPr>
          <w:rFonts w:ascii="宋体" w:hAnsi="宋体" w:eastAsia="宋体" w:cs="宋体"/>
          <w:sz w:val="24"/>
          <w:szCs w:val="24"/>
          <w:lang w:eastAsia="zh-CN"/>
        </w:rPr>
      </w:pPr>
      <w:r>
        <w:rPr>
          <w:rFonts w:hint="eastAsia" w:ascii="宋体" w:hAnsi="宋体" w:eastAsia="宋体" w:cs="宋体"/>
          <w:sz w:val="24"/>
          <w:szCs w:val="24"/>
          <w:lang w:eastAsia="zh-CN"/>
        </w:rPr>
        <w:t xml:space="preserve">3.3.19.1主要内容：</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对太仓市社会面监控接入平台提供平台建设虚机资源服务，平台管理服务，日常维护服务，社会面监控接入服务等。</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在前期租赁项目基础上，主要汇聚各部委办局和全市小区监控视频至政法委“太仓市公共安全视频共享平台”，并在此基础上增加提供二、三类点位一机一档维护服务。</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社会资源汇聚平台用于汇聚各部委办局的二类监控和来自社会其他行业的三类视频监控点位，并接入视频图像共享交换平台。三类视频监控点主要安装在一般企事业单位、住宅小区、普通场所、商户等，如居民小区出入口、主要道路、停车场、健身休闲区等重要部位安装的监控点位，歌舞娱乐、电影院线、电子游艺、网吧网咖、旅馆、博物馆、档案馆、图书馆、运动场所等出入口、安全通道及其他重要部位安装的监控点位，宾馆、酒店、商城、超市等出入口、大厅、重要通道、收银区域、安全通道、停车场及其他要害部位安装的监控点位。</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社会面资源建设分散、类型繁多、协议多样，同时，建设方式也有所不同。根据网域分，有些建设在互联网下，有些建设在行业私有网络下；根据平台来分，规模大一些的单位会建设监控平台，小商户或小单位通常没有监控平台，所以，针对不同的场景应该有不同的整合方式。</w:t>
      </w:r>
      <w:r/>
    </w:p>
    <w:p>
      <w:pPr>
        <w:pStyle w:val="748"/>
        <w:rPr>
          <w:rFonts w:ascii="宋体" w:hAnsi="宋体" w:eastAsia="宋体" w:cs="宋体"/>
          <w:sz w:val="24"/>
          <w:szCs w:val="24"/>
          <w:lang w:eastAsia="zh-CN"/>
        </w:rPr>
      </w:pPr>
      <w:r>
        <w:rPr>
          <w:rFonts w:hint="eastAsia" w:ascii="宋体" w:hAnsi="宋体" w:eastAsia="宋体" w:cs="宋体"/>
          <w:sz w:val="24"/>
          <w:szCs w:val="24"/>
          <w:lang w:eastAsia="zh-CN"/>
        </w:rPr>
        <w:t xml:space="preserve">3.3.19.2服务清单</w:t>
      </w:r>
      <w:r/>
    </w:p>
    <w:p>
      <w:pPr>
        <w:pStyle w:val="949"/>
        <w:ind w:firstLine="480"/>
        <w:spacing w:line="440" w:lineRule="exact"/>
        <w:rPr>
          <w:rFonts w:ascii="宋体" w:hAnsi="宋体" w:eastAsia="宋体"/>
          <w:sz w:val="24"/>
          <w:szCs w:val="24"/>
        </w:rPr>
      </w:pPr>
      <w:r>
        <w:rPr>
          <w:rFonts w:hint="eastAsia" w:ascii="宋体" w:hAnsi="宋体" w:eastAsia="宋体"/>
          <w:sz w:val="24"/>
          <w:szCs w:val="24"/>
        </w:rPr>
        <w:t xml:space="preserve">主要包括以下内容：</w:t>
      </w:r>
      <w:r/>
    </w:p>
    <w:tbl>
      <w:tblPr>
        <w:tblStyle w:val="75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40"/>
        <w:gridCol w:w="1668"/>
        <w:gridCol w:w="6678"/>
      </w:tblGrid>
      <w:tr>
        <w:trPr>
          <w:trHeight w:val="247"/>
        </w:trPr>
        <w:tc>
          <w:tcPr>
            <w:tcBorders>
              <w:top w:val="single" w:color="auto" w:sz="4" w:space="0"/>
              <w:left w:val="single" w:color="auto" w:sz="4" w:space="0"/>
              <w:bottom w:val="single" w:color="auto" w:sz="4" w:space="0"/>
              <w:right w:val="single" w:color="auto" w:sz="4" w:space="0"/>
            </w:tcBorders>
            <w:tcW w:w="506" w:type="pct"/>
            <w:vAlign w:val="center"/>
            <w:textDirection w:val="lrTb"/>
            <w:noWrap/>
          </w:tcPr>
          <w:p>
            <w:pP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898" w:type="pct"/>
            <w:vAlign w:val="center"/>
            <w:textDirection w:val="lrTb"/>
            <w:noWrap/>
          </w:tcPr>
          <w:p>
            <w:pPr>
              <w:jc w:val="both"/>
              <w:rPr>
                <w:rFonts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3595" w:type="pct"/>
            <w:vAlign w:val="center"/>
            <w:textDirection w:val="lrTb"/>
            <w:noWrap/>
          </w:tcPr>
          <w:p>
            <w:pPr>
              <w:ind w:firstLine="480"/>
              <w:jc w:val="center"/>
              <w:rPr>
                <w:rFonts w:ascii="宋体" w:hAnsi="宋体" w:eastAsia="宋体" w:cs="宋体"/>
                <w:b/>
                <w:bCs/>
                <w:sz w:val="24"/>
                <w:szCs w:val="24"/>
              </w:rPr>
            </w:pPr>
            <w:r>
              <w:rPr>
                <w:rFonts w:hint="eastAsia" w:ascii="宋体" w:hAnsi="宋体" w:eastAsia="宋体" w:cs="宋体"/>
                <w:b/>
                <w:bCs/>
                <w:sz w:val="24"/>
                <w:szCs w:val="24"/>
              </w:rPr>
              <w:t xml:space="preserve">描述</w:t>
            </w:r>
            <w:r/>
          </w:p>
        </w:tc>
      </w:tr>
      <w:tr>
        <w:trPr>
          <w:trHeight w:val="395"/>
        </w:trPr>
        <w:tc>
          <w:tcPr>
            <w:tcBorders>
              <w:top w:val="single" w:color="auto" w:sz="4" w:space="0"/>
              <w:left w:val="single" w:color="auto" w:sz="4" w:space="0"/>
              <w:bottom w:val="single" w:color="auto" w:sz="4" w:space="0"/>
              <w:right w:val="single" w:color="auto" w:sz="4" w:space="0"/>
            </w:tcBorders>
            <w:tcW w:w="506" w:type="pct"/>
            <w:vAlign w:val="center"/>
            <w:textDirection w:val="lrTb"/>
            <w:noWrap/>
          </w:tcPr>
          <w:p>
            <w:pPr>
              <w:ind w:firstLine="480"/>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none" w:color="000000" w:sz="4" w:space="0"/>
              <w:bottom w:val="single" w:color="auto" w:sz="4" w:space="0"/>
              <w:right w:val="single" w:color="auto" w:sz="4" w:space="0"/>
            </w:tcBorders>
            <w:tcW w:w="898"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汇聚平台组网服务</w:t>
            </w:r>
            <w:r/>
          </w:p>
        </w:tc>
        <w:tc>
          <w:tcPr>
            <w:tcBorders>
              <w:top w:val="single" w:color="auto" w:sz="4" w:space="0"/>
              <w:left w:val="none" w:color="000000" w:sz="4" w:space="0"/>
              <w:bottom w:val="single" w:color="auto" w:sz="4" w:space="0"/>
              <w:right w:val="single" w:color="auto" w:sz="4" w:space="0"/>
            </w:tcBorders>
            <w:tcW w:w="3595" w:type="pct"/>
            <w:vAlign w:val="center"/>
            <w:textDirection w:val="lrTb"/>
            <w:noWrap/>
          </w:tcPr>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视频网核心交换机及接入防火墙租赁组网服务</w:t>
            </w:r>
            <w:r/>
          </w:p>
        </w:tc>
      </w:tr>
      <w:tr>
        <w:trPr>
          <w:trHeight w:val="395"/>
        </w:trPr>
        <w:tc>
          <w:tcPr>
            <w:tcBorders>
              <w:top w:val="none" w:color="000000" w:sz="4" w:space="0"/>
              <w:left w:val="single" w:color="auto" w:sz="4" w:space="0"/>
              <w:bottom w:val="single" w:color="auto" w:sz="4" w:space="0"/>
              <w:right w:val="single" w:color="auto" w:sz="4" w:space="0"/>
            </w:tcBorders>
            <w:tcW w:w="506" w:type="pct"/>
            <w:vAlign w:val="center"/>
            <w:textDirection w:val="lrTb"/>
            <w:noWrap/>
          </w:tcPr>
          <w:p>
            <w:pPr>
              <w:ind w:firstLine="480"/>
              <w:jc w:val="center"/>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898"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云服务器租赁服务</w:t>
            </w:r>
            <w:r/>
          </w:p>
        </w:tc>
        <w:tc>
          <w:tcPr>
            <w:tcBorders>
              <w:top w:val="none" w:color="000000" w:sz="4" w:space="0"/>
              <w:left w:val="none" w:color="000000" w:sz="4" w:space="0"/>
              <w:bottom w:val="single" w:color="auto" w:sz="4" w:space="0"/>
              <w:right w:val="single" w:color="auto" w:sz="4" w:space="0"/>
            </w:tcBorders>
            <w:tcW w:w="3595" w:type="pct"/>
            <w:vAlign w:val="center"/>
            <w:textDirection w:val="lrTb"/>
            <w:noWrap/>
          </w:tcPr>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社会面视频汇聚平台云服务器不少于10台（须满足社会面1500个单位、5万路视频汇聚接入容量）</w:t>
            </w:r>
            <w:r/>
          </w:p>
        </w:tc>
      </w:tr>
      <w:tr>
        <w:trPr>
          <w:trHeight w:val="395"/>
        </w:trPr>
        <w:tc>
          <w:tcPr>
            <w:tcBorders>
              <w:top w:val="none" w:color="000000" w:sz="4" w:space="0"/>
              <w:left w:val="single" w:color="auto" w:sz="4" w:space="0"/>
              <w:bottom w:val="single" w:color="auto" w:sz="4" w:space="0"/>
              <w:right w:val="single" w:color="auto" w:sz="4" w:space="0"/>
            </w:tcBorders>
            <w:tcW w:w="506" w:type="pct"/>
            <w:vAlign w:val="center"/>
            <w:textDirection w:val="lrTb"/>
            <w:noWrap/>
          </w:tcPr>
          <w:p>
            <w:pPr>
              <w:ind w:firstLine="480"/>
              <w:jc w:val="center"/>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898"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社会面资源汇聚服务</w:t>
            </w:r>
            <w:r/>
          </w:p>
        </w:tc>
        <w:tc>
          <w:tcPr>
            <w:tcBorders>
              <w:top w:val="none" w:color="000000" w:sz="4" w:space="0"/>
              <w:left w:val="none" w:color="000000" w:sz="4" w:space="0"/>
              <w:bottom w:val="single" w:color="auto" w:sz="4" w:space="0"/>
              <w:right w:val="single" w:color="auto" w:sz="4" w:space="0"/>
            </w:tcBorders>
            <w:tcW w:w="3595" w:type="pct"/>
            <w:vAlign w:val="center"/>
            <w:textDirection w:val="lrTb"/>
            <w:noWrap/>
          </w:tcPr>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汇聚各部委办局和全市小区监控视频至政法委“太仓市公共安全视频共享平台”，社会面监控资源汇聚平台维护各监控接入点位巡检、维修服务费</w:t>
            </w:r>
            <w:r/>
          </w:p>
        </w:tc>
      </w:tr>
      <w:tr>
        <w:trPr>
          <w:trHeight w:val="395"/>
        </w:trPr>
        <w:tc>
          <w:tcPr>
            <w:tcBorders>
              <w:top w:val="single" w:color="auto" w:sz="4" w:space="0"/>
              <w:left w:val="single" w:color="auto" w:sz="4" w:space="0"/>
              <w:bottom w:val="single" w:color="auto" w:sz="4" w:space="0"/>
              <w:right w:val="single" w:color="auto" w:sz="4" w:space="0"/>
            </w:tcBorders>
            <w:tcW w:w="506" w:type="pct"/>
            <w:vAlign w:val="center"/>
            <w:textDirection w:val="lrTb"/>
            <w:noWrap/>
          </w:tcPr>
          <w:p>
            <w:pPr>
              <w:ind w:firstLine="480"/>
              <w:jc w:val="center"/>
              <w:rPr>
                <w:rFonts w:ascii="宋体" w:hAnsi="宋体" w:eastAsia="宋体" w:cs="宋体"/>
                <w:sz w:val="24"/>
                <w:szCs w:val="24"/>
              </w:rPr>
            </w:pPr>
            <w:r>
              <w:rPr>
                <w:rFonts w:hint="eastAsia" w:ascii="宋体" w:hAnsi="宋体" w:eastAsia="宋体" w:cs="宋体"/>
                <w:sz w:val="24"/>
                <w:szCs w:val="24"/>
              </w:rPr>
              <w:t xml:space="preserve">44</w:t>
            </w:r>
            <w:r/>
          </w:p>
        </w:tc>
        <w:tc>
          <w:tcPr>
            <w:tcBorders>
              <w:top w:val="single" w:color="auto" w:sz="4" w:space="0"/>
              <w:left w:val="none" w:color="000000" w:sz="4" w:space="0"/>
              <w:bottom w:val="single" w:color="auto" w:sz="4" w:space="0"/>
              <w:right w:val="single" w:color="auto" w:sz="4" w:space="0"/>
            </w:tcBorders>
            <w:tcW w:w="898"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一机一档</w:t>
            </w:r>
            <w:r/>
          </w:p>
          <w:p>
            <w:pPr>
              <w:rPr>
                <w:rFonts w:ascii="宋体" w:hAnsi="宋体" w:eastAsia="宋体" w:cs="宋体"/>
                <w:sz w:val="24"/>
                <w:szCs w:val="24"/>
              </w:rPr>
            </w:pPr>
            <w:r>
              <w:rPr>
                <w:rFonts w:hint="eastAsia" w:ascii="宋体" w:hAnsi="宋体" w:eastAsia="宋体" w:cs="宋体"/>
                <w:sz w:val="24"/>
                <w:szCs w:val="24"/>
              </w:rPr>
              <w:t xml:space="preserve">维护服务</w:t>
            </w:r>
            <w:r/>
          </w:p>
        </w:tc>
        <w:tc>
          <w:tcPr>
            <w:tcBorders>
              <w:top w:val="single" w:color="auto" w:sz="4" w:space="0"/>
              <w:left w:val="none" w:color="000000" w:sz="4" w:space="0"/>
              <w:bottom w:val="single" w:color="auto" w:sz="4" w:space="0"/>
              <w:right w:val="single" w:color="auto" w:sz="4" w:space="0"/>
            </w:tcBorders>
            <w:tcW w:w="3595" w:type="pct"/>
            <w:vAlign w:val="center"/>
            <w:textDirection w:val="lrTb"/>
            <w:noWrap/>
          </w:tcPr>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提供二、三类点位一机一档维护服务</w:t>
            </w:r>
            <w:r/>
          </w:p>
        </w:tc>
      </w:tr>
    </w:tbl>
    <w:p>
      <w:pPr>
        <w:pStyle w:val="749"/>
        <w:rPr>
          <w:rFonts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3.3.19.2.1汇聚平台组网服务</w:t>
      </w:r>
      <w:r/>
    </w:p>
    <w:p>
      <w:pPr>
        <w:pStyle w:val="755"/>
        <w:ind w:firstLine="480"/>
        <w:rPr>
          <w:rFonts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本项目通过租赁运营商专线，采用三层汇聚交换机，把各部委办局和社会面监控平台、监控资源通过汇聚交换机及防火墙接入市电子政务外网，再共享整合到政法委“太仓市公共安全视频共享平台”，最后共享至公安视频专网视频监控平台。</w:t>
      </w:r>
      <w:r/>
    </w:p>
    <w:p>
      <w:pPr>
        <w:pStyle w:val="749"/>
        <w:rPr>
          <w:rFonts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3.3.19.2.2云服务器租赁服务</w:t>
      </w:r>
      <w:r/>
    </w:p>
    <w:p>
      <w:pPr>
        <w:pStyle w:val="750"/>
        <w:rPr>
          <w:rFonts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a.服务器配置清单</w:t>
      </w:r>
      <w:r/>
    </w:p>
    <w:tbl>
      <w:tblPr>
        <w:tblStyle w:val="752"/>
        <w:tblW w:w="5000" w:type="pct"/>
        <w:tblInd w:w="0"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36"/>
        <w:gridCol w:w="856"/>
        <w:gridCol w:w="1936"/>
        <w:gridCol w:w="4164"/>
        <w:gridCol w:w="857"/>
        <w:gridCol w:w="737"/>
      </w:tblGrid>
      <w:tr>
        <w:trPr>
          <w:trHeight w:val="650"/>
        </w:trPr>
        <w:tc>
          <w:tcPr>
            <w:shd w:val="clear" w:color="auto" w:fill="ffffff"/>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both"/>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rPr>
                <w:rFonts w:ascii="宋体" w:hAnsi="宋体" w:eastAsia="宋体" w:cs="宋体"/>
                <w:b/>
                <w:sz w:val="24"/>
                <w:szCs w:val="24"/>
              </w:rPr>
            </w:pPr>
            <w:r>
              <w:rPr>
                <w:rFonts w:hint="eastAsia" w:ascii="宋体" w:hAnsi="宋体" w:eastAsia="宋体" w:cs="宋体"/>
                <w:b/>
                <w:sz w:val="24"/>
                <w:szCs w:val="24"/>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both"/>
              <w:rPr>
                <w:rFonts w:ascii="宋体" w:hAnsi="宋体" w:eastAsia="宋体" w:cs="宋体"/>
                <w:b/>
                <w:sz w:val="24"/>
                <w:szCs w:val="24"/>
              </w:rPr>
            </w:pPr>
            <w:r>
              <w:rPr>
                <w:rFonts w:hint="eastAsia" w:ascii="宋体" w:hAnsi="宋体" w:eastAsia="宋体" w:cs="宋体"/>
                <w:b/>
                <w:sz w:val="24"/>
                <w:szCs w:val="24"/>
              </w:rPr>
              <w:t xml:space="preserve">技术规格</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jc w:val="both"/>
              <w:rPr>
                <w:rFonts w:ascii="宋体" w:hAnsi="宋体" w:eastAsia="宋体" w:cs="宋体"/>
                <w:b/>
                <w:sz w:val="24"/>
                <w:szCs w:val="24"/>
              </w:rPr>
            </w:pPr>
            <w:r>
              <w:rPr>
                <w:rFonts w:hint="eastAsia" w:ascii="宋体" w:hAnsi="宋体" w:eastAsia="宋体" w:cs="宋体"/>
                <w:b/>
                <w:sz w:val="24"/>
                <w:szCs w:val="24"/>
              </w:rPr>
              <w:t xml:space="preserve">配置说明</w:t>
            </w:r>
            <w:r/>
          </w:p>
        </w:tc>
        <w:tc>
          <w:tcPr>
            <w:shd w:val="clear" w:color="auto" w:fill="ffffff"/>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rPr>
                <w:rFonts w:ascii="宋体" w:hAnsi="宋体" w:eastAsia="宋体" w:cs="宋体"/>
                <w:b/>
                <w:sz w:val="24"/>
                <w:szCs w:val="24"/>
              </w:rPr>
            </w:pPr>
            <w:r>
              <w:rPr>
                <w:rFonts w:hint="eastAsia" w:ascii="宋体" w:hAnsi="宋体" w:eastAsia="宋体" w:cs="宋体"/>
                <w:b/>
                <w:sz w:val="24"/>
                <w:szCs w:val="24"/>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rPr>
                <w:rFonts w:ascii="宋体" w:hAnsi="宋体" w:eastAsia="宋体" w:cs="宋体"/>
                <w:b/>
                <w:sz w:val="24"/>
                <w:szCs w:val="24"/>
              </w:rPr>
            </w:pPr>
            <w:r>
              <w:rPr>
                <w:rFonts w:hint="eastAsia" w:ascii="宋体" w:hAnsi="宋体" w:eastAsia="宋体" w:cs="宋体"/>
                <w:b/>
                <w:sz w:val="24"/>
                <w:szCs w:val="24"/>
              </w:rPr>
              <w:t xml:space="preserve">数量</w:t>
            </w:r>
            <w:r/>
          </w:p>
        </w:tc>
      </w:tr>
      <w:tr>
        <w:trPr>
          <w:trHeight w:val="297"/>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智能应用服务器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32vCPU/64GB内存/1000GB硬盘/1*GE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1、配置指导：单平台配置1台</w:t>
            </w:r>
            <w:r>
              <w:rPr>
                <w:rFonts w:hint="eastAsia" w:ascii="宋体" w:hAnsi="宋体" w:eastAsia="宋体" w:cs="宋体"/>
                <w:sz w:val="24"/>
                <w:szCs w:val="24"/>
              </w:rPr>
              <w:br/>
            </w:r>
            <w:r>
              <w:rPr>
                <w:rFonts w:hint="eastAsia" w:ascii="宋体" w:hAnsi="宋体" w:eastAsia="宋体" w:cs="宋体"/>
                <w:sz w:val="24"/>
                <w:szCs w:val="24"/>
              </w:rPr>
              <w:t xml:space="preserve">2、部署模块：查询中心组件(isearch)、地图应用组件(imap)、视频应用组件(bvideo)、插件助手(btools)、布控报警应用(balarm)、移动客户端(bmobile)、暂存架(ishelf)、各类智能应用组件</w:t>
            </w:r>
            <w:r>
              <w:rPr>
                <w:rFonts w:hint="eastAsia" w:ascii="宋体" w:hAnsi="宋体" w:eastAsia="宋体" w:cs="宋体"/>
                <w:sz w:val="24"/>
                <w:szCs w:val="24"/>
              </w:rPr>
              <w:br/>
            </w:r>
            <w:r>
              <w:rPr>
                <w:rFonts w:hint="eastAsia" w:ascii="宋体" w:hAnsi="宋体" w:eastAsia="宋体" w:cs="宋体"/>
                <w:sz w:val="24"/>
                <w:szCs w:val="24"/>
              </w:rPr>
              <w:t xml:space="preserve">3、操作系统：海康版linux操作系统Centos7.4</w:t>
            </w:r>
            <w:r>
              <w:rPr>
                <w:rFonts w:hint="eastAsia" w:ascii="宋体" w:hAnsi="宋体" w:eastAsia="宋体" w:cs="宋体"/>
                <w:sz w:val="24"/>
                <w:szCs w:val="24"/>
              </w:rPr>
              <w:br/>
            </w:r>
            <w:r>
              <w:rPr>
                <w:rFonts w:hint="eastAsia" w:ascii="宋体" w:hAnsi="宋体" w:eastAsia="宋体" w:cs="宋体"/>
                <w:sz w:val="24"/>
                <w:szCs w:val="24"/>
              </w:rPr>
              <w:t xml:space="preserve">4、支持5万路，100用户并发登录，同时在线2000用户。</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1</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智能应用管理服务器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32vCPU/64GB内存/1000GB硬盘/1*GE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1、配置指导：单平台配置1台</w:t>
            </w:r>
            <w:r>
              <w:rPr>
                <w:rFonts w:hint="eastAsia" w:ascii="宋体" w:hAnsi="宋体" w:eastAsia="宋体" w:cs="宋体"/>
                <w:sz w:val="24"/>
                <w:szCs w:val="24"/>
              </w:rPr>
              <w:br/>
            </w:r>
            <w:r>
              <w:rPr>
                <w:rFonts w:hint="eastAsia" w:ascii="宋体" w:hAnsi="宋体" w:eastAsia="宋体" w:cs="宋体"/>
                <w:sz w:val="24"/>
                <w:szCs w:val="24"/>
              </w:rPr>
              <w:t xml:space="preserve">2、部署模块：业务字典组件(</w:t>
            </w:r>
            <w:r>
              <w:rPr>
                <w:rFonts w:hint="eastAsia" w:ascii="宋体" w:hAnsi="宋体" w:eastAsia="宋体" w:cs="宋体"/>
                <w:sz w:val="24"/>
                <w:szCs w:val="24"/>
              </w:rPr>
              <w:t xml:space="preserve">xdictionary)、业务资源检索(xres)、业务权限组件(xauth)、报警引擎组件(xalarm)、业务适配组件(xadaptor)、业务资源管理(xresmgr)、应用配置组件(xconfig)、业务任务组件(xjob)、业务执行代理(xtrigger)、JRE(jre18linux64)、tomcat(tomcat85linux64)、注册中心（consul）、简单文件存储（minio）、Active消息(activemq)、Rabbit消息(rabbitmq)、集群代理服务(cluster)</w:t>
            </w:r>
            <w:r>
              <w:rPr>
                <w:rFonts w:hint="eastAsia" w:ascii="宋体" w:hAnsi="宋体" w:eastAsia="宋体" w:cs="宋体"/>
                <w:sz w:val="24"/>
                <w:szCs w:val="24"/>
              </w:rPr>
              <w:br/>
            </w:r>
            <w:r>
              <w:rPr>
                <w:rFonts w:hint="eastAsia" w:ascii="宋体" w:hAnsi="宋体" w:eastAsia="宋体" w:cs="宋体"/>
                <w:sz w:val="24"/>
                <w:szCs w:val="24"/>
              </w:rPr>
              <w:t xml:space="preserve">3、操作系统：海康版linux操作系统Centos7.4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1</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核心服务/资源管理调度平台服务器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32vCPU/64GB内存/1000GB硬盘/1*GE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sz w:val="24"/>
                <w:szCs w:val="24"/>
              </w:rPr>
            </w:pPr>
            <w:r>
              <w:rPr>
                <w:rFonts w:hint="eastAsia" w:ascii="宋体" w:hAnsi="宋体" w:eastAsia="宋体" w:cs="宋体"/>
                <w:sz w:val="24"/>
                <w:szCs w:val="24"/>
              </w:rPr>
              <w:t xml:space="preserve">1、配置指导：单平台配置1台</w:t>
            </w:r>
            <w:r>
              <w:rPr>
                <w:rFonts w:hint="eastAsia" w:ascii="宋体" w:hAnsi="宋体" w:eastAsia="宋体" w:cs="宋体"/>
                <w:sz w:val="24"/>
                <w:szCs w:val="24"/>
              </w:rPr>
              <w:br/>
            </w:r>
            <w:r>
              <w:rPr>
                <w:rFonts w:hint="eastAsia" w:ascii="宋体" w:hAnsi="宋体" w:eastAsia="宋体" w:cs="宋体"/>
                <w:sz w:val="24"/>
                <w:szCs w:val="24"/>
              </w:rPr>
              <w:t xml:space="preserve">2、部署模块：智能业务执行(ait)、智能任务管理(aim)、智能调度(ais)、智能调度数据源(aid)、资源管理调度集成(edm)、边缘域管理(ensv)、计算资源管理调度(cac)、核心服务(bic)、授时服务(ntp)、采集上报(reportservice)、消息推送(mps)、缓存服务(redis)、门户(portal)、移动服务平台(xmobile)、地图通用服务(xmap)、海康地理信息系统(hgis)</w:t>
            </w:r>
            <w:r>
              <w:rPr>
                <w:rFonts w:hint="eastAsia" w:ascii="宋体" w:hAnsi="宋体" w:eastAsia="宋体" w:cs="宋体"/>
                <w:sz w:val="24"/>
                <w:szCs w:val="24"/>
              </w:rPr>
              <w:br/>
            </w:r>
            <w:r>
              <w:rPr>
                <w:rFonts w:hint="eastAsia" w:ascii="宋体" w:hAnsi="宋体" w:eastAsia="宋体" w:cs="宋体"/>
                <w:sz w:val="24"/>
                <w:szCs w:val="24"/>
              </w:rPr>
              <w:t xml:space="preserve">3、操作系统：海康版linux操作系统Centos7.4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1</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数据库/存储及电视墙管理服务器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rPr>
              <w:t xml:space="preserve">32vCPU/64GB内存/1000GB硬盘/1*GE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1、配置指导：单平台配置1台</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2、tvms组件每管理10个电视墙（解码设备上限127个）增加一台服务器</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3、部署模块：存储接入组件(sac)、联网共享组件(vnsc)、电视墙组件（tvms）、短信代理服务(smsps)、邮件服务器(mailps)</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4、操作系统：需另外安装海康版linux操作系统Centos7.4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设备接入/视频点播服务器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rPr>
              <w:t xml:space="preserve">16vCPU/16GB内存/100GB硬盘/1*GE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1、配置指导：每5000台监控设备/10000视频通道增加1台服务器</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2、部署模块：设备接入组件(dac)、视频点播组件(vod)，需要设置独占带宽（1Gbps）</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3、单台在千兆网络环境下支持150路4M码流并发取流/或75路8M码流并发取流/或300路2M码流并发取流/或600路1M码流并发取流；并发处理1000条/秒无图报警事件。</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rPr>
              <w:t xml:space="preserve">4、操作系统：海康版linux操作系统Centos7.4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联网网关服务器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rPr>
              <w:t xml:space="preserve">16vCPU/16GB内存/1000GB硬盘/1*GE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1、配置指导：每20万个下级级联监控点或每10万个向上级级联监控点的管理增加1台服务器(需满足第3点中数据并发量的限制）</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2、部署模块：联网网关组件(ncg)，需要设置独占带宽（1Gbps）</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3、单台在千兆网络环境下可同时提供:150路4Mb码流并发取流/或75路8Mb码流并发取流/或300路2Mb码流取流/或600路1Mb码流取流</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4、操作系统：海康版linux操作系统Centos7.4</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595"/>
        </w:trPr>
        <w:tc>
          <w:tcPr>
            <w:shd w:val="clear" w:color="auto" w:fill="ffffff"/>
            <w:tcBorders>
              <w:top w:val="none" w:color="000000" w:sz="4" w:space="0"/>
              <w:left w:val="single" w:color="auto"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val="false"/>
          </w:tcPr>
          <w:p>
            <w:pPr>
              <w:ind w:firstLine="400"/>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视频运维/日志/数据检索服务器</w:t>
            </w:r>
            <w:r/>
          </w:p>
        </w:tc>
        <w:tc>
          <w:tcPr>
            <w:shd w:val="clear" w:color="auto"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rPr>
              <w:t xml:space="preserve">32vCPU/64GB内存/1500GB硬盘/1*GE</w:t>
            </w:r>
            <w:r/>
          </w:p>
        </w:tc>
        <w:tc>
          <w:tcPr>
            <w:shd w:val="clear" w:color="auto" w:fill="ffffff"/>
            <w:tcBorders>
              <w:top w:val="single" w:color="auto" w:sz="4" w:space="0"/>
              <w:left w:val="single" w:color="auto" w:sz="4" w:space="0"/>
              <w:bottom w:val="single" w:color="auto" w:sz="4" w:space="0"/>
              <w:right w:val="single" w:color="000000" w:sz="4" w:space="0"/>
            </w:tcBorders>
            <w:tcW w:w="2352" w:type="pct"/>
            <w:vAlign w:val="center"/>
            <w:textDirection w:val="lrTb"/>
            <w:noWrap w:val="false"/>
          </w:tcPr>
          <w:p>
            <w:pPr>
              <w:ind w:firstLine="400"/>
              <w:rPr>
                <w:rFonts w:ascii="宋体" w:hAnsi="宋体" w:eastAsia="宋体" w:cs="宋体"/>
                <w:color w:val="000000"/>
                <w:sz w:val="24"/>
                <w:szCs w:val="24"/>
              </w:rPr>
            </w:pPr>
            <w:r>
              <w:rPr>
                <w:rFonts w:hint="eastAsia" w:ascii="宋体" w:hAnsi="宋体" w:eastAsia="宋体" w:cs="宋体"/>
                <w:color w:val="000000"/>
                <w:sz w:val="24"/>
                <w:szCs w:val="24"/>
              </w:rPr>
              <w:t xml:space="preserve">1、部署模块：检索服务组件（elasticsearch）、日志服务（logservice）、视频网管组件（nms、paf）</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2、操作系统：需另外安装海康版linux操作系统Centos7.4</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3、每个平台配置1台服务器</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cBorders>
              <w:top w:val="none" w:color="000000" w:sz="4" w:space="0"/>
              <w:left w:val="none" w:color="000000" w:sz="4" w:space="0"/>
              <w:bottom w:val="single" w:color="auto" w:sz="4" w:space="0"/>
              <w:right w:val="single" w:color="auto" w:sz="4" w:space="0"/>
            </w:tcBorders>
            <w:tcW w:w="439" w:type="pct"/>
            <w:vAlign w:val="center"/>
            <w:textDirection w:val="lrTb"/>
            <w:noWrap/>
          </w:tcPr>
          <w:p>
            <w:pPr>
              <w:ind w:firstLine="40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pStyle w:val="750"/>
        <w:rPr>
          <w:rFonts w:ascii="宋体" w:hAnsi="宋体" w:eastAsia="宋体" w:cs="宋体"/>
          <w:sz w:val="24"/>
          <w:szCs w:val="24"/>
        </w:rPr>
      </w:pPr>
      <w:r>
        <w:rPr>
          <w:rFonts w:hint="eastAsia" w:ascii="宋体" w:hAnsi="宋体" w:eastAsia="宋体" w:cs="宋体"/>
          <w:sz w:val="24"/>
          <w:szCs w:val="24"/>
        </w:rPr>
        <w:t xml:space="preserve">b.服务要求</w:t>
      </w:r>
      <w:r/>
    </w:p>
    <w:p>
      <w:pPr>
        <w:ind w:firstLine="480"/>
        <w:rPr>
          <w:rFonts w:ascii="宋体" w:hAnsi="宋体" w:eastAsia="宋体" w:cs="宋体"/>
          <w:sz w:val="24"/>
          <w:szCs w:val="24"/>
        </w:rPr>
      </w:pPr>
      <w:r>
        <w:rPr>
          <w:rFonts w:hint="eastAsia" w:ascii="宋体" w:hAnsi="宋体" w:eastAsia="宋体" w:cs="宋体"/>
          <w:sz w:val="24"/>
          <w:szCs w:val="24"/>
        </w:rPr>
        <w:t xml:space="preserve">（1）可移植性及开放性</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云服务器平台应适应太仓市政务外网业务系统类型多样、结构复杂的特点，在体系架构、设备选型、软件配置、数据交互等方面需兼容各种主流的应用系统环境，保障业务系统及数据迁移的可移植性。同时，平台提供开放的技术接口，满足各应用系统基于平台的二次开发需求。</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（2）安全性</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云服务器平台作为政务应用的承载体，应严格按照国家及行业安全标准规范设计建设，遵照各级保密法律法规，采取切实有效的措施，确保系统安全稳定运行。</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（3）可扩展性</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投标人在搭建云服务器平台时，应充分考虑未来信息化发展趋势，系统的总体设计采用层次化、组件化设计，为今后平台扩展留有空间。</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（4）易用性</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云服务器平台应操作简单、使用方便、可集中管理和易于维护。</w:t>
      </w:r>
      <w:r/>
    </w:p>
    <w:p>
      <w:pPr>
        <w:pStyle w:val="750"/>
        <w:rPr>
          <w:rFonts w:ascii="宋体" w:hAnsi="宋体" w:eastAsia="宋体" w:cs="宋体"/>
          <w:sz w:val="24"/>
          <w:szCs w:val="24"/>
          <w:lang w:eastAsia="zh-CN"/>
        </w:rPr>
      </w:pPr>
      <w:r>
        <w:rPr>
          <w:rFonts w:hint="eastAsia" w:ascii="宋体" w:hAnsi="宋体" w:eastAsia="宋体" w:cs="宋体"/>
          <w:sz w:val="24"/>
          <w:szCs w:val="24"/>
          <w:lang w:eastAsia="zh-CN"/>
        </w:rPr>
        <w:t xml:space="preserve">c.服务内容</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（1）基础设施资源服务：包括机房资源服务、网络资源服务、计算资源服务、存储资源服务和灾备服务。</w:t>
      </w:r>
      <w:r/>
    </w:p>
    <w:p>
      <w:pPr>
        <w:ind w:firstLine="480"/>
        <w:rPr>
          <w:rFonts w:ascii="宋体" w:hAnsi="宋体" w:eastAsia="宋体" w:cs="宋体"/>
          <w:sz w:val="24"/>
          <w:szCs w:val="24"/>
          <w:lang w:val="zh-CN" w:eastAsia="zh-CN"/>
        </w:rPr>
      </w:pPr>
      <w:r>
        <w:rPr>
          <w:rFonts w:hint="eastAsia" w:ascii="宋体" w:hAnsi="宋体" w:eastAsia="宋体" w:cs="宋体"/>
          <w:sz w:val="24"/>
          <w:szCs w:val="24"/>
          <w:lang w:eastAsia="zh-CN"/>
        </w:rPr>
        <w:t xml:space="preserve">（2）信息安全技术服务：包括安全防护服务、用户安全服务、安全接入服务、安全管理服务、安全扫描服务、</w:t>
      </w:r>
      <w:r>
        <w:rPr>
          <w:rFonts w:hint="eastAsia" w:ascii="宋体" w:hAnsi="宋体" w:eastAsia="宋体" w:cs="宋体"/>
          <w:sz w:val="24"/>
          <w:szCs w:val="24"/>
          <w:lang w:val="zh-CN" w:eastAsia="zh-CN"/>
        </w:rPr>
        <w:t xml:space="preserve">网站防护服务等。</w:t>
      </w:r>
      <w:r/>
    </w:p>
    <w:p>
      <w:pPr>
        <w:ind w:firstLine="480"/>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（3）运行保障服务：包括政务云平台的资源监测、资源配置、资源优化、服务监控、事件处理、运维流程、日常巡检、备份恢复、灾备管理、应急预案管理、服务质量监督和报告等服务。</w:t>
      </w:r>
      <w:r/>
    </w:p>
    <w:p>
      <w:pPr>
        <w:ind w:firstLine="480"/>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（4）建立健全配套制度标准。投标企业可提供基于自身平台的相关标准、办法及建议，如：云服务商可提供政务云管理办法、运维制度、应急预案等。</w:t>
      </w:r>
      <w:r/>
    </w:p>
    <w:p>
      <w:pPr>
        <w:ind w:firstLine="480"/>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（5）建立健全满足云安全监管需要的配套检测、监管手段（如：流量），及相应监测办法。</w:t>
      </w:r>
      <w:r/>
    </w:p>
    <w:p>
      <w:pPr>
        <w:pStyle w:val="749"/>
        <w:rPr>
          <w:rFonts w:ascii="宋体" w:hAnsi="宋体" w:eastAsia="宋体" w:cs="宋体"/>
          <w:sz w:val="24"/>
          <w:szCs w:val="24"/>
        </w:rPr>
      </w:pPr>
      <w:r>
        <w:rPr>
          <w:rFonts w:hint="eastAsia" w:ascii="宋体" w:hAnsi="宋体" w:eastAsia="宋体" w:cs="宋体"/>
          <w:sz w:val="24"/>
          <w:szCs w:val="24"/>
        </w:rPr>
        <w:t xml:space="preserve">3.3.19.2.3社会面资源汇聚服务</w:t>
      </w:r>
      <w:r/>
    </w:p>
    <w:p>
      <w:pPr>
        <w:numPr>
          <w:ilvl w:val="3"/>
          <w:numId w:val="7"/>
        </w:numPr>
        <w:ind w:left="426"/>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社会面资源汇聚平台维护：社会资源汇聚平台运行状态监测和日常维护，监控点位的增加、删除、修改以及基础信息录入、维护等，国标编码、视频图像文字标注须符合公安相关规范。</w:t>
      </w:r>
      <w:r/>
    </w:p>
    <w:p>
      <w:pPr>
        <w:numPr>
          <w:ilvl w:val="3"/>
          <w:numId w:val="7"/>
        </w:numPr>
        <w:ind w:left="426"/>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监控接入点位巡检和维护服务：每天对社会面资源汇聚平台监控接入点位进行巡检，当发现有接入点离线，及时派人维修，一般故障1.5小时内修复，线路故障24小时内修复。</w:t>
      </w:r>
      <w:r/>
    </w:p>
    <w:p>
      <w:pPr>
        <w:numPr>
          <w:ilvl w:val="3"/>
          <w:numId w:val="7"/>
        </w:numPr>
        <w:ind w:left="426"/>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监控接入点位经纬度采集标注服务（支持公安84坐标系）：接入社会面资源汇聚平台的监控点位须采集设备经纬度，并在地图上进行标注。</w:t>
      </w:r>
      <w:r/>
    </w:p>
    <w:p>
      <w:pPr>
        <w:pStyle w:val="749"/>
        <w:rPr>
          <w:rFonts w:ascii="宋体" w:hAnsi="宋体" w:eastAsia="宋体" w:cs="宋体"/>
          <w:sz w:val="24"/>
          <w:szCs w:val="24"/>
          <w:lang w:eastAsia="zh-CN"/>
        </w:rPr>
      </w:pPr>
      <w:r>
        <w:rPr>
          <w:rFonts w:hint="eastAsia" w:ascii="宋体" w:hAnsi="宋体" w:eastAsia="宋体" w:cs="宋体"/>
          <w:sz w:val="24"/>
          <w:szCs w:val="24"/>
          <w:lang w:eastAsia="zh-CN"/>
        </w:rPr>
        <w:t xml:space="preserve">3.3.19.2.4一机一档维护服务</w:t>
      </w:r>
      <w:r/>
    </w:p>
    <w:p>
      <w:pPr>
        <w:ind w:firstLine="480"/>
        <w:rPr>
          <w:rFonts w:ascii="宋体" w:hAnsi="宋体" w:eastAsia="宋体" w:cs="宋体"/>
          <w:sz w:val="24"/>
          <w:szCs w:val="24"/>
          <w:lang w:eastAsia="zh-CN"/>
        </w:rPr>
      </w:pPr>
      <w:r>
        <w:rPr>
          <w:rFonts w:hint="eastAsia" w:ascii="宋体" w:hAnsi="宋体" w:eastAsia="宋体" w:cs="宋体"/>
          <w:sz w:val="24"/>
          <w:szCs w:val="24"/>
          <w:lang w:val="zh-CN" w:eastAsia="zh-CN"/>
        </w:rPr>
        <w:t xml:space="preserve">按要求完成已接入的</w:t>
      </w:r>
      <w:r>
        <w:rPr>
          <w:rFonts w:hint="eastAsia" w:ascii="宋体" w:hAnsi="宋体" w:eastAsia="宋体" w:cs="宋体"/>
          <w:sz w:val="24"/>
          <w:szCs w:val="24"/>
          <w:lang w:eastAsia="zh-CN"/>
        </w:rPr>
        <w:t xml:space="preserve">二、三类视频</w:t>
      </w:r>
      <w:r>
        <w:rPr>
          <w:rFonts w:hint="eastAsia" w:ascii="宋体" w:hAnsi="宋体" w:eastAsia="宋体" w:cs="宋体"/>
          <w:sz w:val="24"/>
          <w:szCs w:val="24"/>
          <w:lang w:val="zh-CN" w:eastAsia="zh-CN"/>
        </w:rPr>
        <w:t xml:space="preserve">图像监控设备“一机一档”基础信息的采集建档和维护工作</w:t>
      </w:r>
      <w:r/>
    </w:p>
    <w:p>
      <w:pPr>
        <w:pStyle w:val="747"/>
        <w:ind w:left="130"/>
        <w:rPr>
          <w:rFonts w:ascii="宋体" w:hAnsi="宋体" w:eastAsia="宋体" w:cs="宋体"/>
          <w:sz w:val="24"/>
          <w:szCs w:val="24"/>
          <w:lang w:eastAsia="zh-CN"/>
        </w:rPr>
      </w:pPr>
      <w:r>
        <w:rPr>
          <w:rFonts w:hint="eastAsia" w:ascii="宋体" w:hAnsi="宋体" w:eastAsia="宋体" w:cs="宋体"/>
          <w:sz w:val="24"/>
          <w:szCs w:val="24"/>
          <w:lang w:eastAsia="zh-CN"/>
        </w:rPr>
        <w:t xml:space="preserve">3.3.20、</w:t>
      </w:r>
      <w:r>
        <w:rPr>
          <w:rFonts w:hint="eastAsia" w:ascii="宋体" w:hAnsi="宋体" w:eastAsia="宋体" w:cs="宋体"/>
          <w:bCs w:val="0"/>
          <w:sz w:val="24"/>
          <w:szCs w:val="24"/>
          <w:lang w:eastAsia="zh-CN"/>
        </w:rPr>
        <w:t xml:space="preserve">ETC智慧感知系统项目及苏州市公安局下发的20套etc设备的维护（一年）</w:t>
      </w:r>
      <w:r/>
    </w:p>
    <w:p>
      <w:pPr>
        <w:pStyle w:val="947"/>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维护ETC点位明细表：</w:t>
      </w:r>
      <w:r/>
    </w:p>
    <w:tbl>
      <w:tblPr>
        <w:tblStyle w:val="752"/>
        <w:tblW w:w="8123" w:type="dxa"/>
        <w:tblInd w:w="93" w:type="dxa"/>
        <w:tblLayout w:type="fixed"/>
        <w:tblCellMar>
          <w:left w:w="15" w:type="dxa"/>
          <w:top w:w="15" w:type="dxa"/>
          <w:right w:w="15" w:type="dxa"/>
          <w:bottom w:w="15" w:type="dxa"/>
        </w:tblCellMar>
        <w:tblLook w:val="04A0" w:firstRow="1" w:lastRow="0" w:firstColumn="1" w:lastColumn="0" w:noHBand="0" w:noVBand="1"/>
      </w:tblPr>
      <w:tblGrid>
        <w:gridCol w:w="1605"/>
        <w:gridCol w:w="5498"/>
        <w:gridCol w:w="1020"/>
      </w:tblGrid>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center"/>
              <w:spacing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站点编号</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center"/>
              <w:spacing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站点名称</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center"/>
              <w:spacing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方向</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（太仓ETC）上海路长埭弄西向东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（太仓ETC）苏州路盐铁塘桥东向西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（太仓ETC）上海路长春路东向西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（太仓ETC）204国道339省道北侧南向北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（太仓ETC）娄江路外环一级路南侧南向北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（太仓ETC）娄江路外环一级路南侧北向南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（太仓ETC）华亭卡口进市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（太仓ETC）204国道339省道北侧北向南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（太仓ETC）华亭卡口出市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（太仓ETC）东仓路燕山路北侧南向北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（太仓ETC）科博尔厂东出市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（太仓ETC）346国道339省道西向东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（太仓ETC）东仓路燕山路北侧北向南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（太仓ETC）苏州路盐铁塘桥西向东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（太仓ETC）昆太路204国道西侧东向西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（太仓ETC）昆太路204国道西侧西向东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（太仓ETC）346国道S48延伸入口</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（太仓ETC）南园西路盐铁塘桥东向西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（太仓ETC）G204县府西街西向东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（太仓ETC）南园西路盐铁塘桥西向东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（太仓ETC）G204县府西街东向西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（太仓ETC）东亭路天津路口南侧北向南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（太仓ETC）人民北路燕山路北侧南向北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（太仓ETC）昆太路城西卡口进市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（太仓ETC）新塘市镇东向西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（太仓ETC）人民北路燕山路北侧北向南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（太仓ETC）东亭路天津路口南侧南向北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（太仓ETC）昆太路城西卡口出市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（太仓ETC）太蓬卡口出市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（太仓ETC）G15高速朝阳路卡口出市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（太仓ETC）G15高速朝阳路卡口进市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（太仓ETC）人民路城南桥北堍南向北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（太仓ETC）苏昆太太沙公路立交南向北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（太仓ETC）苏昆太太沙公路立交北向南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（太仓ETC）东仓路339省道北侧南向北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（太仓ETC）东仓路339省道北侧北向南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（太仓ETC）太蓬卡口进市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（太仓ETC）常胜路天津路口南侧南向北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（太仓ETC）G204上海路口东侧西向东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（太仓ETC）太平北路燕山路北侧北向南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（太仓ETC）太平北路燕山路北侧南向北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320585000094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（太仓ETC）常胜路天津路口南侧北向南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（太仓ETC）S339板桥高速卡口出市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（太仓ETC）沿江高速浏阳路立交西向东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（太仓ETC）S339板桥高速卡口进市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（太仓ETC）燕山路G204东侧东向西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（太仓ETC）燕山路G204东侧西向东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（太仓ETC）346国道洋桥卡口进市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（太仓ETC）346国道洋桥卡口出市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（太仓ETC）沪通GD太仓站站前大道北向南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（太仓ETC）G204上海路口东侧东向西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（太仓ETC）沪通GD太仓站站前大道南向北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（太仓ETC）沿江高速朝阳路立交东向西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（太仓ETC）沿江高速朝阳路立交西向东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（太仓ETC）S339五洋路北侧南向北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（太仓ETC）S339五洋路北侧北向南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（太仓ETC）浏河水闸桥南向北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（太仓ETC）沿江高速浏阳路立交东向西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（太仓ETC）339省道新塘万安村东向西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（太仓ETC）339省道新塘万安村西向东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（太仓ETC）岳鹿公路双浮路口南侧北向南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（太仓ETC）东仓路东仓桥北堍南向北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（太仓ETC）郑和中路陆嘉北路南向北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（太仓ETC）岳鹿公路双浮路口南侧南向北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（太仓ETC）郑和中路陆嘉北路北向南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（太仓ETC）上海东路G15高速卡口出市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（太仓ETC）上海东路G15高速卡口进市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（太仓ETC）岳鹿路归何线路口往常熟南向北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（太仓ETC）岳鹿路归何线路口南向北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（太仓ETC）岳鹿路归何线路口北向南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（太仓ETC）上海东路太平路东侧西向东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（太仓ETC）上海东路太平路东侧东向西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（太仓ETC）东仓路东仓桥北堍北向南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（太仓ETC）太平路南珠桥北堍南向北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（太仓ETC）太平路南珠桥北堍北向南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（太仓ETC）飞沪路陆渡卡口进市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（太仓ETC）郑和路兴业路东侧东向西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（太仓ETC）郑和路兴业路东侧西向东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（太仓ETC）飞沪路陆渡卡口出市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（太仓ETC）新北路沙直路直塘农机厂东向西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（太仓ETC）S224锡太卡口进市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（太仓ETC）临港路高速出口南侧南向北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（太仓ETC）临港路高速出口南侧北向南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（太仓ETC）郑和路G204东侧东向西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（太仓ETC）南环路346国道东侧东向西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（太仓ETC）S80疏港高速滨江大道出口出市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（太仓ETC）S80疏港高速滨江大道出口进市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（太仓ETC）S80疏港高速主线出口出市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（太仓ETC）双浮公路346国道西侧西向东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320585000110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（太仓ETC）双浮公路346国道西侧东向西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（太仓ETC）南环路346国道东侧西向东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（太仓ETC）浏太路346国道西向东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（太仓ETC）浏太路346国道东向西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（太仓ETC）新北路沙直路直塘农机厂西向东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（太仓ETC）346国道S48延伸出口北向南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（太仓ETC）G204直塘卡口出市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（太仓ETC）346国道339省道北向南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（太仓ETC）G204直塘卡口进市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（太仓ETC）S224锡太卡口出市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（太仓ETC）G346六尺塘桥南向北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（太仓ETC）G346六尺塘桥北向南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（太仓ETC）岳鹿路江南路北侧北向南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（太仓ETC）岳鹿路江南路北侧南向北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（太仓ETC）S80疏港高速主线出口进市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（太仓ETC）浏河长江路西向东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（太仓ETC）浏河长江路东向西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（太仓ETC）岳杨路长浜桥北向南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（太仓ETC）四通路郑和路口西侧东向西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（太仓ETC）双周卡口进市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（太仓ETC）双周卡口出市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（太仓ETC）龙江路339省道西向东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（太仓ETC）龙江路339省道东向西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（太仓ETC）镇北路公园街东向西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（太仓ETC）镇北路公园街西向东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（太仓ETC）飞马路六里塘桥南侧西向东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（太仓ETC）飞马路六里塘桥南侧东向西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（太仓ETC）通港路绿化村委东向西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（太仓ETC）通港路绿化村委西向东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（太仓ETC）岳杨路长浜桥南向北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（太仓ETC）沙鹿路银鹿服饰门口南侧东向西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（太仓ETC）沙鹿路银鹿服饰门口南侧西向东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（太仓ETC）龙江路玖龙大桥北向南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（太仓ETC）通港路346东侧西向东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（太仓ETC）S80疏港高速璜泾南进市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（太仓ETC）滨江大道疏港高速桥北向南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（太仓ETC）滨江大道疏港高速桥南向北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（太仓ETC）滨江大道银港路东向西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（太仓ETC）滨江大道银港路西向东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（太仓ETC）G204良辅路口东侧西向东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（太仓ETC）204国道新港路东向西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（太仓ETC）204国道新港路西向东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（太仓ETC）凤北路204国道东向西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（太仓ETC）凤北路204国道西向东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（太仓ETC）S48双凤高速进市1</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（太仓ETC）S48双凤高速出市1</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（太仓ETC）S48双凤高速出市2</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（太仓ETC）滨江大道浪港桥路西向东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（太仓ETC）滨江大道浪港桥路东向西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（太仓ETC）港外大道通港路北向南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（太仓ETC）港外大道金港路南向北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（太仓ETC）港外大道金港路北向南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（太仓ETC）G15沙溪高速出市2</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（太仓ETC）G15沙溪高速出市1</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（太仓ETC）通港路346东侧东向西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（太仓ETC）陆璜路通港路北侧南向北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（太仓ETC）G15沙溪高速进市2</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（太仓ETC）346国道浏家港大桥北向南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（太仓ETC）346国道浏家港大桥南向北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（太仓ETC）四通路洛阳路口西侧东向西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（太仓ETC）鹿河江堤卡口出市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320585000082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（太仓ETC）鹿河江堤卡口进市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（太仓ETC）G204南郊卡口进市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（太仓ETC）G204南郊卡口出市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（太仓ETC）G204良辅路口东侧东向西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（太仓ETC）港外大道通港路南向北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（太仓ETC）陆璜路通港路南侧北向南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（太仓ETC）凤林路204国道西向东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（太仓ETC）凤林路204国道东向西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（太仓ETC）新周卡口进市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320585000125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（太仓ETC）新周卡口出市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（太仓ETC）龙江路玖龙大桥南向北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（太仓ETC）S80疏港高速G346国道出口进市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（太仓ETC）S339新湖卡口出市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（太仓ETC）S339新湖卡口进市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（太仓ETC）太海汽渡东江堤北向南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（太仓ETC）204国道通港路东向西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（太仓ETC）204国道通港路西向东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（太仓ETC）204国道通港路北向南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（太仓ETC）204国道通港路南向北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（太仓ETC）兴业路郑和路北侧南向北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（太仓ETC）兴业路郑和路北侧北向南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（太仓ETC）郑和路G204东侧西向东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（太仓ETC）S80疏港高速G346国道出口出市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（太仓ETC）前进路健雄学院北侧东向西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（太仓ETC）前进路健雄学院北侧西向东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（太仓ETC）S48岳王出口进市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320585000158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（太仓ETC）S48岳王出口出市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（太仓ETC）广州路204国道南向北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（太仓ETC）广州路204国道北向南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（太仓ETC）滨江大桥346国道北侧北向南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320585000136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（太仓ETC）滨江大桥346国道北侧南向北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（太仓ETC）G15沙溪高速进市1</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（太仓ETC）339通海路北侧东向西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320585000031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（太仓ETC）S80疏港高速璜泾南出市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320585000192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（太仓ETC）339通海路北侧西向东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（太仓ETC）339省道岳鹿路西向东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（太仓ETC）新港路岳鹿路南向北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（太仓ETC）新港路岳鹿路东向西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（太仓ETC）新港路岳鹿路北向南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（太仓ETC）新港路岳鹿路西向东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（太仓ETC）339省道陆璜路南侧北向南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（太仓ETC）339省道陆璜路西向东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（太仓ETC）339省道陆璜路东向西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（太仓ETC）339省道陆璜路南侧南向北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（太仓ETC）346国道通港路西侧西向东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（太仓ETC）346国道通港路西侧北向南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320585000044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（太仓ETC）四通路上海路口东侧东向西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（太仓ETC）339省道东亭路东向西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（太仓ETC）339省道站东大道南侧南向北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（太仓ETC）新港路龙江路东向西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（太仓ETC）S48双凤高速进市2</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（太仓ETC）339省道东亭路西向东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（太仓ETC）太仓大道东向西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（太仓ETC）太仓大道西向东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（太仓ETC）新港路龙江路西向东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（太仓ETC）339省道站东大道南侧北向南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（太仓ETC）G204老204路口东侧西向东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320585000069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（太仓ETC）东仓新路正夫路南侧北向南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320585000143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（太仓ETC）G204南漳泾路口东侧西向东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320585000184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（太仓ETC）G204南漳泾路口东侧东向西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320585000008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（太仓ETC）346国道339省道东向西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320585000015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（太仓ETC）新塘市镇西向东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320585000070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（太仓ETC）东仓新路正夫路南侧南向北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320585000210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（太仓ETC）东亭路双浮路南向北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（太仓ETC）东亭路双浮路北向南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320585000162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（太仓ETC）滨江大道海港路东向西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320585000025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（太仓ETC）滨江大道海港路西向东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320585000058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（太仓ETC）人民路城南桥北堍北向南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320585000203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（太仓ETC）339省道岳鹿路东向西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（太仓ETC）346国道339省道南向北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（太仓ETC）南郊污水处理厂东向西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（太仓ETC）南郊污水处理厂西向东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（太仓ETC）太安电灌站西向东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（太仓ETC）太安电灌站东向西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（太仓ETC）中市路富达路北向南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（太仓ETC）中市路富达路南向北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（太仓ETC）正夫路东东向西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（太仓ETC）正夫路东西向东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（太仓ETC）新泾路桥西向东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（太仓ETC）新泾路桥东向西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（太仓ETC）白云渡路南南向北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（太仓ETC）白云渡路南北向南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（太仓ETC）沼泾十三组东向西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（太仓ETC）沼泾十三组西向东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（太仓ETC）正夫路西东向西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320585000230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（太仓ETC）正夫路西西向东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（太仓ETC）沙南公路白云南路南向北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（太仓ETC）沙南公路白云南路北向南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320585000295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（太仓ETC）204正夫路北南向北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320585000296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（太仓ETC）204正夫路北北向南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（太仓ETC）城西沼泾小路北向南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（太仓ETC）新农村30组小路北向南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320585000299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（太仓ETC）沈海339桥西向东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（太仓ETC）南郊南广寺小路北向南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（太仓ETC）沈海339桥东向西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（太仓ETC）苏昆太上垮桥沪宜高速南向北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（太仓ETC）苏昆太上垮桥沪宜高速北向南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（太仓ETC）沈海通港路桥东向西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（太仓ETC）沈海通港路桥西向东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（太仓ETC）沈海新港路桥西向东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（太仓ETC）沈海新港路桥东向西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（太仓ETC）沈海双浮路桥西向东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320585000254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（太仓ETC）沙鹿路G346北向南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320585000306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（太仓ETC）沈海双浮路桥东向西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320585000255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（太仓ETC）荣文路永乐环路东向西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（太仓ETC）滨江大道郑和大街北向南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（太仓ETC）滨江大道郑和大街南向北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320585000292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（太仓ETC）石桥卡口北向南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320585000291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（太仓ETC）科博尔卡口北向南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320585000262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（太仓ETC）G346-S81东向西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320585000261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（太仓ETC）G346-S81西向东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320585000286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（太仓ETC）浏河阅兵村K407小路北向南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320585000256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（太仓ETC）荣文路永乐环路西向东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320585000277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（太仓ETC）S339浮浏线南向北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320585000278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（太仓ETC）S339浮浏线北向南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320585000290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（太仓ETC）二窑厂卡口西向东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320585000260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（太仓ETC）太浏快速路站前大道西向东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320585000253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（太仓ETC）沙鹿路G346南向北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320585000259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（太仓ETC）太浏快速路站前大道东向西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320585000332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（太仓ETC)疏港铁路南门</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320585000333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(太仓ETC)疏港铁路西门</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320585000270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（太仓ETC）滨河路东亭路西向东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320585000269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（太仓ETC）滨河路东亭路东向西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sz w:val="24"/>
                <w:szCs w:val="24"/>
              </w:rPr>
            </w:pPr>
            <w:r>
              <w:rPr>
                <w:rFonts w:hint="eastAsia" w:ascii="宋体" w:hAnsi="宋体" w:eastAsia="宋体" w:cs="宋体"/>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320585000104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（太仓ETC）G346璜泾卡口出市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320585000177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jc w:val="left"/>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（太仓ETC）G346璜泾卡口进市</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jc w:val="left"/>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（太仓ETC）沪太新路闸南路西向东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（太仓ETC）郑和中路陆嘉北路南向北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（太仓ETC）郑和中路陆嘉北路北向南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320585000267</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（太仓ETC）滨河路娄江北路南向北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（太仓ETC）陆璜公路浮璜线东向西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320585000282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（太仓ETC）陆璜公路浮璜线西向东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（太仓ETC）太沙路高速桥</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320585000225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（太仓ETC）G15高速桥</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（太仓ETC)沪太新路闸南路东向西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（太仓ETC)沪太新路郑和东路南向北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（太仓ETC)沪太新路郑和东路北向南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320585000249</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（太仓ETC)通港西路洞星路东向西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320585000250</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（太仓ETC)通港西路洞星路西向东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320585000251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（太仓ETC)陆璜公路新镇路东向西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320585000252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（太仓ETC)陆璜公路新镇路西向东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320585000263</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（太仓ETC)陆璜公路南环路东向西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320585000264</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（太仓ETC)陆璜公路南环路西向东</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320585000265</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（太仓ETC)陆璜公路岳鹿线南向北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320585000266</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（太仓ETC)陆璜公路岳鹿线北向南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320585000268</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（太仓ETC)滨河路娄江北路北向南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320585000271</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（太仓ETC)岳鹿线-339南向北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320585000272</w:t>
            </w:r>
            <w:r/>
          </w:p>
        </w:tc>
        <w:tc>
          <w:tcPr>
            <w:tcBorders>
              <w:top w:val="single" w:color="000000" w:sz="4" w:space="0"/>
              <w:left w:val="none" w:color="000000" w:sz="4" w:space="0"/>
              <w:bottom w:val="single" w:color="000000" w:sz="4" w:space="0"/>
              <w:right w:val="single" w:color="000000" w:sz="4" w:space="0"/>
            </w:tcBorders>
            <w:tcW w:w="5498" w:type="dxa"/>
            <w:vAlign w:val="center"/>
            <w:textDirection w:val="lrTb"/>
            <w:noWrap w:val="false"/>
          </w:tcPr>
          <w:p>
            <w:pPr>
              <w:pStyle w:val="947"/>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（太仓ETC)岳鹿线-339北向南</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47"/>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南</w:t>
            </w:r>
            <w:r/>
          </w:p>
        </w:tc>
      </w:tr>
    </w:tbl>
    <w:p>
      <w:pPr>
        <w:pStyle w:val="947"/>
        <w:ind w:firstLine="480"/>
        <w:rPr>
          <w:rFonts w:ascii="宋体" w:hAnsi="宋体" w:eastAsia="宋体" w:cs="宋体"/>
          <w:sz w:val="24"/>
          <w:szCs w:val="24"/>
        </w:rPr>
      </w:pPr>
      <w:r>
        <w:rPr>
          <w:rFonts w:hint="eastAsia" w:ascii="宋体" w:hAnsi="宋体" w:eastAsia="宋体" w:cs="宋体"/>
          <w:sz w:val="24"/>
          <w:szCs w:val="24"/>
        </w:rPr>
        <w:t xml:space="preserve"> </w:t>
      </w:r>
      <w:r/>
    </w:p>
    <w:p>
      <w:pPr>
        <w:pStyle w:val="947"/>
        <w:rPr>
          <w:rFonts w:ascii="宋体" w:hAnsi="宋体" w:eastAsia="宋体" w:cs="宋体"/>
          <w:sz w:val="24"/>
          <w:szCs w:val="24"/>
          <w:lang w:eastAsia="zh-CN"/>
        </w:rPr>
      </w:pPr>
      <w:r>
        <w:rPr>
          <w:rFonts w:hint="eastAsia" w:ascii="宋体" w:hAnsi="宋体" w:eastAsia="宋体" w:cs="宋体"/>
          <w:sz w:val="24"/>
          <w:szCs w:val="24"/>
          <w:lang w:eastAsia="zh-CN"/>
        </w:rPr>
        <w:t xml:space="preserve">因道路施工有13台ETC设备未安装的，需要在运维期间按照甲方要求，在指定地点安装完成，除光纤费用外，其他施工费用由中标单位负责。</w:t>
      </w:r>
      <w:r/>
    </w:p>
    <w:p>
      <w:pPr>
        <w:rPr>
          <w:rFonts w:ascii="宋体" w:hAnsi="宋体" w:eastAsia="宋体" w:cs="宋体"/>
          <w:sz w:val="24"/>
          <w:szCs w:val="24"/>
          <w:lang w:eastAsia="zh-CN"/>
        </w:rPr>
      </w:pPr>
      <w:r>
        <w:rPr>
          <w:rFonts w:ascii="宋体" w:hAnsi="宋体" w:eastAsia="宋体" w:cs="宋体"/>
          <w:sz w:val="24"/>
          <w:szCs w:val="24"/>
          <w:lang w:eastAsia="zh-CN"/>
        </w:rPr>
      </w:r>
      <w:r/>
    </w:p>
    <w:p>
      <w:pPr>
        <w:pStyle w:val="747"/>
        <w:ind w:firstLine="425"/>
        <w:rPr>
          <w:rFonts w:ascii="宋体" w:hAnsi="宋体" w:eastAsia="宋体" w:cs="宋体"/>
          <w:bCs w:val="0"/>
          <w:sz w:val="24"/>
          <w:szCs w:val="24"/>
          <w:lang w:eastAsia="zh-CN"/>
        </w:rPr>
      </w:pPr>
      <w:r>
        <w:rPr>
          <w:rFonts w:hint="eastAsia" w:ascii="宋体" w:hAnsi="宋体" w:eastAsia="宋体" w:cs="宋体"/>
          <w:sz w:val="24"/>
          <w:szCs w:val="24"/>
          <w:lang w:eastAsia="zh-CN"/>
        </w:rPr>
        <w:t xml:space="preserve">3.3.21、</w:t>
      </w:r>
      <w:r>
        <w:rPr>
          <w:rFonts w:hint="eastAsia" w:ascii="宋体" w:hAnsi="宋体" w:eastAsia="宋体" w:cs="宋体"/>
          <w:bCs w:val="0"/>
          <w:sz w:val="24"/>
          <w:szCs w:val="24"/>
          <w:lang w:eastAsia="zh-CN"/>
        </w:rPr>
        <w:t xml:space="preserve">火车站反恐维稳项目到期运维</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759"/>
        <w:gridCol w:w="3099"/>
        <w:gridCol w:w="2999"/>
        <w:gridCol w:w="652"/>
        <w:gridCol w:w="827"/>
      </w:tblGrid>
      <w:tr>
        <w:trPr>
          <w:trHeight w:val="435"/>
        </w:trPr>
        <w:tc>
          <w:tcPr>
            <w:tcBorders>
              <w:top w:val="single" w:color="000000" w:sz="12" w:space="0"/>
              <w:left w:val="single" w:color="000000" w:sz="12" w:space="0"/>
              <w:bottom w:val="single" w:color="000000" w:sz="12" w:space="0"/>
              <w:right w:val="single" w:color="000000" w:sz="12" w:space="0"/>
            </w:tcBorders>
            <w:tcW w:w="759"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12" w:space="0"/>
              <w:bottom w:val="single" w:color="000000" w:sz="12" w:space="0"/>
              <w:right w:val="single" w:color="000000" w:sz="12" w:space="0"/>
            </w:tcBorders>
            <w:tcW w:w="3099"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p>
        </w:tc>
        <w:tc>
          <w:tcPr>
            <w:tcBorders>
              <w:top w:val="single" w:color="000000" w:sz="12" w:space="0"/>
              <w:bottom w:val="single" w:color="000000" w:sz="12" w:space="0"/>
              <w:right w:val="single" w:color="000000" w:sz="12" w:space="0"/>
            </w:tcBorders>
            <w:tcW w:w="2999"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规格参数</w:t>
            </w:r>
            <w:r/>
          </w:p>
        </w:tc>
        <w:tc>
          <w:tcPr>
            <w:tcBorders>
              <w:top w:val="single" w:color="000000" w:sz="12" w:space="0"/>
              <w:bottom w:val="single" w:color="000000" w:sz="12" w:space="0"/>
              <w:right w:val="single" w:color="000000" w:sz="12" w:space="0"/>
            </w:tcBorders>
            <w:tcW w:w="652"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000000" w:sz="12" w:space="0"/>
              <w:bottom w:val="single" w:color="000000" w:sz="12" w:space="0"/>
              <w:right w:val="single" w:color="000000" w:sz="12" w:space="0"/>
            </w:tcBorders>
            <w:tcW w:w="82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r>
      <w:tr>
        <w:trPr>
          <w:trHeight w:val="435"/>
        </w:trPr>
        <w:tc>
          <w:tcPr>
            <w:gridSpan w:val="3"/>
            <w:tcBorders>
              <w:left w:val="single" w:color="000000" w:sz="12" w:space="0"/>
              <w:bottom w:val="single" w:color="000000" w:sz="12" w:space="0"/>
              <w:right w:val="single" w:color="000000" w:sz="12" w:space="0"/>
            </w:tcBorders>
            <w:tcW w:w="6857"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一、太仓火车站周边超级智能车辆卡口系统</w:t>
            </w:r>
            <w:r/>
          </w:p>
        </w:tc>
        <w:tc>
          <w:tcPr>
            <w:tcBorders>
              <w:bottom w:val="single" w:color="000000" w:sz="12" w:space="0"/>
              <w:right w:val="single" w:color="000000" w:sz="12" w:space="0"/>
            </w:tcBorders>
            <w:tcW w:w="652" w:type="dxa"/>
            <w:vAlign w:val="center"/>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lang w:eastAsia="zh-CN"/>
              </w:rPr>
            </w:pPr>
            <w:r>
              <w:rPr>
                <w:rFonts w:ascii="宋体" w:hAnsi="宋体" w:eastAsia="宋体" w:cs="宋体"/>
                <w:sz w:val="24"/>
                <w:szCs w:val="24"/>
                <w:lang w:eastAsia="zh-CN"/>
              </w:rPr>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1.1、900万超级卡口</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b/>
                <w:bCs/>
                <w:color w:val="000000"/>
                <w:sz w:val="24"/>
                <w:szCs w:val="24"/>
              </w:rPr>
            </w:pPr>
            <w:r>
              <w:rPr>
                <w:rFonts w:ascii="宋体" w:hAnsi="宋体" w:eastAsia="宋体" w:cs="宋体"/>
                <w:b/>
                <w:bCs/>
                <w:color w:val="000000"/>
                <w:sz w:val="24"/>
                <w:szCs w:val="24"/>
              </w:rPr>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900万超级卡口抓拍单元</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LED频闪灯</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闪光灯</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支架.抱箍</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相应配套</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1.2、前端网络传输设备</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b/>
                <w:bCs/>
                <w:color w:val="000000"/>
                <w:sz w:val="24"/>
                <w:szCs w:val="24"/>
              </w:rPr>
            </w:pPr>
            <w:r>
              <w:rPr>
                <w:rFonts w:ascii="宋体" w:hAnsi="宋体" w:eastAsia="宋体" w:cs="宋体"/>
                <w:b/>
                <w:bCs/>
                <w:color w:val="000000"/>
                <w:sz w:val="24"/>
                <w:szCs w:val="24"/>
              </w:rPr>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摄像机SD存储卡</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64G相应配套</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张</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前端光交换机</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10端口千兆以太网交换机(8GE+2SFP)</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光纤模块</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光纤模块（配套交换机）</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对</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光纤收发器</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单模单纤千兆收发器</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对</w:t>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1.3、立杆、相应配套辅材</w:t>
            </w:r>
            <w:r/>
          </w:p>
        </w:tc>
        <w:tc>
          <w:tcPr>
            <w:tcBorders>
              <w:bottom w:val="single" w:color="000000" w:sz="12" w:space="0"/>
              <w:right w:val="single" w:color="000000" w:sz="12" w:space="0"/>
            </w:tcBorders>
            <w:tcW w:w="2999" w:type="dxa"/>
            <w:vAlign w:val="bottom"/>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652" w:type="dxa"/>
            <w:vAlign w:val="bottom"/>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bottom w:val="single" w:color="000000" w:sz="12" w:space="0"/>
              <w:right w:val="single" w:color="000000" w:sz="12" w:space="0"/>
            </w:tcBorders>
            <w:tcW w:w="827" w:type="dxa"/>
            <w:vAlign w:val="bottom"/>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L型立杆</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高6.3米,臂长11米</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T型立杆加横杆</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横杆臂长3米</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基础（含杆件地笼等）</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地笼、混凝土、螺栓</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9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抱杆箱</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不锈钢700*600*220cm（包含抱箍，空开，漏电保护器,防雷模块）</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前进路（电路改造）</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含(电表初装费）</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汽吊运输（含立杆拆除）</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汽吊运输（含立杆拆除）</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r>
      <w:tr>
        <w:trPr>
          <w:trHeight w:val="108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相应配套辅材</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外接电源线RVV2*2.5/电源线RVV2*1.5/控制线RVVP2*1.0/六类4对UTP电缆//硅芯管HDPE40/绿化开挖含恢复/道板开挖含恢复/路面开挖含恢复/相应配套辅材等</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gridSpan w:val="3"/>
            <w:tcBorders>
              <w:left w:val="single" w:color="000000" w:sz="12" w:space="0"/>
              <w:bottom w:val="single" w:color="000000" w:sz="12" w:space="0"/>
              <w:right w:val="single" w:color="000000" w:sz="12" w:space="0"/>
            </w:tcBorders>
            <w:tcW w:w="6857"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二、太仓南站主要道路增补车辆违停及高空瞭望系统</w:t>
            </w:r>
            <w:r/>
          </w:p>
        </w:tc>
        <w:tc>
          <w:tcPr>
            <w:tcBorders>
              <w:bottom w:val="single" w:color="000000" w:sz="12" w:space="0"/>
              <w:right w:val="single" w:color="000000" w:sz="12" w:space="0"/>
            </w:tcBorders>
            <w:tcW w:w="652" w:type="dxa"/>
            <w:vAlign w:val="center"/>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lang w:eastAsia="zh-CN"/>
              </w:rPr>
            </w:pPr>
            <w:r>
              <w:rPr>
                <w:rFonts w:ascii="宋体" w:hAnsi="宋体" w:eastAsia="宋体" w:cs="宋体"/>
                <w:sz w:val="24"/>
                <w:szCs w:val="24"/>
                <w:lang w:eastAsia="zh-CN"/>
              </w:rPr>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2.1、违停及高空瞭望</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b/>
                <w:bCs/>
                <w:color w:val="000000"/>
                <w:sz w:val="24"/>
                <w:szCs w:val="24"/>
              </w:rPr>
            </w:pPr>
            <w:r>
              <w:rPr>
                <w:rFonts w:ascii="宋体" w:hAnsi="宋体" w:eastAsia="宋体" w:cs="宋体"/>
                <w:b/>
                <w:bCs/>
                <w:color w:val="000000"/>
                <w:sz w:val="24"/>
                <w:szCs w:val="24"/>
              </w:rPr>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400万违停球机</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400万8寸融智能红外超星光球机</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9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摄像机电源</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AC24V电源变换器/配套，AC220V输入，AC24V输出，输出功率60W</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摄像机横臂</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0.6米*1.5米（包括抱箍）</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违停禁令标志标牌</w:t>
            </w:r>
            <w:r/>
          </w:p>
        </w:tc>
        <w:tc>
          <w:tcPr>
            <w:tcBorders>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违停禁令标志标牌</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4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抱杆箱</w:t>
            </w:r>
            <w:r/>
          </w:p>
        </w:tc>
        <w:tc>
          <w:tcPr>
            <w:tcBorders>
              <w:top w:val="single" w:color="000000" w:sz="12" w:space="0"/>
              <w:left w:val="single" w:color="000000" w:sz="12" w:space="0"/>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不锈钢 500*400*190cm（包含抱箍，空开，漏电保护器,防雷模块）</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99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相应配套辅材</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外 接 电 源 线 RVV2*2.5/电 源 线 RVV2*1.5/六类 4 对 UTP /绿化开挖含恢复/道板开挖含恢复/路面开挖含恢复/相应配套辅材等</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gridSpan w:val="3"/>
            <w:tcBorders>
              <w:left w:val="single" w:color="000000" w:sz="12" w:space="0"/>
              <w:bottom w:val="single" w:color="000000" w:sz="12" w:space="0"/>
              <w:right w:val="single" w:color="000000" w:sz="12" w:space="0"/>
            </w:tcBorders>
            <w:tcW w:w="6857"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三、太仓车站重点区域人脸识别及视频监控系统</w:t>
            </w:r>
            <w:r/>
          </w:p>
        </w:tc>
        <w:tc>
          <w:tcPr>
            <w:tcBorders>
              <w:bottom w:val="single" w:color="000000" w:sz="12" w:space="0"/>
              <w:right w:val="single" w:color="000000" w:sz="12" w:space="0"/>
            </w:tcBorders>
            <w:tcW w:w="652" w:type="dxa"/>
            <w:vAlign w:val="center"/>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lang w:eastAsia="zh-CN"/>
              </w:rPr>
            </w:pPr>
            <w:r>
              <w:rPr>
                <w:rFonts w:ascii="宋体" w:hAnsi="宋体" w:eastAsia="宋体" w:cs="宋体"/>
                <w:sz w:val="24"/>
                <w:szCs w:val="24"/>
                <w:lang w:eastAsia="zh-CN"/>
              </w:rPr>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3.1、人脸识别及视频监控</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652" w:type="dxa"/>
            <w:vAlign w:val="center"/>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sz w:val="24"/>
                <w:szCs w:val="24"/>
                <w:lang w:eastAsia="zh-CN"/>
              </w:rPr>
            </w:pPr>
            <w:r>
              <w:rPr>
                <w:rFonts w:ascii="宋体" w:hAnsi="宋体" w:eastAsia="宋体" w:cs="宋体"/>
                <w:sz w:val="24"/>
                <w:szCs w:val="24"/>
                <w:lang w:eastAsia="zh-CN"/>
              </w:rPr>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400万人脸抓拍一体化AI筒型网络摄像机</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51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400万星光级AI轻智能抓拍筒型网络摄像机</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54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电源变换器</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AC24V电源变换器/配套，AC220V输入，AC24V输出，输出功率60W</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摄像机电源</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12V3A/YK-151</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54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摄像机立杆（包括基础）</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3.5米*0.6米（包括基础地笼、混凝土浇注等C25混凝土）</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摄像机横臂</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0.6米*1.5米（包括抱箍）</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5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设备箱不锈钢材质</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450*350*180（包括2P开关、7位多用插座、绝缘板、抱箍）</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81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线材</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电源接入线RVV2*1.5/摄像机电源线RVV2X1国标2芯铜芯软护套线、UTP6六类网线等</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600"/>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波纹管/管线预埋/辅材等</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波纹管Ø25-Ø32/保护管Ø20-Ø32（管线预埋土石方开挖.修复）辅材等</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43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四、存储联网中心配套设备</w:t>
            </w:r>
            <w:r/>
          </w:p>
        </w:tc>
        <w:tc>
          <w:tcPr>
            <w:tcBorders>
              <w:bottom w:val="single" w:color="000000" w:sz="12" w:space="0"/>
              <w:right w:val="single" w:color="000000" w:sz="12" w:space="0"/>
            </w:tcBorders>
            <w:tcW w:w="2999" w:type="dxa"/>
            <w:vAlign w:val="bottom"/>
            <w:textDirection w:val="lrTb"/>
            <w:noWrap w:val="false"/>
          </w:tcPr>
          <w:p>
            <w:pPr>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r>
            <w:r/>
          </w:p>
        </w:tc>
        <w:tc>
          <w:tcPr>
            <w:tcBorders>
              <w:bottom w:val="single" w:color="000000" w:sz="12" w:space="0"/>
              <w:right w:val="single" w:color="000000" w:sz="12" w:space="0"/>
            </w:tcBorders>
            <w:tcW w:w="652" w:type="dxa"/>
            <w:vAlign w:val="bottom"/>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c>
          <w:tcPr>
            <w:tcBorders>
              <w:bottom w:val="single" w:color="000000" w:sz="12" w:space="0"/>
              <w:right w:val="single" w:color="000000" w:sz="12" w:space="0"/>
            </w:tcBorders>
            <w:tcW w:w="827" w:type="dxa"/>
            <w:vAlign w:val="bottom"/>
            <w:textDirection w:val="lrTb"/>
            <w:noWrap w:val="false"/>
          </w:tcPr>
          <w:p>
            <w:pPr>
              <w:rPr>
                <w:rFonts w:ascii="宋体" w:hAnsi="宋体" w:eastAsia="宋体" w:cs="宋体"/>
                <w:sz w:val="24"/>
                <w:szCs w:val="24"/>
                <w:lang w:eastAsia="zh-CN"/>
              </w:rPr>
            </w:pPr>
            <w:r>
              <w:rPr>
                <w:rFonts w:ascii="宋体" w:hAnsi="宋体" w:eastAsia="宋体" w:cs="宋体"/>
                <w:sz w:val="24"/>
                <w:szCs w:val="24"/>
                <w:lang w:eastAsia="zh-CN"/>
              </w:rPr>
            </w:r>
            <w:r/>
          </w:p>
        </w:tc>
      </w:tr>
      <w:tr>
        <w:trPr>
          <w:trHeight w:val="396"/>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网络硬盘录像机（60路存储90天）</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3U标准机架式IP存储，DSP+ARM架构，嵌入式软硬件设计；支持64路高清，320M带宽网络视频接入；支持16个SATA盘位；支持RAID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2.0等功能；2个千兆以太网口，充分满足网络预览、回放以及备份应用。</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3.5寸监控级硬盘8T</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监控级硬盘8T,7200,3.5</w:t>
            </w:r>
            <w:r/>
          </w:p>
        </w:tc>
        <w:tc>
          <w:tcPr>
            <w:tcBorders>
              <w:bottom w:val="single" w:color="000000" w:sz="12" w:space="0"/>
              <w:right w:val="single" w:color="000000" w:sz="12" w:space="0"/>
            </w:tcBorders>
            <w:tcW w:w="65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bottom w:val="single" w:color="000000" w:sz="12" w:space="0"/>
              <w:right w:val="single" w:color="000000" w:sz="12" w:space="0"/>
            </w:tcBorders>
            <w:tcW w:w="82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只</w:t>
            </w:r>
            <w:r/>
          </w:p>
        </w:tc>
      </w:tr>
      <w:tr>
        <w:trPr>
          <w:trHeight w:val="435"/>
        </w:trPr>
        <w:tc>
          <w:tcPr>
            <w:tcBorders>
              <w:left w:val="single" w:color="000000" w:sz="12" w:space="0"/>
              <w:bottom w:val="single" w:color="000000" w:sz="12" w:space="0"/>
              <w:right w:val="single" w:color="000000" w:sz="12" w:space="0"/>
            </w:tcBorders>
            <w:tcW w:w="75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309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视频会议终端</w:t>
            </w:r>
            <w:r/>
          </w:p>
        </w:tc>
        <w:tc>
          <w:tcPr>
            <w:tcBorders>
              <w:bottom w:val="single" w:color="000000" w:sz="12" w:space="0"/>
              <w:right w:val="single" w:color="000000" w:sz="12" w:space="0"/>
            </w:tcBorders>
            <w:tcW w:w="2999" w:type="dxa"/>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详见原设备具体技术参数要求</w:t>
            </w:r>
            <w:r/>
          </w:p>
        </w:tc>
        <w:tc>
          <w:tcPr>
            <w:tcBorders>
              <w:bottom w:val="single" w:color="000000" w:sz="12" w:space="0"/>
              <w:right w:val="single" w:color="000000" w:sz="12" w:space="0"/>
            </w:tcBorders>
            <w:tcW w:w="652" w:type="dxa"/>
            <w:vAlign w:val="center"/>
            <w:textDirection w:val="lrTb"/>
            <w:noWrap w:val="false"/>
          </w:tcPr>
          <w:p>
            <w:pPr>
              <w:ind w:firstLine="48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single" w:color="000000" w:sz="12" w:space="0"/>
              <w:right w:val="single" w:color="000000" w:sz="12" w:space="0"/>
            </w:tcBorders>
            <w:tcW w:w="827" w:type="dxa"/>
            <w:vAlign w:val="center"/>
            <w:textDirection w:val="lrTb"/>
            <w:noWrap w:val="false"/>
          </w:tcPr>
          <w:p>
            <w:pPr>
              <w:ind w:firstLine="48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85"/>
        </w:trPr>
        <w:tc>
          <w:tcPr>
            <w:gridSpan w:val="2"/>
            <w:tcBorders>
              <w:left w:val="single" w:color="000000" w:sz="12" w:space="0"/>
              <w:bottom w:val="single" w:color="000000" w:sz="12" w:space="0"/>
              <w:right w:val="single" w:color="000000" w:sz="12" w:space="0"/>
            </w:tcBorders>
            <w:tcW w:w="3858" w:type="dxa"/>
            <w:vAlign w:val="center"/>
            <w:textDirection w:val="lrTb"/>
            <w:noWrap w:val="false"/>
          </w:tcPr>
          <w:p>
            <w:pPr>
              <w:ind w:firstLine="482"/>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五、其他</w:t>
            </w:r>
            <w:r/>
          </w:p>
        </w:tc>
        <w:tc>
          <w:tcPr>
            <w:tcBorders>
              <w:bottom w:val="single" w:color="000000" w:sz="12" w:space="0"/>
              <w:right w:val="single" w:color="000000" w:sz="12" w:space="0"/>
            </w:tcBorders>
            <w:tcW w:w="2999" w:type="dxa"/>
            <w:vAlign w:val="bottom"/>
            <w:textDirection w:val="lrTb"/>
            <w:noWrap w:val="false"/>
          </w:tcPr>
          <w:p>
            <w:pPr>
              <w:ind w:firstLine="482"/>
              <w:rPr>
                <w:rFonts w:ascii="宋体" w:hAnsi="宋体" w:eastAsia="宋体" w:cs="宋体"/>
                <w:b/>
                <w:bCs/>
                <w:color w:val="000000"/>
                <w:sz w:val="24"/>
                <w:szCs w:val="24"/>
              </w:rPr>
            </w:pPr>
            <w:r>
              <w:rPr>
                <w:rFonts w:ascii="宋体" w:hAnsi="宋体" w:eastAsia="宋体" w:cs="宋体"/>
                <w:b/>
                <w:bCs/>
                <w:color w:val="000000"/>
                <w:sz w:val="24"/>
                <w:szCs w:val="24"/>
              </w:rPr>
            </w:r>
            <w:r/>
          </w:p>
        </w:tc>
        <w:tc>
          <w:tcPr>
            <w:tcBorders>
              <w:bottom w:val="single" w:color="000000" w:sz="12" w:space="0"/>
              <w:right w:val="single" w:color="000000" w:sz="12" w:space="0"/>
            </w:tcBorders>
            <w:tcW w:w="652" w:type="dxa"/>
            <w:vAlign w:val="bottom"/>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tcBorders>
              <w:bottom w:val="single" w:color="000000" w:sz="12" w:space="0"/>
              <w:right w:val="single" w:color="000000" w:sz="12" w:space="0"/>
            </w:tcBorders>
            <w:tcW w:w="827" w:type="dxa"/>
            <w:vAlign w:val="bottom"/>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r>
      <w:tr>
        <w:trPr>
          <w:trHeight w:val="480"/>
        </w:trPr>
        <w:tc>
          <w:tcPr>
            <w:tcBorders>
              <w:left w:val="single" w:color="000000" w:sz="12" w:space="0"/>
              <w:bottom w:val="single" w:color="000000" w:sz="12" w:space="0"/>
              <w:right w:val="single" w:color="000000" w:sz="12" w:space="0"/>
            </w:tcBorders>
            <w:tcW w:w="759" w:type="dxa"/>
            <w:vAlign w:val="center"/>
            <w:textDirection w:val="lrTb"/>
            <w:noWrap w:val="false"/>
          </w:tcPr>
          <w:p>
            <w:pPr>
              <w:ind w:firstLine="48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3099" w:type="dxa"/>
            <w:vAlign w:val="center"/>
            <w:textDirection w:val="lrTb"/>
            <w:noWrap w:val="false"/>
          </w:tcPr>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信号塔服务</w:t>
            </w:r>
            <w:r/>
          </w:p>
        </w:tc>
        <w:tc>
          <w:tcPr>
            <w:tcBorders>
              <w:bottom w:val="single" w:color="000000" w:sz="12" w:space="0"/>
              <w:right w:val="single" w:color="000000" w:sz="12" w:space="0"/>
            </w:tcBorders>
            <w:tcW w:w="2999" w:type="dxa"/>
            <w:vAlign w:val="center"/>
            <w:textDirection w:val="lrTb"/>
            <w:noWrap w:val="false"/>
          </w:tcPr>
          <w:p>
            <w:pPr>
              <w:ind w:firstLine="48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一年信号塔专业服务：含信号塔租用、爬塔维护</w:t>
            </w:r>
            <w:r/>
          </w:p>
        </w:tc>
        <w:tc>
          <w:tcPr>
            <w:tcBorders>
              <w:bottom w:val="single" w:color="000000" w:sz="12" w:space="0"/>
              <w:right w:val="single" w:color="000000" w:sz="12" w:space="0"/>
            </w:tcBorders>
            <w:tcW w:w="652" w:type="dxa"/>
            <w:vAlign w:val="center"/>
            <w:textDirection w:val="lrTb"/>
            <w:noWrap w:val="false"/>
          </w:tcPr>
          <w:p>
            <w:pPr>
              <w:ind w:firstLine="48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bottom w:val="single" w:color="000000" w:sz="12" w:space="0"/>
              <w:right w:val="single" w:color="000000" w:sz="12" w:space="0"/>
            </w:tcBorders>
            <w:tcW w:w="827" w:type="dxa"/>
            <w:vAlign w:val="center"/>
            <w:textDirection w:val="lrTb"/>
            <w:noWrap w:val="false"/>
          </w:tcPr>
          <w:p>
            <w:pPr>
              <w:ind w:firstLine="48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车卡点位明细：</w:t>
      </w:r>
      <w:r/>
    </w:p>
    <w:tbl>
      <w:tblPr>
        <w:tblStyle w:val="752"/>
        <w:tblW w:w="55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CK_前进路健雄学院北东向西1</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CK_前进路健雄学院北东向西2</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CK_前进路健雄学院北东向西3</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CK_前进路健雄学院北西向东1</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CK_前进路健雄学院北西向东2</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CK_前进路健雄学院北西向东3</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CK_339省道新塘万安村东向西1</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CK_339省道新塘万安村东向西2</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CK_339省道新塘万安村东向西3</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CK_339省道新塘万安村西向东1</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CK_339省道新塘万安村西向东2</w:t>
            </w:r>
            <w:r/>
          </w:p>
        </w:tc>
      </w:tr>
      <w:tr>
        <w:trPr>
          <w:trHeight w:val="285"/>
        </w:trPr>
        <w:tc>
          <w:tcPr>
            <w:tcW w:w="5520" w:type="dxa"/>
            <w:vAlign w:val="center"/>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CK_339省道新塘万安村西向东3</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人卡：</w:t>
      </w:r>
      <w:r/>
    </w:p>
    <w:tbl>
      <w:tblPr>
        <w:tblStyle w:val="752"/>
        <w:tblW w:w="55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textDirection w:val="lrTb"/>
            <w:noWrap/>
          </w:tcPr>
          <w:p>
            <w:pPr>
              <w:rPr>
                <w:rFonts w:ascii="宋体" w:hAnsi="宋体" w:eastAsia="宋体" w:cs="宋体"/>
                <w:sz w:val="24"/>
                <w:szCs w:val="24"/>
              </w:rPr>
            </w:pPr>
            <w:r>
              <w:rPr>
                <w:rFonts w:hint="eastAsia" w:ascii="宋体" w:hAnsi="宋体" w:eastAsia="宋体" w:cs="宋体"/>
                <w:sz w:val="24"/>
                <w:szCs w:val="24"/>
              </w:rPr>
              <w:t xml:space="preserve">rxsb_太仓南站出口</w:t>
            </w:r>
            <w:r/>
          </w:p>
        </w:tc>
      </w:tr>
      <w:tr>
        <w:trPr>
          <w:trHeight w:val="285"/>
        </w:trPr>
        <w:tc>
          <w:tcPr>
            <w:tcW w:w="5520" w:type="dxa"/>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rxsb_太仓南站东安检门</w:t>
            </w:r>
            <w:r/>
          </w:p>
        </w:tc>
      </w:tr>
      <w:tr>
        <w:trPr>
          <w:trHeight w:val="285"/>
        </w:trPr>
        <w:tc>
          <w:tcPr>
            <w:tcW w:w="5520" w:type="dxa"/>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rxsb_太仓南站西安检门</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监控：</w:t>
      </w:r>
      <w:r/>
    </w:p>
    <w:tbl>
      <w:tblPr>
        <w:tblStyle w:val="752"/>
        <w:tblW w:w="2920" w:type="dxa"/>
        <w:tblInd w:w="108" w:type="dxa"/>
        <w:tblLayout w:type="autofit"/>
        <w:tblCellMar>
          <w:left w:w="108" w:type="dxa"/>
          <w:top w:w="0" w:type="dxa"/>
          <w:right w:w="108" w:type="dxa"/>
          <w:bottom w:w="0" w:type="dxa"/>
        </w:tblCellMar>
        <w:tblLook w:val="04A0" w:firstRow="1" w:lastRow="0" w:firstColumn="1" w:lastColumn="0" w:noHBand="0" w:noVBand="1"/>
      </w:tblPr>
      <w:tblGrid>
        <w:gridCol w:w="2920"/>
      </w:tblGrid>
      <w:tr>
        <w:trPr>
          <w:trHeight w:val="300"/>
        </w:trPr>
        <w:tc>
          <w:tcPr>
            <w:tcBorders>
              <w:top w:val="single" w:color="auto" w:sz="4" w:space="0"/>
              <w:left w:val="single" w:color="auto" w:sz="4" w:space="0"/>
              <w:bottom w:val="single" w:color="auto" w:sz="4" w:space="0"/>
              <w:right w:val="single" w:color="auto" w:sz="4" w:space="0"/>
            </w:tcBorders>
            <w:tcW w:w="29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太仓南站高空鹰眼球机</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车站北门（向东）</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车站北门（向西）</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车站岗亭（向北）</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车站岗亭（向南）</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汽车站东北角（向南）</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汽车站东北角（向西）</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汽车站西南角（向北）</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汽车站西南角（向东）</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HW仓隆酒店东南角向西</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高铁太仓站站前广场球</w:t>
            </w:r>
            <w:r/>
          </w:p>
        </w:tc>
      </w:tr>
      <w:tr>
        <w:trPr>
          <w:trHeight w:val="285"/>
        </w:trPr>
        <w:tc>
          <w:tcPr>
            <w:tcBorders>
              <w:top w:val="none" w:color="000000" w:sz="4" w:space="0"/>
              <w:left w:val="single" w:color="auto" w:sz="4" w:space="0"/>
              <w:bottom w:val="single" w:color="auto" w:sz="4" w:space="0"/>
              <w:right w:val="single" w:color="auto" w:sz="4" w:space="0"/>
            </w:tcBorders>
            <w:tcW w:w="2920" w:type="dxa"/>
            <w:vAlign w:val="center"/>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万达广场2号门</w:t>
            </w:r>
            <w:r/>
          </w:p>
        </w:tc>
      </w:tr>
    </w:tbl>
    <w:p>
      <w:pPr>
        <w:ind w:firstLine="480"/>
        <w:rPr>
          <w:rFonts w:ascii="宋体" w:hAnsi="宋体" w:eastAsia="宋体" w:cs="宋体"/>
          <w:sz w:val="24"/>
          <w:szCs w:val="24"/>
        </w:rPr>
      </w:pPr>
      <w:r>
        <w:rPr>
          <w:rFonts w:ascii="宋体" w:hAnsi="宋体" w:eastAsia="宋体" w:cs="宋体"/>
          <w:sz w:val="24"/>
          <w:szCs w:val="24"/>
        </w:rPr>
      </w:r>
      <w:r/>
    </w:p>
    <w:p>
      <w:pPr>
        <w:pStyle w:val="747"/>
        <w:ind w:firstLine="425"/>
        <w:rPr>
          <w:rFonts w:ascii="宋体" w:hAnsi="宋体" w:eastAsia="宋体" w:cs="宋体"/>
          <w:bCs w:val="0"/>
          <w:sz w:val="24"/>
          <w:szCs w:val="24"/>
          <w:lang w:eastAsia="zh-CN"/>
        </w:rPr>
      </w:pPr>
      <w:r>
        <w:rPr>
          <w:rFonts w:hint="eastAsia" w:ascii="宋体" w:hAnsi="宋体" w:eastAsia="宋体" w:cs="宋体"/>
          <w:sz w:val="24"/>
          <w:szCs w:val="24"/>
          <w:lang w:eastAsia="zh-CN"/>
        </w:rPr>
        <w:t xml:space="preserve">3.3.22、</w:t>
      </w:r>
      <w:r>
        <w:rPr>
          <w:rFonts w:hint="eastAsia" w:ascii="宋体" w:hAnsi="宋体" w:eastAsia="宋体" w:cs="宋体"/>
          <w:bCs w:val="0"/>
          <w:sz w:val="24"/>
          <w:szCs w:val="24"/>
          <w:lang w:eastAsia="zh-CN"/>
        </w:rPr>
        <w:t xml:space="preserve">太仓站、太仓南站公安技防设施到期运维</w:t>
      </w:r>
      <w:r/>
    </w:p>
    <w:p>
      <w:pPr>
        <w:ind w:firstLine="480"/>
        <w:rPr>
          <w:rFonts w:ascii="宋体" w:hAnsi="宋体" w:eastAsia="宋体" w:cs="宋体"/>
          <w:sz w:val="24"/>
          <w:szCs w:val="24"/>
        </w:rPr>
      </w:pPr>
      <w:r>
        <w:rPr>
          <w:rFonts w:hint="eastAsia" w:ascii="宋体" w:hAnsi="宋体" w:eastAsia="宋体" w:cs="宋体"/>
          <w:sz w:val="24"/>
          <w:szCs w:val="24"/>
        </w:rPr>
        <w:t xml:space="preserve">车卡明细：</w:t>
      </w:r>
      <w:r/>
    </w:p>
    <w:tbl>
      <w:tblPr>
        <w:tblStyle w:val="752"/>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56"/>
        <w:gridCol w:w="2468"/>
        <w:gridCol w:w="4326"/>
        <w:gridCol w:w="1350"/>
      </w:tblGrid>
      <w:tr>
        <w:trPr>
          <w:trHeight w:val="285"/>
        </w:trPr>
        <w:tc>
          <w:tcPr>
            <w:tcBorders>
              <w:top w:val="single" w:color="000000" w:sz="4" w:space="0"/>
              <w:left w:val="single" w:color="000000" w:sz="4" w:space="0"/>
              <w:bottom w:val="single" w:color="000000" w:sz="4" w:space="0"/>
              <w:right w:val="single" w:color="000000" w:sz="4"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56"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辖区</w:t>
            </w:r>
            <w:r/>
          </w:p>
        </w:tc>
        <w:tc>
          <w:tcPr>
            <w:tcBorders>
              <w:top w:val="single" w:color="000000" w:sz="4" w:space="0"/>
              <w:left w:val="single" w:color="000000" w:sz="4" w:space="0"/>
              <w:bottom w:val="single" w:color="000000" w:sz="4" w:space="0"/>
              <w:right w:val="single" w:color="000000" w:sz="4" w:space="0"/>
            </w:tcBorders>
            <w:tcW w:w="2377"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点位</w:t>
            </w:r>
            <w:r/>
          </w:p>
        </w:tc>
        <w:tc>
          <w:tcPr>
            <w:tcBorders>
              <w:top w:val="single" w:color="000000" w:sz="4" w:space="0"/>
              <w:left w:val="single" w:color="000000" w:sz="4" w:space="0"/>
              <w:bottom w:val="single" w:color="000000" w:sz="4" w:space="0"/>
              <w:right w:val="single" w:color="000000" w:sz="4" w:space="0"/>
            </w:tcBorders>
            <w:tcW w:w="742"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类型</w:t>
            </w:r>
            <w:r/>
          </w:p>
        </w:tc>
      </w:tr>
      <w:tr>
        <w:trPr>
          <w:trHeight w:val="701"/>
        </w:trPr>
        <w:tc>
          <w:tcPr>
            <w:tcBorders>
              <w:top w:val="single" w:color="000000" w:sz="4" w:space="0"/>
              <w:left w:val="single" w:color="000000" w:sz="4" w:space="0"/>
              <w:bottom w:val="single" w:color="000000" w:sz="4" w:space="0"/>
              <w:right w:val="single" w:color="000000" w:sz="4"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top w:val="single" w:color="000000" w:sz="4" w:space="0"/>
              <w:left w:val="single" w:color="000000" w:sz="4" w:space="0"/>
              <w:bottom w:val="single" w:color="000000" w:sz="4" w:space="0"/>
              <w:right w:val="single" w:color="000000" w:sz="4" w:space="0"/>
            </w:tcBorders>
            <w:tcW w:w="2377"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PK_太仓站站南路地面出口</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top w:val="single" w:color="000000" w:sz="4" w:space="0"/>
              <w:left w:val="single" w:color="000000" w:sz="4" w:space="0"/>
              <w:bottom w:val="single" w:color="000000" w:sz="4" w:space="0"/>
              <w:right w:val="single" w:color="000000" w:sz="4"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top w:val="single" w:color="000000" w:sz="4" w:space="0"/>
              <w:left w:val="single" w:color="000000" w:sz="4" w:space="0"/>
              <w:bottom w:val="single" w:color="000000" w:sz="4" w:space="0"/>
              <w:right w:val="single" w:color="000000" w:sz="4"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PK_太仓站站南路地库出口</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PK_太仓站站南路出租车出口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PK_太仓站站前大道入口1</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PK_太仓站站前大道入口2</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PK_太仓站站前大道地面出口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PK_太仓站站前大道地库出口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PK_太仓站北入口出站</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PK_太仓站北入口地库进站</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PK_太仓站北入口地面进站</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81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w:t>
            </w:r>
            <w:r/>
          </w:p>
        </w:tc>
        <w:tc>
          <w:tcPr>
            <w:tcBorders>
              <w:bottom w:val="single" w:color="000000" w:sz="12" w:space="0"/>
              <w:right w:val="single" w:color="000000" w:sz="12" w:space="0"/>
            </w:tcBorders>
            <w:tcW w:w="2377" w:type="pct"/>
            <w:vAlign w:val="center"/>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PK_太仓站出租车进口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w:t>
            </w:r>
            <w:r/>
          </w:p>
        </w:tc>
        <w:tc>
          <w:tcPr>
            <w:tcBorders>
              <w:bottom w:val="single" w:color="000000" w:sz="12" w:space="0"/>
              <w:right w:val="single" w:color="000000" w:sz="12" w:space="0"/>
            </w:tcBorders>
            <w:tcW w:w="2377" w:type="pct"/>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PK_太仓南站地下车库西北出口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w:t>
            </w:r>
            <w:r/>
          </w:p>
        </w:tc>
        <w:tc>
          <w:tcPr>
            <w:tcBorders>
              <w:bottom w:val="single" w:color="000000" w:sz="12" w:space="0"/>
              <w:right w:val="single" w:color="000000" w:sz="12" w:space="0"/>
            </w:tcBorders>
            <w:tcW w:w="2377" w:type="pct"/>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PK_太仓南站站房管理处进口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w:t>
            </w:r>
            <w:r/>
          </w:p>
        </w:tc>
        <w:tc>
          <w:tcPr>
            <w:tcBorders>
              <w:bottom w:val="single" w:color="000000" w:sz="12" w:space="0"/>
              <w:right w:val="single" w:color="000000" w:sz="12" w:space="0"/>
            </w:tcBorders>
            <w:tcW w:w="2377" w:type="pct"/>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PK_太仓南站地下车库东北入口卡口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w:t>
            </w:r>
            <w:r/>
          </w:p>
        </w:tc>
        <w:tc>
          <w:tcPr>
            <w:tcBorders>
              <w:bottom w:val="single" w:color="000000" w:sz="12" w:space="0"/>
              <w:right w:val="single" w:color="000000" w:sz="12" w:space="0"/>
            </w:tcBorders>
            <w:tcW w:w="2377" w:type="pct"/>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PK_太仓南站地下车库西南入口卡口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r>
        <w:trPr>
          <w:trHeight w:val="1080"/>
        </w:trPr>
        <w:tc>
          <w:tcPr>
            <w:tcBorders>
              <w:left w:val="single" w:color="000000" w:sz="12" w:space="0"/>
              <w:bottom w:val="single" w:color="000000" w:sz="12" w:space="0"/>
              <w:right w:val="single" w:color="000000" w:sz="12" w:space="0"/>
            </w:tcBorders>
            <w:tcW w:w="525" w:type="pct"/>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bottom w:val="single" w:color="000000" w:sz="12" w:space="0"/>
              <w:right w:val="single" w:color="000000" w:sz="12" w:space="0"/>
            </w:tcBorders>
            <w:tcW w:w="1356"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w:t>
            </w:r>
            <w:r/>
          </w:p>
        </w:tc>
        <w:tc>
          <w:tcPr>
            <w:tcBorders>
              <w:bottom w:val="single" w:color="000000" w:sz="12" w:space="0"/>
              <w:right w:val="single" w:color="000000" w:sz="12" w:space="0"/>
            </w:tcBorders>
            <w:tcW w:w="2377" w:type="pct"/>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PK_太仓南站地下车库东北出口卡口</w:t>
            </w:r>
            <w:r/>
          </w:p>
        </w:tc>
        <w:tc>
          <w:tcPr>
            <w:tcBorders>
              <w:bottom w:val="single" w:color="000000" w:sz="12" w:space="0"/>
              <w:right w:val="single" w:color="000000" w:sz="12" w:space="0"/>
            </w:tcBorders>
            <w:tcW w:w="74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普卡</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人卡明细：</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470"/>
        <w:gridCol w:w="1471"/>
        <w:gridCol w:w="3924"/>
        <w:gridCol w:w="1471"/>
      </w:tblGrid>
      <w:tr>
        <w:trPr>
          <w:trHeight w:val="285"/>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辖区</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点位</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类型</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rxsb_高铁太仓站进站通道1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rxsb_高铁太仓站进站检票1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rxsb_高铁太仓站进站通道2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rxsb_高铁太仓站进站检票2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rxsb_高铁太仓站进站检票3</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rxsb_高铁太仓站进站通道3</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rxsb_高铁太仓站售票1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rxsb_高铁太仓站进站检票4</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rxsb_高铁太仓站安检2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rxsb_高铁太仓站出站1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rxsb_高铁太仓站出站3</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rxsb_高铁太仓站安检1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rxsb_高铁太仓站出站2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rxsb_高铁太仓站出站4</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rxsb_高铁太仓站售票2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rxsb_高铁太仓站候车大厅出口</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rxsb_高铁太仓南站出站通道1</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rxsb_高铁太仓南站出站通道2</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rxsb_高铁太仓南站进站通道东</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rxsb_高铁太仓南站进站通道西</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rxsb_高铁太仓南站出站通道西</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3924"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rxsb_高铁太仓南站出站通道东</w:t>
            </w:r>
            <w:r/>
          </w:p>
        </w:tc>
        <w:tc>
          <w:tcPr>
            <w:tcBorders>
              <w:top w:val="single" w:color="000000" w:sz="4" w:space="0"/>
              <w:left w:val="single" w:color="000000" w:sz="4" w:space="0"/>
              <w:bottom w:val="single" w:color="000000" w:sz="4" w:space="0"/>
              <w:right w:val="single" w:color="000000" w:sz="4" w:space="0"/>
            </w:tcBorders>
            <w:tcW w:w="1471"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人卡</w:t>
            </w:r>
            <w:r/>
          </w:p>
        </w:tc>
      </w:tr>
    </w:tbl>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监控明细：</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080"/>
        <w:gridCol w:w="3795"/>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站点</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监控点位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高铁太仓站出口球</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太仓站北入口违停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太仓站地库1</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太仓站地库2</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太仓站地库3</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太仓站地库4</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太仓站地库南出口地面违停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太仓站西北出口违停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太仓站西南进口违停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太仓站站北路违停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太仓站站南路违停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太仓站站西大道北向南违停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太仓站站西大道南向北违停</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太仓南站出租车停车出口违停抓拍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太仓南站地下广场东北角违停抓拍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太仓南站地下广场东南角违停抓拍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太仓南站地下广场西北角违停抓拍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太仓南站地下广场西南角违停抓拍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太仓南站东仓新路路口违停抓拍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太仓南站辅楼鹰眼</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太仓南站公交停车场违停抓拍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太仓南站广场东南角</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太仓南站广场西北角</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太仓南站经三路违停抓拍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太仓南站铁路用房违停抓拍</w:t>
            </w:r>
            <w:r/>
          </w:p>
        </w:tc>
      </w:tr>
      <w:tr>
        <w:trPr>
          <w:trHeight w:val="285"/>
        </w:trPr>
        <w:tc>
          <w:tcPr>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太仓南站</w:t>
            </w:r>
            <w:r/>
          </w:p>
        </w:tc>
        <w:tc>
          <w:tcPr>
            <w:tcBorders>
              <w:top w:val="single" w:color="000000" w:sz="4" w:space="0"/>
              <w:left w:val="single" w:color="000000" w:sz="4" w:space="0"/>
              <w:bottom w:val="single" w:color="000000" w:sz="4" w:space="0"/>
              <w:right w:val="single" w:color="000000" w:sz="4" w:space="0"/>
            </w:tcBorders>
            <w:tcW w:w="3795" w:type="dxa"/>
            <w:vAlign w:val="bottom"/>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太仓南站正夫路南违停抓拍</w:t>
            </w:r>
            <w:r/>
          </w:p>
        </w:tc>
      </w:tr>
    </w:tbl>
    <w:p>
      <w:pPr>
        <w:pStyle w:val="747"/>
        <w:rPr>
          <w:rFonts w:ascii="宋体" w:hAnsi="宋体" w:eastAsia="宋体" w:cs="宋体"/>
          <w:sz w:val="24"/>
          <w:szCs w:val="24"/>
          <w:shd w:val="clear" w:color="auto" w:fill="ffffff"/>
          <w:lang w:eastAsia="zh-CN"/>
        </w:rPr>
      </w:pPr>
      <w:r>
        <w:rPr>
          <w:rFonts w:hint="eastAsia" w:ascii="宋体" w:hAnsi="宋体" w:eastAsia="宋体" w:cs="宋体"/>
          <w:sz w:val="24"/>
          <w:szCs w:val="24"/>
          <w:lang w:eastAsia="zh-CN"/>
        </w:rPr>
        <w:t xml:space="preserve">3.3.23、</w:t>
      </w:r>
      <w:r>
        <w:rPr>
          <w:rFonts w:hint="eastAsia" w:ascii="宋体" w:hAnsi="宋体" w:eastAsia="宋体" w:cs="宋体"/>
          <w:color w:val="000000"/>
          <w:sz w:val="24"/>
          <w:szCs w:val="24"/>
          <w:lang w:eastAsia="zh-CN"/>
        </w:rPr>
        <w:t xml:space="preserve">雪亮工程</w:t>
      </w:r>
      <w:r>
        <w:rPr>
          <w:rFonts w:hint="eastAsia" w:ascii="宋体" w:hAnsi="宋体" w:eastAsia="宋体" w:cs="宋体"/>
          <w:sz w:val="24"/>
          <w:szCs w:val="24"/>
          <w:lang w:eastAsia="zh-CN"/>
        </w:rPr>
        <w:t xml:space="preserve">驻场维护服务人员2人到期，需要继续驻场服务1年</w:t>
      </w:r>
      <w:r/>
    </w:p>
    <w:p>
      <w:pPr>
        <w:ind w:firstLine="420"/>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不少于二人的驻场外包服务。主要负责协助太仓市政法委综指中心、太仓市公安局开展太仓市雪亮工程建设相关工作，服务期限为两年，包括但不限于协助进行市级监控联网共享应用平台的日常维护管理、各</w:t>
      </w:r>
      <w:r>
        <w:rPr>
          <w:rFonts w:hint="eastAsia" w:ascii="宋体" w:hAnsi="宋体" w:eastAsia="宋体" w:cs="宋体"/>
          <w:sz w:val="24"/>
          <w:szCs w:val="24"/>
          <w:highlight w:val="none"/>
          <w:lang w:eastAsia="zh-CN"/>
        </w:rPr>
        <w:t xml:space="preserve">类设备一机一档的制作维护管理，各单位监控设备联网对接协调维护，各类监控运行质态运维等；协助太仓市公安局对全市治安监控、社会面监控日常管理协调运维工作，制作报表通报、国标处理、平台治理、点位推送等；协调太仓市信息港社会面监控平台及相关前端设备的对接、治理、维护工作。工作地点太仓市公安局。工作时间参照政府机关工作日工作时间，必要时需要7*24小时服务，加班解决雪亮工程相关工作。食宿自理。（驻场人员须通过公安机关慧安平台审核）</w:t>
      </w:r>
      <w:r/>
    </w:p>
    <w:p>
      <w:pPr>
        <w:ind w:firstLine="420"/>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pStyle w:val="747"/>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3.3.24、监视居住专用场所（智能化）改造工程</w:t>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对已经过保太仓市公安局监视居住点的智能化运维，主要包括：</w:t>
      </w:r>
      <w:r/>
    </w:p>
    <w:p>
      <w:pPr>
        <w:pStyle w:val="933"/>
        <w:numPr>
          <w:ilvl w:val="0"/>
          <w:numId w:val="8"/>
        </w:numPr>
        <w:rPr>
          <w:rFonts w:ascii="宋体" w:hAnsi="宋体" w:eastAsia="宋体" w:cs="宋体"/>
          <w:sz w:val="24"/>
          <w:szCs w:val="24"/>
          <w:lang w:eastAsia="zh-CN"/>
        </w:rPr>
      </w:pPr>
      <w:r>
        <w:rPr>
          <w:rFonts w:hint="eastAsia" w:ascii="宋体" w:hAnsi="宋体" w:eastAsia="宋体" w:cs="宋体"/>
          <w:sz w:val="24"/>
          <w:szCs w:val="24"/>
          <w:lang w:eastAsia="zh-CN"/>
        </w:rPr>
        <w:t xml:space="preserve">网络系统及管线、交换机面板等设施</w:t>
      </w:r>
      <w:r/>
    </w:p>
    <w:p>
      <w:pPr>
        <w:pStyle w:val="933"/>
        <w:numPr>
          <w:ilvl w:val="0"/>
          <w:numId w:val="8"/>
        </w:numPr>
        <w:rPr>
          <w:rFonts w:ascii="宋体" w:hAnsi="宋体" w:eastAsia="宋体" w:cs="宋体"/>
          <w:sz w:val="24"/>
          <w:szCs w:val="24"/>
        </w:rPr>
      </w:pPr>
      <w:r>
        <w:rPr>
          <w:rFonts w:hint="eastAsia" w:ascii="宋体" w:hAnsi="宋体" w:eastAsia="宋体" w:cs="宋体"/>
          <w:sz w:val="24"/>
          <w:szCs w:val="24"/>
        </w:rPr>
        <w:t xml:space="preserve">有线电视系统</w:t>
      </w:r>
      <w:r/>
    </w:p>
    <w:p>
      <w:pPr>
        <w:pStyle w:val="933"/>
        <w:numPr>
          <w:ilvl w:val="0"/>
          <w:numId w:val="8"/>
        </w:numPr>
        <w:rPr>
          <w:rFonts w:ascii="宋体" w:hAnsi="宋体" w:eastAsia="宋体" w:cs="宋体"/>
          <w:sz w:val="24"/>
          <w:szCs w:val="24"/>
        </w:rPr>
      </w:pPr>
      <w:r>
        <w:rPr>
          <w:rFonts w:hint="eastAsia" w:ascii="宋体" w:hAnsi="宋体" w:eastAsia="宋体" w:cs="宋体"/>
          <w:sz w:val="24"/>
          <w:szCs w:val="24"/>
        </w:rPr>
        <w:t xml:space="preserve">视频监控系统：</w:t>
      </w:r>
      <w:r/>
    </w:p>
    <w:p>
      <w:pPr>
        <w:pStyle w:val="933"/>
        <w:numPr>
          <w:ilvl w:val="0"/>
          <w:numId w:val="8"/>
        </w:numPr>
        <w:rPr>
          <w:rFonts w:ascii="宋体" w:hAnsi="宋体" w:eastAsia="宋体" w:cs="宋体"/>
          <w:sz w:val="24"/>
          <w:szCs w:val="24"/>
        </w:rPr>
      </w:pPr>
      <w:r>
        <w:rPr>
          <w:rFonts w:hint="eastAsia" w:ascii="宋体" w:hAnsi="宋体" w:eastAsia="宋体" w:cs="宋体"/>
          <w:sz w:val="24"/>
          <w:szCs w:val="24"/>
        </w:rPr>
        <w:t xml:space="preserve">电子围栏报警系统</w:t>
      </w:r>
      <w:r/>
    </w:p>
    <w:p>
      <w:pPr>
        <w:pStyle w:val="933"/>
        <w:numPr>
          <w:ilvl w:val="0"/>
          <w:numId w:val="8"/>
        </w:numPr>
        <w:rPr>
          <w:rFonts w:ascii="宋体" w:hAnsi="宋体" w:eastAsia="宋体" w:cs="宋体"/>
          <w:sz w:val="24"/>
          <w:szCs w:val="24"/>
        </w:rPr>
      </w:pPr>
      <w:r>
        <w:rPr>
          <w:rFonts w:hint="eastAsia" w:ascii="宋体" w:hAnsi="宋体" w:eastAsia="宋体" w:cs="宋体"/>
          <w:sz w:val="24"/>
          <w:szCs w:val="24"/>
        </w:rPr>
        <w:t xml:space="preserve">UPS电源系统</w:t>
      </w:r>
      <w:r/>
    </w:p>
    <w:p>
      <w:pPr>
        <w:pStyle w:val="933"/>
        <w:numPr>
          <w:ilvl w:val="0"/>
          <w:numId w:val="8"/>
        </w:numPr>
        <w:rPr>
          <w:rFonts w:ascii="宋体" w:hAnsi="宋体" w:eastAsia="宋体" w:cs="宋体"/>
          <w:sz w:val="24"/>
          <w:szCs w:val="24"/>
        </w:rPr>
      </w:pPr>
      <w:r>
        <w:rPr>
          <w:rFonts w:hint="eastAsia" w:ascii="宋体" w:hAnsi="宋体" w:eastAsia="宋体" w:cs="宋体"/>
          <w:sz w:val="24"/>
          <w:szCs w:val="24"/>
        </w:rPr>
        <w:t xml:space="preserve">门禁系统</w:t>
      </w:r>
      <w:r/>
    </w:p>
    <w:p>
      <w:pPr>
        <w:pStyle w:val="747"/>
        <w:rPr>
          <w:rFonts w:ascii="宋体" w:hAnsi="宋体" w:eastAsia="宋体" w:cs="宋体"/>
          <w:bCs w:val="0"/>
          <w:sz w:val="24"/>
          <w:szCs w:val="24"/>
          <w:lang w:eastAsia="zh-CN"/>
        </w:rPr>
      </w:pPr>
      <w:r>
        <w:rPr>
          <w:rFonts w:hint="eastAsia" w:ascii="宋体" w:hAnsi="宋体" w:eastAsia="宋体" w:cs="宋体"/>
          <w:sz w:val="24"/>
          <w:szCs w:val="24"/>
          <w:lang w:eastAsia="zh-CN"/>
        </w:rPr>
        <w:t xml:space="preserve">3.3.25、</w:t>
      </w:r>
      <w:r>
        <w:rPr>
          <w:rFonts w:hint="eastAsia" w:ascii="宋体" w:hAnsi="宋体" w:eastAsia="宋体" w:cs="宋体"/>
          <w:bCs w:val="0"/>
          <w:sz w:val="24"/>
          <w:szCs w:val="24"/>
          <w:lang w:eastAsia="zh-CN"/>
        </w:rPr>
        <w:t xml:space="preserve">智慧交通一期基础预备项目过期维保服务</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对以下采购的软硬件及服务进行维护</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368"/>
        <w:gridCol w:w="2652"/>
        <w:gridCol w:w="3264"/>
        <w:gridCol w:w="972"/>
        <w:gridCol w:w="984"/>
      </w:tblGrid>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标的物名称</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品牌、规格</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环保卡口</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华为X2391-20-TL</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环保补光灯</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华为CXBG-2-MC-ACC5513</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480"/>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前端监控链路租赁</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定制</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条/1年</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480"/>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高分可视化图形工作站</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DELL T3640</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显示器</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DELL U4919DW</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开发对接服务</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定制</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视频云转发存储服务器</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华为IVS3800XS</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聚档管理服务器</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华为IVS3800XC</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480"/>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智慧乘车解析比对一体机</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华为IVS3800XC</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台式电脑</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戴尔 OptiPlex 3080 Micro 300226</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显示器</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显示器 DELL E2720H</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笔记本14寸</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DELL Latitude 3420 330038</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笔记本15.6寸</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DELL Latitude 5520 320037</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服务器硬盘</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希捷 ST16000NM001G</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409"/>
        </w:trPr>
        <w:tc>
          <w:tcPr>
            <w:tcBorders>
              <w:top w:val="single" w:color="000000" w:sz="12" w:space="0"/>
              <w:left w:val="single" w:color="000000" w:sz="12" w:space="0"/>
              <w:bottom w:val="single" w:color="000000" w:sz="12" w:space="0"/>
              <w:right w:val="single" w:color="000000" w:sz="12" w:space="0"/>
            </w:tcBorders>
            <w:tcW w:w="368" w:type="dxa"/>
            <w:textDirection w:val="lrTb"/>
            <w:noWrap w:val="false"/>
          </w:tcPr>
          <w:p>
            <w:pPr>
              <w:numPr>
                <w:ilvl w:val="0"/>
                <w:numId w:val="9"/>
              </w:num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000000" w:sz="12" w:space="0"/>
              <w:left w:val="single" w:color="000000" w:sz="12" w:space="0"/>
              <w:bottom w:val="single" w:color="000000" w:sz="12" w:space="0"/>
              <w:right w:val="single" w:color="000000" w:sz="12" w:space="0"/>
            </w:tcBorders>
            <w:tcW w:w="265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智慧停车扩容</w:t>
            </w:r>
            <w:r/>
          </w:p>
        </w:tc>
        <w:tc>
          <w:tcPr>
            <w:tcBorders>
              <w:top w:val="single" w:color="000000" w:sz="12" w:space="0"/>
              <w:left w:val="single" w:color="000000" w:sz="12" w:space="0"/>
              <w:bottom w:val="single" w:color="000000" w:sz="12" w:space="0"/>
              <w:right w:val="single" w:color="000000" w:sz="12" w:space="0"/>
            </w:tcBorders>
            <w:tcW w:w="326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定制</w:t>
            </w:r>
            <w:r/>
          </w:p>
        </w:tc>
        <w:tc>
          <w:tcPr>
            <w:tcBorders>
              <w:top w:val="single" w:color="000000" w:sz="12" w:space="0"/>
              <w:left w:val="single" w:color="000000" w:sz="12" w:space="0"/>
              <w:bottom w:val="single" w:color="000000" w:sz="12" w:space="0"/>
              <w:right w:val="single" w:color="000000" w:sz="12" w:space="0"/>
            </w:tcBorders>
            <w:tcW w:w="972"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12" w:space="0"/>
              <w:left w:val="single" w:color="000000" w:sz="12" w:space="0"/>
              <w:bottom w:val="single" w:color="000000" w:sz="12" w:space="0"/>
              <w:right w:val="single" w:color="000000" w:sz="12" w:space="0"/>
            </w:tcBorders>
            <w:tcW w:w="98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rPr>
          <w:rFonts w:ascii="宋体" w:hAnsi="宋体" w:eastAsia="宋体" w:cs="宋体"/>
          <w:sz w:val="24"/>
          <w:szCs w:val="24"/>
        </w:rPr>
      </w:pPr>
      <w:r>
        <w:rPr>
          <w:rFonts w:hint="eastAsia" w:ascii="宋体" w:hAnsi="宋体" w:eastAsia="宋体" w:cs="宋体"/>
          <w:sz w:val="24"/>
          <w:szCs w:val="24"/>
        </w:rPr>
        <w:t xml:space="preserve">点位明细：</w:t>
      </w:r>
      <w:r/>
    </w:p>
    <w:tbl>
      <w:tblPr>
        <w:tblStyle w:val="752"/>
        <w:tblW w:w="5520" w:type="dxa"/>
        <w:tblInd w:w="113" w:type="dxa"/>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Borders>
              <w:top w:val="single" w:color="auto"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CK_东仓路郑和路北侧北向南</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CK_陆璜公路339省道北侧北向南</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CK_太平路海运堤路北50米</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CK_人民路弇山路路口南侧</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CK_太平路弇山路路口西侧</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CK_人民路向阳路东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CK_东仓新路健雄路西侧西向东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CK_滨河路东亭路东侧东向西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CK_通港路岳鹿路东侧东向西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CK_339省道兴业路西侧西向东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CK_346国道S48南侧南向北</w:t>
            </w:r>
            <w:r/>
          </w:p>
        </w:tc>
      </w:tr>
    </w:tbl>
    <w:p>
      <w:pPr>
        <w:rPr>
          <w:rFonts w:ascii="宋体" w:hAnsi="宋体" w:eastAsia="宋体" w:cs="宋体"/>
          <w:sz w:val="24"/>
          <w:szCs w:val="24"/>
          <w:lang w:eastAsia="zh-CN"/>
        </w:rPr>
      </w:pPr>
      <w:r>
        <w:rPr>
          <w:rFonts w:ascii="宋体"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3.3.26、2020年度人像卡口项目标段一到期运维</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777"/>
        <w:gridCol w:w="1031"/>
        <w:gridCol w:w="3417"/>
        <w:gridCol w:w="777"/>
        <w:gridCol w:w="777"/>
        <w:gridCol w:w="777"/>
        <w:gridCol w:w="780"/>
      </w:tblGrid>
      <w:tr>
        <w:trPr>
          <w:trHeight w:val="285"/>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标的物名称</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品牌、规格</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生产厂家</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招标数量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决算数量</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一、环保超级及智能车辆卡口  （一标段建设部分）</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1.1、900万超级卡口</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900万超级卡口抓拍单元</w:t>
            </w:r>
            <w:r>
              <w:rPr>
                <w:rFonts w:hint="eastAsia" w:ascii="宋体" w:hAnsi="宋体" w:eastAsia="宋体" w:cs="宋体"/>
                <w:b/>
                <w:bCs/>
                <w:color w:val="000000"/>
                <w:sz w:val="24"/>
                <w:szCs w:val="24"/>
                <w:lang w:eastAsia="zh-CN"/>
              </w:rPr>
              <w:t xml:space="preserve">A</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品牌：海康威视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规格：iDS-TCV900-BEF/X</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杭州海康威视数字技术股份有限公司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120</w:t>
            </w:r>
            <w:r/>
          </w:p>
        </w:tc>
      </w:tr>
      <w:tr>
        <w:trPr>
          <w:trHeight w:val="120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LED频闪灯</w:t>
            </w:r>
            <w:r>
              <w:rPr>
                <w:rFonts w:hint="eastAsia" w:ascii="宋体" w:hAnsi="宋体" w:eastAsia="宋体" w:cs="宋体"/>
                <w:b/>
                <w:bCs/>
                <w:color w:val="000000"/>
                <w:sz w:val="24"/>
                <w:szCs w:val="24"/>
              </w:rPr>
              <w:t xml:space="preserve">A</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品牌：海康威视</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规格：CXBG-1-PS-DS-TL2000A-L1-N </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17) 超级卡口摄像机专用频闪灯，原则上一套频闪灯覆盖一条车道。</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杭州海康威视数字技术股份有限公司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112</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900万超级卡口抓拍单元</w:t>
            </w:r>
            <w:r>
              <w:rPr>
                <w:rFonts w:hint="eastAsia" w:ascii="宋体" w:hAnsi="宋体" w:eastAsia="宋体" w:cs="宋体"/>
                <w:b/>
                <w:bCs/>
                <w:color w:val="000000"/>
                <w:sz w:val="24"/>
                <w:szCs w:val="24"/>
                <w:lang w:eastAsia="zh-CN"/>
              </w:rPr>
              <w:t xml:space="preserve">B</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品牌：华为</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规格：M2391-T</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华为技术有限公司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LED频闪灯</w:t>
            </w:r>
            <w:r>
              <w:rPr>
                <w:rFonts w:hint="eastAsia" w:ascii="宋体" w:hAnsi="宋体" w:eastAsia="宋体" w:cs="宋体"/>
                <w:b/>
                <w:bCs/>
                <w:color w:val="000000"/>
                <w:sz w:val="24"/>
                <w:szCs w:val="24"/>
              </w:rPr>
              <w:t xml:space="preserve">B</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品牌：华为</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规格：CXBG-1-PS-ACC5410</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华为技术有限公司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闪光灯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品牌：光宝</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规格：G-300F</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温州市光宝摄影器材有限公司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140</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支架.抱箍</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规格：相应配套，采用304不锈钢材料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272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272</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1.2、900万环保超卡</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900万环保车辆人脸卡口抓拍单元</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品牌：科达</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规格：IPC695</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闪光灯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品牌：科达</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规格：CXBG-2-MC-K308</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LED频闪补光灯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品牌：科达</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规格：CXBG-1-PS-K210</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支架.抱箍</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规格：相应配套，采用304不锈钢材料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1.3、300万智能环保卡口</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300万智能环保卡口单元</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品牌：大华</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规格：DH-CP302-AU1G</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浙江大华技术股份有限公司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四合一生态补光灯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品牌：大华</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规格：DH-ITALF-300AG</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浙江大华技术股份有限公司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支架.抱箍</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规格：相应配套，采用304不锈钢材料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58</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1.4、前端网络传输设备</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摄像机SD存储卡</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规格：64G相应配套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187</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前端光交换机</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品牌：航天大为</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规格：DWM210DSF</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10端口千兆以太网交换机(8GE+2SFP)</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江苏航天大为科技股份有限公司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千兆光纤模块</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品牌：航天大为</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规格：SFPSG3-20/40/60</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单模单纤20KM*10对，40KM*20对，60KM*10对</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江苏航天大为科技股份有限公司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对</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光纤收发器</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品牌：航天大为</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规格：DWM114G</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单模单纤千兆收发器，20KM*12对，40KM*12对，后端可支持机架式框架</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江苏航天大为科技股份有限公司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对</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1.5、立杆、相应配套辅材</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辅道加横杆</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规格：辅道加横杆臂长4米（含抱箍等，抱箍采用304不锈钢材料）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L型立杆</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规格：高6.3米，臂长7米</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L型立杆</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规格：高6.3米，臂长11米</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T型立杆</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规格：高6.3米,臂长7米4米</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T型立杆</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规格：高6.3米,臂长11米11米</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基础（含杆件地笼等）</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规格：地笼、混凝土、螺栓，相关配件采用304不锈钢材质</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抱杆箱</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规格：不锈钢700*600*220cm（包含抱箍，空开，漏电保护器,防雷模块），箱体、配件等采用304不锈钢材料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16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相应配套辅材</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外接电源线RVV2*2.5/电源线RVV2*1.5/控制线RVVP2*1.0/六类4对UTP电缆/硅芯管HDPE40/镀锌钢管Ф50/接地/接地连接线/绿化开挖含恢复/道板开挖含恢复/路面开挖含恢复/架空线含钢丝绳及配件/相应配套辅材等，工程中使用的抱箍、螺丝、螺帽、箱体等配件全部使用304不锈钢材质</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1.6、存储联网中心配套设备</w:t>
            </w:r>
            <w:r/>
          </w:p>
        </w:tc>
      </w:tr>
      <w:tr>
        <w:trPr>
          <w:trHeight w:val="120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网络存储设备</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品牌：海康威视</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规格：DS-A71048R</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机架式/8U48盘位/SATA硬盘/1536Mbps接入带宽/64位多核处理器、4GB、2个千兆数据网口，1个千兆管理网口/冗余电源/最高可接入前端256路</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杭州海康威视数字技术股份有限公司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8T企业级硬盘</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品牌：海康威视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规格：HK728TAH</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8TB,7200RPM, 256MB, SATA 6Gb/s，三年质保</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杭州海康威视数字技术股份有限公司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补光无极灯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品牌：开元</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规格：AFBG-2  80W</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浙江开元光电照明科技有限公司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48光口安全汇聚交换机</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品牌：华三</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规格：LS-5560X-54F-EI</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新华三技术有限公司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打印机</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品牌：富可视</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规格：FM-2833ND</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黑白激光多功能一体机(打印、复印、扫描、自动双面打印、有线网络）</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珠海奔图电子有限公司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1.7、其他</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系统集成费</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规格：定制</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本项目涉及安装调试等各类人工集成费用</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系统集成服务费</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规格：定制</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本项目涉及前后端软硬件叁年技术服务费（365天*24小时）</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机房托管及平台对接</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规格：定制</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中心存储三年机柜租用、用电、前端与平台对接调试维护等</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二、设备采购部分</w:t>
            </w:r>
            <w:r/>
          </w:p>
        </w:tc>
      </w:tr>
      <w:tr>
        <w:trPr>
          <w:trHeight w:val="96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防毒墙</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品牌：网神</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规格：NSG5000 TG-25</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网神信息技术（北京）股份有限公司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数据库运维</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品牌：安华金和</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规格：DOMS-EGA- 2000B</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北京安华金和科技有限公司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边界集控设备</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品牌：合众</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规格：CM-350</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杭州合众数据技术有限公司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GPU套件</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品牌：戴尔</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规格：原厂配套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戴尔（中国）有限公司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85"/>
        </w:trPr>
        <w:tc>
          <w:tcPr>
            <w:gridSpan w:val="7"/>
            <w:tcBorders>
              <w:top w:val="single" w:color="000000" w:sz="4" w:space="0"/>
              <w:left w:val="single" w:color="000000" w:sz="4" w:space="0"/>
              <w:bottom w:val="single" w:color="000000" w:sz="4" w:space="0"/>
            </w:tcBorders>
            <w:tcW w:w="8336" w:type="dxa"/>
            <w:vAlign w:val="center"/>
            <w:textDirection w:val="lrTb"/>
            <w:noWrap w:val="false"/>
          </w:tcPr>
          <w:p>
            <w:pP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三、点位增加部分</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900万环保车辆人脸卡口抓拍单元</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品牌：科达</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规格：IPC695</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闪光灯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品牌：科达</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规格：CXBG-2-MC-K308</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72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LED频闪补光灯</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品牌：科达</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规格：CXBG-1-PS-K210</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苏州科达科技股份有限公司</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支架.抱箍</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规格：相应配套，采用304不锈钢材料</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r>
      <w:tr>
        <w:trPr>
          <w:trHeight w:val="4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摄像机SD存储卡</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规格：64G相应配套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张</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r>
      <w:tr>
        <w:trPr>
          <w:trHeight w:val="168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相应配套辅材</w:t>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品牌：国产</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规格：外接电源线RVV2*2.5/电源线RVV2*1.5/控制线RVVP2*1.0/六类4对UTP电缆/硅芯管HDPE40/镀锌钢管Ф50/接地/接地连接线/绿化开挖含恢复/道板开挖含恢复/路面开挖含恢复/架空线含钢丝绳及配件/相应配套辅材等，工程中使用的抱箍、螺丝、螺帽、箱体等配件全部使用304不锈钢材质</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中国</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r>
    </w:tbl>
    <w:p>
      <w:pPr>
        <w:rPr>
          <w:rFonts w:ascii="宋体" w:hAnsi="宋体" w:eastAsia="宋体" w:cs="宋体"/>
          <w:sz w:val="24"/>
          <w:szCs w:val="24"/>
        </w:rPr>
      </w:pPr>
      <w:r>
        <w:rPr>
          <w:rFonts w:hint="eastAsia" w:ascii="宋体" w:hAnsi="宋体" w:eastAsia="宋体" w:cs="宋体"/>
          <w:sz w:val="24"/>
          <w:szCs w:val="24"/>
        </w:rPr>
        <w:t xml:space="preserve">抓拍点位明细：</w:t>
      </w:r>
      <w:r/>
    </w:p>
    <w:tbl>
      <w:tblPr>
        <w:tblStyle w:val="752"/>
        <w:tblW w:w="5520" w:type="dxa"/>
        <w:tblInd w:w="113" w:type="dxa"/>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Borders>
              <w:top w:val="single" w:color="auto"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CK_339省道346国道东侧东向西1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CK_339省道346国道东侧东向西2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PK_339省道346国道东侧东向西3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CK_339省道346国道东侧西向东1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CK_339省道346国道东侧西向东2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PK_339省道346国道东侧西向东3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CK_G204新浏河大桥南堍南向北1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CK_G204新浏河大桥南堍南向北2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PK_G204新浏河大桥南堍南向北辅道</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CK_G204新浏河大桥南堍南向北3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CK_G204新浏河大桥南堍南向北4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PK_G204新浏河大桥南堍北向南辅道</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CK_S339五洋路北侧北向南1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CK_S339五洋路北侧北向南2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PK_S339五洋路北侧北向南3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CK_S339五洋路北侧南向北1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CK_S339五洋路北侧南向北2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PK_S339五洋路北侧南向北3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CK_三高线滨江大道西侧东向西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PK_三高线滨江大道西侧东向西辅道</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CK_三高线滨江大道西侧西向东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PK_三高线滨江大道西侧西向东辅道</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CK_朝阳路盐铁塘桥西向东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CK_朝阳路盐铁塘桥东向西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CK_郑和大街浏河医院西向东1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CK_郑和大街浏河医院西向东2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CK_郑和大街浏河医院西向东3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PK_郑和大街浏河医院西向东4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CK_郑和大街浏河医院东向西1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CK_郑和大街浏河医院东向西2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PK_郑和大街浏河医院东向西3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CK_岳鹿路江南路北侧北向南1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CK_岳鹿路江南路北侧北向南2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PK_岳鹿路江南路北侧北向南3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CK_岳鹿路江南路北侧南向北1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CK_岳鹿路江南路北侧南向北2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PK_岳鹿路江南路北侧南向北3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CK_岳鹿路新港路南侧北向南1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CK_岳鹿路新港路南侧北向南2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PK_岳鹿路新港路南侧北向南3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CK_岳鹿路新港路南侧南向北1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CK_岳鹿路新港路南侧南向北2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PK_岳鹿路新港路南侧南向北3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CK_鹿北路安息堂东西向东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CK_鹿北路安息堂东东向西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CK_双浮公路346国道西侧东向西1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CK_双浮公路346国道西侧东向西2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PK_双浮公路346国道西侧东向西3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CK_双浮公路346国道西侧西向东1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CK_双浮公路346国道西侧西向东2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PK_双浮公路346国道西侧西向东3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CK_双浮路204国道西侧西向东1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CK_双浮路204国道西侧西向东2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PK_双浮路204国道西侧西向东3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CK_双浮路204国道西侧东向西1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CK_双浮路204国道西侧东向西2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PK_双浮路204国道西侧东向西3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CK_四通路洛阳路北侧南向北1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CK_四通路洛阳路北侧南向北2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PK_四通路洛阳路北侧南向北3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CK_四通路洛阳路北侧北向南1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CK_四通路洛阳路北侧北向南2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PK_四通路洛阳路北侧北向南3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CK_陆璜公路杨林塘北南向北1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CK_陆璜公路杨林塘北南向北2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PK_陆璜公路杨林塘北南向北3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CK_陆璜公路杨林塘北北向南1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CK_陆璜公路杨林塘北北向南2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PK_陆璜公路杨林塘北北向南3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CK_新港路牌楼镇东西向东1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PK_新港路牌楼镇东西向东2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CK_新港路牌楼镇东东向西1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PK_新港路牌楼镇东东向西2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CK_兴业路禅寺路南侧北向南1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PK_兴业路禅寺路南侧北向南2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CK_兴业路禅寺路南侧南向北1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PK_兴业路禅寺路南侧南向北2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CK_沈海高速上海路立交西向东3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CK_岳鹿公路双浮路口南侧南向北1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CK_岳鹿公路双浮路口南侧南向北2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CK_岳鹿公路双浮路口南侧北向南1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CK_岳鹿公路双浮路口南侧北向南2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CK_沙鹿路鹿河镇标南南向北1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CK_沙鹿路鹿河镇标南南向北2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CK_沙鹿路鹿河镇标南北向南1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CK_沙鹿路鹿河镇标南北向南2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CK_郑和路兴业路东侧东向西4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CK_郑和路兴业路东侧西向东3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CK_中市路陆嘉南路西侧东向西1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CK_中市路陆嘉南路西侧东向西2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CK_中市路陆嘉南路西侧西向东1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CK_中市路陆嘉南路西侧西向东2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CK_G204上海西路西向东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CK_G204上海西路东向西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CK_G204县府西街东向西1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CK_G204县府西街东向西2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PK_G204县府西街东向西3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CK_G204县府西街西向东1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CK_G204县府西街西向东2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PK_G204县府西街西向东3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CK_G204燕山路东向西4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CK_G204燕山路西向东2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CK_G204郑和路西向东1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CK_G204郑和路西向东2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CK_G204郑和路东向西1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CK_G204郑和路东向西2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CK_东仓路燕山路北南向北3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CK_南园路盐铁塘桥东向西</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CK_南园路盐铁塘桥西向东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CK_人民北路苏州路北侧北向南1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CK_人民北路苏州路北侧北向南2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CK_人民北路苏州路北侧南向北1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CK_人民北路苏州路北侧南向北2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CK_人民北路弇山路北侧桥北向南1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CK_人民北路弇山路北侧桥北向南2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CK_人民北路弇山路北侧桥南向北1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CK_人民北路弇山路北侧桥南向北2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CK_人民路城南桥北堍南向北1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CK_人民路城南桥北堍南向北2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CK_人民路城南桥北堍北向南1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CK_人民路城南桥北堍北向南2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CK_苏州路盐铁塘桥西向东3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CK_太平路南珠桥北堍北向南1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CK_太平路南珠桥北堍北向南2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CK_太平路南珠桥北堍南向北1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CK_太平路南珠桥北堍南向北2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CK_太平路燕山路北侧南向北1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CK_太平路燕山路北侧南向北2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CK_太平路燕山路北侧北向南1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CK_太平路燕山路北侧北向南2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CK_太平路燕山路北侧北向南3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CK_天津路常胜路南向北4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CK_天津路东亭路北向南1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CK_天津路东亭路北向南2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PK_天津路东亭路北向南3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CK_天津路东亭路南向北1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CK_天津路东亭路南向北2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CK_天津路东亭路南向北3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CK_沈海高速朝阳路立交东向西1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CK_沈海高速朝阳路立交东向西2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CK_沈海高速朝阳路立交西向东1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CK_沈海高速朝阳路立交西向东2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CK_204国道新华西路东向西1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CK_204国道新华西路东向西2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CK_204国道新华西路西向东</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CK_天津路娄江路南向北1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CK_天津路娄江路南向北2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CK_天津路娄江路北向南1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CK_天津路娄江路北向南2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CK_天津路娄江路北向南3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CK_东仓路东仓桥北堍南向北4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CK_半泾北路苏州路北侧南向北1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CK_半泾北路苏州路北侧南向北2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CK_半泾北路苏州路北侧北向南1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CK_半泾北路苏州路北侧北向南2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CK_常胜北路苏州路北侧南向北1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CK_常胜北路苏州路北侧南向北2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CK_常胜北路苏州路北侧南向北3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CK_常胜北路苏州路北侧北向南1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CK_常胜北路苏州路北侧北向南2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CK_常胜北路苏州路北侧北向南3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CK_常胜北路苏州路北侧北向南4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CK_上海东路娄江路东侧东向西1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CK_上海东路娄江路东侧东向西2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CK_上海东路娄江路东侧东向西3</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CK_上海东路娄江路东侧东向西4</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CK_上海东路娄江路东侧西向东1</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CK_上海东路娄江路东侧西向东2</w:t>
            </w:r>
            <w:r/>
          </w:p>
        </w:tc>
      </w:tr>
      <w:tr>
        <w:trPr>
          <w:trHeight w:val="285"/>
        </w:trPr>
        <w:tc>
          <w:tcPr>
            <w:tcBorders>
              <w:top w:val="none" w:color="000000" w:sz="4" w:space="0"/>
              <w:left w:val="single" w:color="auto" w:sz="4" w:space="0"/>
              <w:bottom w:val="single" w:color="auto" w:sz="4" w:space="0"/>
              <w:right w:val="single" w:color="auto" w:sz="4" w:space="0"/>
            </w:tcBorders>
            <w:tcW w:w="5520" w:type="dxa"/>
            <w:vAlign w:val="bottom"/>
            <w:textDirection w:val="lrTb"/>
            <w:noWrap/>
          </w:tcPr>
          <w:p>
            <w:pPr>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CK_上海东路娄江路东侧西向东3</w:t>
            </w:r>
            <w:r/>
          </w:p>
        </w:tc>
      </w:tr>
    </w:tbl>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3.3.27、2020年度人像卡口项目标段二采购部分到期运维</w:t>
      </w:r>
      <w:r/>
    </w:p>
    <w:tbl>
      <w:tblPr>
        <w:tblStyle w:val="75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6"/>
        <w:gridCol w:w="1687"/>
        <w:gridCol w:w="3441"/>
        <w:gridCol w:w="748"/>
        <w:gridCol w:w="728"/>
        <w:gridCol w:w="952"/>
      </w:tblGrid>
      <w:tr>
        <w:trPr>
          <w:trHeight w:val="402"/>
        </w:trPr>
        <w:tc>
          <w:tcPr>
            <w:tcBorders>
              <w:top w:val="single" w:color="000000" w:sz="8" w:space="0"/>
              <w:left w:val="single" w:color="000000" w:sz="8" w:space="0"/>
              <w:bottom w:val="single" w:color="000000" w:sz="4" w:space="0"/>
              <w:right w:val="single" w:color="000000" w:sz="4" w:space="0"/>
            </w:tcBorders>
            <w:tcW w:w="966" w:type="dxa"/>
            <w:vAlign w:val="center"/>
            <w:textDirection w:val="lrTb"/>
            <w:noWrap w:val="false"/>
          </w:tcPr>
          <w:p>
            <w:pPr>
              <w:ind w:firstLine="482"/>
              <w:jc w:val="cente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8" w:space="0"/>
              <w:left w:val="none" w:color="000000" w:sz="4" w:space="0"/>
              <w:bottom w:val="single" w:color="000000" w:sz="4" w:space="0"/>
              <w:right w:val="single" w:color="000000" w:sz="4" w:space="0"/>
            </w:tcBorders>
            <w:tcW w:w="1687"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000000" w:sz="8" w:space="0"/>
              <w:left w:val="none" w:color="000000" w:sz="4" w:space="0"/>
              <w:bottom w:val="single" w:color="000000" w:sz="4" w:space="0"/>
              <w:right w:val="single" w:color="000000" w:sz="4" w:space="0"/>
            </w:tcBorders>
            <w:tcW w:w="3441"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规格参数</w:t>
            </w:r>
            <w:r/>
          </w:p>
        </w:tc>
        <w:tc>
          <w:tcPr>
            <w:tcBorders>
              <w:top w:val="single" w:color="000000" w:sz="8"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000000" w:sz="8"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000000" w:sz="8"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服务器A（SSD)</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highlight w:val="yellow"/>
              </w:rPr>
            </w:pPr>
            <w:r>
              <w:rPr>
                <w:rFonts w:hint="eastAsia" w:ascii="宋体" w:hAnsi="宋体" w:eastAsia="宋体" w:cs="宋体"/>
                <w:sz w:val="24"/>
                <w:szCs w:val="24"/>
              </w:rPr>
              <w:t xml:space="preserve">详见原招标参数4.2.4.1</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b/>
                <w:bCs/>
                <w:color w:val="ff0000"/>
                <w:sz w:val="24"/>
                <w:szCs w:val="24"/>
              </w:rPr>
            </w:pPr>
            <w:r>
              <w:rPr>
                <w:rFonts w:ascii="宋体" w:hAnsi="宋体" w:eastAsia="宋体" w:cs="宋体"/>
                <w:b/>
                <w:bCs/>
                <w:color w:val="ff0000"/>
                <w:sz w:val="24"/>
                <w:szCs w:val="24"/>
              </w:rPr>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服务器B</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详见原招标参数4.2.4.2</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b/>
                <w:bCs/>
                <w:color w:val="ff0000"/>
                <w:sz w:val="24"/>
                <w:szCs w:val="24"/>
              </w:rPr>
            </w:pPr>
            <w:r>
              <w:rPr>
                <w:rFonts w:ascii="宋体" w:hAnsi="宋体" w:eastAsia="宋体" w:cs="宋体"/>
                <w:b/>
                <w:bCs/>
                <w:color w:val="ff0000"/>
                <w:sz w:val="24"/>
                <w:szCs w:val="24"/>
              </w:rPr>
            </w:r>
            <w:r/>
          </w:p>
        </w:tc>
      </w:tr>
      <w:tr>
        <w:trPr>
          <w:trHeight w:val="601"/>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违规外联检测设备</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详见原招标参数4.2.4.3</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right"/>
              <w:rPr>
                <w:rFonts w:ascii="宋体" w:hAnsi="宋体" w:eastAsia="宋体" w:cs="宋体"/>
                <w:b/>
                <w:bCs/>
                <w:color w:val="ff0000"/>
                <w:sz w:val="24"/>
                <w:szCs w:val="24"/>
              </w:rPr>
            </w:pPr>
            <w:r>
              <w:rPr>
                <w:rFonts w:hint="eastAsia" w:ascii="宋体" w:hAnsi="宋体" w:eastAsia="宋体" w:cs="宋体"/>
                <w:b/>
                <w:bCs/>
                <w:color w:val="ff0000"/>
                <w:sz w:val="24"/>
                <w:szCs w:val="24"/>
              </w:rPr>
              <w:t xml:space="preserve">　</w:t>
            </w:r>
            <w:r/>
          </w:p>
        </w:tc>
      </w:tr>
      <w:tr>
        <w:trPr>
          <w:trHeight w:val="601"/>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视频专用台式电脑</w:t>
            </w:r>
            <w:r/>
          </w:p>
        </w:tc>
        <w:tc>
          <w:tcPr>
            <w:tcBorders>
              <w:top w:val="none" w:color="000000" w:sz="4" w:space="0"/>
              <w:left w:val="none" w:color="000000" w:sz="4" w:space="0"/>
              <w:bottom w:val="single" w:color="000000" w:sz="4" w:space="0"/>
              <w:right w:val="single" w:color="000000" w:sz="4" w:space="0"/>
            </w:tcBorders>
            <w:tcW w:w="344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i7-10700/16GB/M.256GB SSD+1TB/AMD R5 430 2G独立显卡/键盘鼠标/3年/3年硬盘不返回/windows10家庭版 中文</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高清视频会议摄像机</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详见原招标参数4.2.4.4</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人车存储节点</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详见原招标参数4.2.4.5</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扩容硬盘（含授权）</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10T扩容硬盘</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400万人脸抓拍筒机</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详见原招标参数4.2.4.6</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800万车辆微光抓拍筒机</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详见原招标参数4.2.4.7</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w:t>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一拖N智能相机</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详见原招标参数4.2.4.8</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结构化智能球机</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详见原招标参数4.2.4.9</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402"/>
        </w:trPr>
        <w:tc>
          <w:tcPr>
            <w:tcBorders>
              <w:top w:val="none" w:color="000000" w:sz="4" w:space="0"/>
              <w:left w:val="single" w:color="000000" w:sz="8" w:space="0"/>
              <w:bottom w:val="single" w:color="000000" w:sz="4" w:space="0"/>
              <w:right w:val="single" w:color="000000" w:sz="4" w:space="0"/>
            </w:tcBorders>
            <w:tcW w:w="96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万兆光模块</w:t>
            </w:r>
            <w:r/>
          </w:p>
        </w:tc>
        <w:tc>
          <w:tcPr>
            <w:tcBorders>
              <w:top w:val="none" w:color="000000" w:sz="4" w:space="0"/>
              <w:left w:val="none" w:color="000000" w:sz="4" w:space="0"/>
              <w:bottom w:val="single" w:color="000000" w:sz="4" w:space="0"/>
              <w:right w:val="single" w:color="000000" w:sz="4" w:space="0"/>
            </w:tcBorders>
            <w:tcW w:w="3441" w:type="dxa"/>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万兆单模60KM单纤10G光模块sfp+接口 兼容h3c、华为</w:t>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对</w:t>
            </w:r>
            <w:r/>
          </w:p>
        </w:tc>
        <w:tc>
          <w:tcPr>
            <w:tcBorders>
              <w:top w:val="none" w:color="000000" w:sz="4" w:space="0"/>
              <w:left w:val="none" w:color="000000" w:sz="4" w:space="0"/>
              <w:bottom w:val="single" w:color="000000" w:sz="4" w:space="0"/>
              <w:right w:val="single" w:color="000000" w:sz="8" w:space="0"/>
            </w:tcBorders>
            <w:tcW w:w="952"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pStyle w:val="747"/>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3.3.28、</w:t>
      </w:r>
      <w:r>
        <w:rPr>
          <w:rFonts w:hint="eastAsia" w:ascii="宋体" w:hAnsi="宋体" w:eastAsia="宋体" w:cs="宋体"/>
          <w:bCs w:val="0"/>
          <w:sz w:val="24"/>
          <w:szCs w:val="24"/>
          <w:lang w:eastAsia="zh-CN"/>
        </w:rPr>
        <w:t xml:space="preserve">提供太仓市智慧技防小区数字化管理系统维保服务</w:t>
      </w:r>
      <w:r/>
    </w:p>
    <w:p>
      <w:pPr>
        <w:pStyle w:val="748"/>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主要服务内容：</w:t>
      </w:r>
      <w:r/>
    </w:p>
    <w:p>
      <w:pPr>
        <w:ind w:firstLine="480"/>
        <w:spacing w:line="420" w:lineRule="exact"/>
        <w:rPr>
          <w:rFonts w:ascii="宋体" w:hAnsi="宋体" w:eastAsia="宋体" w:cs="宋体"/>
          <w:sz w:val="24"/>
          <w:szCs w:val="24"/>
        </w:rPr>
      </w:pPr>
      <w:r>
        <w:rPr>
          <w:rFonts w:hint="eastAsia" w:ascii="宋体" w:hAnsi="宋体" w:eastAsia="宋体" w:cs="宋体"/>
          <w:sz w:val="24"/>
          <w:szCs w:val="24"/>
          <w:lang w:eastAsia="zh-CN"/>
        </w:rPr>
        <w:t xml:space="preserve">具体业务应用是太仓智慧技防政府端后台、太仓智慧技防物业端后台、太仓智慧技防住户端后台、太仓智慧技防小程序、太仓智慧技防大屏等系统的研发，通过PC电脑端、微信移动端，线上、线下互通协助各级小区住户、小区物业、相关部门职员完善对管辖范围内设备、人流的管理。</w:t>
      </w:r>
      <w:r>
        <w:rPr>
          <w:rFonts w:hint="eastAsia" w:ascii="宋体" w:hAnsi="宋体" w:eastAsia="宋体" w:cs="宋体"/>
          <w:sz w:val="24"/>
          <w:szCs w:val="24"/>
        </w:rPr>
        <w:t xml:space="preserve">整体框架如图：</w:t>
      </w:r>
      <w:r/>
    </w:p>
    <w:p>
      <w:pPr>
        <w:ind w:firstLine="480"/>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73675" cy="3274695"/>
                <wp:effectExtent l="0" t="0" r="14604"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273675" cy="3274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57.8pt;mso-wrap-distance-left:0.0pt;mso-wrap-distance-top:0.0pt;mso-wrap-distance-right:0.0pt;mso-wrap-distance-bottom:0.0pt;" stroked="f">
                <v:path textboxrect="0,0,0,0"/>
                <v:imagedata r:id="rId11" o:title=""/>
              </v:shape>
            </w:pict>
          </mc:Fallback>
        </mc:AlternateContent>
      </w:r>
      <w:r/>
    </w:p>
    <w:p>
      <w:pPr>
        <w:ind w:firstLine="480"/>
        <w:rPr>
          <w:rFonts w:ascii="宋体" w:hAnsi="宋体" w:eastAsia="宋体" w:cs="宋体"/>
          <w:sz w:val="24"/>
          <w:szCs w:val="24"/>
        </w:rPr>
      </w:pPr>
      <w:r>
        <w:rPr>
          <w:rFonts w:ascii="宋体" w:hAnsi="宋体" w:eastAsia="宋体" w:cs="宋体"/>
          <w:sz w:val="24"/>
          <w:szCs w:val="24"/>
        </w:rPr>
      </w:r>
      <w:r/>
    </w:p>
    <w:p>
      <w:pPr>
        <w:pStyle w:val="748"/>
        <w:spacing w:line="400" w:lineRule="exact"/>
        <w:rPr>
          <w:rFonts w:ascii="宋体" w:hAnsi="宋体" w:eastAsia="宋体" w:cs="宋体"/>
          <w:sz w:val="24"/>
          <w:szCs w:val="24"/>
        </w:rPr>
      </w:pPr>
      <w:r>
        <w:rPr>
          <w:rFonts w:hint="eastAsia" w:ascii="宋体" w:hAnsi="宋体" w:eastAsia="宋体" w:cs="宋体"/>
          <w:sz w:val="24"/>
          <w:szCs w:val="24"/>
        </w:rPr>
        <w:t xml:space="preserve">应用架构：</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综合管理端：负责小区内人员及其他信息的收集，并管理维护小区住户以及物业提交的工单/报修/建议，自研了一套工单智能派发算法，可以极大的提高工单的处理响应效率。</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消息处理服务：系统直接对接小区设备，实时监控设备传递的心跳消息，争取在第一时间接收并发现设备异常，并将设备每日状况记录成日志。自研的消息处理算法可以提供高效准确的消息过滤以及送达处理。</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技防大屏：将上述系统服务收集整理的数据集合在一个页面之中，并根据重点内容进行区分，将需要高度关注的数据从中提取出来重新整合，用最简明易懂的方式呈现给用户</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基础数据收集：系统根据乡镇、社区、小区、物业对数据进行分类，清晰了当的将数据收集起来，避免收集数据时出现冗乱情况拖慢工作效率</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业务信息办理：系统分别提供账号权限管理、住户管理、车位管理、设备工单、设备报修、投诉建议等业务服务。在提高数据精确性的同时，也避免系统沦为只能收集数据的“死系统”。通过小区住户以及物业等角色的互动，落实提高整体生活环境质量的初衷。</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使用情况：为了更加方便，直观了解小区内安装设备的信息和数量，辅助后续的工作展开，系统可以根据需求进行多种形式统计，例如按照小区设备使用率的统计结果，可以准确分辨出小区内可能存在的安全隐患，并加以督促解决。</w:t>
      </w:r>
      <w:r/>
    </w:p>
    <w:p>
      <w:pPr>
        <w:numPr>
          <w:ilvl w:val="1"/>
          <w:numId w:val="10"/>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住户账号创建流程：小区住户通过小程序/网页进行注册，随后由负责该小区的物业对住户信息进行认证操作，在保证住户信息准确性的同时，也通过一步到位的审核操作减少了不必要的延长流程操作。</w:t>
      </w:r>
      <w:r/>
    </w:p>
    <w:p>
      <w:pPr>
        <w:pStyle w:val="748"/>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平台主要功能：</w:t>
      </w:r>
      <w:r/>
    </w:p>
    <w:p>
      <w:pPr>
        <w:pStyle w:val="749"/>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(1)、设备工单管理（工单创建、工单处理）</w:t>
      </w:r>
      <w:r/>
    </w:p>
    <w:p>
      <w:pPr>
        <w:pStyle w:val="933"/>
        <w:ind w:left="709" w:firstLine="52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物联网设备发生设备报警、设备离线、设备低电量、设备异常等情况都会自动生成设备工单，对于特殊情况也可以点击创建工单按钮，可以生成设备报警工单，生成的报警工单会提交至该小区下所有的物业账号处，而负责对应设备的物业账号可以在我的待办页面接收工单并进行处理。</w:t>
      </w:r>
      <w:r/>
    </w:p>
    <w:p>
      <w:pPr>
        <w:pStyle w:val="933"/>
        <w:ind w:left="709" w:firstLine="52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在我的待办页面，选中自己要承接的设备报警工单，然后点击处理按钮，即可进行工单处理操作。设备工单会展示工单信息，包含工单编号、创建时间、设备名称、设备类型、IMEI、所属小区、设备位置、预警信息、接单人、接单时间，处理人录入办理结果和上传办理图片，可以进行处理操作。</w:t>
      </w:r>
      <w:r/>
    </w:p>
    <w:p>
      <w:pPr>
        <w:pStyle w:val="749"/>
        <w:ind w:left="26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(2)、智慧技防小区大屏（市级大屏、乡镇大屏、社区大屏、地图大屏）</w:t>
      </w:r>
      <w:r/>
    </w:p>
    <w:p>
      <w:pPr>
        <w:ind w:left="679"/>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018405" cy="2817495"/>
                <wp:effectExtent l="0" t="0" r="1079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018404" cy="2817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5.1pt;height:221.8pt;mso-wrap-distance-left:0.0pt;mso-wrap-distance-top:0.0pt;mso-wrap-distance-right:0.0pt;mso-wrap-distance-bottom:0.0pt;" stroked="f">
                <v:path textboxrect="0,0,0,0"/>
                <v:imagedata r:id="rId12" o:title=""/>
              </v:shape>
            </w:pict>
          </mc:Fallback>
        </mc:AlternateContent>
      </w:r>
      <w:r/>
    </w:p>
    <w:p>
      <w:pPr>
        <w:pStyle w:val="749"/>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（3）、消息管理（设备参数、日志管理）</w:t>
      </w:r>
      <w:r/>
    </w:p>
    <w:p>
      <w:pPr>
        <w:pStyle w:val="778"/>
        <w:ind w:left="426" w:firstLine="480"/>
        <w:spacing w:line="400" w:lineRule="exact"/>
        <w:rPr>
          <w:rFonts w:ascii="宋体" w:hAnsi="宋体" w:eastAsia="宋体" w:cs="宋体"/>
          <w:lang w:eastAsia="zh-CN"/>
        </w:rPr>
      </w:pPr>
      <w:r>
        <w:rPr>
          <w:rFonts w:hint="eastAsia" w:ascii="宋体" w:hAnsi="宋体" w:eastAsia="宋体" w:cs="宋体"/>
          <w:lang w:eastAsia="zh-CN"/>
        </w:rPr>
        <w:t xml:space="preserve">该模块主要用于对各个厂家的设备和设备的各项参数进行管理，通过本页面用户能够维护需要接入的厂商、设备、消息类型数据，并设置设备的监控处理规则，与技防系统合力管理设备数据。</w:t>
      </w:r>
      <w:r/>
    </w:p>
    <w:p>
      <w:pPr>
        <w:pStyle w:val="778"/>
        <w:ind w:left="440" w:firstLine="480"/>
        <w:spacing w:line="400" w:lineRule="exact"/>
        <w:rPr>
          <w:rFonts w:ascii="宋体" w:hAnsi="宋体" w:eastAsia="宋体" w:cs="宋体"/>
          <w:lang w:eastAsia="zh-CN"/>
        </w:rPr>
      </w:pPr>
      <w:r>
        <w:rPr>
          <w:rFonts w:hint="eastAsia" w:ascii="宋体" w:hAnsi="宋体" w:eastAsia="宋体" w:cs="宋体"/>
          <w:lang w:eastAsia="zh-CN"/>
        </w:rPr>
        <w:t xml:space="preserve">厂家配置：点击左侧列表的配置按钮，可以维护厂商数据，如设备对接必要的AppKey，AppSecret等。</w:t>
      </w:r>
      <w:r/>
    </w:p>
    <w:p>
      <w:pPr>
        <w:pStyle w:val="778"/>
        <w:ind w:left="440" w:firstLine="480"/>
        <w:spacing w:line="400" w:lineRule="exact"/>
        <w:rPr>
          <w:rFonts w:ascii="宋体" w:hAnsi="宋体" w:eastAsia="宋体" w:cs="宋体"/>
          <w:lang w:eastAsia="zh-CN"/>
        </w:rPr>
      </w:pPr>
      <w:r>
        <w:rPr>
          <w:rFonts w:hint="eastAsia" w:ascii="宋体" w:hAnsi="宋体" w:eastAsia="宋体" w:cs="宋体"/>
          <w:lang w:eastAsia="zh-CN"/>
        </w:rPr>
        <w:t xml:space="preserve">消息策略配置：选中右侧设备类型的配置按钮，可以维护该设备的消息策略规则，包括不限于对该类型设备的心跳消息监控时间间隔、接口数据二次匹配等。</w:t>
      </w:r>
      <w:r/>
    </w:p>
    <w:p>
      <w:pPr>
        <w:pStyle w:val="778"/>
        <w:ind w:left="440" w:firstLine="480"/>
        <w:spacing w:line="400" w:lineRule="exact"/>
        <w:rPr>
          <w:rFonts w:ascii="宋体" w:hAnsi="宋体" w:eastAsia="宋体" w:cs="宋体"/>
          <w:lang w:eastAsia="zh-CN"/>
        </w:rPr>
      </w:pPr>
      <w:r>
        <w:rPr>
          <w:rFonts w:hint="eastAsia" w:ascii="宋体" w:hAnsi="宋体" w:eastAsia="宋体" w:cs="宋体"/>
          <w:lang w:eastAsia="zh-CN"/>
        </w:rPr>
        <w:t xml:space="preserve">以是否自动解析入参为例，若勾选是，则系统接收到来自对应设备的消息时，会根据配置的参数字段名称，自动从消息数据中提取所需数据并加以整合分析，最终记录在系统数据库中，便于技防系统及技防大屏的使用。</w:t>
      </w:r>
      <w:r/>
    </w:p>
    <w:p>
      <w:pPr>
        <w:pStyle w:val="778"/>
        <w:ind w:left="440" w:firstLine="480"/>
        <w:spacing w:line="400" w:lineRule="exact"/>
        <w:rPr>
          <w:rFonts w:ascii="宋体" w:hAnsi="宋体" w:eastAsia="宋体" w:cs="宋体"/>
          <w:lang w:eastAsia="zh-CN"/>
        </w:rPr>
      </w:pPr>
      <w:r>
        <w:rPr>
          <w:rFonts w:hint="eastAsia" w:ascii="宋体" w:hAnsi="宋体" w:eastAsia="宋体" w:cs="宋体"/>
          <w:lang w:eastAsia="zh-CN"/>
        </w:rPr>
        <w:t xml:space="preserve">设备新增：选中设备数量下的可点击数字，即可新增该类型设备的详细数据，若点击删除，即可删除已经存在于列表中的设备信息数据。</w:t>
      </w:r>
      <w:r/>
    </w:p>
    <w:p>
      <w:pPr>
        <w:pStyle w:val="749"/>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（4）、智慧小区政府端小程序服务（登录管理、首页界面、监督管理、预警提醒）</w:t>
      </w:r>
      <w:r/>
    </w:p>
    <w:p>
      <w:pPr>
        <w:pStyle w:val="933"/>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登录小程序后默认打开首页页面，展示对应乡镇、街道所有小区的流量统计、设备统计；</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可以查看各小区的预警总数和各种设备的总数、在线数、离线数；</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可以查看各小区的预警总数和各种设备的总数、在线数、离线数。</w:t>
      </w:r>
      <w:r/>
    </w:p>
    <w:p>
      <w:pPr>
        <w:pStyle w:val="749"/>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（5）、智慧小区小程序物业端（首页界面、预警管理）</w:t>
      </w:r>
      <w:r/>
    </w:p>
    <w:p>
      <w:pPr>
        <w:pStyle w:val="933"/>
        <w:ind w:left="426"/>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录小程序后默认打开首页页面，展示小区的流量统计、设备统计；物业可以进行办理工单信息</w:t>
      </w:r>
      <w:r/>
    </w:p>
    <w:p>
      <w:pPr>
        <w:pStyle w:val="749"/>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（6）、系统安全对接服务</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系统安全</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网络上传输的数据，存在被中途截取数据包造成数据泄漏的风险。因此，需要通过传输数据加密、网络传输安全、请求链接签名等手段来达到安全传输的目的。</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传输数据加解密</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采用AES及SM2混合加密技术对数据进行加解密。以防止数据被截取后破解。SM2是一种非对称加密体系。</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SSL安全传输协议</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将SSL证书安装在网站服务器上，实现网站身份验证和数据加密传输双重功能。 </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与太仓市城管智慧停车系统对接</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接收太仓市城管局智慧停车系统发送的小区车辆道闸车辆进出数据。</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与苏州市智慧小区系统对接</w:t>
      </w:r>
      <w:r/>
    </w:p>
    <w:p>
      <w:pPr>
        <w:ind w:left="426"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将系统数据推送至苏州市智慧停车系统。</w:t>
      </w:r>
      <w:r/>
    </w:p>
    <w:p>
      <w:pPr>
        <w:ind w:firstLine="480"/>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3.3.29、</w:t>
      </w:r>
      <w:r>
        <w:rPr>
          <w:rFonts w:hint="eastAsia" w:ascii="宋体" w:hAnsi="宋体" w:eastAsia="宋体" w:cs="宋体"/>
          <w:bCs w:val="0"/>
          <w:sz w:val="24"/>
          <w:szCs w:val="24"/>
          <w:lang w:eastAsia="zh-CN"/>
        </w:rPr>
        <w:t xml:space="preserve">指挥中心大屏建设项目到期运维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主要维护清单如下：</w:t>
      </w:r>
      <w:r/>
    </w:p>
    <w:p>
      <w:pPr>
        <w:pStyle w:val="933"/>
        <w:numPr>
          <w:ilvl w:val="0"/>
          <w:numId w:val="11"/>
        </w:numPr>
        <w:spacing w:line="400" w:lineRule="exact"/>
        <w:rPr>
          <w:rFonts w:ascii="宋体" w:hAnsi="宋体" w:eastAsia="宋体" w:cs="宋体"/>
          <w:sz w:val="24"/>
          <w:szCs w:val="24"/>
        </w:rPr>
      </w:pPr>
      <w:r>
        <w:rPr>
          <w:rFonts w:hint="eastAsia" w:ascii="宋体" w:hAnsi="宋体" w:eastAsia="宋体" w:cs="宋体"/>
          <w:sz w:val="24"/>
          <w:szCs w:val="24"/>
        </w:rPr>
        <w:t xml:space="preserve">指挥大屏：</w:t>
      </w:r>
      <w:r/>
    </w:p>
    <w:tbl>
      <w:tblPr>
        <w:tblStyle w:val="75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85"/>
        <w:gridCol w:w="2856"/>
        <w:gridCol w:w="2352"/>
        <w:gridCol w:w="1212"/>
        <w:gridCol w:w="768"/>
        <w:gridCol w:w="804"/>
      </w:tblGrid>
      <w:tr>
        <w:trPr>
          <w:trHeight w:val="227"/>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标的物名称</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品牌、规格</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生产厂家</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数量</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室内小间距LED显示屏</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DH-PHSIA1.2-EH</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平方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72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室内小间距LED显示屏</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DH-PHSIA1.2-EH</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平方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5.76</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显示屏独立主控</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DH-LCS-M600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32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大屏安装结构</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定制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配套附件包</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定制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大屏线缆</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定制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配电柜</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定制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大屏控制器</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DH-DSCON3000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大屏输入板卡</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VI0401HH-DC3000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6</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大屏4K输入板卡</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VI0201UH-DC3000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2</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大屏输出板卡</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VO0401HH-DC3000</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10</w:t>
            </w:r>
            <w:r/>
          </w:p>
        </w:tc>
      </w:tr>
    </w:tbl>
    <w:p>
      <w:pPr>
        <w:pStyle w:val="933"/>
        <w:numPr>
          <w:ilvl w:val="0"/>
          <w:numId w:val="11"/>
        </w:numPr>
        <w:rPr>
          <w:rFonts w:ascii="宋体" w:hAnsi="宋体" w:eastAsia="宋体" w:cs="宋体"/>
          <w:sz w:val="24"/>
          <w:szCs w:val="24"/>
        </w:rPr>
      </w:pPr>
      <w:r>
        <w:rPr>
          <w:rFonts w:hint="eastAsia" w:ascii="宋体" w:hAnsi="宋体" w:eastAsia="宋体" w:cs="宋体"/>
          <w:sz w:val="24"/>
          <w:szCs w:val="24"/>
        </w:rPr>
        <w:t xml:space="preserve">大数据大屏：</w:t>
      </w:r>
      <w:r/>
    </w:p>
    <w:p>
      <w:pPr>
        <w:pStyle w:val="933"/>
        <w:ind w:left="1200"/>
        <w:rPr>
          <w:rFonts w:ascii="宋体" w:hAnsi="宋体" w:eastAsia="宋体" w:cs="宋体"/>
          <w:sz w:val="24"/>
          <w:szCs w:val="24"/>
        </w:rPr>
      </w:pPr>
      <w:r>
        <w:rPr>
          <w:rFonts w:ascii="宋体" w:hAnsi="宋体" w:eastAsia="宋体" w:cs="宋体"/>
          <w:sz w:val="24"/>
          <w:szCs w:val="24"/>
        </w:rPr>
      </w:r>
      <w:r/>
    </w:p>
    <w:tbl>
      <w:tblPr>
        <w:tblStyle w:val="75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1106"/>
        <w:gridCol w:w="2501"/>
        <w:gridCol w:w="2315"/>
        <w:gridCol w:w="1331"/>
        <w:gridCol w:w="768"/>
        <w:gridCol w:w="840"/>
      </w:tblGrid>
      <w:tr>
        <w:trPr>
          <w:trHeight w:val="60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标的物名称</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品牌、规格</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生产厂家</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b/>
                <w:bCs/>
                <w:color w:val="000000"/>
                <w:sz w:val="24"/>
                <w:szCs w:val="24"/>
              </w:rPr>
              <w:t xml:space="preserve">数量</w:t>
            </w:r>
            <w:r/>
          </w:p>
        </w:tc>
      </w:tr>
      <w:tr>
        <w:trPr>
          <w:trHeight w:val="775"/>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1"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室内小间距LED显示屏(含控制器、独立主控、配电柜、安装结构、辅材等)</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DH-PHSIA1.2-SH</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浙江大华</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平方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rPr>
              <w:t xml:space="preserve">5</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大屏技术参数指标：</w:t>
      </w:r>
      <w:r/>
    </w:p>
    <w:tbl>
      <w:tblPr>
        <w:tblStyle w:val="75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049"/>
        <w:gridCol w:w="1536"/>
        <w:gridCol w:w="6420"/>
      </w:tblGrid>
      <w:tr>
        <w:trPr>
          <w:trHeight w:val="90"/>
        </w:trPr>
        <w:tc>
          <w:tcPr>
            <w:shd w:val="clear" w:color="000000" w:fill="ffffff"/>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spacing w:line="24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both"/>
              <w:spacing w:line="240" w:lineRule="auto"/>
              <w:rPr>
                <w:rFonts w:ascii="宋体" w:hAnsi="宋体" w:eastAsia="宋体" w:cs="宋体"/>
                <w:b/>
                <w:bCs/>
                <w:sz w:val="24"/>
                <w:szCs w:val="24"/>
              </w:rPr>
            </w:pPr>
            <w:r>
              <w:rPr>
                <w:rFonts w:hint="eastAsia" w:ascii="宋体" w:hAnsi="宋体" w:eastAsia="宋体" w:cs="宋体"/>
                <w:b/>
                <w:bCs/>
                <w:sz w:val="24"/>
                <w:szCs w:val="24"/>
              </w:rPr>
              <w:t xml:space="preserve">产品名称</w:t>
            </w:r>
            <w:r/>
          </w:p>
        </w:tc>
        <w:tc>
          <w:tcPr>
            <w:shd w:val="clear" w:color="000000" w:fill="ffffff"/>
            <w:tcBorders>
              <w:top w:val="single" w:color="auto" w:sz="4" w:space="0"/>
              <w:left w:val="none" w:color="000000" w:sz="4" w:space="0"/>
              <w:bottom w:val="single" w:color="auto" w:sz="4" w:space="0"/>
              <w:right w:val="single" w:color="auto" w:sz="4" w:space="0"/>
            </w:tcBorders>
            <w:tcW w:w="6420" w:type="dxa"/>
            <w:vAlign w:val="center"/>
            <w:textDirection w:val="lrTb"/>
            <w:noWrap w:val="false"/>
          </w:tcPr>
          <w:p>
            <w:pPr>
              <w:ind w:firstLine="420"/>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产品参数要求</w:t>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1049" w:type="dxa"/>
            <w:vAlign w:val="center"/>
            <w:textDirection w:val="lrTb"/>
            <w:noWrap w:val="false"/>
          </w:tcPr>
          <w:p>
            <w:pPr>
              <w:ind w:firstLine="42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室内小间距LED显示屏</w:t>
            </w:r>
            <w:r/>
          </w:p>
          <w:p>
            <w:pPr>
              <w:ind w:firstLine="420"/>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6420" w:type="dxa"/>
            <w:vAlign w:val="center"/>
            <w:textDirection w:val="lrTb"/>
            <w:noWrap w:val="false"/>
          </w:tcPr>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LED发光二极管：表贴三合一LED； </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LED显示屏制造商需提供LED灯厂家针对本项目的授权证明及3年内LED灯失效率≤5PPM的产品质量承诺函</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保证在LED显示屏对比度和可靠性，灯珠BT板具备隔离岛技术，芯片四周无通路</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像素间距：≤1.25mm；</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屏体1尺寸：长＞15.9米宽≥4.5米，考虑各厂家箱体尺寸不同，允许偏离＜1.5%，整屏分辨率：≥12800x3600； </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屏体2尺寸：长≥3.2米宽≥1.8米，考虑各厂家箱体尺寸不同，允许偏离＜1.5%，整屏分辨率：≥2560x1440；</w:t>
            </w:r>
            <w:r/>
          </w:p>
          <w:p>
            <w:pPr>
              <w:ind w:firstLine="420"/>
              <w:spacing w:line="24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ab/>
            </w:r>
            <w:r>
              <w:rPr>
                <w:rFonts w:hint="eastAsia" w:ascii="宋体" w:hAnsi="宋体" w:eastAsia="宋体" w:cs="宋体"/>
                <w:sz w:val="24"/>
                <w:szCs w:val="24"/>
              </w:rPr>
              <w:t xml:space="preserve">像素密度：≥640000dots/m²；</w:t>
            </w:r>
            <w:r>
              <w:rPr>
                <w:rFonts w:hint="eastAsia" w:ascii="宋体" w:hAnsi="宋体" w:eastAsia="宋体" w:cs="宋体"/>
                <w:sz w:val="24"/>
                <w:szCs w:val="24"/>
              </w:rPr>
              <w:tab/>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支持刷新率1440-7200 Hz可调；</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亮度均匀性≥98%；</w:t>
            </w:r>
            <w:r>
              <w:rPr>
                <w:rFonts w:hint="eastAsia" w:ascii="宋体" w:hAnsi="宋体" w:eastAsia="宋体" w:cs="宋体"/>
                <w:sz w:val="24"/>
                <w:szCs w:val="24"/>
                <w:lang w:eastAsia="zh-CN"/>
              </w:rPr>
              <w:tab/>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采用外置集中供电，实现强弱电分离；</w:t>
            </w:r>
            <w:r>
              <w:rPr>
                <w:rFonts w:hint="eastAsia" w:ascii="宋体" w:hAnsi="宋体" w:eastAsia="宋体" w:cs="宋体"/>
                <w:sz w:val="24"/>
                <w:szCs w:val="24"/>
                <w:lang w:eastAsia="zh-CN"/>
              </w:rPr>
              <w:tab/>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为了提升空间利用率，要求箱体厚度小于等于40mm；</w:t>
            </w:r>
            <w:r>
              <w:rPr>
                <w:rFonts w:hint="eastAsia" w:ascii="宋体" w:hAnsi="宋体" w:eastAsia="宋体" w:cs="宋体"/>
                <w:sz w:val="24"/>
                <w:szCs w:val="24"/>
                <w:lang w:eastAsia="zh-CN"/>
              </w:rPr>
              <w:tab/>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箱体内部无线材连接，模块与转接板间无线材连接；</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箱体具备灯板错位技术，灯板采用错位安装；</w:t>
            </w:r>
            <w:r/>
          </w:p>
          <w:p>
            <w:pPr>
              <w:ind w:firstLine="420"/>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r>
      <w:tr>
        <w:trPr>
          <w:trHeight w:val="1408"/>
        </w:trPr>
        <w:tc>
          <w:tcPr>
            <w:shd w:val="clear" w:color="000000" w:fill="ffffff"/>
            <w:tcBorders>
              <w:top w:val="none" w:color="000000" w:sz="4" w:space="0"/>
              <w:left w:val="single" w:color="auto" w:sz="4" w:space="0"/>
              <w:bottom w:val="single" w:color="auto" w:sz="4" w:space="0"/>
              <w:right w:val="single" w:color="auto" w:sz="4" w:space="0"/>
            </w:tcBorders>
            <w:tcW w:w="1049" w:type="dxa"/>
            <w:vAlign w:val="center"/>
            <w:textDirection w:val="lrTb"/>
            <w:noWrap w:val="false"/>
          </w:tcPr>
          <w:p>
            <w:pPr>
              <w:ind w:firstLine="42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ind w:firstLine="420"/>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大屏控制器</w:t>
            </w:r>
            <w:r/>
          </w:p>
          <w:p>
            <w:pPr>
              <w:ind w:firstLine="420"/>
              <w:jc w:val="center"/>
              <w:spacing w:line="240" w:lineRule="auto"/>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6420" w:type="dxa"/>
            <w:vAlign w:val="center"/>
            <w:textDirection w:val="lrTb"/>
            <w:noWrap w:val="false"/>
          </w:tcPr>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产品要求小于等于4U高度、19寸标准机架，具备不少于10个业务卡槽位，每个卡槽均可配置采集卡或输出卡，支持输入输出板卡混插功能，最大支持80个拼接屏拼接。</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单机至少支持72块拼接屏拼接。</w:t>
            </w:r>
            <w:r/>
          </w:p>
          <w:p>
            <w:pPr>
              <w:ind w:firstLine="420"/>
              <w:spacing w:line="240" w:lineRule="auto"/>
              <w:rPr>
                <w:rFonts w:ascii="宋体" w:hAnsi="宋体" w:eastAsia="宋体" w:cs="宋体"/>
                <w:sz w:val="24"/>
                <w:szCs w:val="24"/>
              </w:rPr>
            </w:pPr>
            <w:r>
              <w:rPr>
                <w:rFonts w:hint="eastAsia" w:ascii="宋体" w:hAnsi="宋体" w:eastAsia="宋体" w:cs="宋体"/>
                <w:sz w:val="24"/>
                <w:szCs w:val="24"/>
              </w:rPr>
              <w:t xml:space="preserve">单板支持4路DVI、2路/4路/8路HDMI、4路VGA、8路HD-SDI、</w:t>
            </w:r>
            <w:r>
              <w:rPr>
                <w:rFonts w:hint="eastAsia" w:ascii="宋体" w:hAnsi="宋体" w:eastAsia="宋体" w:cs="宋体"/>
                <w:sz w:val="24"/>
                <w:szCs w:val="24"/>
              </w:rPr>
              <w:t xml:space="preserve">32路CBVS、8路HDCVI同轴高清输入信号采集，采集分辨率支持4096×2160@25Hz、3840×2160@30Hz、2560X2048@30Hz、2560×1600@30Hz、2560x1440@30Hz、2048×1536@30Hz、1920×1080@60Hz、1440×900@60Hz、1366×768@60Hz、 1280×1024@60Hz、1280×960@60Hz、1280×800@60Hz、1280×720@60Hz、1024×768@60Hz、800×600@60Hz分辨率采集。</w:t>
            </w:r>
            <w:r>
              <w:rPr>
                <w:rFonts w:hint="eastAsia" w:ascii="宋体" w:hAnsi="宋体" w:eastAsia="宋体" w:cs="宋体"/>
                <w:sz w:val="24"/>
                <w:szCs w:val="24"/>
              </w:rPr>
              <w:tab/>
            </w:r>
            <w:r>
              <w:rPr>
                <w:rFonts w:hint="eastAsia" w:ascii="宋体" w:hAnsi="宋体" w:eastAsia="宋体" w:cs="宋体"/>
                <w:sz w:val="24"/>
                <w:szCs w:val="24"/>
              </w:rPr>
              <w:tab/>
            </w:r>
            <w:r/>
          </w:p>
          <w:p>
            <w:pPr>
              <w:ind w:firstLine="420"/>
              <w:spacing w:line="24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ab/>
            </w:r>
            <w:r>
              <w:rPr>
                <w:rFonts w:hint="eastAsia" w:ascii="宋体" w:hAnsi="宋体" w:eastAsia="宋体" w:cs="宋体"/>
                <w:sz w:val="24"/>
                <w:szCs w:val="24"/>
              </w:rPr>
              <w:t xml:space="preserve">支持3G-SDI信号采集，单板支持4路1080P@60Hz、1080i@60Hz及以下分辨率采集；同时支持4路SDI本地环通输出。</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设备支持MJPEG/MPEG4/H.264/ H.265/SVAC视频格式解码，支持主码流、辅码流、自定义分辨率的智能拉流和自动进行切换，根据网络质量，支持实时/流畅的解码策略调节。</w:t>
            </w:r>
            <w:r/>
          </w:p>
          <w:p>
            <w:pPr>
              <w:ind w:firstLine="420"/>
              <w:spacing w:line="24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ab/>
            </w:r>
            <w:r>
              <w:rPr>
                <w:rFonts w:hint="eastAsia" w:ascii="宋体" w:hAnsi="宋体" w:eastAsia="宋体" w:cs="宋体"/>
                <w:sz w:val="24"/>
                <w:szCs w:val="24"/>
              </w:rPr>
              <w:t xml:space="preserve">单块解码板卡最大支持3路4000*3000@15fps、或3路4096*2160@30fps、或4路3840*2160@30fps、或16路1920*1080p@30fps（H.264、H.265）、或32路1280*720p@30fps、或64路704*576@30fps码流解码。</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设备支持小间距LED发送卡模块，单卡提供8个RJ45网口，单网口支持带载点数最大65万像素，单张板卡带载能力520万像素。</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设备支持任意开窗功能，单屏支持1/4/9/16/32或者按照N*M(N和M为整数， N*M≤32)画面分割显示。</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设备支持步阶调整功能，使得所有跨屏信号源能够同时达到各个屏幕。</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设备支持在C/S、B/S、IPAD上进行预监回显展示，支持任意一路信号源传送至客户端,从操作界面上显示该路信号，并且不需要独立配置回显卡；支持从客户端操作界面上，实时显示经拼接器处理后上屏显示的画面，同时处理的视频可达到40路。</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支持跨屏拼接、漫游、图层叠加功能，支持任意一路信号可在整屏的任意位置漫游、缩放、叠加显示，并且图层可达35层。</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支持高清点对点底图显示，可通过多个屏幕显示一幅超高清分辨率图片，最大支持19200x8640分辨率。</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支持通过网络将单台计算机桌面任何自定义区域映像采集上墙，支持4K及以下分辨率采集，支持60fps及以下帧率，跨屏融合同步显示。支持多类型和多任务的桌面数据采集上墙。</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设备支持多用户、多种客户端登陆，支持不少于64个用户同时登陆。</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考虑系统兼容稳定性，大屏控制器必须与显示软件、控制软件、多场景可视化智能呈现系统采用同一厂家产品； </w:t>
            </w:r>
            <w:r/>
          </w:p>
        </w:tc>
      </w:tr>
      <w:tr>
        <w:trPr>
          <w:trHeight w:val="1832"/>
        </w:trPr>
        <w:tc>
          <w:tcPr>
            <w:shd w:val="clear" w:color="000000" w:fill="ffffff"/>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ind w:firstLine="420"/>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ind w:firstLine="420"/>
              <w:jc w:val="center"/>
              <w:spacing w:line="240" w:lineRule="auto"/>
              <w:rPr>
                <w:rFonts w:ascii="宋体" w:hAnsi="宋体" w:eastAsia="宋体" w:cs="宋体"/>
                <w:sz w:val="24"/>
                <w:szCs w:val="24"/>
              </w:rPr>
            </w:pPr>
            <w:r>
              <w:rPr>
                <w:rFonts w:hint="eastAsia" w:ascii="宋体" w:hAnsi="宋体" w:eastAsia="宋体" w:cs="宋体"/>
                <w:sz w:val="24"/>
                <w:szCs w:val="24"/>
              </w:rPr>
              <w:t xml:space="preserve">控制软件</w:t>
            </w:r>
            <w:r/>
          </w:p>
        </w:tc>
        <w:tc>
          <w:tcPr>
            <w:shd w:val="clear" w:color="000000" w:fill="ffffff"/>
            <w:tcBorders>
              <w:top w:val="single" w:color="auto" w:sz="4" w:space="0"/>
              <w:left w:val="none" w:color="000000" w:sz="4" w:space="0"/>
              <w:bottom w:val="single" w:color="auto" w:sz="4" w:space="0"/>
              <w:right w:val="single" w:color="auto" w:sz="4" w:space="0"/>
            </w:tcBorders>
            <w:tcW w:w="6420" w:type="dxa"/>
            <w:vAlign w:val="center"/>
            <w:textDirection w:val="lrTb"/>
            <w:noWrap w:val="false"/>
          </w:tcPr>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B/S架构，用户无需安装客户端程序，直接WEB访问，避免操作电脑瘫痪后无法控制LED显示单元。</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网络解码设备管理功能，可以管理网络编解码设备，实现模拟摄像机、网络摄像机、HD-SDI数字摄像机和高清会议系统等网络视频信号和网络计算机信号上屏显示；</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云台控制功能，可对球机的转动、变倍、变焦等进行操作；。</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具备同时管理多路实时信号的上墙能力；</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具备单窗口多路信号源的轮巡功能，可以自定义间隔时间以实现信号的轮巡；</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具备画面分割功能，能轻松实现单屏4画面、16画面分割；</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具备自定义开窗功能，常用1、4、9、16开窗模式，布局灵活多样；</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支持画面整屏、全屏、跨屏、缩放、漫游等功能；</w:t>
            </w:r>
            <w:r/>
          </w:p>
          <w:p>
            <w:pPr>
              <w:ind w:firstLine="420"/>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具备软件著作权登记证书；</w:t>
            </w:r>
            <w:r/>
          </w:p>
        </w:tc>
      </w:tr>
    </w:tbl>
    <w:p>
      <w:pPr>
        <w:pStyle w:val="747"/>
        <w:numPr>
          <w:ilvl w:val="2"/>
          <w:numId w:val="12"/>
        </w:numPr>
        <w:spacing w:line="420" w:lineRule="exact"/>
        <w:rPr>
          <w:rFonts w:ascii="宋体" w:hAnsi="宋体" w:eastAsia="宋体" w:cs="宋体"/>
          <w:sz w:val="24"/>
          <w:szCs w:val="24"/>
          <w:lang w:eastAsia="zh-CN"/>
        </w:rPr>
      </w:pPr>
      <w:r>
        <w:rPr>
          <w:rFonts w:hint="eastAsia" w:ascii="宋体" w:hAnsi="宋体" w:eastAsia="宋体" w:cs="宋体"/>
          <w:bCs w:val="0"/>
          <w:sz w:val="24"/>
          <w:szCs w:val="24"/>
          <w:lang w:eastAsia="zh-CN"/>
        </w:rPr>
        <w:t xml:space="preserve">二维码门牌管理平台维护服务</w:t>
      </w:r>
      <w:r/>
    </w:p>
    <w:p>
      <w:pPr>
        <w:pStyle w:val="950"/>
        <w:ind w:left="142"/>
        <w:spacing w:line="420" w:lineRule="exact"/>
        <w:rPr>
          <w:rFonts w:ascii="宋体" w:hAnsi="宋体" w:eastAsia="宋体" w:cs="宋体"/>
          <w:b/>
          <w:sz w:val="24"/>
          <w:lang w:eastAsia="zh-CN"/>
        </w:rPr>
        <w:outlineLvl w:val="6"/>
      </w:pPr>
      <w:r>
        <w:rPr>
          <w:rFonts w:hint="eastAsia" w:ascii="宋体" w:hAnsi="宋体" w:eastAsia="宋体" w:cs="宋体"/>
          <w:b/>
          <w:bCs/>
          <w:sz w:val="24"/>
          <w:lang w:eastAsia="zh-CN"/>
        </w:rPr>
        <w:t xml:space="preserve">3.3.30.1二维码门牌</w:t>
      </w:r>
      <w:r>
        <w:rPr>
          <w:rFonts w:hint="eastAsia" w:ascii="宋体" w:hAnsi="宋体" w:eastAsia="宋体" w:cs="宋体"/>
          <w:b/>
          <w:sz w:val="24"/>
          <w:lang w:eastAsia="zh-CN"/>
        </w:rPr>
        <w:t xml:space="preserve">软件维护服务参数要求</w:t>
      </w:r>
      <w:r/>
    </w:p>
    <w:p>
      <w:pPr>
        <w:pStyle w:val="950"/>
        <w:numPr>
          <w:ilvl w:val="3"/>
          <w:numId w:val="12"/>
        </w:numPr>
        <w:spacing w:line="420" w:lineRule="exact"/>
        <w:rPr>
          <w:rFonts w:ascii="宋体" w:hAnsi="宋体" w:eastAsia="宋体" w:cs="宋体"/>
          <w:b/>
          <w:sz w:val="24"/>
          <w:lang w:eastAsia="zh-CN"/>
        </w:rPr>
        <w:outlineLvl w:val="7"/>
      </w:pPr>
      <w:r>
        <w:rPr>
          <w:rFonts w:hint="eastAsia" w:ascii="宋体" w:hAnsi="宋体" w:eastAsia="宋体" w:cs="宋体"/>
          <w:b/>
          <w:sz w:val="24"/>
          <w:lang w:eastAsia="zh-CN"/>
        </w:rPr>
        <w:t xml:space="preserve">门牌综合管理运维平台软件</w:t>
      </w:r>
      <w:r/>
    </w:p>
    <w:p>
      <w:pPr>
        <w:pStyle w:val="951"/>
        <w:ind w:firstLine="482"/>
        <w:spacing w:line="420" w:lineRule="exact"/>
        <w:rPr>
          <w:rFonts w:eastAsia="宋体"/>
          <w:b/>
          <w:bCs/>
          <w:sz w:val="24"/>
          <w:lang w:eastAsia="zh-CN"/>
        </w:rPr>
      </w:pPr>
      <w:r>
        <w:rPr>
          <w:rFonts w:hint="eastAsia" w:eastAsia="宋体"/>
          <w:sz w:val="24"/>
          <w:lang w:eastAsia="zh-CN"/>
        </w:rPr>
        <w:t xml:space="preserve">二维码数字门牌是以大数据、物联网等数字技术为支撑，将人口、房屋、地址等属性与特定标识相关联，从而建立⼀种高粘性、高信任度、网格化的新型地址管理模式。为了保障对物理门牌整个生命周期中规范、有序的管理，因此建立了一套数字化门牌管理系统。数字化门牌管理系统对门牌生命周期中的：门牌申请、门牌审批、门牌制作、门牌签收、门牌安装、门牌验收、门牌质量管理等一系列环节起到流程实时监管的机制。</w:t>
      </w:r>
      <w:r/>
    </w:p>
    <w:tbl>
      <w:tblPr>
        <w:tblStyle w:val="75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07"/>
        <w:gridCol w:w="6498"/>
      </w:tblGrid>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序号</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功能模块名称</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详细功能参数要求</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1</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门牌申请</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sz w:val="24"/>
                <w:lang w:eastAsia="zh-CN"/>
              </w:rPr>
            </w:pPr>
            <w:r>
              <w:rPr>
                <w:rFonts w:hint="eastAsia" w:eastAsia="宋体"/>
                <w:sz w:val="24"/>
                <w:lang w:eastAsia="zh-CN"/>
              </w:rPr>
              <w:t xml:space="preserve">数字化门牌管理系统对接苏州市局二维码门牌大市应用系统、“一标多实”信息采集应用系统。由派出所人员根据苏州市局“一标多实”基础数据，将自己所在辖区范围内的居民个人及单位门牌信息集中统一通过门牌管理系统提出门牌申请。</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2</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门牌审批</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ind w:firstLine="480"/>
              <w:spacing w:line="40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派出所提出的门牌申请通过门牌综合管理运维平台流转至市公安局进行门牌审批。如审批未通过，将退单到上一级重新申请。</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3</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二维码图像生成</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通过GPU处理单元设备，批量生成二维码图像、自动图像校正、图像打包数据文件、文件加密。</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4</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二维码图像核验</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对根据省厅、苏州二维码标准生成的二维码图像进行批量解析和核验，发现问题二维码，上报上级部门，纠正错误图像。</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5</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门牌制作</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b/>
                <w:bCs/>
                <w:sz w:val="24"/>
                <w:lang w:eastAsia="zh-CN"/>
              </w:rPr>
            </w:pPr>
            <w:r>
              <w:rPr>
                <w:rFonts w:hint="eastAsia" w:eastAsia="宋体"/>
                <w:sz w:val="24"/>
                <w:lang w:eastAsia="zh-CN"/>
              </w:rPr>
              <w:t xml:space="preserve">审批完成后的门牌通过门牌综合管理运维平台流转至厂家进行门牌制作，厂家对制牌过程中的异常数据通过门牌管理系统反馈至上一级。</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6</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门牌签收</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制作完成后的门牌会根据门牌标准地址发送至所在区的各区派出所。各区派出所通过专业定制扫码设备对门牌进行签收确认，各区派出所对于门牌存在漏发、错发、门牌损坏的情况，通过门牌综合管理运维平台及时反馈给门牌厂家及时处理。</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7</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门牌安装和</w:t>
            </w:r>
            <w:r/>
          </w:p>
          <w:p>
            <w:pPr>
              <w:pStyle w:val="951"/>
              <w:ind w:firstLine="0"/>
              <w:jc w:val="center"/>
              <w:spacing w:line="400" w:lineRule="exact"/>
              <w:rPr>
                <w:rFonts w:eastAsia="宋体"/>
                <w:b/>
                <w:bCs/>
                <w:sz w:val="24"/>
              </w:rPr>
            </w:pPr>
            <w:r>
              <w:rPr>
                <w:rFonts w:hint="eastAsia" w:eastAsia="宋体"/>
                <w:b/>
                <w:bCs/>
                <w:sz w:val="24"/>
              </w:rPr>
              <w:t xml:space="preserve">问题上报</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b/>
                <w:bCs/>
                <w:sz w:val="24"/>
                <w:lang w:eastAsia="zh-CN"/>
              </w:rPr>
            </w:pPr>
            <w:r>
              <w:rPr>
                <w:rFonts w:hint="eastAsia" w:eastAsia="宋体"/>
                <w:sz w:val="24"/>
                <w:lang w:eastAsia="zh-CN"/>
              </w:rPr>
              <w:t xml:space="preserve">厂家通过门牌综合管理运维平台接收到需要上门安装门牌的信息，时安排门牌安装人员根据标准规范快速完成门牌安装。门牌数据采集及GIS上图标注。安装过程发现的问题数据通过App上报到后台进行管理。</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8</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门牌验收</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b/>
                <w:bCs/>
                <w:sz w:val="24"/>
                <w:lang w:eastAsia="zh-CN"/>
              </w:rPr>
            </w:pPr>
            <w:r>
              <w:rPr>
                <w:rFonts w:hint="eastAsia" w:eastAsia="宋体"/>
                <w:sz w:val="24"/>
                <w:lang w:eastAsia="zh-CN"/>
              </w:rPr>
              <w:t xml:space="preserve">门牌验收采用门牌抽样检查的方式对门牌实行抽检验收。，通过门牌综合管理运维平台及时反馈验收情况并通知门牌生成安装人员及时上门处理。</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9</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门牌质量管理</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b/>
                <w:bCs/>
                <w:sz w:val="24"/>
                <w:lang w:eastAsia="zh-CN"/>
              </w:rPr>
            </w:pPr>
            <w:r>
              <w:rPr>
                <w:rFonts w:hint="eastAsia" w:eastAsia="宋体"/>
                <w:sz w:val="24"/>
                <w:lang w:eastAsia="zh-CN"/>
              </w:rPr>
              <w:t xml:space="preserve">通过门牌管理系统可查询每一块门牌的出厂、安装及保修状态。</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10</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lang w:eastAsia="zh-CN"/>
              </w:rPr>
            </w:pPr>
            <w:r>
              <w:rPr>
                <w:rFonts w:hint="eastAsia" w:eastAsia="宋体"/>
                <w:b/>
                <w:bCs/>
                <w:sz w:val="24"/>
                <w:lang w:eastAsia="zh-CN"/>
              </w:rPr>
              <w:t xml:space="preserve">门牌安装图像质量自动检测</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sz w:val="24"/>
                <w:lang w:eastAsia="zh-CN"/>
              </w:rPr>
            </w:pPr>
            <w:r>
              <w:rPr>
                <w:rFonts w:hint="eastAsia" w:eastAsia="宋体"/>
                <w:sz w:val="24"/>
                <w:lang w:eastAsia="zh-CN"/>
              </w:rPr>
              <w:t xml:space="preserve">通过GPU处理单元，批量并发处理采集终端提交的安装照片图像，通过图像质量分析算法、自动分析提交的图像，问题数据报警提醒。</w:t>
            </w:r>
            <w:r/>
          </w:p>
        </w:tc>
      </w:tr>
      <w:tr>
        <w:trPr>
          <w:jc w:val="cente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pStyle w:val="951"/>
              <w:ind w:firstLine="0"/>
              <w:jc w:val="center"/>
              <w:spacing w:line="400" w:lineRule="exact"/>
              <w:rPr>
                <w:rFonts w:eastAsia="宋体"/>
                <w:b/>
                <w:bCs/>
                <w:sz w:val="24"/>
              </w:rPr>
            </w:pPr>
            <w:r>
              <w:rPr>
                <w:rFonts w:hint="eastAsia" w:eastAsia="宋体"/>
                <w:b/>
                <w:bCs/>
                <w:sz w:val="24"/>
              </w:rPr>
              <w:t xml:space="preserve">11</w:t>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pStyle w:val="951"/>
              <w:ind w:firstLine="0"/>
              <w:jc w:val="center"/>
              <w:spacing w:line="400" w:lineRule="exact"/>
              <w:rPr>
                <w:rFonts w:eastAsia="宋体"/>
                <w:b/>
                <w:bCs/>
                <w:sz w:val="24"/>
                <w:lang w:eastAsia="zh-CN"/>
              </w:rPr>
            </w:pPr>
            <w:r>
              <w:rPr>
                <w:rFonts w:hint="eastAsia" w:eastAsia="宋体"/>
                <w:b/>
                <w:bCs/>
                <w:sz w:val="24"/>
                <w:lang w:eastAsia="zh-CN"/>
              </w:rPr>
              <w:t xml:space="preserve">数字门牌运维和报修管理</w:t>
            </w:r>
            <w:r/>
          </w:p>
        </w:tc>
        <w:tc>
          <w:tcPr>
            <w:tcBorders>
              <w:top w:val="single" w:color="auto" w:sz="4" w:space="0"/>
              <w:left w:val="single" w:color="auto" w:sz="4" w:space="0"/>
              <w:bottom w:val="single" w:color="auto" w:sz="4" w:space="0"/>
              <w:right w:val="single" w:color="auto" w:sz="4" w:space="0"/>
            </w:tcBorders>
            <w:tcW w:w="6498" w:type="dxa"/>
            <w:textDirection w:val="lrTb"/>
            <w:noWrap w:val="false"/>
          </w:tcPr>
          <w:p>
            <w:pPr>
              <w:pStyle w:val="951"/>
              <w:ind w:firstLine="0"/>
              <w:jc w:val="both"/>
              <w:spacing w:line="400" w:lineRule="exact"/>
              <w:rPr>
                <w:rFonts w:eastAsia="宋体"/>
                <w:b/>
                <w:bCs/>
                <w:sz w:val="24"/>
              </w:rPr>
            </w:pPr>
            <w:r>
              <w:rPr>
                <w:rFonts w:hint="eastAsia" w:eastAsia="宋体"/>
                <w:sz w:val="24"/>
                <w:lang w:eastAsia="zh-CN"/>
              </w:rPr>
              <w:t xml:space="preserve">平台定期推送任务，提示派出所和综合治理网格巡查员定期巡查门牌情况，发现错误、丢失、损坏等情况通过手机端软件上报，后台生成维护工单，交运维人员维修。</w:t>
            </w:r>
            <w:r>
              <w:rPr>
                <w:rFonts w:hint="eastAsia" w:eastAsia="宋体"/>
                <w:sz w:val="24"/>
              </w:rPr>
              <w:t xml:space="preserve">定期统计运维情况，生成报表。</w:t>
            </w:r>
            <w:r/>
          </w:p>
        </w:tc>
      </w:tr>
    </w:tbl>
    <w:p>
      <w:pPr>
        <w:pStyle w:val="950"/>
        <w:ind w:firstLine="480"/>
        <w:rPr>
          <w:rFonts w:ascii="宋体" w:hAnsi="宋体" w:eastAsia="宋体" w:cs="宋体"/>
          <w:sz w:val="24"/>
        </w:rPr>
      </w:pPr>
      <w:r>
        <w:rPr>
          <w:rFonts w:hint="eastAsia" w:ascii="宋体" w:hAnsi="宋体" w:eastAsia="宋体" w:cs="宋体"/>
          <w:sz w:val="24"/>
        </w:rPr>
        <w:t xml:space="preserve"> </w:t>
      </w:r>
      <w:r/>
    </w:p>
    <w:p>
      <w:pPr>
        <w:pStyle w:val="950"/>
        <w:numPr>
          <w:ilvl w:val="3"/>
          <w:numId w:val="12"/>
        </w:numPr>
        <w:rPr>
          <w:rFonts w:ascii="宋体" w:hAnsi="宋体" w:eastAsia="宋体" w:cs="宋体"/>
          <w:b/>
          <w:sz w:val="24"/>
          <w:lang w:eastAsia="zh-CN"/>
        </w:rPr>
        <w:outlineLvl w:val="7"/>
      </w:pPr>
      <w:r>
        <w:rPr>
          <w:rFonts w:hint="eastAsia" w:ascii="宋体" w:hAnsi="宋体" w:eastAsia="宋体" w:cs="宋体"/>
          <w:b/>
          <w:sz w:val="24"/>
          <w:lang w:eastAsia="zh-CN"/>
        </w:rPr>
        <w:t xml:space="preserve">二维码综合应用平台软件</w:t>
      </w:r>
      <w:r/>
    </w:p>
    <w:p>
      <w:pPr>
        <w:pStyle w:val="951"/>
        <w:rPr>
          <w:rFonts w:eastAsia="宋体"/>
          <w:sz w:val="24"/>
          <w:lang w:eastAsia="zh-CN"/>
        </w:rPr>
      </w:pPr>
      <w:r>
        <w:rPr>
          <w:rFonts w:hint="eastAsia" w:eastAsia="宋体"/>
          <w:sz w:val="24"/>
          <w:lang w:eastAsia="zh-CN"/>
        </w:rPr>
        <w:t xml:space="preserve">定制开发太仓市二维码综合应用平台软件，以数字门牌二维码为逻辑索引ID，以扫描二维码为应用触发入口，融合政府各相关应用平台的数据和功能，将数字门牌对应的地理位置信息赋能于各相关业务流程，提高管理效能，优化用户体验，实现政府管理流程到户，方便群众和企业接驳政府各部门在线办事入口。最终实现智慧城市各部分机能基于数字门牌地址信息的地图化、精细化管理。</w:t>
      </w:r>
      <w:r/>
    </w:p>
    <w:p>
      <w:pPr>
        <w:pStyle w:val="951"/>
        <w:rPr>
          <w:rFonts w:eastAsia="宋体"/>
          <w:sz w:val="24"/>
          <w:lang w:eastAsia="zh-CN"/>
        </w:rPr>
      </w:pPr>
      <w:r>
        <w:rPr>
          <w:rFonts w:hint="eastAsia" w:eastAsia="宋体"/>
          <w:sz w:val="24"/>
          <w:lang w:eastAsia="zh-CN"/>
        </w:rPr>
        <w:t xml:space="preserve">软件以二维码门牌扫码应用为入口，进一步扩展为支持太仓本地的自主申报，对接苏州市公安局居民自主申报服务，增加太仓本地的个性化需求，实现二维码在基础信息采集和人口管理的多个业务流程中的应用。</w:t>
      </w:r>
      <w:r/>
    </w:p>
    <w:tbl>
      <w:tblPr>
        <w:tblStyle w:val="75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867"/>
        <w:gridCol w:w="6138"/>
      </w:tblGrid>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序号</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功能模块名称</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详细功能参数要求</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1</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个人申报</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开发微信小程序，实现居民个人的居住信息申报，实现实名认证人证合一比对、实现户籍人口居住信息申报、流动人口居住信息申报和居住证办理、实现本人申报和代替他人申报的功能、查看个人申报历史数据、获取个人二维码身份信息、业务办理提醒功能。</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2</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房主申报</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开发微信小程序，实现房主的出租房屋信息申报，实现实名认证人证合一比对、实现房主本人申报和代替他们申报、实现承租人申报、查看已申报历史数据、业务办理提醒功能。</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3</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企业申报</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开发web端企业批量人员申报功能，实现批量电子表格和人员照片的上传，实现企业申报和个人申报的数据后台关联，实现数据统计功能。</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4</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中介申报</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开发微信小程序，实现劳务中介、房产中介的交易信息上报，将劳务合同中的个人信息及房产交易中双方个人信息上传到后台，实现后台数据关联。</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5</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面对面扫码核查比对</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开发微信小程序实现面对面扫码核查比对个人的信息，通过扫码获取个人信息用于信息采集，由网格员、协管员对居民进行信息核验。</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6</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Web后台审核</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0"/>
              <w:jc w:val="both"/>
              <w:spacing w:line="273" w:lineRule="auto"/>
              <w:rPr>
                <w:rFonts w:eastAsia="宋体"/>
                <w:sz w:val="24"/>
                <w:lang w:eastAsia="zh-CN"/>
              </w:rPr>
            </w:pPr>
            <w:r>
              <w:rPr>
                <w:rFonts w:hint="eastAsia" w:eastAsia="宋体"/>
                <w:sz w:val="24"/>
                <w:lang w:eastAsia="zh-CN"/>
              </w:rPr>
              <w:t xml:space="preserve">局端、各派出所可以对辖区内申报的信息分类管理、逐个审核，与派出所历年登记的人口信息进行比对、对存疑的数据审核不通过、下发给协管员、网格员上门核查，可以关联统计企业和中介申报的数据，推动申报工作减轻派出所上门采集数据的工作量。</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7</w:t>
            </w:r>
            <w:r/>
          </w:p>
        </w:tc>
        <w:tc>
          <w:tcPr>
            <w:tcBorders>
              <w:top w:val="single" w:color="auto" w:sz="4" w:space="0"/>
              <w:left w:val="single" w:color="auto" w:sz="4" w:space="0"/>
              <w:bottom w:val="single" w:color="auto" w:sz="4" w:space="0"/>
              <w:right w:val="single" w:color="auto" w:sz="4" w:space="0"/>
            </w:tcBorders>
            <w:tcW w:w="1867" w:type="dxa"/>
            <w:textDirection w:val="lrTb"/>
            <w:noWrap w:val="false"/>
          </w:tcPr>
          <w:p>
            <w:pPr>
              <w:pStyle w:val="951"/>
              <w:ind w:firstLine="0"/>
              <w:jc w:val="center"/>
              <w:spacing w:line="273" w:lineRule="auto"/>
              <w:rPr>
                <w:rFonts w:eastAsia="宋体"/>
                <w:b/>
                <w:bCs/>
                <w:sz w:val="24"/>
              </w:rPr>
            </w:pPr>
            <w:r>
              <w:rPr>
                <w:rFonts w:hint="eastAsia" w:eastAsia="宋体"/>
                <w:b/>
                <w:bCs/>
                <w:sz w:val="24"/>
              </w:rPr>
              <w:t xml:space="preserve">数字门牌应用平台</w:t>
            </w:r>
            <w:r/>
          </w:p>
        </w:tc>
        <w:tc>
          <w:tcPr>
            <w:tcBorders>
              <w:top w:val="single" w:color="auto" w:sz="4" w:space="0"/>
              <w:left w:val="single" w:color="auto" w:sz="4" w:space="0"/>
              <w:bottom w:val="single" w:color="auto" w:sz="4" w:space="0"/>
              <w:right w:val="single" w:color="auto" w:sz="4" w:space="0"/>
            </w:tcBorders>
            <w:tcW w:w="6138" w:type="dxa"/>
            <w:textDirection w:val="lrTb"/>
            <w:noWrap w:val="false"/>
          </w:tcPr>
          <w:p>
            <w:pPr>
              <w:pStyle w:val="951"/>
              <w:ind w:firstLine="420"/>
              <w:jc w:val="both"/>
              <w:spacing w:line="400" w:lineRule="exact"/>
              <w:rPr>
                <w:rFonts w:eastAsia="宋体"/>
                <w:sz w:val="24"/>
                <w:lang w:eastAsia="zh-CN"/>
              </w:rPr>
            </w:pPr>
            <w:r>
              <w:rPr>
                <w:rFonts w:hint="eastAsia" w:eastAsia="宋体"/>
                <w:sz w:val="24"/>
                <w:lang w:eastAsia="zh-CN"/>
              </w:rPr>
              <w:t xml:space="preserve">市民扫描门牌上的二维码就可以查看该地址的基本情况、社区民警及联系电话、地理位置等基本信息；数字门牌还可以提供地点导航、快递物流、报警急救、房屋管理、流动人口登记局等服务。同时，它可对接网上便民服务的接口，市民可扫描门牌二维码进入“数字门牌”页面，快速办理公安、住建、医疗、邮政、缴费等业务，便民服务网延伸至家门口。具体分为二维码门牌地址信息库子系统、门牌地址信息共享子系统、公众互联网服务子系统、后台研判管理子系统。</w:t>
            </w:r>
            <w:r/>
          </w:p>
        </w:tc>
      </w:tr>
    </w:tbl>
    <w:p>
      <w:pPr>
        <w:pStyle w:val="950"/>
        <w:ind w:firstLine="480"/>
        <w:spacing w:line="400" w:lineRule="exact"/>
        <w:rPr>
          <w:rFonts w:ascii="宋体" w:hAnsi="宋体" w:eastAsia="宋体" w:cs="宋体"/>
          <w:sz w:val="24"/>
          <w:lang w:eastAsia="zh-CN"/>
        </w:rPr>
      </w:pPr>
      <w:r>
        <w:rPr>
          <w:rFonts w:hint="eastAsia" w:ascii="宋体" w:hAnsi="宋体" w:eastAsia="宋体" w:cs="宋体"/>
          <w:sz w:val="24"/>
          <w:lang w:eastAsia="zh-CN"/>
        </w:rPr>
        <w:t xml:space="preserve"> </w:t>
      </w:r>
      <w:r/>
    </w:p>
    <w:p>
      <w:pPr>
        <w:pStyle w:val="950"/>
        <w:numPr>
          <w:ilvl w:val="3"/>
          <w:numId w:val="12"/>
        </w:numPr>
        <w:spacing w:line="400" w:lineRule="exact"/>
        <w:rPr>
          <w:rFonts w:ascii="宋体" w:hAnsi="宋体" w:eastAsia="宋体" w:cs="宋体"/>
          <w:b/>
          <w:sz w:val="24"/>
          <w:lang w:eastAsia="zh-CN"/>
        </w:rPr>
        <w:outlineLvl w:val="7"/>
      </w:pPr>
      <w:r>
        <w:rPr>
          <w:rFonts w:hint="eastAsia" w:ascii="宋体" w:hAnsi="宋体" w:eastAsia="宋体" w:cs="宋体"/>
          <w:b/>
          <w:sz w:val="24"/>
          <w:lang w:eastAsia="zh-CN"/>
        </w:rPr>
        <w:t xml:space="preserve">手持一体机门牌安装维护App软件</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加密功能：</w:t>
      </w:r>
      <w:r>
        <w:rPr>
          <w:rFonts w:hint="eastAsia" w:ascii="宋体" w:hAnsi="宋体" w:eastAsia="宋体" w:cs="宋体"/>
          <w:sz w:val="24"/>
          <w:szCs w:val="24"/>
          <w:lang w:eastAsia="zh-CN"/>
        </w:rPr>
        <w:t xml:space="preserve">支持软件和工程加密，提供手势加密和数字加密方式，每次打开软件或者工程时需要验证密码； </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导入功能：</w:t>
      </w:r>
      <w:r>
        <w:rPr>
          <w:rFonts w:hint="eastAsia" w:ascii="宋体" w:hAnsi="宋体" w:eastAsia="宋体" w:cs="宋体"/>
          <w:sz w:val="24"/>
          <w:szCs w:val="24"/>
          <w:lang w:eastAsia="zh-CN"/>
        </w:rPr>
        <w:t xml:space="preserve">软件支持海量shp、dxf、sit、cdi数据的导入叠加显示，导入dxf时，支持颜色，文字等信息的导入，便于在工作时进行多种数据的操作；</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导出功能：</w:t>
      </w:r>
      <w:r>
        <w:rPr>
          <w:rFonts w:hint="eastAsia" w:ascii="宋体" w:hAnsi="宋体" w:eastAsia="宋体" w:cs="宋体"/>
          <w:sz w:val="24"/>
          <w:szCs w:val="24"/>
          <w:lang w:eastAsia="zh-CN"/>
        </w:rPr>
        <w:t xml:space="preserve">软件支持采集数据导出为shp、dxf、csv和kml文件； </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在线/离线地图：</w:t>
      </w:r>
      <w:r>
        <w:rPr>
          <w:rFonts w:hint="eastAsia" w:ascii="宋体" w:hAnsi="宋体" w:eastAsia="宋体" w:cs="宋体"/>
          <w:sz w:val="24"/>
          <w:szCs w:val="24"/>
          <w:lang w:eastAsia="zh-CN"/>
        </w:rPr>
        <w:t xml:space="preserve">软件支持在软件操作界面一键链接PGIS内网或外网地图，便于在实际工作中查看当前的位置，并支持离线数据应用；</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导航功能：</w:t>
      </w:r>
      <w:r>
        <w:rPr>
          <w:rFonts w:hint="eastAsia" w:ascii="宋体" w:hAnsi="宋体" w:eastAsia="宋体" w:cs="宋体"/>
          <w:sz w:val="24"/>
          <w:szCs w:val="24"/>
          <w:lang w:eastAsia="zh-CN"/>
        </w:rPr>
        <w:t xml:space="preserve">可根据输入的坐标、已采集对象的坐标、地图选取的坐标或直接利用在线或离线地图进行导航，并在数据采集窗口直观显示导航的信息；</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坐标显示：</w:t>
      </w:r>
      <w:r>
        <w:rPr>
          <w:rFonts w:hint="eastAsia" w:ascii="宋体" w:hAnsi="宋体" w:eastAsia="宋体" w:cs="宋体"/>
          <w:sz w:val="24"/>
          <w:szCs w:val="24"/>
          <w:lang w:eastAsia="zh-CN"/>
        </w:rPr>
        <w:t xml:space="preserve">软件主界面可支持显示坐标及对应高程信息，并且经纬度坐标支持“度与度分秒”两种显示方式；</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面板显示功能：</w:t>
      </w:r>
      <w:r>
        <w:rPr>
          <w:rFonts w:hint="eastAsia" w:ascii="宋体" w:hAnsi="宋体" w:eastAsia="宋体" w:cs="宋体"/>
          <w:sz w:val="24"/>
          <w:szCs w:val="24"/>
          <w:lang w:eastAsia="zh-CN"/>
        </w:rPr>
        <w:t xml:space="preserve">支持在主界面显示日期和时间，便于在工作时随时查看时间；</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轨迹记录：</w:t>
      </w:r>
      <w:r>
        <w:rPr>
          <w:rFonts w:hint="eastAsia" w:ascii="宋体" w:hAnsi="宋体" w:eastAsia="宋体" w:cs="宋体"/>
          <w:sz w:val="24"/>
          <w:szCs w:val="24"/>
          <w:lang w:eastAsia="zh-CN"/>
        </w:rPr>
        <w:t xml:space="preserve">支持按时间或距离记录终端轨迹，并支持将轨迹导出为gpx、kml、kmz文件，便于后期通过轨迹文件的数据分析了解外业情况；</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连接功能：</w:t>
      </w:r>
      <w:r>
        <w:rPr>
          <w:rFonts w:hint="eastAsia" w:ascii="宋体" w:hAnsi="宋体" w:eastAsia="宋体" w:cs="宋体"/>
          <w:sz w:val="24"/>
          <w:szCs w:val="24"/>
          <w:lang w:eastAsia="zh-CN"/>
        </w:rPr>
        <w:t xml:space="preserve">内置GNSS定位配置软件，支持通过WIFI、蓝牙连接第三方定位模块或接收机获取高精度位置；</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模板功能：</w:t>
      </w:r>
      <w:r>
        <w:rPr>
          <w:rFonts w:hint="eastAsia" w:ascii="宋体" w:hAnsi="宋体" w:eastAsia="宋体" w:cs="宋体"/>
          <w:sz w:val="24"/>
          <w:szCs w:val="24"/>
          <w:lang w:eastAsia="zh-CN"/>
        </w:rPr>
        <w:t xml:space="preserve">软件支持自定义工程文件模板和坐标系文件模板，支持在软件里打开sxwu工程和进行.crd坐标系文件的导入；</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一级菜单：</w:t>
      </w:r>
      <w:r>
        <w:rPr>
          <w:rFonts w:hint="eastAsia" w:ascii="宋体" w:hAnsi="宋体" w:eastAsia="宋体" w:cs="宋体"/>
          <w:sz w:val="24"/>
          <w:szCs w:val="24"/>
          <w:lang w:eastAsia="zh-CN"/>
        </w:rPr>
        <w:t xml:space="preserve">软件支持图层字段导入txt文本，快速添加一级菜单，便于工程数据模板的快速形成；</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批量导入：</w:t>
      </w:r>
      <w:r>
        <w:rPr>
          <w:rFonts w:hint="eastAsia" w:ascii="宋体" w:hAnsi="宋体" w:eastAsia="宋体" w:cs="宋体"/>
          <w:sz w:val="24"/>
          <w:szCs w:val="24"/>
          <w:lang w:eastAsia="zh-CN"/>
        </w:rPr>
        <w:t xml:space="preserve">支持批量导入csv格式点线面，提高作业效率；</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坐标系定义</w:t>
      </w:r>
      <w:r>
        <w:rPr>
          <w:rFonts w:hint="eastAsia" w:ascii="宋体" w:hAnsi="宋体" w:eastAsia="宋体" w:cs="宋体"/>
          <w:sz w:val="24"/>
          <w:szCs w:val="24"/>
          <w:lang w:eastAsia="zh-CN"/>
        </w:rPr>
        <w:t xml:space="preserve">：支持新建国内通用平面、经纬度及坐标系统工程，便于不同项目选择对应坐标系统进行工程作业；</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手绘操作：</w:t>
      </w:r>
      <w:r>
        <w:rPr>
          <w:rFonts w:hint="eastAsia" w:ascii="宋体" w:hAnsi="宋体" w:eastAsia="宋体" w:cs="宋体"/>
          <w:sz w:val="24"/>
          <w:szCs w:val="24"/>
          <w:lang w:eastAsia="zh-CN"/>
        </w:rPr>
        <w:t xml:space="preserve">支持手绘进行调绘操作，也可通过屏幕十字光标，精准绘制地理图形；</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采集方式：</w:t>
      </w:r>
      <w:r>
        <w:rPr>
          <w:rFonts w:hint="eastAsia" w:ascii="宋体" w:hAnsi="宋体" w:eastAsia="宋体" w:cs="宋体"/>
          <w:sz w:val="24"/>
          <w:szCs w:val="24"/>
          <w:lang w:eastAsia="zh-CN"/>
        </w:rPr>
        <w:t xml:space="preserve">支持平滑采集操作，采用全新算法采集数据，提高数据采集精度；</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在线导航：</w:t>
      </w:r>
      <w:r>
        <w:rPr>
          <w:rFonts w:hint="eastAsia" w:ascii="宋体" w:hAnsi="宋体" w:eastAsia="宋体" w:cs="宋体"/>
          <w:sz w:val="24"/>
          <w:szCs w:val="24"/>
          <w:lang w:eastAsia="zh-CN"/>
        </w:rPr>
        <w:t xml:space="preserve">支持联网状态下，可在软件里对目标地点进行路径导航；</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电子罗盘：</w:t>
      </w:r>
      <w:r>
        <w:rPr>
          <w:rFonts w:hint="eastAsia" w:ascii="宋体" w:hAnsi="宋体" w:eastAsia="宋体" w:cs="宋体"/>
          <w:sz w:val="24"/>
          <w:szCs w:val="24"/>
          <w:lang w:eastAsia="zh-CN"/>
        </w:rPr>
        <w:t xml:space="preserve">支持在采集面板显示电子罗盘，方便外业人员定向找方位；</w:t>
      </w:r>
      <w:r/>
    </w:p>
    <w:p>
      <w:pPr>
        <w:numPr>
          <w:ilvl w:val="2"/>
          <w:numId w:val="13"/>
        </w:numPr>
        <w:ind w:left="709" w:firstLine="708"/>
        <w:spacing w:line="40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语言切换：</w:t>
      </w:r>
      <w:r>
        <w:rPr>
          <w:rFonts w:hint="eastAsia" w:ascii="宋体" w:hAnsi="宋体" w:eastAsia="宋体" w:cs="宋体"/>
          <w:sz w:val="24"/>
          <w:szCs w:val="24"/>
          <w:lang w:eastAsia="zh-CN"/>
        </w:rPr>
        <w:t xml:space="preserve">支持软件语言自动跟随系统语言切换，也可设置中文、英文直接切换；</w:t>
      </w:r>
      <w:r/>
    </w:p>
    <w:p>
      <w:pPr>
        <w:pStyle w:val="950"/>
        <w:numPr>
          <w:ilvl w:val="2"/>
          <w:numId w:val="13"/>
        </w:numPr>
        <w:ind w:left="709" w:firstLine="708"/>
        <w:spacing w:line="400" w:lineRule="exact"/>
        <w:rPr>
          <w:rFonts w:ascii="宋体" w:hAnsi="宋体" w:eastAsia="宋体" w:cs="宋体"/>
          <w:sz w:val="24"/>
          <w:lang w:eastAsia="zh-CN"/>
        </w:rPr>
      </w:pPr>
      <w:r>
        <w:rPr>
          <w:rFonts w:hint="eastAsia" w:ascii="宋体" w:hAnsi="宋体" w:eastAsia="宋体" w:cs="宋体"/>
          <w:b/>
          <w:sz w:val="24"/>
          <w:lang w:eastAsia="zh-CN"/>
        </w:rPr>
        <w:t xml:space="preserve">图层字段：</w:t>
      </w:r>
      <w:r>
        <w:rPr>
          <w:rFonts w:hint="eastAsia" w:ascii="宋体" w:hAnsi="宋体" w:eastAsia="宋体" w:cs="宋体"/>
          <w:sz w:val="24"/>
          <w:lang w:eastAsia="zh-CN"/>
        </w:rPr>
        <w:t xml:space="preserve">支持“图层-字段-编辑”中显示名称或别名，实现在字段管理和属性查询中显示名称或别名。</w:t>
      </w:r>
      <w:r/>
    </w:p>
    <w:p>
      <w:pPr>
        <w:pStyle w:val="950"/>
        <w:numPr>
          <w:ilvl w:val="3"/>
          <w:numId w:val="12"/>
        </w:numPr>
        <w:spacing w:line="400" w:lineRule="exact"/>
        <w:rPr>
          <w:rFonts w:ascii="宋体" w:hAnsi="宋体" w:eastAsia="宋体" w:cs="宋体"/>
          <w:b/>
          <w:sz w:val="24"/>
          <w:lang w:eastAsia="zh-CN"/>
        </w:rPr>
        <w:outlineLvl w:val="7"/>
      </w:pPr>
      <w:r>
        <w:rPr>
          <w:rFonts w:hint="eastAsia" w:ascii="宋体" w:hAnsi="宋体" w:eastAsia="宋体" w:cs="宋体"/>
          <w:b/>
          <w:sz w:val="24"/>
          <w:lang w:eastAsia="zh-CN"/>
        </w:rPr>
        <w:t xml:space="preserve">一标多实系统数据对接服务</w:t>
      </w:r>
      <w:r/>
    </w:p>
    <w:p>
      <w:pPr>
        <w:pStyle w:val="951"/>
        <w:spacing w:line="400" w:lineRule="exact"/>
        <w:rPr>
          <w:rFonts w:eastAsia="宋体"/>
          <w:sz w:val="24"/>
          <w:lang w:eastAsia="zh-CN"/>
        </w:rPr>
      </w:pPr>
      <w:r>
        <w:rPr>
          <w:rFonts w:hint="eastAsia" w:eastAsia="宋体"/>
          <w:sz w:val="24"/>
          <w:lang w:eastAsia="zh-CN"/>
        </w:rPr>
        <w:t xml:space="preserve">实现与苏州市公安局</w:t>
      </w:r>
      <w:r>
        <w:rPr>
          <w:rFonts w:hint="eastAsia" w:eastAsia="宋体"/>
          <w:b/>
          <w:bCs/>
          <w:sz w:val="24"/>
          <w:lang w:eastAsia="zh-CN"/>
        </w:rPr>
        <w:t xml:space="preserve">一标多实系统</w:t>
      </w:r>
      <w:r>
        <w:rPr>
          <w:rFonts w:hint="eastAsia" w:eastAsia="宋体"/>
          <w:sz w:val="24"/>
          <w:lang w:eastAsia="zh-CN"/>
        </w:rPr>
        <w:t xml:space="preserve">的无缝对接，投标单元须提供详细的对接方案，描述业务流程对接、数据对接、功能整合。</w:t>
      </w:r>
      <w:r/>
    </w:p>
    <w:p>
      <w:pPr>
        <w:pStyle w:val="950"/>
        <w:numPr>
          <w:ilvl w:val="3"/>
          <w:numId w:val="12"/>
        </w:numPr>
        <w:spacing w:line="400" w:lineRule="exact"/>
        <w:rPr>
          <w:rFonts w:ascii="宋体" w:hAnsi="宋体" w:eastAsia="宋体" w:cs="宋体"/>
          <w:b/>
          <w:sz w:val="24"/>
          <w:lang w:eastAsia="zh-CN"/>
        </w:rPr>
        <w:outlineLvl w:val="7"/>
      </w:pPr>
      <w:r>
        <w:rPr>
          <w:rFonts w:hint="eastAsia" w:ascii="宋体" w:hAnsi="宋体" w:eastAsia="宋体" w:cs="宋体"/>
          <w:b/>
          <w:sz w:val="24"/>
          <w:lang w:eastAsia="zh-CN"/>
        </w:rPr>
        <w:t xml:space="preserve">苏州全市二维码门牌全面应用平台对接软件</w:t>
      </w:r>
      <w:r/>
    </w:p>
    <w:p>
      <w:pPr>
        <w:pStyle w:val="951"/>
        <w:spacing w:line="400" w:lineRule="exact"/>
        <w:rPr>
          <w:rFonts w:eastAsia="宋体"/>
          <w:b/>
          <w:bCs/>
          <w:sz w:val="24"/>
          <w:lang w:eastAsia="zh-CN"/>
        </w:rPr>
      </w:pPr>
      <w:r>
        <w:rPr>
          <w:rFonts w:hint="eastAsia" w:eastAsia="宋体"/>
          <w:sz w:val="24"/>
          <w:lang w:eastAsia="zh-CN"/>
        </w:rPr>
        <w:t xml:space="preserve">实现与苏州市公安局</w:t>
      </w:r>
      <w:r>
        <w:rPr>
          <w:rFonts w:hint="eastAsia" w:eastAsia="宋体"/>
          <w:b/>
          <w:bCs/>
          <w:sz w:val="24"/>
          <w:lang w:eastAsia="zh-CN"/>
        </w:rPr>
        <w:t xml:space="preserve">大市二维码门牌全面应用平台</w:t>
      </w:r>
      <w:r>
        <w:rPr>
          <w:rFonts w:hint="eastAsia" w:eastAsia="宋体"/>
          <w:sz w:val="24"/>
          <w:lang w:eastAsia="zh-CN"/>
        </w:rPr>
        <w:t xml:space="preserve">的无缝对接，投标单元须提供详细的对接方案，描述业务流程对接、数据对接、功能整合。</w:t>
      </w:r>
      <w:r/>
    </w:p>
    <w:p>
      <w:pPr>
        <w:pStyle w:val="950"/>
        <w:numPr>
          <w:ilvl w:val="3"/>
          <w:numId w:val="12"/>
        </w:numPr>
        <w:spacing w:line="400" w:lineRule="exact"/>
        <w:rPr>
          <w:rFonts w:ascii="宋体" w:hAnsi="宋体" w:eastAsia="宋体" w:cs="宋体"/>
          <w:b/>
          <w:sz w:val="24"/>
          <w:lang w:eastAsia="zh-CN"/>
        </w:rPr>
        <w:outlineLvl w:val="7"/>
      </w:pPr>
      <w:r>
        <w:rPr>
          <w:rFonts w:hint="eastAsia" w:ascii="宋体" w:hAnsi="宋体" w:eastAsia="宋体" w:cs="宋体"/>
          <w:b/>
          <w:sz w:val="24"/>
          <w:lang w:eastAsia="zh-CN"/>
        </w:rPr>
        <w:t xml:space="preserve">太仓市公安局派出所工作平台地址门牌数据对接软件</w:t>
      </w:r>
      <w:r/>
    </w:p>
    <w:p>
      <w:pPr>
        <w:pStyle w:val="951"/>
        <w:spacing w:line="400" w:lineRule="exact"/>
        <w:rPr>
          <w:rFonts w:eastAsia="宋体"/>
          <w:sz w:val="24"/>
          <w:lang w:eastAsia="zh-CN"/>
        </w:rPr>
      </w:pPr>
      <w:r>
        <w:rPr>
          <w:rFonts w:hint="eastAsia" w:eastAsia="宋体"/>
          <w:sz w:val="24"/>
          <w:lang w:eastAsia="zh-CN"/>
        </w:rPr>
        <w:t xml:space="preserve">实现与太仓市公安局派出所工作平台的无缝对接，投标单元须提供详细的对接方案，描述业务流程对接、数据对接、功能整合。</w:t>
      </w:r>
      <w:r/>
    </w:p>
    <w:p>
      <w:pPr>
        <w:pStyle w:val="950"/>
        <w:spacing w:line="400" w:lineRule="exact"/>
        <w:rPr>
          <w:rFonts w:ascii="宋体" w:hAnsi="宋体" w:eastAsia="宋体" w:cs="宋体"/>
          <w:b/>
          <w:sz w:val="24"/>
          <w:lang w:eastAsia="zh-CN"/>
        </w:rPr>
        <w:outlineLvl w:val="6"/>
      </w:pPr>
      <w:r>
        <w:rPr>
          <w:rFonts w:hint="eastAsia" w:ascii="宋体" w:hAnsi="宋体" w:eastAsia="宋体" w:cs="宋体"/>
          <w:b/>
          <w:bCs/>
          <w:sz w:val="24"/>
          <w:lang w:eastAsia="zh-CN"/>
        </w:rPr>
        <w:t xml:space="preserve">3.3.30.2</w:t>
      </w:r>
      <w:r>
        <w:rPr>
          <w:rFonts w:hint="eastAsia" w:ascii="宋体" w:hAnsi="宋体" w:eastAsia="宋体" w:cs="宋体"/>
          <w:b/>
          <w:sz w:val="24"/>
          <w:lang w:eastAsia="zh-CN"/>
        </w:rPr>
        <w:t xml:space="preserve">、地图数据更新服务和数字地图平台对接服务</w:t>
      </w:r>
      <w:r/>
    </w:p>
    <w:p>
      <w:pPr>
        <w:pStyle w:val="952"/>
        <w:numPr>
          <w:ilvl w:val="0"/>
          <w:numId w:val="14"/>
        </w:numPr>
        <w:contextualSpacing/>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在二维码门牌安装和数据采集和定位信息上传过程中，发现现有数字地图GIS数据的偏差和缺失，实现上报；太仓城区及重点乡镇倾斜摄影数据，数据格式为OSDG,平面精度为≤±0.3m，高程精度≤±0.8m,坐标系采用CGCS2000。数据质量要求：数据完整、齐全，影像无遮挡，去除空中悬浮物、噪点等；采集范围由采购单位决定，总面积不超过80平方公里；</w:t>
      </w:r>
      <w:r/>
    </w:p>
    <w:p>
      <w:pPr>
        <w:pStyle w:val="952"/>
        <w:numPr>
          <w:ilvl w:val="0"/>
          <w:numId w:val="14"/>
        </w:numPr>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提供地图基础数据的采集和导入现有数字地图GIS平台的工具软件，完成数据更新维护；</w:t>
      </w:r>
      <w:r/>
    </w:p>
    <w:p>
      <w:pPr>
        <w:pStyle w:val="952"/>
        <w:numPr>
          <w:ilvl w:val="0"/>
          <w:numId w:val="14"/>
        </w:numPr>
        <w:contextualSpacing/>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扩展太仓公安局地图数据展示平台， 形成数字门牌对应的标准地址数据上图工作机制，建立业务地理关联管理体系，利用地图技术分层展示；</w:t>
      </w:r>
      <w:r/>
    </w:p>
    <w:p>
      <w:pPr>
        <w:pStyle w:val="952"/>
        <w:numPr>
          <w:ilvl w:val="0"/>
          <w:numId w:val="14"/>
        </w:numPr>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能够在统一的地图上展现数字门牌相关信息，包括地址、房屋、门牌安装数据、精确地定位；</w:t>
      </w:r>
      <w:r/>
    </w:p>
    <w:p>
      <w:pPr>
        <w:pStyle w:val="952"/>
        <w:numPr>
          <w:ilvl w:val="0"/>
          <w:numId w:val="14"/>
        </w:numPr>
        <w:contextualSpacing/>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扩展新的展示图层，应引入各种应用标签，更新公安原有的人、房数据的定位数据，重新展现人、房图层，实现PGIS地图、天地图切换融合，实现警情、案件、人口、地址等各类数据在平台地图中展示；</w:t>
      </w:r>
      <w:r/>
    </w:p>
    <w:p>
      <w:pPr>
        <w:pStyle w:val="952"/>
        <w:numPr>
          <w:ilvl w:val="0"/>
          <w:numId w:val="14"/>
        </w:numPr>
        <w:contextualSpacing/>
        <w:ind w:left="0" w:firstLine="566"/>
        <w:spacing w:line="400" w:lineRule="exact"/>
        <w:tabs>
          <w:tab w:val="clear" w:pos="709" w:leader="none"/>
        </w:tabs>
        <w:rPr>
          <w:rFonts w:ascii="宋体" w:hAnsi="宋体" w:eastAsia="宋体" w:cs="宋体"/>
          <w:sz w:val="24"/>
          <w:lang w:eastAsia="zh-CN"/>
        </w:rPr>
      </w:pPr>
      <w:r>
        <w:rPr>
          <w:rFonts w:hint="eastAsia" w:ascii="宋体" w:hAnsi="宋体" w:eastAsia="宋体" w:cs="宋体"/>
          <w:sz w:val="24"/>
          <w:lang w:eastAsia="zh-CN"/>
        </w:rPr>
        <w:t xml:space="preserve">支持放大、缩小、测距、面积等地图应用常用功能，支持空间检索、周边查询、位置查询等开放式应用接口，支持大容量数据一图加载展示，支持点线面数据采集标绘、建模，支持太仓市公安局二维码门牌平台、视频平台及其他平台对接展示，地图平台响应速度秒级；</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7"/>
        <w:numPr>
          <w:ilvl w:val="2"/>
          <w:numId w:val="12"/>
        </w:numPr>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太仓市公安局全员考系统一年的维护服务</w:t>
      </w:r>
      <w:r/>
    </w:p>
    <w:p>
      <w:pPr>
        <w:spacing w:line="400" w:lineRule="exact"/>
        <w:tabs>
          <w:tab w:val="left" w:pos="426"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对于平台的日常巡检、日常管理、后台管理、数据整理、数据导出、平台运行、服务器运行等的日常维护服务一年</w:t>
      </w:r>
      <w:r/>
    </w:p>
    <w:p>
      <w:pPr>
        <w:pStyle w:val="746"/>
        <w:spacing w:line="400" w:lineRule="exact"/>
        <w:rPr>
          <w:rFonts w:ascii="宋体" w:hAnsi="宋体" w:eastAsia="宋体" w:cs="宋体"/>
          <w:lang w:eastAsia="zh-CN"/>
        </w:rPr>
      </w:pPr>
      <w:r>
        <w:rPr>
          <w:rFonts w:hint="eastAsia" w:ascii="宋体" w:hAnsi="宋体" w:eastAsia="宋体" w:cs="宋体"/>
          <w:lang w:eastAsia="zh-CN"/>
        </w:rPr>
        <w:t xml:space="preserve">3.4、太仓市公安局内部监控系统、治安监控系统、人脸识别系统、卡口监控与抓拍系统维护服务，包含：</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3.4.1、太仓市公安局及下属单位所有过保的治安监控系统和单位内部监控系统</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太仓市公安局所有过保的治安监控和单位内部监控的前端设备以及各级监控中心机房相关配套设备的一年维保服务，视频专网治安监控2143台，视频专网内部监控1300台；公安网内部监控合计543路。合计视频监控3986路，硬盘录像机218台。中心存储3台。</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对维保范围内超过质保期并已损坏的摄像机、存储设备、网络设备，必须更换全新设备，全新更换设备免费保修期不小于1年且性能型号不低于原设备； 技术指标参照“（4）维护服务相关技术指标”</w:t>
      </w:r>
      <w:r/>
    </w:p>
    <w:p>
      <w:pPr>
        <w:pStyle w:val="756"/>
        <w:ind w:firstLine="480"/>
        <w:spacing w:line="400" w:lineRule="exact"/>
        <w:shd w:val="clear" w:color="auto" w:fill="auto"/>
        <w:rPr>
          <w:rFonts w:ascii="宋体" w:hAnsi="宋体" w:eastAsia="宋体" w:cs="宋体"/>
          <w:sz w:val="24"/>
          <w:szCs w:val="24"/>
        </w:rPr>
      </w:pPr>
      <w:r>
        <w:rPr>
          <w:rFonts w:hint="eastAsia" w:ascii="宋体" w:hAnsi="宋体" w:eastAsia="宋体" w:cs="宋体"/>
          <w:sz w:val="24"/>
          <w:szCs w:val="24"/>
        </w:rPr>
        <w:t xml:space="preserve">监控系统维护统计表：</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776"/>
        <w:gridCol w:w="948"/>
        <w:gridCol w:w="984"/>
        <w:gridCol w:w="943"/>
        <w:gridCol w:w="677"/>
        <w:gridCol w:w="898"/>
        <w:gridCol w:w="986"/>
        <w:gridCol w:w="852"/>
        <w:gridCol w:w="816"/>
        <w:gridCol w:w="1068"/>
      </w:tblGrid>
      <w:tr>
        <w:trPr>
          <w:trHeight w:val="48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b/>
                <w:bCs/>
                <w:sz w:val="24"/>
                <w:szCs w:val="24"/>
              </w:rPr>
            </w:pPr>
            <w:r/>
            <w:bookmarkStart w:id="0" w:name="OLE_LINK1"/>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内部监控</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一类监控</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路面NVR</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内部NVR</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公安网监控</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公安网NVR        </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监控总数</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录像机总数</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城中所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93</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87</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城西所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89</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183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开发区</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810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911</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科教新城所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170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252</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双凤所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沙溪所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274</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岳王所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97</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浏家港所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璜泾所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浏河所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88</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171</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港区所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金浪所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板桥所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581</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646</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19</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陆渡所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金仓湖所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公交所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市局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94</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124</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大数据</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警务中心</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139</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179</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rHeight w:val="33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城厢中队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璜泾中队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浏河中队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南郊中队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双凤中队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沙溪中队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港区中队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陆渡中队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高新区中队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事故中队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车管所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监视居住</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78</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看守所</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反恐基地</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检查站</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2"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77</w:t>
            </w:r>
            <w:r/>
          </w:p>
        </w:tc>
        <w:tc>
          <w:tcPr>
            <w:tcBorders>
              <w:top w:val="single" w:color="000000" w:sz="4" w:space="0"/>
              <w:left w:val="single" w:color="000000" w:sz="4" w:space="0"/>
              <w:bottom w:val="single" w:color="000000" w:sz="4" w:space="0"/>
              <w:right w:val="single" w:color="000000" w:sz="4" w:space="0"/>
            </w:tcBorders>
            <w:tcW w:w="1068"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r>
      <w:tr>
        <w:trPr>
          <w:trHeight w:val="60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1300</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2143</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543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3986</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218</w:t>
            </w:r>
            <w:bookmarkEnd w:id="0"/>
            <w:r/>
            <w:r/>
          </w:p>
        </w:tc>
      </w:tr>
    </w:tbl>
    <w:p>
      <w:pPr>
        <w:pStyle w:val="756"/>
        <w:ind w:firstLine="480"/>
        <w:spacing w:line="360" w:lineRule="auto"/>
        <w:shd w:val="clear" w:color="auto" w:fill="auto"/>
        <w:rPr>
          <w:rFonts w:ascii="宋体" w:hAnsi="宋体" w:eastAsia="宋体" w:cs="宋体"/>
          <w:sz w:val="24"/>
          <w:szCs w:val="24"/>
        </w:rPr>
      </w:pPr>
      <w:r>
        <w:rPr>
          <w:rFonts w:ascii="宋体" w:hAnsi="宋体" w:eastAsia="宋体" w:cs="宋体"/>
          <w:sz w:val="24"/>
          <w:szCs w:val="24"/>
        </w:rPr>
      </w:r>
      <w:r/>
    </w:p>
    <w:p>
      <w:pPr>
        <w:pStyle w:val="747"/>
        <w:rPr>
          <w:rFonts w:ascii="宋体" w:hAnsi="宋体" w:eastAsia="宋体" w:cs="宋体"/>
          <w:sz w:val="24"/>
          <w:szCs w:val="24"/>
          <w:lang w:eastAsia="zh-CN"/>
        </w:rPr>
      </w:pPr>
      <w:r>
        <w:rPr>
          <w:rFonts w:hint="eastAsia" w:ascii="宋体" w:hAnsi="宋体" w:eastAsia="宋体" w:cs="宋体"/>
          <w:sz w:val="24"/>
          <w:szCs w:val="24"/>
          <w:lang w:eastAsia="zh-CN"/>
        </w:rPr>
        <w:t xml:space="preserve">3.4.2、已经过保的车辆高清抓拍卡口系统前后端等设备的维护及服务</w:t>
      </w:r>
      <w:r/>
    </w:p>
    <w:p>
      <w:pPr>
        <w:pStyle w:val="944"/>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已经过保的车辆高清抓拍卡口系统前后端等设备的维护及服务。合计154台抓拍主机及覆盖车道的配套镜头、闪光灯、补光灯、交换机、光收发器及前后端存储设备。维护要求每个抓拍车道全天候过车捕获率大</w:t>
      </w:r>
      <w:r>
        <w:rPr>
          <w:rFonts w:hint="eastAsia" w:ascii="宋体" w:hAnsi="宋体" w:eastAsia="宋体" w:cs="宋体"/>
          <w:sz w:val="24"/>
          <w:szCs w:val="24"/>
          <w:lang w:eastAsia="zh-CN"/>
        </w:rPr>
        <w:t xml:space="preserve">于等于99%，车牌识别率大于等于99%,能分辨车辆品牌型号，并能清晰捕获驾驶员和副驾驶人脸。抓拍主机必须与公安车辆抓拍平台，公安车辆云存储平台，公安车辆大数据平台，交警违章平台的实现实时无缝对接。对维保范围内超过质保期并已损坏的抓拍主机、配套镜头、闪光灯、补光灯、交换机、光收发器及前后端存储设备，如果无法及时修复必须更换全新设备且性能型号不低于原设备；同时在维护中对达不到甲方上述要求和不满足“4.1.2抓拍修复技术指标”和“4.1.3抓拍相机指标”的点位设备参照上述要求更换，并由乙方负责相关费用，不设上限。</w:t>
      </w:r>
      <w:r/>
    </w:p>
    <w:p>
      <w:pPr>
        <w:pStyle w:val="756"/>
        <w:spacing w:line="360" w:lineRule="auto"/>
        <w:shd w:val="clear" w:color="auto" w:fill="auto"/>
        <w:rPr>
          <w:rFonts w:ascii="宋体" w:hAnsi="宋体" w:eastAsia="宋体" w:cs="宋体"/>
          <w:sz w:val="24"/>
          <w:szCs w:val="24"/>
        </w:rP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抓拍点明细：</w:t>
      </w:r>
      <w:r/>
    </w:p>
    <w:tbl>
      <w:tblPr>
        <w:tblStyle w:val="752"/>
        <w:tblW w:w="6160"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5520"/>
      </w:tblGrid>
      <w:tr>
        <w:trPr>
          <w:trHeight w:val="285"/>
        </w:trPr>
        <w:tc>
          <w:tcPr>
            <w:tcBorders>
              <w:top w:val="single" w:color="auto" w:sz="4" w:space="0"/>
              <w:left w:val="single" w:color="auto" w:sz="4" w:space="0"/>
              <w:bottom w:val="single" w:color="auto" w:sz="4" w:space="0"/>
              <w:right w:val="single" w:color="auto" w:sz="4" w:space="0"/>
            </w:tcBorders>
            <w:tcW w:w="6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设备名称</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CK_338省道浏家港大桥1北向南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CK_338省道浏家港大桥2北向南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CK_338省道浏家港大桥2南向北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CK_338省道浏家港大桥辅道北向南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CK_338省道浏家港大桥辅道南向北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CK_346国道洋桥卡口进市1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CK_346国道洋桥卡口进市2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CK_346国道洋桥卡口进市3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CK_G15高速朝阳路卡口出市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CK_G15高速朝阳路卡口进市1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CK_G15高速朝阳路卡口进市2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CK_G15高速朝阳路卡口进市3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CK_G15高速朝阳路卡口进市4</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CK_G15高速S339板桥卡口出市1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CK_G15高速S339板桥卡口出市2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CK_G15高速S339板桥卡口进市1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CK_G15高速S339板桥卡口进市2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CK_城西沼丰路沼泾卡口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CK_科博尔厂东出市预警3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PK_204国道339省道北侧北向南1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PK_204国道339省道北侧北向南2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PK_G15高速双浮路立交1东向西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PK_G15高速双浮路立交2西向东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PK_G15高速双浮路立交3东向西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PK_G15高速双浮路立交4西向东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PK_G15高速朝阳路卡口调头车道</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PK_G204_苏昆太立交2南向北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PK_G204_苏昆太立交3北向南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PK_G204_苏昆太立交1南向北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PK_G204_苏昆太立交4北向南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PK_G204直塘卡口出市1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PK_G204直塘卡口进市1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PK_G204直塘卡口出市2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PK_G204直塘卡口出市辅道</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PK_G204直塘卡口进市2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PK_G204直塘卡口进市辅道</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PK_S224锡太卡口出市辅道</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PK_S224锡太卡口进市辅道</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PK_S48双凤高速进市1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PK_S48双凤高速进市2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PK_滨河路娄江路东侧1西向东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PK_滨河路娄江路东侧2西向东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PK_滨河路娄江路东侧1东向西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PK_滨河路娄江路东侧2东向西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PK_朝阳路娄江路东侧1西向东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PK_朝阳路娄江路东侧2西向东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PK_朝阳路娄江路东侧1东向西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PK_朝阳路娄江路东侧2东向西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PK_城西卡口出市预警</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PK_城西沼泾卡口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PK_东仓北路苏州路北侧2南向北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PK_东仓北路苏州路北侧3南向北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PK_东仓北路苏州路北侧1北向南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PK_东仓北路苏州路北侧2北向南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PK_东仓北路苏州路北侧3北向南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PK_东亭北路苏州路北侧1北向南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PK_东亭北路苏州路北侧2北向南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PK_东亭北路苏州路北侧1南向北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PK_东亭北路苏州路北侧2南向北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PK_港区玖珑大道北向南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PK_港区玖珑大道南向北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PK_港区玖珑大道辅道北向南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PK_港区玖珑大道辅道南向北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PK_海运堤路污水处理厂卡口西向东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PK_海运堤路污水处理厂卡口东向西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CK_南郊公安检查站预警卡口出城1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CK_南郊公安检查站预警卡口出城2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CK_南郊公安检查站预警卡口出城3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PK_科博尔卡口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PK_石桥卡口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PK_阅兵垃圾站三岔口抓拍</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CK_南郊公安检查站预警卡口进城1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CK_南郊公安检查站预警卡口进城2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CK_南郊公安检查站预警卡口进城3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PK_浏河水闸桥南向北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PK_浏河水闸桥北向南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PK_毛太路苏州路北侧北向南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PK_毛太路苏州路北侧南向北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PK_南郊检查站车辆安检1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PK_南郊检查站车辆安检2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PK_南郊检查站车辆安检3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CK_G15高速上海东路卡口出市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CK_G15高速上海东路卡口进市1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CK_G15高速上海东路卡口进市2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PK_七丫路338省道东侧3东向西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PK_七丫路338省道东侧4西向东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PK_太安电灌站卡口出市向西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PK_太安电灌站卡口进市向东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PK_太海汽渡卡口出市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PK_太海汽渡卡口进市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PK_太蓬卡口出市预警</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PK_太平北路苏州路北侧1北向南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PK_太平北路苏州路北侧2北向南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PK_太平北路苏州路北侧3北向南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PK_太平北路苏州路北侧2南向北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PK_太平北路苏州路北侧3南向北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PK_太平路上海东路东向西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PK_太平路上海东路西向东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PK_协星路_疏港高速立交1南向北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PK_协星路_疏港高速立交2北向南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PK_新港路东林佳苑向西辅车道西向东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PK_新港路东林佳苑向西机动车道西向东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PK_新港路东林佳苑向东机动车道东向西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PK_新港路东林佳苑向东辅车道东向西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PK_郑和东路娄江路东侧1西向东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PK_郑和东路娄江路东侧2西向东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PK_郑和东路娄江路东侧3西向东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PK_郑和东路娄江路东侧1东向西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PK_郑和东路娄江路东侧2东向西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PK_郑和东路娄江路东侧3东向西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PK_太仓站站南路地面出口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PK_太仓站站南路地库出口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PK_太仓站站南路出租车出口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PK_太仓站站前大道入口1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PK_太仓站站前大道入口2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PK_太仓站站前大道地面出口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PK_太仓站站前大道地库出口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PK_太仓站北入口出站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PK_太仓站北入口地库进站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PK_太仓站北入口地面进站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PK_太仓站出租车进口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PK_太仓南站地下车库西北出口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PK_太仓南站站房管理处进口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PK_太仓南站地下车库东北入口卡口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PK_太仓南站地下车库西南入口卡口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PK_太仓南站地下车库东北出口卡口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PK_洋桥检查站出市抓拍1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PK_洋桥检查站出市抓拍2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PK_洋桥检查站出市抓拍3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CK_双周卡口进市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CK_双周卡口出市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CK_直塘卡口进市1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CK_直塘卡口进市2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CK_直塘卡口出市1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CK_直塘卡口出市2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CK_锡太卡口进市1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CK_锡太卡口进市2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145</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CK_锡太卡口出市1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146</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CK_锡太卡口出市2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147</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CK_太海汽渡进市1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148</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CK_太海汽渡进市2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149</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CK_太海汽渡出市1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150</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CK_太海汽渡出市2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151</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CK_长江路卡口进市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152</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CK_长江路卡口出市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153</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CK_陆渡卡口进市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154</w:t>
            </w:r>
            <w:r/>
          </w:p>
        </w:tc>
        <w:tc>
          <w:tcPr>
            <w:tcBorders>
              <w:top w:val="none" w:color="000000" w:sz="4" w:space="0"/>
              <w:left w:val="none" w:color="000000" w:sz="4" w:space="0"/>
              <w:bottom w:val="single" w:color="auto" w:sz="4" w:space="0"/>
              <w:right w:val="single" w:color="auto" w:sz="4" w:space="0"/>
            </w:tcBorders>
            <w:tcW w:w="552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CK_华亭卡口进市辅道</w:t>
            </w:r>
            <w:r/>
          </w:p>
        </w:tc>
      </w:tr>
    </w:tbl>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3.4.3、人脸识别系统及过保的人脸识别设备配套设备维护</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人脸识别系统及过保的人脸识别设备配套设备维护调试，包括解析服务维护及144个动态人像卡口维护服务。满足平台对接各类公安业务的升级、对接、维护保障服务等；</w:t>
      </w:r>
      <w:r>
        <w:rPr>
          <w:rFonts w:hint="eastAsia" w:ascii="宋体" w:hAnsi="宋体" w:eastAsia="宋体" w:cs="宋体"/>
          <w:sz w:val="24"/>
          <w:szCs w:val="24"/>
          <w:lang w:eastAsia="zh-CN"/>
        </w:rPr>
        <w:t xml:space="preserve">对维保范围内超过质保期并已损坏的抓拍主机、配套镜头、补光灯、交换机、光收发器及前后端存储设备，如果无法及时修复必须更换全新设备且性能型号不低于原设备；同时在维护中对达不到甲方上述要求和不满足“4.1.4、人脸识别修复标准”和“4.1.5人像卡口相机技术指标”的点位设备参照上述要求更换或者加装调试，并由乙方负责相关费用，不设上限。</w:t>
      </w:r>
      <w:r/>
    </w:p>
    <w:p>
      <w:pPr>
        <w:pStyle w:val="756"/>
        <w:ind w:firstLine="480"/>
        <w:spacing w:line="400" w:lineRule="exact"/>
        <w:shd w:val="clear" w:color="auto" w:fill="auto"/>
        <w:rPr>
          <w:rFonts w:ascii="宋体" w:hAnsi="宋体" w:eastAsia="宋体" w:cs="宋体"/>
          <w:sz w:val="24"/>
          <w:szCs w:val="24"/>
        </w:rPr>
      </w:pPr>
      <w:r>
        <w:rPr>
          <w:rFonts w:hint="eastAsia" w:ascii="宋体" w:hAnsi="宋体" w:eastAsia="宋体" w:cs="宋体"/>
          <w:sz w:val="24"/>
          <w:szCs w:val="24"/>
        </w:rPr>
        <w:t xml:space="preserve">监控点位明细：</w:t>
      </w:r>
      <w:r/>
    </w:p>
    <w:tbl>
      <w:tblPr>
        <w:tblStyle w:val="752"/>
        <w:tblW w:w="4880"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4240"/>
      </w:tblGrid>
      <w:tr>
        <w:trPr>
          <w:trHeight w:val="285"/>
        </w:trPr>
        <w:tc>
          <w:tcPr>
            <w:tcBorders>
              <w:top w:val="single" w:color="auto" w:sz="4" w:space="0"/>
              <w:left w:val="single" w:color="auto" w:sz="4" w:space="0"/>
              <w:bottom w:val="single" w:color="auto" w:sz="4" w:space="0"/>
              <w:right w:val="single" w:color="auto" w:sz="4" w:space="0"/>
            </w:tcBorders>
            <w:tcW w:w="6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点位名称</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rxsb_金仓湖北门入口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rxsb_沙溪车站候车大厅</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rxsb_沙溪车站旅客下车</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rxsb_沙溪老街东侧</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rxsb_沙溪老街西侧</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rxsb_吉麦隆入口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rxsb_沙溪苏杭时代二楼入口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rxsb_沙溪苏杭时代出口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rxsb_浏河车站出口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rxsb_浏河车站候车大厅</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rxsb_浏河水闸桥（出）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rxsb_浏河水闸桥（进）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rxsb_南郊卡口辅道进市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rxsb_菲比酒吧门口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rxsb_南郊检查站出市安检</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rxsb_华亭检查站安检门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rxsb_华亭检查站南向北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rxsb_华亭检查站北向南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rxsb_长途车站出站口1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rxsb_长途车站出站口2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rxsb_长途车站入口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rxsb_朝阳路车站安检口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rxsb_永辉超市入口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rxsb_永辉超市出口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rxsb_大润发入口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rxsb_大润发出口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rxsb_浏河执法局3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rxsb_浏河便民服务中心5</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rxsb_浏河执法局2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rxsb_浏河执法局1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rxsb_浏河便民服务中心2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rxsb_浏河便民服务中心3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rxsb_浏河便民服务中心4</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rxsb_浏河便民服务中心1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rxsb_浏河执法局4</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rxsb_陆渡卡口北向南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rxsb_陆渡卡口南向北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rxsb_南郊卡口南向北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rxsb_南郊卡口北向南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rxsb_洋桥卡口西向东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rxsb_洋桥卡口东向西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rxsb_车管所北门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rxsb_体育馆侧门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rxsb_体育馆正门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rxsb_南郊检查站安检口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rxsb_车管所正门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rxsb_璜泾镇便民服务中心1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rxsb_璜泾镇便民服务中心2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rxsb_左岸春天进门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rxsb_左岸春天出门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rxsb_人证核验_太仓沙溪车站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rxsb_人证核验_太仓浏河车站2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rxsb_人证核验_太仓浏河车站1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rxsb_人证核验_太仓港区车站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rxsb_人证核验_太仓长途客运站2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rxsb_人证核验_太仓长途客运站1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rxsb_人证核验_太仓朝阳车站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rxsb_墅沟水闸1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rxsb_浏河长江路卡口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rxsb_长江路边防所东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rxsb_洋桥检查站安检室</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rxsb_洋桥检查站安检室外北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rxsb_洋桥检查站进市东向西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rxsb_东仓路加油站</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rxsb_长途汽车站入口新</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rxsb_浏河湿地公园广场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rxsb_太丰卡口进市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rxsb_太丰卡口出市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rxsb_新双周卡口进市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rxsb_新太海汽渡进市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rxsb_新太海汽渡出市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rxsb_浏河石桥卡口进市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rxsb_浏河石桥卡口出市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rxsb_科博尔卡口进市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rxsb_科博尔卡口出市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rxsb_浏河滨江大桥下长江路卡口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rxsb_太仓市公安局门口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rxsb_城中所办案区2号出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79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rxsb_城中所办案区1号进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rxsb_金仓湖所办案区2号出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rxsb_金仓湖所办案区1号进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rxsb_金浪所办案区2号出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rxsb_金浪所办案区1号进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rxsb_浏家港所办案区2号出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rxsb_浏家港所办案区1号进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rxsb_陆渡所办案区1号进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rxsb_陆渡所办案区2号出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rxsb_岳王所办案区1号进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rxsb_岳王所办案区2号出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rxsb_璜泾所办案区2号出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rxsb_璜泾所办案区1号进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rxsb_港区所办案区2号出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rxsb_港区所办案区1号进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rxsb_城西所办案区2号出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rxsb_城西所办案区1号进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rxsb_科教新城所办案区1号进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rxsb_科教新城所办案区2号出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rxsb_双凤所办案区1号进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99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rxsb_双凤所办案区2号出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rxsb_双凤中队办案区1号进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rxsb_双凤中队办案区2号出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rxsb_沙溪所办案区1号进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rxsb_浏河中队办案区1号进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rxsb_浏河中队办案区2号出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rxsb_高新区所办案区1号进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109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rxsb_高新区所办案区2号出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rxsb_板桥所办案区2号出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rxsb_板桥所办案区1号进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rxsb_海防所办案区1号进</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rxsb_海防所办案区2号出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rxsb_法制大队办案区2号出</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rxsb_正夫路204国道卡口东侧东向西</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rxsb_正夫路204国道卡口东侧西向东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rxsb_利民花园9幢大门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rxsb_东方幼儿园</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rxsb_江沁苑东门进口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rxsb_浏河滨江幼儿园</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rxsb_童礼苑</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rxsb_童礼苑北门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rxsb_童赋苑南门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rxsb_童赋苑东门</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rxsb_浏河政府门口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rxsb_南郊检查站入市工位1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rxsb_南郊检查站入市工位2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rxsb_南郊检查站入市工位3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129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rxsb_南郊检查站出市工位1</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rxsb_南郊检查站出市工位2</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rxsb_南郊检查站北辅道入市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rxsb_南郊检查站北辅道出市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rxsb_南郊检查站南辅道出市</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rxsb_府南街兄弟烧烤门口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135</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rxsb_南郊检查站人车核验机主</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136</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rxsb_南郊检查站人车核验机副</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137</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rxsb_南郊检查站安检大厅入口</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138</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rxsb_高铁太仓站安检3</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139</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rxsb_娄东东港路东</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140</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rxsb_娄东实验小学南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141</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rxsb_娄东实验小学北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142</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rxsb_娄东县府街太平路北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143</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rxsb_娄东县府街太平路南</w:t>
            </w:r>
            <w:r/>
          </w:p>
        </w:tc>
      </w:tr>
      <w:tr>
        <w:trPr>
          <w:trHeight w:val="285"/>
        </w:trPr>
        <w:tc>
          <w:tcPr>
            <w:tcBorders>
              <w:top w:val="none" w:color="000000" w:sz="4" w:space="0"/>
              <w:left w:val="single" w:color="auto" w:sz="4" w:space="0"/>
              <w:bottom w:val="single" w:color="auto" w:sz="4" w:space="0"/>
              <w:right w:val="single" w:color="auto" w:sz="4" w:space="0"/>
            </w:tcBorders>
            <w:tcW w:w="640" w:type="dxa"/>
            <w:vAlign w:val="bottom"/>
            <w:textDirection w:val="lrTb"/>
            <w:noWrap/>
          </w:tcPr>
          <w:p>
            <w:pPr>
              <w:jc w:val="right"/>
              <w:rPr>
                <w:rFonts w:ascii="宋体" w:hAnsi="宋体" w:eastAsia="宋体" w:cs="宋体"/>
                <w:color w:val="000000"/>
                <w:sz w:val="24"/>
                <w:szCs w:val="24"/>
              </w:rPr>
            </w:pPr>
            <w:r>
              <w:rPr>
                <w:rFonts w:hint="eastAsia" w:ascii="宋体" w:hAnsi="宋体" w:eastAsia="宋体" w:cs="宋体"/>
                <w:color w:val="000000"/>
                <w:sz w:val="24"/>
                <w:szCs w:val="24"/>
              </w:rPr>
              <w:t xml:space="preserve">144</w:t>
            </w:r>
            <w:r/>
          </w:p>
        </w:tc>
        <w:tc>
          <w:tcPr>
            <w:tcBorders>
              <w:top w:val="none" w:color="000000" w:sz="4" w:space="0"/>
              <w:left w:val="none" w:color="000000" w:sz="4" w:space="0"/>
              <w:bottom w:val="single" w:color="auto" w:sz="4" w:space="0"/>
              <w:right w:val="single" w:color="auto" w:sz="4" w:space="0"/>
            </w:tcBorders>
            <w:tcW w:w="4240" w:type="dxa"/>
            <w:vAlign w:val="bottom"/>
            <w:textDirection w:val="lrTb"/>
            <w:noWrap/>
          </w:tcPr>
          <w:p>
            <w:pP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rxsb_娄东宾馆门口</w:t>
            </w:r>
            <w:r/>
          </w:p>
        </w:tc>
      </w:tr>
    </w:tbl>
    <w:p>
      <w:pPr>
        <w:pStyle w:val="747"/>
        <w:rPr>
          <w:rFonts w:ascii="宋体" w:hAnsi="宋体" w:eastAsia="宋体" w:cs="宋体"/>
          <w:sz w:val="24"/>
          <w:szCs w:val="24"/>
          <w:shd w:val="clear" w:color="auto" w:fill="ffffff"/>
          <w:lang w:eastAsia="zh-CN"/>
        </w:rPr>
      </w:pPr>
      <w:r>
        <w:rPr>
          <w:rFonts w:hint="eastAsia" w:ascii="宋体" w:hAnsi="宋体" w:eastAsia="宋体" w:cs="宋体"/>
          <w:sz w:val="24"/>
          <w:szCs w:val="24"/>
          <w:lang w:eastAsia="zh-CN"/>
        </w:rPr>
        <w:t xml:space="preserve">3.4.</w:t>
      </w:r>
      <w:r>
        <w:rPr>
          <w:rFonts w:hint="eastAsia" w:ascii="宋体" w:hAnsi="宋体" w:eastAsia="宋体" w:cs="宋体"/>
          <w:sz w:val="24"/>
          <w:szCs w:val="24"/>
          <w:shd w:val="clear" w:color="auto" w:fill="ffffff"/>
          <w:lang w:eastAsia="zh-CN"/>
        </w:rPr>
        <w:t xml:space="preserve">4、对市局过保的移动图传设备的维护及服务：</w:t>
      </w:r>
      <w:r/>
    </w:p>
    <w:p>
      <w:pPr>
        <w:ind w:firstLine="480"/>
        <w:spacing w:line="360" w:lineRule="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对市局过保的4G车载图传设备、4G布控球、4G单兵、4G执法仪、无人机单兵等设备的维护及服务，包含架设、安装、改装、搬迁、维护、现场应急安保等。</w:t>
      </w:r>
      <w:r/>
    </w:p>
    <w:p>
      <w:pPr>
        <w:pStyle w:val="756"/>
        <w:ind w:firstLine="480"/>
        <w:spacing w:line="360" w:lineRule="auto"/>
        <w:shd w:val="clear" w:color="auto" w:fill="auto"/>
        <w:rPr>
          <w:rFonts w:ascii="宋体" w:hAnsi="宋体" w:eastAsia="宋体" w:cs="宋体"/>
          <w:sz w:val="24"/>
          <w:szCs w:val="24"/>
        </w:rPr>
      </w:pPr>
      <w:r>
        <w:rPr>
          <w:rFonts w:hint="eastAsia" w:ascii="宋体" w:hAnsi="宋体" w:eastAsia="宋体" w:cs="宋体"/>
          <w:sz w:val="24"/>
          <w:szCs w:val="24"/>
        </w:rPr>
        <w:t xml:space="preserve">设备明细表：</w:t>
      </w:r>
      <w:r/>
    </w:p>
    <w:tbl>
      <w:tblPr>
        <w:tblStyle w:val="752"/>
        <w:tblW w:w="0" w:type="auto"/>
        <w:jc w:val="center"/>
        <w:tblLayout w:type="fixed"/>
        <w:tblCellMar>
          <w:left w:w="0" w:type="dxa"/>
          <w:top w:w="0" w:type="dxa"/>
          <w:right w:w="0" w:type="dxa"/>
          <w:bottom w:w="0" w:type="dxa"/>
        </w:tblCellMar>
        <w:tblLook w:val="04A0" w:firstRow="1" w:lastRow="0" w:firstColumn="1" w:lastColumn="0" w:noHBand="0" w:noVBand="1"/>
      </w:tblPr>
      <w:tblGrid>
        <w:gridCol w:w="700"/>
        <w:gridCol w:w="1320"/>
        <w:gridCol w:w="700"/>
        <w:gridCol w:w="2620"/>
        <w:gridCol w:w="1500"/>
      </w:tblGrid>
      <w:tr>
        <w:trPr>
          <w:jc w:val="center"/>
          <w:trHeight w:val="285"/>
        </w:trPr>
        <w:tc>
          <w:tcPr>
            <w:shd w:val="clear" w:color="auto" w:fill="ffffff"/>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所属分组</w:t>
            </w:r>
            <w:r/>
          </w:p>
        </w:tc>
        <w:tc>
          <w:tcPr>
            <w:shd w:val="clear" w:color="auto" w:fill="ffffff"/>
            <w:tcBorders>
              <w:top w:val="single" w:color="000000" w:sz="8"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编号</w:t>
            </w:r>
            <w:r/>
          </w:p>
        </w:tc>
        <w:tc>
          <w:tcPr>
            <w:shd w:val="clear" w:color="auto" w:fill="ffffff"/>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fffff"/>
            <w:tcBorders>
              <w:top w:val="single" w:color="000000" w:sz="8"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型号</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122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0122太仓无人机01</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诚泰旧</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国标</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太仓无人机02</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诚泰新</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91</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0091太仓4G单兵6</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DS-MH2430</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0092太仓4G单兵7</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DS-MH2430</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93</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0093太仓4G单兵8</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DS-MH2430</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88</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0088太仓4G布控球1</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DS-MH6171-S</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0089太仓4G布控球2</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DS-MH6171-S</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85</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0085太仓4G布控球3</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DS-MH6171-S</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86</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0086太仓4G布控球4</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DS-MH6171-S</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4G单兵</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87</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0087太仓4G布控球5</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DS-MH6171-S</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城厢中队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苏E902F警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城中所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苏E3333警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城中所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苏E3331警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城西所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苏E3363警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城西所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苏E3335警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城厢中队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苏E959G警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开发区所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苏E3321警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科教新城所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苏E3330警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陆渡所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苏E3340警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陆渡所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苏E3368警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21</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金浪所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苏E3347警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沙溪所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苏E3351警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双凤所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苏E3322警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岳王所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苏E3436警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金仓湖</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苏E3325警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岳王所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苏E3366警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27</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板桥所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苏E956G警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28</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浏家港所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21</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苏E3375警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开发区中队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苏E901F警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金浪所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苏E3329警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双凤所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苏E3341警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32</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开发区所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苏E3336警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璜泾中队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27</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苏E929E警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璜泾所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28</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苏E3373警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璜泾所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苏E3342警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开发区中队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32</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苏E903F警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285"/>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浏河所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苏E3338警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浏河所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苏E3356警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浏家港所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苏E3343警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港区所</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苏E3323警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沙溪中队</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苏E907F警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r>
        <w:trPr>
          <w:jc w:val="center"/>
          <w:trHeight w:val="300"/>
        </w:trPr>
        <w:tc>
          <w:tcPr>
            <w:shd w:val="clear" w:color="auto" w:fill="ffffff"/>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通信指挥车</w:t>
            </w:r>
            <w:r/>
          </w:p>
        </w:tc>
        <w:tc>
          <w:tcPr>
            <w:shd w:val="clear" w:color="auto" w:fill="ffffff"/>
            <w:tcBorders>
              <w:top w:val="none" w:color="000000" w:sz="4" w:space="0"/>
              <w:left w:val="none" w:color="000000" w:sz="4" w:space="0"/>
              <w:bottom w:val="single" w:color="000000" w:sz="8" w:space="0"/>
              <w:right w:val="single" w:color="000000" w:sz="8" w:space="0"/>
            </w:tcBorders>
            <w:tcW w:w="7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199</w:t>
            </w:r>
            <w:r/>
          </w:p>
        </w:tc>
        <w:tc>
          <w:tcPr>
            <w:shd w:val="clear" w:color="auto" w:fill="ffffff"/>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通信指挥车苏E3413</w:t>
            </w:r>
            <w:r>
              <w:rPr>
                <w:rFonts w:hint="eastAsia" w:ascii="宋体" w:hAnsi="宋体" w:eastAsia="宋体" w:cs="宋体"/>
                <w:sz w:val="24"/>
                <w:szCs w:val="24"/>
                <w:lang w:eastAsia="zh-CN"/>
              </w:rPr>
              <w:t xml:space="preserve">警</w:t>
            </w:r>
            <w:r/>
          </w:p>
        </w:tc>
        <w:tc>
          <w:tcPr>
            <w:shd w:val="clear" w:color="auto" w:fill="ffffff"/>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海康</w:t>
            </w:r>
            <w:r/>
          </w:p>
        </w:tc>
      </w:tr>
    </w:tbl>
    <w:p>
      <w:pPr>
        <w:pStyle w:val="747"/>
        <w:rPr>
          <w:rFonts w:ascii="宋体" w:hAnsi="宋体" w:eastAsia="宋体" w:cs="宋体"/>
          <w:sz w:val="24"/>
          <w:szCs w:val="24"/>
          <w:shd w:val="clear" w:color="auto" w:fill="ffffff"/>
          <w:lang w:eastAsia="zh-CN"/>
        </w:rPr>
      </w:pPr>
      <w:r>
        <w:rPr>
          <w:rFonts w:hint="eastAsia" w:ascii="宋体" w:hAnsi="宋体" w:eastAsia="宋体" w:cs="宋体"/>
          <w:sz w:val="24"/>
          <w:szCs w:val="24"/>
          <w:lang w:eastAsia="zh-CN"/>
        </w:rPr>
        <w:t xml:space="preserve">3.4.</w:t>
      </w:r>
      <w:r>
        <w:rPr>
          <w:rFonts w:hint="eastAsia" w:ascii="宋体" w:hAnsi="宋体" w:eastAsia="宋体" w:cs="宋体"/>
          <w:sz w:val="24"/>
          <w:szCs w:val="24"/>
          <w:shd w:val="clear" w:color="auto" w:fill="ffffff"/>
          <w:lang w:eastAsia="zh-CN"/>
        </w:rPr>
        <w:t xml:space="preserve">5、对市局所有使用的视频会议系统的维护服务：</w:t>
      </w:r>
      <w:r/>
    </w:p>
    <w:p>
      <w:pPr>
        <w:ind w:firstLine="480"/>
        <w:spacing w:line="360" w:lineRule="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对市局所有使用的视频会议系统（58套）及一键点调系统（34套）维保服务。包含架设、安装、改装、搬迁、前后端维护、现场应急安保等。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视频会议：</w:t>
      </w:r>
      <w:r/>
    </w:p>
    <w:tbl>
      <w:tblPr>
        <w:tblStyle w:val="752"/>
        <w:tblW w:w="0" w:type="auto"/>
        <w:jc w:val="center"/>
        <w:tblLayout w:type="fixed"/>
        <w:tblCellMar>
          <w:left w:w="108" w:type="dxa"/>
          <w:top w:w="0" w:type="dxa"/>
          <w:right w:w="108" w:type="dxa"/>
          <w:bottom w:w="0" w:type="dxa"/>
        </w:tblCellMar>
        <w:tblLook w:val="04A0" w:firstRow="1" w:lastRow="0" w:firstColumn="1" w:lastColumn="0" w:noHBand="0" w:noVBand="1"/>
      </w:tblPr>
      <w:tblGrid>
        <w:gridCol w:w="724"/>
        <w:gridCol w:w="1996"/>
        <w:gridCol w:w="3060"/>
      </w:tblGrid>
      <w:tr>
        <w:trPr>
          <w:jc w:val="center"/>
          <w:trHeight w:val="270"/>
        </w:trPr>
        <w:tc>
          <w:tcPr>
            <w:shd w:val="clear" w:color="000000" w:fill="ffffff"/>
            <w:tcBorders>
              <w:top w:val="single" w:color="auto" w:sz="4" w:space="0"/>
              <w:left w:val="single" w:color="auto" w:sz="4" w:space="0"/>
              <w:bottom w:val="single" w:color="auto" w:sz="4" w:space="0"/>
              <w:right w:val="single" w:color="auto" w:sz="4" w:space="0"/>
            </w:tcBorders>
            <w:tcW w:w="724"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3060" w:type="dxa"/>
            <w:vAlign w:val="bottom"/>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一楼东会议室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一楼西会议室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指挥中心4楼会议室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警务中心辅楼大会议室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市局终端5</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警务中心主楼二楼交警大队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市局终端6</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车管所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市局终端7</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看守所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市局终端8</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水上派出所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市局终端9</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沙溪派出所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市局终端10</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公交派出所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科教新城派出所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岳王派出所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城中派出所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市局终端14</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城西派出所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市局终端15</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开发区派出所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市局终端16</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双凤派出所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市局终端17</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璜泾派出所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市局终端18</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浏家港派出所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市局终端19</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浏河派出所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市局终端20</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港区派出所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金浪派出所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板桥派出所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陆渡派出所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市局终端24</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金仓湖派出所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市局终端25</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港区中队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市局终端26</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沙溪中队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市局终端27</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城厢中队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市局终端28</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浏河中队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市局终端29</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华亭卡口</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市局终端30</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南郊中队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璜泾中队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海防所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双凤中队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市局终端34</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科信大队1</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市局终端35</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科信大队2</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市局终端36</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人管大队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市局终端37</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政治处</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市局终端38</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局长室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市局终端39</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法制大队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市局终端40</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南郊卡口G204</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洋桥卡口</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消防大队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网络警察大队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市局终端44</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经侦大队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市局终端45</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治安大队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市局终端46</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禁毒大队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市局终端47</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内保大队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市局终端48</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出入境管理大队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市局终端49</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刑警大队</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市局终端50</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长航派出所</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市局终端51</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战训电教室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市局终端52</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太仓万达警务室</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市局终端53</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太仓交警大队9楼</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苏州联指视屏会议</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苏州联指视屏会议</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省厅一键点调</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省厅一键点调</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沙溪所专班</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沙溪所专班</w:t>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备用</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270"/>
        </w:trPr>
        <w:tc>
          <w:tcPr>
            <w:shd w:val="clear" w:color="000000" w:fill="ffffff"/>
            <w:tcBorders>
              <w:top w:val="none" w:color="000000" w:sz="4" w:space="0"/>
              <w:left w:val="single" w:color="auto" w:sz="4" w:space="0"/>
              <w:bottom w:val="single" w:color="auto" w:sz="4" w:space="0"/>
              <w:right w:val="single" w:color="auto" w:sz="4" w:space="0"/>
            </w:tcBorders>
            <w:tcW w:w="724" w:type="dxa"/>
            <w:vAlign w:val="bottom"/>
            <w:textDirection w:val="lrTb"/>
            <w:noWrap w:val="false"/>
          </w:tcPr>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1996"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备用</w:t>
            </w:r>
            <w:r/>
          </w:p>
        </w:tc>
        <w:tc>
          <w:tcPr>
            <w:shd w:val="clear" w:color="000000" w:fill="ffffff"/>
            <w:tcBorders>
              <w:top w:val="none" w:color="000000" w:sz="4" w:space="0"/>
              <w:left w:val="none" w:color="000000" w:sz="4" w:space="0"/>
              <w:bottom w:val="single" w:color="auto" w:sz="4" w:space="0"/>
              <w:right w:val="single" w:color="auto" w:sz="4" w:space="0"/>
            </w:tcBorders>
            <w:tcW w:w="3060" w:type="dxa"/>
            <w:vAlign w:val="bottom"/>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一键点调系统：</w:t>
      </w:r>
      <w:r/>
    </w:p>
    <w:tbl>
      <w:tblPr>
        <w:tblStyle w:val="752"/>
        <w:tblW w:w="0" w:type="auto"/>
        <w:jc w:val="center"/>
        <w:tblLayout w:type="fixed"/>
        <w:tblCellMar>
          <w:left w:w="108" w:type="dxa"/>
          <w:top w:w="0" w:type="dxa"/>
          <w:right w:w="108" w:type="dxa"/>
          <w:bottom w:w="0" w:type="dxa"/>
        </w:tblCellMar>
        <w:tblLook w:val="04A0" w:firstRow="1" w:lastRow="0" w:firstColumn="1" w:lastColumn="0" w:noHBand="0" w:noVBand="1"/>
      </w:tblPr>
      <w:tblGrid>
        <w:gridCol w:w="820"/>
        <w:gridCol w:w="3660"/>
        <w:gridCol w:w="1760"/>
      </w:tblGrid>
      <w:tr>
        <w:trPr>
          <w:jc w:val="center"/>
          <w:trHeight w:val="397" w:hRule="exact"/>
        </w:trPr>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安装点位</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城中</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城西</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高新区</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沙溪</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浏河</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板桥</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陆渡</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双凤</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港区</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璜泾</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金仓湖</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科教新城</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浏家港</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金浪</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岳王</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海防</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城厢中队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高新区中队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南郊中队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浏河中队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港区中队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璜泾中队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沙溪中队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双凤中队</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万达警务工作站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月星家居警务工作站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大润发警务工作站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中心广场警务工作站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南郊公安检查站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华亭公安检查站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洋桥公安检查站</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综合指挥室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太仓站警务室</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警务室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太仓南站警务室</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警务室</w:t>
            </w:r>
            <w:r/>
          </w:p>
        </w:tc>
      </w:tr>
      <w:tr>
        <w:trPr>
          <w:jc w:val="center"/>
          <w:trHeight w:val="397" w:hRule="exact"/>
        </w:trPr>
        <w:tc>
          <w:tcPr>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auto" w:sz="4" w:space="0"/>
              <w:right w:val="single" w:color="auto" w:sz="4" w:space="0"/>
            </w:tcBorders>
            <w:tcW w:w="36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超警中心</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警务中心4楼</w:t>
            </w:r>
            <w:r/>
          </w:p>
        </w:tc>
      </w:tr>
    </w:tbl>
    <w:p>
      <w:pPr>
        <w:pStyle w:val="747"/>
        <w:rPr>
          <w:rFonts w:ascii="宋体" w:hAnsi="宋体" w:eastAsia="宋体" w:cs="宋体"/>
          <w:sz w:val="24"/>
          <w:szCs w:val="24"/>
          <w:shd w:val="clear" w:color="auto" w:fill="ffffff"/>
          <w:lang w:eastAsia="zh-CN"/>
        </w:rPr>
      </w:pPr>
      <w:r>
        <w:rPr>
          <w:rFonts w:hint="eastAsia" w:ascii="宋体" w:hAnsi="宋体" w:eastAsia="宋体" w:cs="宋体"/>
          <w:sz w:val="24"/>
          <w:szCs w:val="24"/>
          <w:lang w:eastAsia="zh-CN"/>
        </w:rPr>
        <w:t xml:space="preserve">3.4.</w:t>
      </w:r>
      <w:r>
        <w:rPr>
          <w:rFonts w:hint="eastAsia" w:ascii="宋体" w:hAnsi="宋体" w:eastAsia="宋体" w:cs="宋体"/>
          <w:sz w:val="24"/>
          <w:szCs w:val="24"/>
          <w:shd w:val="clear" w:color="auto" w:fill="ffffff"/>
          <w:lang w:eastAsia="zh-CN"/>
        </w:rPr>
        <w:t xml:space="preserve">6、</w:t>
      </w:r>
      <w:r>
        <w:rPr>
          <w:rFonts w:hint="eastAsia" w:ascii="宋体" w:hAnsi="宋体" w:eastAsia="宋体" w:cs="宋体"/>
          <w:color w:val="000000"/>
          <w:sz w:val="24"/>
          <w:szCs w:val="24"/>
          <w:lang w:eastAsia="zh-CN"/>
        </w:rPr>
        <w:t xml:space="preserve">对全市公安各级机关的弱电网络线路维护</w:t>
      </w:r>
      <w:r>
        <w:rPr>
          <w:rFonts w:hint="eastAsia" w:ascii="宋体" w:hAnsi="宋体" w:eastAsia="宋体" w:cs="宋体"/>
          <w:sz w:val="24"/>
          <w:szCs w:val="24"/>
          <w:shd w:val="clear" w:color="auto" w:fill="ffffff"/>
          <w:lang w:eastAsia="zh-CN"/>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主要包括：</w:t>
      </w:r>
      <w:r/>
    </w:p>
    <w:tbl>
      <w:tblPr>
        <w:tblStyle w:val="752"/>
        <w:tblW w:w="4110" w:type="dxa"/>
        <w:tblInd w:w="0" w:type="dxa"/>
        <w:tblLayout w:type="autofit"/>
        <w:tblCellMar>
          <w:left w:w="15" w:type="dxa"/>
          <w:top w:w="15" w:type="dxa"/>
          <w:right w:w="15" w:type="dxa"/>
          <w:bottom w:w="15" w:type="dxa"/>
        </w:tblCellMar>
        <w:tblLook w:val="04A0" w:firstRow="1" w:lastRow="0" w:firstColumn="1" w:lastColumn="0" w:noHBand="0" w:noVBand="1"/>
      </w:tblPr>
      <w:tblGrid>
        <w:gridCol w:w="3030"/>
        <w:gridCol w:w="1080"/>
      </w:tblGrid>
      <w:tr>
        <w:trPr>
          <w:trHeight w:val="85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太仓市公安局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高新区派出所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板桥派出所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陆渡派出所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浏河派出所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浏家港派出所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港区派出所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璜泾派出所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金浪派出所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沙溪派出所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双凤派出所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金仓湖派出所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岳王派出所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城中派出所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城西派出所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科教新城派出所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海防派出所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水上派出所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公交派出所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公交派出所太仓站警务室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公交派出所太仓南站警务室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万达广场警务室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中心广场警务室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大润发警务室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G15上海路高速警务室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月星家居警务室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新市民中心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监视居住点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派驻点</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新湖警务室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新塘警务室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鹿河警务室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人民医院警务室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车管所</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反恐基地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局机关</w:t>
            </w:r>
            <w:r/>
          </w:p>
        </w:tc>
      </w:tr>
    </w:tbl>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对上述公安办公点的弱电网络的基础维护</w:t>
      </w:r>
      <w:r/>
    </w:p>
    <w:p>
      <w:pPr>
        <w:rPr>
          <w:rFonts w:ascii="宋体" w:hAnsi="宋体" w:eastAsia="宋体" w:cs="宋体"/>
          <w:sz w:val="24"/>
          <w:szCs w:val="24"/>
          <w:lang w:eastAsia="zh-CN"/>
        </w:rPr>
      </w:pPr>
      <w:r>
        <w:rPr>
          <w:rFonts w:ascii="宋体" w:hAnsi="宋体" w:eastAsia="宋体" w:cs="宋体"/>
          <w:sz w:val="24"/>
          <w:szCs w:val="24"/>
          <w:lang w:eastAsia="zh-CN"/>
        </w:rPr>
      </w:r>
      <w:r/>
    </w:p>
    <w:p>
      <w:pPr>
        <w:pStyle w:val="746"/>
        <w:spacing w:line="400" w:lineRule="exact"/>
        <w:rPr>
          <w:rFonts w:ascii="宋体" w:hAnsi="宋体" w:eastAsia="宋体" w:cs="宋体"/>
          <w:lang w:eastAsia="zh-CN"/>
        </w:rPr>
      </w:pPr>
      <w:r>
        <w:rPr>
          <w:rFonts w:hint="eastAsia" w:ascii="宋体" w:hAnsi="宋体" w:eastAsia="宋体" w:cs="宋体"/>
          <w:lang w:eastAsia="zh-CN"/>
        </w:rPr>
        <w:t xml:space="preserve">3.5其他内容</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3.5.1、后端设备</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w:t>
      </w:r>
      <w:r>
        <w:rPr>
          <w:rFonts w:hint="eastAsia" w:ascii="宋体" w:hAnsi="宋体" w:eastAsia="宋体" w:cs="宋体"/>
          <w:sz w:val="24"/>
          <w:szCs w:val="24"/>
          <w:lang w:eastAsia="zh-CN"/>
        </w:rPr>
        <w:t xml:space="preserve">市局、警务中心、指挥中心、派出所、中队等超过质保期的机房交换机、服务器、存储、硬盘、防火墙、大屏(指挥中心、警务中心、业务大队、派出所、中队及其他有关单位)、ups电源等其他设备的一年维护及保养。其中对维保范围内超过质保期并已损坏的设备，中标方应当立即组织现场维修，无法当场修复的必须更换全新设备，全新更换设备免费保修期不少于1年且性能型号不低于原设备。所需费用由中标方承担。</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主要设备如下：</w:t>
      </w:r>
      <w:r/>
    </w:p>
    <w:p>
      <w:pPr>
        <w:pStyle w:val="748"/>
        <w:rPr>
          <w:rFonts w:ascii="宋体" w:hAnsi="宋体" w:eastAsia="宋体" w:cs="宋体"/>
          <w:sz w:val="24"/>
          <w:szCs w:val="24"/>
          <w:lang w:eastAsia="zh-CN"/>
        </w:rPr>
      </w:pPr>
      <w:r>
        <w:rPr>
          <w:rFonts w:ascii="宋体" w:hAnsi="宋体" w:eastAsia="宋体" w:cs="宋体"/>
          <w:sz w:val="24"/>
          <w:szCs w:val="24"/>
          <w:lang w:eastAsia="zh-CN"/>
        </w:rPr>
        <w:t xml:space="preserve">3.5.1</w:t>
      </w:r>
      <w:r>
        <w:rPr>
          <w:rFonts w:hint="eastAsia" w:ascii="宋体" w:hAnsi="宋体" w:eastAsia="宋体" w:cs="宋体"/>
          <w:sz w:val="24"/>
          <w:szCs w:val="24"/>
          <w:lang w:eastAsia="zh-CN"/>
        </w:rPr>
        <w:t xml:space="preserve">.1、市局中心设备：</w:t>
      </w:r>
      <w:r/>
    </w:p>
    <w:tbl>
      <w:tblPr>
        <w:tblStyle w:val="752"/>
        <w:tblW w:w="8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712"/>
        <w:gridCol w:w="4338"/>
        <w:gridCol w:w="1038"/>
        <w:gridCol w:w="804"/>
      </w:tblGrid>
      <w:tr>
        <w:trPr/>
        <w:tc>
          <w:tcPr>
            <w:tcW w:w="969" w:type="dxa"/>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1712" w:type="dxa"/>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类别</w:t>
            </w:r>
            <w:r/>
          </w:p>
        </w:tc>
        <w:tc>
          <w:tcPr>
            <w:tcW w:w="4338" w:type="dxa"/>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品牌型号</w:t>
            </w:r>
            <w:r/>
          </w:p>
        </w:tc>
        <w:tc>
          <w:tcPr>
            <w:tcW w:w="1038" w:type="dxa"/>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单位</w:t>
            </w:r>
            <w:r/>
          </w:p>
        </w:tc>
        <w:tc>
          <w:tcPr>
            <w:tcW w:w="804" w:type="dxa"/>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数量</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服务器</w:t>
            </w:r>
            <w:r/>
          </w:p>
        </w:tc>
        <w:tc>
          <w:tcPr>
            <w:tcW w:w="4338" w:type="dxa"/>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DEL、海康、大华、华为等各类型号</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120</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UPS电源</w:t>
            </w:r>
            <w:r/>
          </w:p>
        </w:tc>
        <w:tc>
          <w:tcPr>
            <w:tcW w:w="4338" w:type="dxa"/>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艾默生主设备nxr-160kva</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解码器</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海康</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核心交换机</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H3C</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汇聚交换机</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H3C</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防火墙</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网御神州、360</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指挥大屏</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大华小间距</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大屏控制器</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大华</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视频综合平台</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大华、海康</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rHeight w:val="90"/>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网闸</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网御神州天网</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光收发设备</w:t>
            </w:r>
            <w:r/>
          </w:p>
        </w:tc>
        <w:tc>
          <w:tcPr>
            <w:tcW w:w="43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瑞斯康达</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对</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100</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12</w:t>
            </w:r>
            <w:r/>
          </w:p>
        </w:tc>
        <w:tc>
          <w:tcPr>
            <w:tcW w:w="171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其他</w:t>
            </w:r>
            <w:r/>
          </w:p>
        </w:tc>
        <w:tc>
          <w:tcPr>
            <w:tcW w:w="4338" w:type="dxa"/>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硬盘、电源、网线、光纤等配套设备</w:t>
            </w:r>
            <w:r/>
          </w:p>
        </w:tc>
        <w:tc>
          <w:tcPr>
            <w:tcW w:w="103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块</w:t>
            </w:r>
            <w:r/>
          </w:p>
        </w:tc>
        <w:tc>
          <w:tcPr>
            <w:tcW w:w="80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略</w:t>
            </w:r>
            <w:r/>
          </w:p>
        </w:tc>
      </w:tr>
    </w:tbl>
    <w:p>
      <w:pPr>
        <w:pStyle w:val="748"/>
        <w:rPr>
          <w:rFonts w:ascii="宋体" w:hAnsi="宋体" w:eastAsia="宋体" w:cs="宋体"/>
          <w:sz w:val="24"/>
          <w:szCs w:val="24"/>
        </w:rPr>
      </w:pPr>
      <w:r>
        <w:rPr>
          <w:rFonts w:ascii="宋体" w:hAnsi="宋体" w:eastAsia="宋体" w:cs="宋体"/>
          <w:sz w:val="24"/>
          <w:szCs w:val="24"/>
        </w:rPr>
        <w:t xml:space="preserve">3.5.1</w:t>
      </w:r>
      <w:r>
        <w:rPr>
          <w:rFonts w:hint="eastAsia" w:ascii="宋体" w:hAnsi="宋体" w:eastAsia="宋体" w:cs="宋体"/>
          <w:sz w:val="24"/>
          <w:szCs w:val="24"/>
        </w:rPr>
        <w:t xml:space="preserve">.2、警务中心设备：</w:t>
      </w:r>
      <w:r/>
    </w:p>
    <w:tbl>
      <w:tblPr>
        <w:tblStyle w:val="752"/>
        <w:tblW w:w="8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116"/>
        <w:gridCol w:w="3928"/>
        <w:gridCol w:w="1056"/>
        <w:gridCol w:w="792"/>
      </w:tblGrid>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1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类别</w:t>
            </w:r>
            <w:r/>
          </w:p>
        </w:tc>
        <w:tc>
          <w:tcPr>
            <w:tcW w:w="3928"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品牌型号</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数量</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服务器</w:t>
            </w:r>
            <w:r/>
          </w:p>
        </w:tc>
        <w:tc>
          <w:tcPr>
            <w:tcW w:w="39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DELL、HP等</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存储</w:t>
            </w:r>
            <w:r/>
          </w:p>
        </w:tc>
        <w:tc>
          <w:tcPr>
            <w:tcW w:w="39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DELL、海康</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交换机</w:t>
            </w:r>
            <w:r/>
          </w:p>
        </w:tc>
        <w:tc>
          <w:tcPr>
            <w:tcW w:w="39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H3C等</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45</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防火墙</w:t>
            </w:r>
            <w:r/>
          </w:p>
        </w:tc>
        <w:tc>
          <w:tcPr>
            <w:tcW w:w="39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网御神州等</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光端机</w:t>
            </w:r>
            <w:r/>
          </w:p>
        </w:tc>
        <w:tc>
          <w:tcPr>
            <w:tcW w:w="3928" w:type="dxa"/>
            <w:vAlign w:val="center"/>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华龙、瑞斯康达、航天大为等</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W w:w="2116"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其他</w:t>
            </w:r>
            <w:r/>
          </w:p>
        </w:tc>
        <w:tc>
          <w:tcPr>
            <w:tcW w:w="39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硬盘等配套设备</w:t>
            </w:r>
            <w:r/>
          </w:p>
        </w:tc>
        <w:tc>
          <w:tcPr>
            <w:tcW w:w="105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块</w:t>
            </w:r>
            <w:r/>
          </w:p>
        </w:tc>
        <w:tc>
          <w:tcPr>
            <w:tcW w:w="792"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略</w:t>
            </w:r>
            <w:r/>
          </w:p>
        </w:tc>
      </w:tr>
    </w:tbl>
    <w:p>
      <w:pPr>
        <w:pStyle w:val="748"/>
      </w:pPr>
      <w:r>
        <w:rPr>
          <w:rFonts w:ascii="宋体" w:hAnsi="宋体" w:eastAsia="宋体" w:cs="宋体"/>
          <w:sz w:val="24"/>
          <w:szCs w:val="24"/>
        </w:rPr>
        <w:t xml:space="preserve">3.5.1</w:t>
      </w:r>
      <w:r>
        <w:rPr>
          <w:rFonts w:hint="eastAsia" w:ascii="宋体" w:hAnsi="宋体" w:eastAsia="宋体" w:cs="宋体"/>
          <w:sz w:val="24"/>
          <w:szCs w:val="24"/>
        </w:rPr>
        <w:t xml:space="preserve">.</w:t>
      </w:r>
      <w:r>
        <w:rPr>
          <w:rFonts w:hint="eastAsia"/>
        </w:rPr>
        <w:t xml:space="preserve">3</w:t>
      </w:r>
      <w:r>
        <w:rPr>
          <w:rFonts w:hint="eastAsia" w:ascii="微软雅黑" w:hAnsi="微软雅黑" w:eastAsia="微软雅黑" w:cs="微软雅黑"/>
        </w:rPr>
        <w:t xml:space="preserve">、各部门中心设备</w:t>
      </w:r>
      <w:r/>
    </w:p>
    <w:tbl>
      <w:tblPr>
        <w:tblStyle w:val="752"/>
        <w:tblW w:w="88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016"/>
        <w:gridCol w:w="4034"/>
        <w:gridCol w:w="1086"/>
        <w:gridCol w:w="744"/>
      </w:tblGrid>
      <w:tr>
        <w:trPr/>
        <w:tc>
          <w:tcPr>
            <w:tcW w:w="969"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01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类别</w:t>
            </w:r>
            <w:r/>
          </w:p>
        </w:tc>
        <w:tc>
          <w:tcPr>
            <w:tcW w:w="4034"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品牌型号</w:t>
            </w:r>
            <w:r/>
          </w:p>
        </w:tc>
        <w:tc>
          <w:tcPr>
            <w:tcW w:w="1086"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W w:w="744" w:type="dxa"/>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数量</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服务器</w:t>
            </w:r>
            <w:r/>
          </w:p>
        </w:tc>
        <w:tc>
          <w:tcPr>
            <w:tcW w:w="4034" w:type="dxa"/>
            <w:textDirection w:val="lrTb"/>
            <w:noWrap w:val="false"/>
          </w:tcPr>
          <w:p>
            <w:pP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DEL、海康、大华、华为等各类型号</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50</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核心交换机</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H3C、华为</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20</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汇聚交换机</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H3C、华为</w:t>
            </w:r>
            <w:r>
              <w:rPr>
                <w:rFonts w:hint="eastAsia" w:ascii="宋体" w:hAnsi="宋体" w:eastAsia="宋体" w:cs="宋体"/>
                <w:sz w:val="24"/>
                <w:szCs w:val="24"/>
                <w:lang w:eastAsia="zh-CN"/>
              </w:rPr>
              <w:t xml:space="preserve">、迪普</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98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自安全交换机</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迪普</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7</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电视墙及大屏</w:t>
            </w:r>
            <w:r/>
          </w:p>
        </w:tc>
        <w:tc>
          <w:tcPr>
            <w:tcW w:w="4034" w:type="dxa"/>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块</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168</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8</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解码器</w:t>
            </w:r>
            <w:r/>
          </w:p>
        </w:tc>
        <w:tc>
          <w:tcPr>
            <w:tcW w:w="4034" w:type="dxa"/>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30</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9</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视频综合平台</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大华、海康各一</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网闸</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网御神州天网</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r>
      <w:tr>
        <w:trPr/>
        <w:tc>
          <w:tcPr>
            <w:tcW w:w="969"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11</w:t>
            </w:r>
            <w:r/>
          </w:p>
        </w:tc>
        <w:tc>
          <w:tcPr>
            <w:tcW w:w="201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其他</w:t>
            </w:r>
            <w:r/>
          </w:p>
        </w:tc>
        <w:tc>
          <w:tcPr>
            <w:tcW w:w="403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硬盘等配套设备</w:t>
            </w:r>
            <w:r/>
          </w:p>
        </w:tc>
        <w:tc>
          <w:tcPr>
            <w:tcW w:w="1086"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块</w:t>
            </w:r>
            <w:r/>
          </w:p>
        </w:tc>
        <w:tc>
          <w:tcPr>
            <w:tcW w:w="744" w:type="dxa"/>
            <w:textDirection w:val="lrTb"/>
            <w:noWrap w:val="false"/>
          </w:tcPr>
          <w:p>
            <w:pPr>
              <w:spacing w:line="240" w:lineRule="auto"/>
              <w:rPr>
                <w:rFonts w:ascii="宋体" w:hAnsi="宋体" w:eastAsia="宋体" w:cs="宋体"/>
                <w:sz w:val="24"/>
                <w:szCs w:val="24"/>
              </w:rPr>
            </w:pPr>
            <w:r>
              <w:rPr>
                <w:rFonts w:hint="eastAsia" w:ascii="宋体" w:hAnsi="宋体" w:eastAsia="宋体" w:cs="宋体"/>
                <w:sz w:val="24"/>
                <w:szCs w:val="24"/>
              </w:rPr>
              <w:t xml:space="preserve">略</w:t>
            </w:r>
            <w:r/>
          </w:p>
        </w:tc>
      </w:tr>
    </w:tbl>
    <w:p>
      <w:pPr>
        <w:pStyle w:val="753"/>
        <w:spacing w:line="360" w:lineRule="auto"/>
        <w:rPr>
          <w:rFonts w:ascii="宋体" w:hAnsi="宋体" w:eastAsia="宋体" w:cs="宋体"/>
          <w:sz w:val="24"/>
          <w:szCs w:val="24"/>
        </w:rPr>
      </w:pPr>
      <w:r>
        <w:rPr>
          <w:rFonts w:ascii="宋体" w:hAnsi="宋体" w:eastAsia="宋体" w:cs="宋体"/>
          <w:sz w:val="24"/>
          <w:szCs w:val="24"/>
        </w:rPr>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3.5.2、传输部分</w:t>
      </w:r>
      <w:r/>
    </w:p>
    <w:p>
      <w:pPr>
        <w:pStyle w:val="944"/>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公安局及下属各单位的各级机房弱电线路（光纤、网络等）一年维护服务：对使用年数超长不稳定的交换机进行更换（千兆交换机及多模双纤光模块），并对机房线路进行整理，各类网络使用不同颜色跳线，各类级联线路做好标签，确保机房线路整洁有序，消除一机两用、一机双网等违规外联安全隐患。对全市公安局及下属各单位的弱电网络的维护，对涉及视频专网和公安专网的网络变更、网络拉线、网络对接等工作都由乙方负责。</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3.5.3、搬迁等内容（含人工与材料且不限次数）：</w:t>
      </w:r>
      <w:r/>
    </w:p>
    <w:p>
      <w:pPr>
        <w:spacing w:line="400" w:lineRule="exact"/>
        <w:rPr>
          <w:rFonts w:ascii="宋体" w:hAnsi="宋体" w:eastAsia="宋体" w:cs="宋体"/>
          <w:sz w:val="24"/>
          <w:szCs w:val="24"/>
          <w:lang w:eastAsia="zh-CN"/>
        </w:rPr>
      </w:pPr>
      <w:r>
        <w:rPr>
          <w:rFonts w:hint="eastAsia" w:ascii="宋体" w:hAnsi="宋体" w:eastAsia="宋体" w:cs="宋体"/>
          <w:sz w:val="24"/>
          <w:szCs w:val="24"/>
        </w:rPr>
        <w:fldChar w:fldCharType="begin"/>
      </w:r>
      <w:r>
        <w:rPr>
          <w:rFonts w:hint="eastAsia" w:ascii="宋体" w:hAnsi="宋体" w:eastAsia="宋体" w:cs="宋体"/>
          <w:sz w:val="24"/>
          <w:szCs w:val="24"/>
          <w:lang w:eastAsia="zh-CN"/>
        </w:rPr>
        <w:instrText xml:space="preserve">= 1 \* GB3</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lang w:eastAsia="zh-CN"/>
        </w:rPr>
        <w:t xml:space="preserve">全市所有高清抓拍点位（含交警）的线圈切割（包括导线、修补、切割等）。</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②全市所有公安监控或抓拍点位的搬迁，包含地笼、基础、手井、光纤等安装调试等工作。</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③全市所有公安监控或抓拍点位接电线路的改动修复，包括电源线延长、电源线被盗后的修复等工作。</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④监控、抓拍点位相关设备遭撞击、雷击等事故被破坏的。由乙方先行修复，修复费用原则上先走保险理赔程序，若因各种原因无法理赔的，由乙方负责修复工作及费用。</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5"/>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4、维护服务相关技术指标</w:t>
      </w:r>
      <w:r/>
    </w:p>
    <w:p>
      <w:pPr>
        <w:pStyle w:val="746"/>
        <w:spacing w:line="400" w:lineRule="exact"/>
        <w:rPr>
          <w:rFonts w:ascii="宋体" w:hAnsi="宋体" w:eastAsia="宋体" w:cs="宋体"/>
          <w:lang w:eastAsia="zh-CN"/>
        </w:rPr>
      </w:pPr>
      <w:r>
        <w:rPr>
          <w:rFonts w:hint="eastAsia" w:ascii="宋体" w:hAnsi="宋体" w:eastAsia="宋体" w:cs="宋体"/>
          <w:lang w:eastAsia="zh-CN"/>
        </w:rPr>
        <w:t xml:space="preserve">4.1、监控修复技术指标</w:t>
      </w:r>
      <w:r/>
    </w:p>
    <w:p>
      <w:pPr>
        <w:pStyle w:val="753"/>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修复的监控点位必须实现录像能接入公安视频监控平台，能对接监控云存储系统，夜间画面清晰，并根据甲方要求对必要的点位提供结构化分析能力。 </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4.1.1、高清红外摄像机：</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具有不小于1/1.8"靶面尺寸。</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内置GPU芯片。</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最低照度彩色不大于0.001 lx，黑白不大于0.0001 lx，最大亮度鉴别等级（灰度等级）不小于11级。</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可识别11种车辆颜色。</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车辆车身颜色识别准确率不小于95%。</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可识别10种车型，包括轿车、小型轿车、微型轿车、客车、中型客车、面包车、大货车、小货车、SUV-MPV、皮卡。车型识别白天准确率不小于99%，晚上准确率不小于95%。</w:t>
      </w:r>
      <w:r/>
    </w:p>
    <w:p>
      <w:pPr>
        <w:pStyle w:val="953"/>
        <w:numPr>
          <w:ilvl w:val="0"/>
          <w:numId w:val="15"/>
        </w:numPr>
        <w:spacing w:line="400" w:lineRule="exact"/>
        <w:rPr>
          <w:rFonts w:ascii="宋体" w:hAnsi="宋体" w:eastAsia="宋体" w:cs="宋体"/>
          <w:sz w:val="24"/>
          <w:szCs w:val="24"/>
        </w:rPr>
      </w:pPr>
      <w:r>
        <w:rPr>
          <w:rFonts w:hint="eastAsia" w:ascii="宋体" w:hAnsi="宋体" w:eastAsia="宋体" w:cs="宋体"/>
          <w:sz w:val="24"/>
          <w:szCs w:val="24"/>
        </w:rPr>
        <w:t xml:space="preserve">需支持四码流技术，主码流分辨率不小于4096x2160@25fps，子码流不小于704x576@25fps，第三码流不小于1920x1080@25fps，第四码流不小于704x576@25fps。</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设备水平中心分辨力不小于2000TVL。</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支持H.264、H.265、MJPEG视频编码格式，且具有High Profile编码能力。</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信噪比不小于58dB。需支持IP67防尘防水。具有低温低气压适应性，可在不高于-45℃和气压70kPa环境下正常工作。</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需支持本地SD卡存储，最大支持128G，并支持存储卡可使用时长显示。</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支持对存储卡进行读写锁定，锁定后的存储卡在移动终端需要密码才能访问。</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在丢包率设置为10%的网络环境下，可正常显示监视画面。</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设备默认不开启telnet、ftp和tftp服务，对未使用的服务及端口应默认关闭。</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设备恢复出厂设置后，首次访问时应能在登录界面给出修改密码提示。</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支持固件安全检验功能，摄像机uboot应采用加密存储，通过离线烧写存储器方式写入的uboot执行程序，不能被硬件微引导程序加载执行。</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支持硬件微引导程序、uboot、OS、应用软件逐级校验功能，非法篡改的uboot、OS、应用软件固件包，不能通过命令行、浏览器、客户端方式进行升级。</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支持通过IE浏览器设置登录超时时间，当登录后无操作时长达到设置阈值后，设备自动退出并重新进入登录界面。</w:t>
      </w:r>
      <w:r/>
    </w:p>
    <w:p>
      <w:pPr>
        <w:pStyle w:val="953"/>
        <w:numPr>
          <w:ilvl w:val="0"/>
          <w:numId w:val="15"/>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设备具有耀光抑制功能，耀光区域≤1%。</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4.1.2、抓拍修复技术指标。</w:t>
      </w:r>
      <w:r/>
    </w:p>
    <w:p>
      <w:pPr>
        <w:pStyle w:val="933"/>
        <w:numPr>
          <w:ilvl w:val="0"/>
          <w:numId w:val="16"/>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修复要求所有车道全天候过车捕获率大于等于99%，车牌识别率大于等于99%,并能清晰捕获驾驶员和副驾驶人脸。</w:t>
      </w:r>
      <w:r/>
    </w:p>
    <w:p>
      <w:pPr>
        <w:pStyle w:val="933"/>
        <w:numPr>
          <w:ilvl w:val="0"/>
          <w:numId w:val="16"/>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抓拍主机必须与公安车辆抓拍平台，公安车辆云存储平台，公安车辆大数据平台，交警违章平台的实现实时无缝对接，点位实现测速功能并通过相关标定，相关的技术问题和费用由中标单位承担。</w:t>
      </w:r>
      <w:r/>
    </w:p>
    <w:p>
      <w:pPr>
        <w:pStyle w:val="933"/>
        <w:numPr>
          <w:ilvl w:val="0"/>
          <w:numId w:val="16"/>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点位优先采用借用原来杆件施工，没有杆件或者借杆效果无法满足要求的，乙方应负责重新建设基础、立杆、接电、基础、跳线等工程并承担相应费用。</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4.1.3、抓拍相机指标：</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传感器类型：≥1英寸全局曝光CMOS</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分辨率≥4096(H)×2160(V)</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帧率≥25fps</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接口协议：ISAPI ,GB28181</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内部组件：防尘、防水面板，LED补光灯</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视频压缩标准：H.264/H.265/MJPEG</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输出图片格式：JPEG</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接口：≥4个RS-485接口, ≥1个RS-232接口；≥2个RJ45 10M/100M/1000M自适应以太网口</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电源同步：≥1路SYNC信号灯电源同步输入</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触发输出：≥7路补光灯同步输出控制</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智能功能：目标检测：机动车抓拍，车辆捕获率≥99%（线圈）车辆捕获率≥99%（视频），非机动抓拍，行人抓拍。违章检测：超速、压线、逆行、禁止大货车等违法行为。车辆特征检测：车牌识别、车型识别、车身颜色识别、违章检测、车辆品牌等特征检测</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存储：支持TF卡口（≥64G）</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 ≥IP65</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白天使用闪光灯补光，夜晚仅使用LED频闪灯补光，抓拍图片可看清司乘人员人脸，并能够用于后端人脸比对；</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设备可识别351种机动车品牌标志，白天识别准确率≥99%，夜晚识别准确率≥99%。</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开启混合抓拍模式后，设备支持正面/侧面/背面行人（包括成年人和儿童）的抓拍；支持对骑自行车、骑三轮车、骑电动车、踩平衡车、骑车带人等非机动车的抓拍；支持对轿车、客车、面包车、货车、卡车、摩托车等机动车的抓拍</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支持车辆子品牌识别功能，通过车头可识别7100种，通过车尾可识别3800种，全天识别准确率不低于99%</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支持识别43种车型，包括轻型普通货车、轻型厢式货车、轻型平板货车、微型轿车、小型轿车、小型客车、小型越野客车、小型面包车、中型罐式货车、中型仓</w:t>
      </w:r>
      <w:r>
        <w:rPr>
          <w:rFonts w:hint="eastAsia" w:ascii="宋体" w:hAnsi="宋体" w:eastAsia="宋体" w:cs="宋体"/>
          <w:sz w:val="24"/>
          <w:szCs w:val="24"/>
          <w:lang w:eastAsia="zh-CN"/>
        </w:rPr>
        <w:t xml:space="preserve">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p>
    <w:p>
      <w:pPr>
        <w:pStyle w:val="953"/>
        <w:numPr>
          <w:ilvl w:val="0"/>
          <w:numId w:val="17"/>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支持对机动车、非机动车、行人等混合目标进行检测，样机能同时检测不少于100个混合的静态目标并对这些目标进行绿框跟踪、优选、抓拍及属性分析</w:t>
      </w:r>
      <w:r/>
    </w:p>
    <w:p>
      <w:pPr>
        <w:pStyle w:val="953"/>
        <w:ind w:left="357" w:firstLine="0"/>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7"/>
        <w:spacing w:line="400" w:lineRule="exact"/>
        <w:rPr>
          <w:rFonts w:ascii="宋体" w:hAnsi="宋体" w:eastAsia="宋体" w:cs="宋体"/>
          <w:sz w:val="24"/>
          <w:szCs w:val="24"/>
        </w:rPr>
      </w:pPr>
      <w:r>
        <w:rPr>
          <w:rFonts w:hint="eastAsia" w:ascii="宋体" w:hAnsi="宋体" w:eastAsia="宋体" w:cs="宋体"/>
          <w:sz w:val="24"/>
          <w:szCs w:val="24"/>
        </w:rPr>
        <w:t xml:space="preserve">4.1.4、人脸识别修复标准</w:t>
      </w:r>
      <w:r/>
    </w:p>
    <w:tbl>
      <w:tblPr>
        <w:tblStyle w:val="7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668"/>
        <w:gridCol w:w="6695"/>
      </w:tblGrid>
      <w:tr>
        <w:trPr/>
        <w:tc>
          <w:tcPr>
            <w:tcW w:w="817" w:type="dxa"/>
            <w:textDirection w:val="lrTb"/>
            <w:noWrap w:val="false"/>
          </w:tcPr>
          <w:p>
            <w:pPr>
              <w:spacing w:line="400" w:lineRule="exact"/>
              <w:rPr>
                <w:rFonts w:ascii="宋体" w:hAnsi="宋体" w:eastAsia="宋体" w:cs="宋体"/>
                <w:sz w:val="24"/>
                <w:szCs w:val="24"/>
              </w:rPr>
              <w:outlineLvl w:val="3"/>
            </w:pPr>
            <w:r>
              <w:rPr>
                <w:rFonts w:hint="eastAsia" w:ascii="宋体" w:hAnsi="宋体" w:eastAsia="宋体" w:cs="宋体"/>
                <w:sz w:val="24"/>
                <w:szCs w:val="24"/>
              </w:rPr>
              <w:t xml:space="preserve">序号</w:t>
            </w:r>
            <w:r/>
          </w:p>
        </w:tc>
        <w:tc>
          <w:tcPr>
            <w:tcW w:w="1668" w:type="dxa"/>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基本参数</w:t>
            </w:r>
            <w:r/>
          </w:p>
        </w:tc>
        <w:tc>
          <w:tcPr>
            <w:tcW w:w="6695" w:type="dxa"/>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参数要求</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1</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机与镜头</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相机不低于400万像素，不少于25帧/秒，快门小于1/100，宽动态、高灵敏、具有人脸优选功能；镜头畸变率不大于1%，最大光圈不小于F=1.4</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2</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捕获</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多人场景下，视频流捕获不少于20人，照片流捕获不少于16人，平均捕获率不低于95%</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3</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光照</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识别区域正面不低于100lux，左右侧面光强差不得超过一倍，背光不得超过正面两倍</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4</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安装及环境</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满足GB50348、GA/T922.2等技术指标及采集规范公式要求</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5</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图片效果</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两眼间距50像素以上，分辨率不小于100dpi</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6</w:t>
            </w:r>
            <w:r/>
          </w:p>
        </w:tc>
        <w:tc>
          <w:tcPr>
            <w:tcW w:w="1668" w:type="dxa"/>
            <w:vAlign w:val="center"/>
            <w:textDirection w:val="lrTb"/>
            <w:noWrap w:val="false"/>
          </w:tcPr>
          <w:p>
            <w:pPr>
              <w:spacing w:line="400" w:lineRule="exact"/>
              <w:rPr>
                <w:rFonts w:ascii="宋体" w:hAnsi="宋体" w:eastAsia="宋体" w:cs="宋体"/>
                <w:b/>
                <w:sz w:val="24"/>
                <w:szCs w:val="24"/>
              </w:rPr>
              <w:outlineLvl w:val="3"/>
            </w:pPr>
            <w:r>
              <w:rPr>
                <w:rFonts w:hint="eastAsia" w:ascii="宋体" w:hAnsi="宋体" w:eastAsia="宋体" w:cs="宋体"/>
                <w:sz w:val="24"/>
                <w:szCs w:val="24"/>
              </w:rPr>
              <w:t xml:space="preserve">角度</w:t>
            </w:r>
            <w:r/>
          </w:p>
        </w:tc>
        <w:tc>
          <w:tcPr>
            <w:tcW w:w="6695" w:type="dxa"/>
            <w:textDirection w:val="lrTb"/>
            <w:noWrap w:val="false"/>
          </w:tcPr>
          <w:p>
            <w:pPr>
              <w:spacing w:line="400" w:lineRule="exact"/>
              <w:rPr>
                <w:rFonts w:ascii="宋体" w:hAnsi="宋体" w:eastAsia="宋体" w:cs="宋体"/>
                <w:b/>
                <w:sz w:val="24"/>
                <w:szCs w:val="24"/>
                <w:lang w:eastAsia="zh-CN"/>
              </w:rPr>
              <w:outlineLvl w:val="3"/>
            </w:pPr>
            <w:r>
              <w:rPr>
                <w:rFonts w:hint="eastAsia" w:ascii="宋体" w:hAnsi="宋体" w:eastAsia="宋体" w:cs="宋体"/>
                <w:sz w:val="24"/>
                <w:szCs w:val="24"/>
                <w:lang w:eastAsia="zh-CN"/>
              </w:rPr>
              <w:t xml:space="preserve">水平转动角不超过15°，俯仰角不超过10°，倾斜角不超过20°</w:t>
            </w:r>
            <w:r/>
          </w:p>
        </w:tc>
      </w:tr>
      <w:tr>
        <w:trPr/>
        <w:tc>
          <w:tcPr>
            <w:tcW w:w="817" w:type="dxa"/>
            <w:vAlign w:val="center"/>
            <w:textDirection w:val="lrTb"/>
            <w:noWrap w:val="false"/>
          </w:tcPr>
          <w:p>
            <w:pPr>
              <w:jc w:val="center"/>
              <w:spacing w:line="400" w:lineRule="exact"/>
              <w:rPr>
                <w:rFonts w:ascii="宋体" w:hAnsi="宋体" w:eastAsia="宋体" w:cs="宋体"/>
                <w:b/>
                <w:sz w:val="24"/>
                <w:szCs w:val="24"/>
              </w:rPr>
              <w:outlineLvl w:val="3"/>
            </w:pPr>
            <w:r>
              <w:rPr>
                <w:rFonts w:hint="eastAsia" w:ascii="宋体" w:hAnsi="宋体" w:eastAsia="宋体" w:cs="宋体"/>
                <w:b/>
                <w:sz w:val="24"/>
                <w:szCs w:val="24"/>
              </w:rPr>
              <w:t xml:space="preserve">7</w:t>
            </w:r>
            <w:r/>
          </w:p>
        </w:tc>
        <w:tc>
          <w:tcPr>
            <w:tcW w:w="1668" w:type="dxa"/>
            <w:vAlign w:val="center"/>
            <w:textDirection w:val="lrTb"/>
            <w:noWrap w:val="false"/>
          </w:tcPr>
          <w:p>
            <w:pPr>
              <w:spacing w:line="400" w:lineRule="exact"/>
              <w:rPr>
                <w:rFonts w:ascii="宋体" w:hAnsi="宋体" w:eastAsia="宋体" w:cs="宋体"/>
                <w:sz w:val="24"/>
                <w:szCs w:val="24"/>
              </w:rPr>
              <w:outlineLvl w:val="3"/>
            </w:pPr>
            <w:r>
              <w:rPr>
                <w:rFonts w:hint="eastAsia" w:ascii="宋体" w:hAnsi="宋体" w:eastAsia="宋体" w:cs="宋体"/>
                <w:sz w:val="24"/>
                <w:szCs w:val="24"/>
              </w:rPr>
              <w:t xml:space="preserve">清晰度</w:t>
            </w:r>
            <w:r/>
          </w:p>
        </w:tc>
        <w:tc>
          <w:tcPr>
            <w:tcW w:w="6695" w:type="dxa"/>
            <w:textDirection w:val="lrTb"/>
            <w:noWrap w:val="false"/>
          </w:tcPr>
          <w:p>
            <w:pPr>
              <w:spacing w:line="400" w:lineRule="exact"/>
              <w:rPr>
                <w:rFonts w:ascii="宋体" w:hAnsi="宋体" w:eastAsia="宋体" w:cs="宋体"/>
                <w:sz w:val="24"/>
                <w:szCs w:val="24"/>
                <w:lang w:eastAsia="zh-CN"/>
              </w:rPr>
              <w:outlineLvl w:val="3"/>
            </w:pPr>
            <w:r>
              <w:rPr>
                <w:rFonts w:hint="eastAsia" w:ascii="宋体" w:hAnsi="宋体" w:eastAsia="宋体" w:cs="宋体"/>
                <w:sz w:val="24"/>
                <w:szCs w:val="24"/>
                <w:lang w:eastAsia="zh-CN"/>
              </w:rPr>
              <w:t xml:space="preserve">人脸清晰、无阴阳脸、无明显拖尾、抖动、运动模糊</w:t>
            </w:r>
            <w:r/>
          </w:p>
        </w:tc>
      </w:tr>
    </w:tbl>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4.1.5、人像卡口相机技术指标：</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采用双舱一体化设计，由双镜头相机与高性能GPU模块组成，实现全结构化数据精准采集，具备多场景数据融合分析能力，实现全方位态势感知</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支持智能资源模式切换：全结构化、人脸抓拍、人脸比对、道路监控、Smart事件</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补光灯类型: 混合补光（支持白光模式和混光模式），750 nm + 暖白光</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最大图像尺寸: 通道1不小于2688 × 1520；通道2不小于2688 × 1520</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音频: 2个内置麦克风，2路输入（Line in）；1个内置扬声器，1路输出（Line out）</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支持亮度异常、清晰度异常、花屏、雪花、偏色、画面冻结、增益失衡、画面抖动、条纹干扰、信号丢失、视频遮挡、光晕、紫边等故障报警功能。</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支持检出两眼瞳距20像素点以上的人脸图片。</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支持侧脸过滤功能，可过滤上下、左右角度达到预设值的人脸。</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支持数据感知功能，可同时支持10路客户端和5路web端事件布防，设备在布防时间段内主动上传感知数据，断网重连后，报警信息与报警图片可继续上传。</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支持通过IE浏览器设置登录超时时间，当登录后无操作时长达到设置阈值后，设备自动退出并重新进入登录界面。</w:t>
      </w:r>
      <w:r/>
    </w:p>
    <w:p>
      <w:pPr>
        <w:pStyle w:val="953"/>
        <w:numPr>
          <w:ilvl w:val="0"/>
          <w:numId w:val="18"/>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设备具有耀光抑制功能，耀光区域≤1%。</w:t>
      </w:r>
      <w:r/>
    </w:p>
    <w:p>
      <w:pPr>
        <w:pStyle w:val="747"/>
        <w:rPr>
          <w:rFonts w:cs="宋体"/>
          <w:sz w:val="24"/>
          <w:szCs w:val="24"/>
          <w:lang w:eastAsia="zh-CN"/>
        </w:rPr>
      </w:pPr>
      <w:r>
        <w:rPr>
          <w:rFonts w:hint="eastAsia" w:cs="宋体"/>
          <w:sz w:val="24"/>
          <w:szCs w:val="24"/>
          <w:lang w:eastAsia="zh-CN"/>
        </w:rPr>
        <w:t xml:space="preserve">4.</w:t>
      </w:r>
      <w:r>
        <w:rPr>
          <w:rFonts w:cs="宋体"/>
          <w:sz w:val="24"/>
          <w:szCs w:val="24"/>
          <w:lang w:eastAsia="zh-CN"/>
        </w:rPr>
        <w:t xml:space="preserve">1.6</w:t>
      </w:r>
      <w:r>
        <w:rPr>
          <w:rFonts w:hint="eastAsia" w:cs="宋体"/>
          <w:sz w:val="24"/>
          <w:szCs w:val="24"/>
          <w:lang w:eastAsia="zh-CN"/>
        </w:rPr>
        <w:t xml:space="preserve">、数据接入要求</w:t>
      </w:r>
      <w:r/>
    </w:p>
    <w:p>
      <w:pPr>
        <w:pStyle w:val="944"/>
        <w:ind w:firstLine="480"/>
        <w:spacing w:line="460" w:lineRule="exact"/>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）、视频图像数据均按照GB/T28181-2016标准，按规范要求接入太仓市公安局视频专网。</w:t>
      </w:r>
      <w:r/>
    </w:p>
    <w:p>
      <w:pPr>
        <w:ind w:firstLine="480"/>
        <w:spacing w:line="400" w:lineRule="exact"/>
        <w:rPr>
          <w:rFonts w:ascii="宋体" w:hAnsi="宋体" w:eastAsia="宋体" w:cs="宋体"/>
          <w:sz w:val="24"/>
          <w:szCs w:val="24"/>
          <w:lang w:eastAsia="zh-CN"/>
        </w:rPr>
      </w:pPr>
      <w:r>
        <w:rPr>
          <w:rFonts w:ascii="宋体" w:hAnsi="宋体" w:cs="黑体"/>
          <w:sz w:val="24"/>
          <w:szCs w:val="24"/>
          <w:lang w:eastAsia="zh-CN"/>
        </w:rPr>
        <w:t xml:space="preserve">2</w:t>
      </w:r>
      <w:r>
        <w:rPr>
          <w:rFonts w:hint="eastAsia" w:ascii="宋体" w:hAnsi="宋体" w:cs="黑体"/>
          <w:sz w:val="24"/>
          <w:szCs w:val="24"/>
          <w:lang w:eastAsia="zh-CN"/>
        </w:rPr>
        <w:t xml:space="preserve">）、摄像机采集的人脸、机动车、非机动车文本和图像信息必须满足本级和上级公安机关的数据推送汇聚要求。</w:t>
      </w:r>
      <w:r>
        <w:rPr>
          <w:rFonts w:hint="eastAsia" w:ascii="宋体" w:hAnsi="宋体" w:eastAsia="宋体" w:cs="宋体"/>
          <w:sz w:val="24"/>
          <w:szCs w:val="24"/>
          <w:lang w:eastAsia="zh-CN"/>
        </w:rPr>
        <w:t xml:space="preserve">各抓拍机产生的抓拍图片需对接市局耐思捷接入云。传送的图片流应具备并不少于如下信息：摄像头ID、抓拍时时间戳、抓拍图片的base64字符串、人体（车辆）图片的base64字符串、背景图片的base64字符串、背景图片压缩图的base64字符串。抓拍图片流需符合公安部的1400标准，并向市局指定的位置传送。</w:t>
      </w:r>
      <w:r/>
    </w:p>
    <w:p>
      <w:pPr>
        <w:ind w:firstLine="480"/>
        <w:spacing w:line="400" w:lineRule="exact"/>
        <w:rPr>
          <w:rFonts w:hAnsi="宋体" w:cs="黑体" w:eastAsiaTheme="minorEastAsia"/>
          <w:sz w:val="24"/>
          <w:szCs w:val="24"/>
          <w:lang w:eastAsia="zh-CN"/>
        </w:rPr>
      </w:pPr>
      <w:r>
        <w:rPr>
          <w:rFonts w:hAnsi="宋体" w:cs="黑体"/>
          <w:sz w:val="24"/>
          <w:szCs w:val="24"/>
          <w:lang w:eastAsia="zh-CN"/>
        </w:rPr>
        <w:t xml:space="preserve">3</w:t>
      </w:r>
      <w:r>
        <w:rPr>
          <w:rFonts w:hint="eastAsia" w:hAnsi="宋体" w:cs="黑体"/>
          <w:sz w:val="24"/>
          <w:szCs w:val="24"/>
          <w:lang w:eastAsia="zh-CN"/>
        </w:rPr>
        <w:t xml:space="preserve">） 能够按照GA/T 1400-2017协议的标准上传人脸、人体、非机动车、机动车，按照甲方的要求上传到公安接入云；</w:t>
      </w:r>
      <w:r/>
    </w:p>
    <w:p>
      <w:pPr>
        <w:ind w:firstLine="480"/>
        <w:spacing w:line="400" w:lineRule="exact"/>
        <w:rPr>
          <w:rFonts w:ascii="宋体" w:hAnsi="宋体" w:eastAsia="宋体" w:cs="宋体"/>
          <w:sz w:val="24"/>
          <w:szCs w:val="24"/>
          <w:lang w:eastAsia="zh-CN"/>
        </w:rPr>
      </w:pP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）符合苏州市局接入云1400视图库接入标准：</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一、图片格式要求支持存储、管理JPEG、JPEG 2000、BMP、PNG、TIF（TIFF）格式的图像资源；二、图片类型要求前端摄像机抓拍图片数据上传包括抓拍人脸小图上传、人体图片上传、抓拍背景照片上传、压缩过的抓拍背景照片上传，上传过程中人脸照片与背景照片一一对应。其中，人脸照片大小要求在20K-50K，压缩过的背景照大小要求在120K-150K。</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6"/>
        <w:spacing w:line="400" w:lineRule="exact"/>
        <w:rPr>
          <w:rFonts w:ascii="宋体" w:hAnsi="宋体" w:eastAsia="宋体" w:cs="宋体"/>
          <w:lang w:eastAsia="zh-CN"/>
        </w:rPr>
      </w:pPr>
      <w:r>
        <w:rPr>
          <w:rFonts w:hint="eastAsia" w:ascii="宋体" w:hAnsi="宋体" w:eastAsia="宋体" w:cs="宋体"/>
          <w:lang w:eastAsia="zh-CN"/>
        </w:rPr>
        <w:t xml:space="preserve">4.2、存储及交换机技术指标：</w:t>
      </w:r>
      <w:r/>
    </w:p>
    <w:p>
      <w:pPr>
        <w:pStyle w:val="747"/>
        <w:spacing w:line="400" w:lineRule="exact"/>
        <w:rPr>
          <w:rFonts w:ascii="宋体" w:hAnsi="宋体" w:eastAsia="宋体" w:cs="宋体"/>
          <w:sz w:val="24"/>
          <w:szCs w:val="24"/>
        </w:rPr>
      </w:pPr>
      <w:r>
        <w:rPr>
          <w:rFonts w:hint="eastAsia" w:ascii="宋体" w:hAnsi="宋体" w:eastAsia="宋体" w:cs="宋体"/>
          <w:sz w:val="24"/>
          <w:szCs w:val="24"/>
        </w:rPr>
        <w:t xml:space="preserve">4.2.1交换机：</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固定端口48*10/100/1000Base-T以太网端口</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4*100/1000 Base-X SFP光口</w:t>
      </w:r>
      <w:r/>
    </w:p>
    <w:p>
      <w:pPr>
        <w:pStyle w:val="933"/>
        <w:numPr>
          <w:ilvl w:val="1"/>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电口属性    支持半双工、全双工、自协商工作模式</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支持MDI/MDI-X  </w:t>
      </w:r>
      <w:r/>
    </w:p>
    <w:p>
      <w:pPr>
        <w:pStyle w:val="933"/>
        <w:numPr>
          <w:ilvl w:val="1"/>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以太网功能    支持LLDP</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静态MAC配置；支持MAC地址学习数目限制(MAC地址深度最大支持16K)；支持端口镜像和流镜像功能；支持端口聚合(聚合组端口最大8个端口)；支持端口隔离</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支持STP/RSTP/MSTP</w:t>
      </w:r>
      <w:r/>
    </w:p>
    <w:p>
      <w:pPr>
        <w:pStyle w:val="933"/>
        <w:numPr>
          <w:ilvl w:val="1"/>
          <w:numId w:val="19"/>
        </w:numPr>
        <w:spacing w:line="400" w:lineRule="exact"/>
        <w:rPr>
          <w:rFonts w:ascii="宋体" w:hAnsi="宋体" w:eastAsia="宋体" w:cs="宋体"/>
          <w:sz w:val="24"/>
          <w:szCs w:val="24"/>
        </w:rPr>
      </w:pPr>
      <w:r>
        <w:rPr>
          <w:rFonts w:hint="eastAsia" w:ascii="宋体" w:hAnsi="宋体" w:eastAsia="宋体" w:cs="宋体"/>
          <w:sz w:val="24"/>
          <w:szCs w:val="24"/>
          <w:lang w:eastAsia="zh-CN"/>
        </w:rPr>
        <w:t xml:space="preserve">支持IEEE 802.3ad（动态链路聚合）、静态端口聚合；VLAN支持802.1Q (最大4K个VLAN)；支持基于协议的VLAN；支持基于IP子网的VLAN；</w:t>
      </w:r>
      <w:r>
        <w:rPr>
          <w:rFonts w:hint="eastAsia" w:ascii="宋体" w:hAnsi="宋体" w:eastAsia="宋体" w:cs="宋体"/>
          <w:sz w:val="24"/>
          <w:szCs w:val="24"/>
        </w:rPr>
        <w:t xml:space="preserve">支持基于MAC的VLAN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支持GUEST VLAN</w:t>
      </w:r>
      <w:r>
        <w:rPr>
          <w:rFonts w:hint="eastAsia" w:ascii="宋体" w:hAnsi="宋体" w:eastAsia="宋体" w:cs="宋体"/>
          <w:sz w:val="24"/>
          <w:szCs w:val="24"/>
          <w:lang w:eastAsia="zh-CN"/>
        </w:rPr>
        <w:t xml:space="preserve">；IP路由；支持静态路由、RIP；</w:t>
      </w:r>
      <w:r>
        <w:rPr>
          <w:rFonts w:hint="eastAsia" w:ascii="宋体" w:hAnsi="宋体" w:eastAsia="宋体" w:cs="宋体"/>
          <w:sz w:val="24"/>
          <w:szCs w:val="24"/>
        </w:rPr>
        <w:t xml:space="preserve">DHCP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支持DHCP Relay</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支持DHCP Client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支持DHCP Snooping</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支持DHCP Snooping Option82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组播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支持IGMP V1/V2/V3 Snooping</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QoS支持Diff-Serv QoS</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支持WRR/HQ-WRR等队列调度机制</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支持802.1p、DSCP优先级映射</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支持对端口双向速率限制  </w:t>
      </w:r>
      <w:r/>
    </w:p>
    <w:p>
      <w:pPr>
        <w:pStyle w:val="933"/>
        <w:numPr>
          <w:ilvl w:val="1"/>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ACL    • 支持二层、三层、四层ACL</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支持IPv4、IPv6 ACL</w:t>
      </w:r>
      <w:r>
        <w:rPr>
          <w:rFonts w:hint="eastAsia" w:ascii="宋体" w:hAnsi="宋体" w:eastAsia="宋体" w:cs="宋体"/>
          <w:sz w:val="24"/>
          <w:szCs w:val="24"/>
          <w:lang w:eastAsia="zh-CN"/>
        </w:rPr>
        <w:t xml:space="preserve">；支持VLAN ACL；IPv6支持IPv6静态路由、双协议栈；</w:t>
      </w:r>
      <w:r>
        <w:rPr>
          <w:rFonts w:hint="eastAsia" w:ascii="宋体" w:hAnsi="宋体" w:eastAsia="宋体" w:cs="宋体"/>
          <w:sz w:val="24"/>
          <w:szCs w:val="24"/>
        </w:rPr>
        <w:t xml:space="preserve">支持DHCPv6 Client、DHCPv6 Snooping</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支持ND、PMTU</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支持IPv6 Ping、IPv6 Telnet、IPv6 SSHv2、IPv6域名解析  </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支持SSHv2，为用户登录提供安全加密通道</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支持SSL，保障数据传输安全</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支持可控IP地址的FTP登录和口令机制</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支持防止ARP、未知组播报文、广播报文、未知单播报文、TTL=1报文、协议报文等攻击功能</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支持防Dos攻击</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支持MAC地址限制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支持IP＋MAC+PORT+VLAN绑定功能</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支持IEEE 802.1x</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支持Radius、支持HWTACACS</w:t>
      </w:r>
      <w:r/>
    </w:p>
    <w:p>
      <w:pPr>
        <w:pStyle w:val="933"/>
        <w:numPr>
          <w:ilvl w:val="0"/>
          <w:numId w:val="19"/>
        </w:numPr>
        <w:spacing w:line="400" w:lineRule="exact"/>
        <w:rPr>
          <w:rFonts w:ascii="宋体" w:hAnsi="宋体" w:eastAsia="宋体" w:cs="宋体"/>
          <w:sz w:val="24"/>
          <w:szCs w:val="24"/>
        </w:rPr>
      </w:pPr>
      <w:r>
        <w:rPr>
          <w:rFonts w:hint="eastAsia" w:ascii="宋体" w:hAnsi="宋体" w:eastAsia="宋体" w:cs="宋体"/>
          <w:sz w:val="24"/>
          <w:szCs w:val="24"/>
        </w:rPr>
        <w:t xml:space="preserve">支持安全网管SNMPv3</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支持广播报文抑制</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支持CPU防攻击  </w:t>
      </w:r>
      <w:r/>
    </w:p>
    <w:p>
      <w:pPr>
        <w:pStyle w:val="933"/>
        <w:numPr>
          <w:ilvl w:val="0"/>
          <w:numId w:val="19"/>
        </w:numPr>
        <w:spacing w:line="400" w:lineRule="exact"/>
        <w:rPr>
          <w:rFonts w:ascii="宋体" w:hAnsi="宋体" w:eastAsia="宋体" w:cs="宋体"/>
          <w:sz w:val="24"/>
          <w:szCs w:val="24"/>
          <w:lang w:eastAsia="zh-CN"/>
        </w:rPr>
      </w:pPr>
      <w:r>
        <w:rPr>
          <w:rFonts w:hint="eastAsia" w:ascii="宋体" w:hAnsi="宋体" w:eastAsia="宋体" w:cs="宋体"/>
          <w:sz w:val="24"/>
          <w:szCs w:val="24"/>
        </w:rPr>
        <w:t xml:space="preserve">系统管理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支持Console/AUX Modem/Telnet/SSH2.0 命令行配置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支持FTP、TFTP、Xmodem、SFTP文件上下载管理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支持SNMP V1/V2c/V3</w:t>
      </w:r>
      <w:r>
        <w:rPr>
          <w:rFonts w:hint="eastAsia" w:ascii="宋体" w:hAnsi="宋体" w:eastAsia="宋体" w:cs="宋体"/>
          <w:sz w:val="24"/>
          <w:szCs w:val="24"/>
          <w:lang w:eastAsia="zh-CN"/>
        </w:rPr>
        <w:t xml:space="preserve">；支持NTP时钟；支持系统工作日志；</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4.2.2录像机：</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3U标准机架式IP存储，DSP+ARM架构，嵌入式软硬件设计；</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支持64路高清，320M带宽网络视频接入；</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支持16个SATA盘位；支持RAID 0、1、5、6、10多种RAID模式及全局热备，多重保护数据安全；</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支持4K分辨率接入和解码输出；</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支持H.265、H.264编码前端自适应接入；</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支持关键视频添加标签和加锁保护、整机热备、断网续传、SMART 2.0等功能；</w:t>
      </w:r>
      <w:r/>
    </w:p>
    <w:p>
      <w:pPr>
        <w:pStyle w:val="933"/>
        <w:numPr>
          <w:ilvl w:val="0"/>
          <w:numId w:val="20"/>
        </w:numPr>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2个千兆以太网口，充分满足网络预览、回放以及备份应用。</w:t>
      </w:r>
      <w:r/>
    </w:p>
    <w:p>
      <w:pPr>
        <w:pStyle w:val="944"/>
        <w:ind w:firstLine="0"/>
        <w:spacing w:line="400" w:lineRule="exact"/>
        <w:rPr>
          <w:rFonts w:ascii="宋体" w:hAnsi="宋体" w:eastAsia="宋体" w:cs="宋体"/>
          <w:sz w:val="24"/>
          <w:szCs w:val="24"/>
          <w:lang w:eastAsia="zh-CN"/>
        </w:rPr>
        <w:outlineLvl w:val="5"/>
      </w:pPr>
      <w:r>
        <w:rPr>
          <w:rFonts w:hint="eastAsia" w:ascii="宋体" w:hAnsi="宋体" w:eastAsia="宋体" w:cs="宋体"/>
          <w:b/>
          <w:bCs/>
          <w:sz w:val="24"/>
          <w:szCs w:val="24"/>
          <w:lang w:eastAsia="zh-CN"/>
        </w:rPr>
        <w:t xml:space="preserve">4.2.3硬盘：</w:t>
      </w:r>
      <w:r/>
    </w:p>
    <w:p>
      <w:pPr>
        <w:ind w:firstLine="480"/>
        <w:jc w:val="both"/>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对应硬盘录像机专用监控级硬盘、服务器专用企业级硬盘，根据服务器选择支持接口，容量根据实际情况选择。</w:t>
      </w:r>
      <w:r/>
    </w:p>
    <w:p>
      <w:pPr>
        <w:pStyle w:val="747"/>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4.2.4云存储技术参数</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单设备应配置≥两颗64位多核处理器，≥8GB内存，内存支持扩展到≥256GB，需配置冗余金牌电源</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单设备应标配≥4个千兆网口，可增扩≥2个万兆口或≥4个光纤接口，并可增扩2个SSD固态硬盘；</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应支持FCSAN、IPSAN、NAS存储功能</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硬盘≥48块8T的SATA/SAS硬盘，并支持≥12级扩展柜级联扩展</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系统由管理节点和/或存储节点组成，且系统可扩容，增加管理或存储节点。在多节点系统中，任何一个存储节点出现故障，应不影响数据的正常存取；支持控制流与数据流分离，数据的存储或读取由存储节点并行读写。</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支持最少1台存储节点即可构建云存储系统；支持2~16台存储节点组成的全对称架构部署模式</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★管理节点支持单机、HA 主备、集群3 种工作模式，管理节点支持2N+1个节点构成的All-Active 集群方式，最大可支持17个节点，管理节点和存储节点都为对等工作模式对外提供服务，元数据副本数最大可达32个副本。</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支持云存储系统一键部署，一键部署微视云、标准云环境，一键部署包含组建集群、创建域、自动创建资源池等</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一套云存储系统可对外提供多种类型数据混合存储，同时支持分布式流式存储，分布式对象存储、分布式文件存储、分布式块存储。</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统一命名空间，将所有物理存储资源虚拟化成统一的存储空间，以唯一业务IP地址对外提供存储服务。</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支持存储空间虚拟化管理。支持多存储设备容量整合，形成录像池；可根据用户业务分配通用、文件、视频、图片等类型存储空间；支持在线弹性伸缩录像池的容量空间，不影响业务继续读写</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数据分散存储到存储节点上，数据呈离散式分布。</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★支持按照设备可用容量实现负载均衡，各存储节点上存储的数据量在稳定状态下保持均衡，差距小于5%；</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支持按照接入任务数实现自动负载均衡，支持前端设备自动分配到存储节点。各节点间读写任务数差距±1。</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支持视频直存技术，兼容标准码流、海康私有标准、海康私有标准视频流写入云存储设备，能够直接接入支持GB/T28181-2011、GB/T28181-2016、ONVIF、Ehome、RTSP、PSIA 标准的前端设备。</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 《公安视频图像信息应用系统》中的GA/T1400协议；</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支持IPV4/IPV6双栈，支持iscsi、samba、nfs、cifs、ftp、afp协议；</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支持只配置2台元数据服务器时，云存储系统支持存储文件个数不小于30亿；元数据服务器规模扩展后，存储文件文件数量线性扩展。</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一套云存储系统中，支持的存储节点个数不小于4096个；多云集群系统支持不小于1024个云存储系统。；</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单台存储节点图片存储性能≥1Gb/s,且不受图片大小改变而产生大的变化</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★视音频流能直接在云系统上进行存储，支持采用流媒体直存转发方式，由云存储服务器本机直接对流媒体进行存储转发，无需配置存储转发/流媒体服务器。</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支持智能流（智能分析后的结构化的数据）直接在云系统上进行存储，无需配置存储转发服务器。</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支持按毫秒级自定义时间段进行视频精准检索、回放、下载，回放支持豪秒级定位回放、关键帧回放、回放暂停、倍速快放、慢放等。</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业务平台支持和省视频监控共享平台通过GB/T28181-2016协议对接，支持业务平台向共享平台订阅设备信息，共享平台反馈设备信息给业务平台</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支持时区设置，支持客户端与云存储设备在不同的时区，录像时间段不受异地时区影响。</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云存储支持单机EC方案，即支持以任一存储节点为单位独立设置N+M数据保护，支持多硬盘时，业务不中断，数据不丢失，同时可根据实时接入业务进行负载均衡。</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★支持在管理节点全部故障、存储节点出现批量故障时，只要存在一台有效的存储，业务就不会中断。</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支持非副本模式下，可容忍9台（10≤N≤29，N为设备总台数）存储节点同时故障</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具备节点间容错功能，容忍N-1（N为设备总台数）台存储节点设备同时故障后，只要有1台以上存储节点设备正常，即可保证录像可写入，写入录像依然具备磁盘间容错能力。</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支持当磁盘或设备故障时，支持智能数据恢复，对标明重要的特定文件中的数据优先恢复。</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存储设备根据自身业务量，自适应重构速度，如当前设备空间资源较为充裕时，重构速度较高，若存储设备读写压力上来后，重构速度自动降低。</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支持两朵云的数据灾备，可通过同一图片、对象的URL对主、备云上的数据进行访问，客户端无感。</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存储运维精细化：支持在运维监测功能页面显示存储硬盘的健康状态，便于存储硬盘的生命周期管理</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支持视频点位监控录像出现异常时及时告警，设备支持以分钟为精度对录像完整性监控，当录像连续丢失1分钟及以上时，自动判定该小时录像为异常。</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支持前端设备和存储设备之间直接存储，采用块级存储，不生成文件（即不使用文件系统），无碎片。</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万兆网络环境下，系统容量、性能具备线性扩展能力，每增加一台数据节点、平均性能扩展1.6GB/s，折算为3200路高清（4Mb/s）的写入</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37)</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支持通过RESTful协议管理录像计划并进行录像、查询和下载视频；支持RTSP协议回放/下载视频。</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38)</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图片文件以缩略图和裁剪图的形式下载；支持图片按URL单张下载；支持图片批量下载；图片按URL地址下载或按时间段批量下载时，均支持按压缩比例、按缩放比例、按区域（坐标、指定宽高）进行裁剪、按指定宽高下载；支持对图片指定区域加马赛克处理。</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39)</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由2台管理节点构成的HA（主备模式）集群可在线无缝扩充为3台；并支持3台管理节点集群在线扩充为5台，系统业务均不受影响。支持4+1、8+2、12+3等多种纠删码容错方式向上升级容错方式。</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40)</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支持业务数据的存储周期管理。可按策略对业务数据进行自动清理，存储周期可以按容量或时间方式进行配置。</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云存储系统支持分域管理，当单个域中设备接入到同一个交换机时，可实现数据流分域控制管理，域内业务不受其他域影响。</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支持同一个资源池中创建不同的存储级别，可根据业务类别不同分别创建视频池、图片池、通用池、文件池;</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支持底层数据块Erasure Code技术容错，数据恢复以数据块为单位，无需全硬盘恢复。</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44)</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云存储节点单设备支持采用N+M冗余方式进行数据校验存储，不采用传统的RAID磁盘级方式（如Raid5，Raid6，Vraid，Sraid，SafeVideo等）进行数据保护</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45)</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支持对管理节点和存储节点的硬件信息、云服务进程、服务软件版本、磁盘信息、系统容量进行实时监控，并对存储节点的风扇、温度、块设备信息进行实时监控。</w:t>
      </w:r>
      <w:r/>
    </w:p>
    <w:p>
      <w:pPr>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46)</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支持通过统一运维一键式部署整个云存储系统，一键升级、格式化系统；支持设备自动发现，支持无需登录设备，即可远程配置IP地址；支持单服务、服务集群一键升级，支持升级包的hash签名加密认证。</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6"/>
        <w:spacing w:line="400" w:lineRule="exact"/>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hint="eastAsia" w:ascii="宋体" w:hAnsi="宋体" w:eastAsia="宋体" w:cs="宋体"/>
          <w:lang w:eastAsia="zh-CN"/>
        </w:rPr>
        <w:t xml:space="preserve">、监控平台服务技术指标：</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系统支持用户名密码及PKI登录方式，用户首次登陆或重置密码后登陆需强制修改密码，支持密码输入自动隐藏明文功能</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应用支持以标签页方式嵌入显示在门户中，最多支持打开20个标签页；支持刷新、关闭当前标签页，同时支持快速关闭当前标签页左侧或右侧所有应用、关闭除了当前应用外所有应用、以及关闭所有已打开的应用</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支持下载系统默认初始化上传好的客户端、批量配置工具、插件助手、Chrome浏览器等工具安装包； </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★支持将创建的分组分享给其他用户并支持统计收藏夹被分享的用户数；支持查看其他用户共享的收藏夹分组，并支持查看分享人及分享时间</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★支持切换查看基础目录及业务目录，资源以资源树形式展示，点击可查看下层资源及点位</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支持点位周边搜索，在地图上自由选择当前等点位周边点位，并支持对所选点位进行预览、回放、收藏、定位到资源树及查看属性</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支持录像分段回放功能，可以将录像文件等分成多个片段同时回放，通过分割点的图像差异，快速确定回放关键录像时段</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支持针对一段录像进行标签标注</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支持查看基础目录及自定义的业务目录树下，监控点、卡口、探针、报警设备、报警输入/输出、移动探针、车载、单兵、无人机等类型资源，同时支持资源的地图展示，提供时空一体化的指挥与作战能力</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支持基于路网数据计算出合理的最短路径</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系统点位进行算法调度配置及视频结构化处理，包括人脸识别、人体识别、车辆识别及活动目标识别。支持根据任务名称、算法类型（人脸识别、人体识别、车辆识别、活动目标）、算法厂商、算法版本、点位等信息创建在线录像解析任务</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查询结果中支持展示目标对象的关联信息，包括同步采集信息及与目标对象具有关联关系的对象信息</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当使用后端比对进行黑名单布控时，支持设置下发名单库为白名单从而实现白名单布控</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★支持针对所选区域下的监控点状态、录像巡检状态、视频诊断状态及点播状态进行一键巡检，并展示异常状态及在线状态数据，同时支持巡检数据导出，同时支持依照所选区域及其子区域的巡检得分排名</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★支持监控点取流链路诊断，支持图形化展示监控取流链路诊断结果，并显示错误信息以及错误解决建议，同时支持展示设备最近告警信息及监控点最近告警信息</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支持通过GB/T 28181-2016、Onvif、厂商SDK、808部标整合前端各类监控资源，针对编码设备进行统一管理、配置、编辑及同步，编码设备添加支持单IP添加、IP段添加、单编号添加及编号段添加等多种方式，支持手动或自动读取满足GB/T 28181-2016协议的设备的通道名称和通道编号的功能，同时支持批量导入导出编码设备，支持编码设备能力集校准功能</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支持名单库级联共享，支持将本级名单库下发至下级域，并支持查看下发状态</w:t>
      </w:r>
      <w:r/>
    </w:p>
    <w:p>
      <w:pPr>
        <w:numPr>
          <w:ilvl w:val="0"/>
          <w:numId w:val="21"/>
        </w:numPr>
        <w:ind w:left="567" w:firstLine="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★支持拓扑可视化展示物联资源联网下，本级域及上下级点位资源共享情况，支持查看各级资源共享详情、信令服务详情以及媒体服务详情，支持物联资源检索、共享，网关配置、外语配置、转码配置等设置</w:t>
      </w:r>
      <w:r/>
    </w:p>
    <w:p>
      <w:pPr>
        <w:ind w:firstLine="566"/>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8</w:t>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软件满足GB/T28181-2016公共安全视频监控联网系统信息传输、交换、控制技术要求</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5"/>
        <w:rPr>
          <w:rFonts w:ascii="宋体" w:hAnsi="宋体" w:eastAsia="宋体" w:cs="宋体"/>
          <w:sz w:val="24"/>
          <w:szCs w:val="24"/>
          <w:lang w:eastAsia="zh-CN"/>
        </w:rPr>
      </w:pPr>
      <w:r>
        <w:rPr>
          <w:rFonts w:hint="eastAsia" w:ascii="宋体" w:hAnsi="宋体" w:eastAsia="宋体" w:cs="宋体"/>
          <w:sz w:val="24"/>
          <w:szCs w:val="24"/>
          <w:lang w:eastAsia="zh-CN"/>
        </w:rPr>
        <w:t xml:space="preserve">5、维护具体内容</w:t>
      </w:r>
      <w:r/>
    </w:p>
    <w:p>
      <w:pPr>
        <w:pStyle w:val="746"/>
        <w:rPr>
          <w:rFonts w:ascii="宋体" w:hAnsi="宋体" w:eastAsia="宋体" w:cs="宋体"/>
          <w:lang w:eastAsia="zh-CN"/>
        </w:rPr>
      </w:pPr>
      <w:r>
        <w:rPr>
          <w:rFonts w:hint="eastAsia" w:ascii="宋体" w:hAnsi="宋体" w:eastAsia="宋体" w:cs="宋体"/>
          <w:lang w:eastAsia="zh-CN"/>
        </w:rPr>
        <w:t xml:space="preserve">5.1、前后端设备的现场清洁保养和维护</w:t>
      </w:r>
      <w:r/>
    </w:p>
    <w:tbl>
      <w:tblPr>
        <w:tblStyle w:val="752"/>
        <w:tblW w:w="8957" w:type="dxa"/>
        <w:tblInd w:w="108" w:type="dxa"/>
        <w:tblBorders>
          <w:top w:val="single" w:color="auto"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357"/>
        <w:gridCol w:w="4656"/>
        <w:gridCol w:w="1944"/>
      </w:tblGrid>
      <w:tr>
        <w:trPr>
          <w:trHeight w:val="382"/>
        </w:trPr>
        <w:tc>
          <w:tcPr>
            <w:tcBorders>
              <w:bottom w:val="single" w:color="000000" w:sz="8" w:space="0"/>
            </w:tcBorders>
            <w:tcW w:w="2357" w:type="dxa"/>
            <w:vAlign w:val="bottom"/>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bottom w:val="single" w:color="000000" w:sz="8" w:space="0"/>
            </w:tcBorders>
            <w:tcW w:w="4656" w:type="dxa"/>
            <w:vAlign w:val="bottom"/>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清洁内容</w:t>
            </w:r>
            <w:r/>
          </w:p>
        </w:tc>
        <w:tc>
          <w:tcPr>
            <w:tcBorders>
              <w:bottom w:val="single" w:color="000000" w:sz="8" w:space="0"/>
            </w:tcBorders>
            <w:tcW w:w="1944" w:type="dxa"/>
            <w:vAlign w:val="bottom"/>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清洁周期</w:t>
            </w:r>
            <w:r/>
          </w:p>
        </w:tc>
      </w:tr>
      <w:tr>
        <w:trPr>
          <w:trHeight w:val="667"/>
        </w:trPr>
        <w:tc>
          <w:tcPr>
            <w:tcBorders>
              <w:top w:val="single" w:color="000000" w:sz="8" w:space="0"/>
              <w:bottom w:val="none" w:color="000000" w:sz="4" w:space="0"/>
              <w:right w:val="single" w:color="000000" w:sz="8" w:space="0"/>
            </w:tcBorders>
            <w:tcW w:w="2357"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社会治安监控系统和卡口监控系统前端设备</w:t>
            </w:r>
            <w:r/>
          </w:p>
        </w:tc>
        <w:tc>
          <w:tcPr>
            <w:tcBorders>
              <w:top w:val="single" w:color="000000" w:sz="8" w:space="0"/>
              <w:left w:val="single" w:color="000000" w:sz="8" w:space="0"/>
              <w:bottom w:val="none" w:color="000000" w:sz="4" w:space="0"/>
              <w:right w:val="single" w:color="000000" w:sz="8" w:space="0"/>
            </w:tcBorders>
            <w:tcW w:w="4656"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摄像机护罩、镜头的清洁除尘及故障检查；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前端控制箱内的清洁除尘及故障检查；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光端机的保养、清洁及故障检查；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检测器的保养，清洁及故障检查。</w:t>
            </w:r>
            <w:r/>
          </w:p>
        </w:tc>
        <w:tc>
          <w:tcPr>
            <w:tcBorders>
              <w:top w:val="single" w:color="000000" w:sz="8" w:space="0"/>
              <w:left w:val="single" w:color="000000" w:sz="8" w:space="0"/>
              <w:bottom w:val="none" w:color="000000" w:sz="4" w:space="0"/>
            </w:tcBorders>
            <w:tcW w:w="1944"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1次/季度</w:t>
            </w:r>
            <w:r/>
          </w:p>
        </w:tc>
      </w:tr>
      <w:tr>
        <w:trPr>
          <w:trHeight w:val="667"/>
        </w:trPr>
        <w:tc>
          <w:tcPr>
            <w:tcW w:w="2357"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社会治安监控系统各个监控中心设备</w:t>
            </w:r>
            <w:r/>
          </w:p>
        </w:tc>
        <w:tc>
          <w:tcPr>
            <w:tcW w:w="4656"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硬盘录像机的保养、清洁及故障检查；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矩阵及控制键盘的保养、清洁及故障检查；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显示设备的保养、清洁及故障检查；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机柜及机柜内其他设备的保养、清洁及故障检查。</w:t>
            </w:r>
            <w:r/>
          </w:p>
        </w:tc>
        <w:tc>
          <w:tcPr>
            <w:tcW w:w="1944"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1次/季度</w:t>
            </w:r>
            <w:r/>
          </w:p>
        </w:tc>
      </w:tr>
      <w:tr>
        <w:trPr>
          <w:trHeight w:val="667"/>
        </w:trPr>
        <w:tc>
          <w:tcPr>
            <w:tcW w:w="2357"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卡口机房设备</w:t>
            </w:r>
            <w:r/>
          </w:p>
        </w:tc>
        <w:tc>
          <w:tcPr>
            <w:tcW w:w="4656"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工控机的保养、清洁及故障检查；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控制柜的保养、清洁及故障检查；</w:t>
            </w:r>
            <w:r/>
          </w:p>
        </w:tc>
        <w:tc>
          <w:tcPr>
            <w:tcW w:w="1944"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1次/季度</w:t>
            </w:r>
            <w:r/>
          </w:p>
        </w:tc>
      </w:tr>
      <w:tr>
        <w:trPr>
          <w:trHeight w:val="667"/>
        </w:trPr>
        <w:tc>
          <w:tcPr>
            <w:tcW w:w="2357"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中心设备</w:t>
            </w:r>
            <w:r/>
          </w:p>
        </w:tc>
        <w:tc>
          <w:tcPr>
            <w:tcW w:w="4656" w:type="dxa"/>
            <w:vAlign w:val="center"/>
            <w:vMerge w:val="restart"/>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机架除尘、工控机、服务器、显示设备屏幕的保养、清洁及故障检查；</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控制柜的保养、清洁及故障检查；</w:t>
            </w:r>
            <w:r/>
          </w:p>
        </w:tc>
        <w:tc>
          <w:tcPr>
            <w:tcW w:w="1944" w:type="dxa"/>
            <w:vAlign w:val="center"/>
            <w:vMerge w:val="restar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1次/季度</w:t>
            </w:r>
            <w:r/>
          </w:p>
        </w:tc>
      </w:tr>
      <w:tr>
        <w:trPr>
          <w:trHeight w:val="437"/>
        </w:trPr>
        <w:tc>
          <w:tcPr>
            <w:tcW w:w="2357" w:type="dxa"/>
            <w:vAlign w:val="center"/>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路段高清抓拍摄像机、电子警察设备</w:t>
            </w:r>
            <w:r/>
          </w:p>
        </w:tc>
        <w:tc>
          <w:tcPr>
            <w:tcW w:w="4656" w:type="dxa"/>
            <w:vAlign w:val="center"/>
            <w:textDirection w:val="lrTb"/>
            <w:noWrap w:val="false"/>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摄像机护罩、镜头的清洁除尘及故障检查</w:t>
            </w:r>
            <w:r/>
          </w:p>
        </w:tc>
        <w:tc>
          <w:tcPr>
            <w:tcW w:w="1944"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1次/季度</w:t>
            </w:r>
            <w:r/>
          </w:p>
        </w:tc>
      </w:tr>
    </w:tbl>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5.2、系统中线路损坏的修复</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包括电源线、视频线、控制线、网线、光纤线等的损坏，以及通讯井的保养和损坏修复，对于因市政工程、拆迁等因素造成线路损坏的，由客户方负责协调，中标方配合进行修复；对于传输光纤问题，中标方根据光纤标号和联系电话联系运行商，运行商负责修复。如运行商修复有问题的由客户方负责协调。</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5.3、系统主要设备元器件的损坏维护</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对矩阵及键盘、硬盘录像机、编解码设备、显示设备、摄像机（工业相机），检测器、光端机、工控机、服务器、防火墙、网闸等所有设备提供检测和故障检修，一旦出现设备（除人为故意损坏和不可抗拒因素外）损坏情况可以修复的由中标方及时修复，无法修复的，由中标方提供新设备并负责安装调试工作，使系统恢复正常运行。维修费和购置费已包含在项目中。</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2）对摄像机电源、视频头、视频跳线、尾纤等其他辅助设备提供全面的维护和检修，不能修理的进行更换，保证系统正常运行。维修费和购置费已包含在项目中。</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3)地感线圈、车检器、导线等检测设备、设施的全面的维护和检修，不能修理的进行更换，保证系统正常运行。维修费和购置费已包含在项目中。</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5.4、对超过质保期并已损坏的监控及其配套设备、机房服务器及配套进行更新替换。</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5.5、对公安局机房交换机、光模块、光收发器、服务器、存储、硬盘、防火墙、指挥中心大屏等其他设备的一年维护，其中对维保范围内超过质保期并已损坏的设备，中标方应当立即组织现场维修，无法当场修复的必须更换全新设备，全新更换设备免费保修期为一年且性能型号不低于原设备。维修费和购置费包含在报价中。</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主要设备参考“4.2、存储及交换机技术指标”，其他设备按照原有品牌型号进修更换。</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5.6、对市局、警务中心、指挥中心超过质保期并已损坏的服务器的故障维护。</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包含对所有服务器及配套设备的巡检、保养、维护，包括相关数据库的维护。</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5.7、因应急安保、市政施工、道路重新规划、路面修补（损坏）等原因引起的设备采购及维护修复工作（含全市所有高清抓拍点位及治安监控）。对于紧急安保事件，由甲方提出方案，由乙方提供必要的技防设备和安装施工调试。</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5.8、因公安实际工作变化原因需要迁移、改造的监控及抓拍点位及其他相关维护工作，由乙方承担基础施工和相关人工费用。</w:t>
      </w:r>
      <w:r/>
    </w:p>
    <w:p>
      <w:pPr>
        <w:pStyle w:val="745"/>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6、维护工作要求</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6.1、人员和车辆要求</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为保证维护质量和效率，人员上本运维项目需要配备由专职驻场、外场项目经理其他维护人员；设备上需要配备相关维修车辆。</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项目人员及设备汇总表</w:t>
      </w:r>
      <w:r/>
    </w:p>
    <w:tbl>
      <w:tblPr>
        <w:tblStyle w:val="752"/>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356"/>
        <w:gridCol w:w="2076"/>
        <w:gridCol w:w="804"/>
        <w:gridCol w:w="2319"/>
        <w:gridCol w:w="1843"/>
      </w:tblGrid>
      <w:tr>
        <w:trPr>
          <w:trHeight w:val="90"/>
        </w:trPr>
        <w:tc>
          <w:tcPr>
            <w:tcW w:w="533"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w:t>
            </w:r>
            <w:r/>
          </w:p>
        </w:tc>
        <w:tc>
          <w:tcPr>
            <w:tcW w:w="1356"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人员/设备</w:t>
            </w:r>
            <w:r/>
          </w:p>
        </w:tc>
        <w:tc>
          <w:tcPr>
            <w:tcW w:w="2076"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服务内容</w:t>
            </w:r>
            <w:r/>
          </w:p>
        </w:tc>
        <w:tc>
          <w:tcPr>
            <w:tcW w:w="804"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2319"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服务要求</w:t>
            </w:r>
            <w:r/>
          </w:p>
        </w:tc>
        <w:tc>
          <w:tcPr>
            <w:tcW w:w="1843" w:type="dxa"/>
            <w:vAlign w:val="center"/>
            <w:textDirection w:val="lrTb"/>
            <w:noWrap w:val="false"/>
          </w:tcPr>
          <w:p>
            <w:pPr>
              <w:jc w:val="cente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专业驻场服务人员</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运维平台及云工单服务</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1人</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强制驻场；实质响应条款；</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专业驻场服务人员</w:t>
            </w:r>
            <w:r/>
          </w:p>
        </w:tc>
        <w:tc>
          <w:tcPr>
            <w:tcW w:w="207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视频会议服务</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1人</w:t>
            </w:r>
            <w:r/>
          </w:p>
        </w:tc>
        <w:tc>
          <w:tcPr>
            <w:tcW w:w="2319"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7*24小时响应服务并参与值班</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强制驻场；实质响应条款；</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专业驻场服务人员</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社会面监控平台管理服务</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1人</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强制驻场；实质响应条款；</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专业驻场服务人员</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海康监控平台管理及运维服务</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1人</w:t>
            </w:r>
            <w:r/>
          </w:p>
        </w:tc>
        <w:tc>
          <w:tcPr>
            <w:tcW w:w="2319"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7*24小时响应服务，有重要活动需现场值守</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强制驻场；实质响应条款；</w:t>
            </w:r>
            <w:r/>
          </w:p>
        </w:tc>
      </w:tr>
      <w:tr>
        <w:trPr>
          <w:trHeight w:val="446"/>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专业驻场服务人员</w:t>
            </w:r>
            <w:r/>
          </w:p>
        </w:tc>
        <w:tc>
          <w:tcPr>
            <w:tcW w:w="207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雪亮工程相关服务</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2人</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强制驻场；实质响应条款；</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项目经理</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负责对内外场全部运维项目的管理</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1人</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实质响应条款；</w:t>
            </w:r>
            <w:r>
              <w:rPr>
                <w:rFonts w:ascii="宋体" w:hAnsi="宋体" w:eastAsia="宋体" w:cs="宋体"/>
                <w:color w:val="auto"/>
                <w:sz w:val="24"/>
                <w:szCs w:val="24"/>
                <w:lang w:eastAsia="zh-CN"/>
              </w:rPr>
              <w:t xml:space="preserve"> </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基础</w:t>
            </w:r>
            <w:r>
              <w:rPr>
                <w:rFonts w:hint="eastAsia" w:ascii="宋体" w:hAnsi="宋体" w:eastAsia="宋体" w:cs="宋体"/>
                <w:color w:val="auto"/>
                <w:sz w:val="24"/>
                <w:szCs w:val="24"/>
              </w:rPr>
              <w:t xml:space="preserve">维护人员</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负责内外场信息化设备及监控技防设施维护，高低压作业，高处作业等</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2人</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实质响应条款；</w:t>
            </w:r>
            <w:r>
              <w:rPr>
                <w:rFonts w:ascii="宋体" w:hAnsi="宋体" w:eastAsia="宋体" w:cs="宋体"/>
                <w:color w:val="auto"/>
                <w:sz w:val="24"/>
                <w:szCs w:val="24"/>
                <w:lang w:eastAsia="zh-CN"/>
              </w:rPr>
              <w:t xml:space="preserve"> </w:t>
            </w:r>
            <w:r/>
          </w:p>
        </w:tc>
      </w:tr>
      <w:tr>
        <w:trPr>
          <w:trHeight w:val="90"/>
        </w:trPr>
        <w:tc>
          <w:tcPr>
            <w:tcW w:w="533"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W w:w="1356"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应急队伍人员</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负责内外场信息化设备及监控技防设施维护，高低压作业，高处作业等</w:t>
            </w:r>
            <w:r/>
          </w:p>
        </w:tc>
        <w:tc>
          <w:tcPr>
            <w:tcW w:w="804"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若干</w:t>
            </w:r>
            <w:r/>
          </w:p>
        </w:tc>
        <w:tc>
          <w:tcPr>
            <w:tcW w:w="2319"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非实质响应条款；</w:t>
            </w:r>
            <w:r/>
          </w:p>
        </w:tc>
      </w:tr>
      <w:tr>
        <w:trPr>
          <w:trHeight w:val="453"/>
        </w:trPr>
        <w:tc>
          <w:tcPr>
            <w:tcW w:w="533"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9</w:t>
            </w:r>
            <w:r/>
          </w:p>
        </w:tc>
        <w:tc>
          <w:tcPr>
            <w:tcW w:w="135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基础</w:t>
            </w:r>
            <w:r>
              <w:rPr>
                <w:rFonts w:hint="eastAsia" w:ascii="宋体" w:hAnsi="宋体" w:eastAsia="宋体" w:cs="宋体"/>
                <w:color w:val="auto"/>
                <w:sz w:val="24"/>
                <w:szCs w:val="24"/>
              </w:rPr>
              <w:t xml:space="preserve">维修车辆</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进行技防维修，须登高作业。</w:t>
            </w:r>
            <w:r/>
          </w:p>
        </w:tc>
        <w:tc>
          <w:tcPr>
            <w:tcW w:w="804"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rPr>
              <w:t xml:space="preserve">辆</w:t>
            </w:r>
            <w:r/>
          </w:p>
        </w:tc>
        <w:tc>
          <w:tcPr>
            <w:tcW w:w="2319" w:type="dxa"/>
            <w:vAlign w:val="center"/>
            <w:textDirection w:val="lrTb"/>
            <w:noWrap w:val="false"/>
          </w:tcPr>
          <w:p>
            <w:pPr>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7*24小时响应服务 </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实质响应条款；</w:t>
            </w:r>
            <w:r>
              <w:rPr>
                <w:rFonts w:ascii="宋体" w:hAnsi="宋体" w:eastAsia="宋体" w:cs="宋体"/>
                <w:color w:val="auto"/>
                <w:sz w:val="24"/>
                <w:szCs w:val="24"/>
                <w:lang w:eastAsia="zh-CN"/>
              </w:rPr>
              <w:t xml:space="preserve"> </w:t>
            </w:r>
            <w:r/>
          </w:p>
        </w:tc>
      </w:tr>
      <w:tr>
        <w:trPr>
          <w:trHeight w:val="453"/>
        </w:trPr>
        <w:tc>
          <w:tcPr>
            <w:tcW w:w="533" w:type="dxa"/>
            <w:vAlign w:val="center"/>
            <w:textDirection w:val="lrTb"/>
            <w:noWrap w:val="false"/>
          </w:tcPr>
          <w:p>
            <w:pPr>
              <w:spacing w:line="240" w:lineRule="auto"/>
              <w:rPr>
                <w:rStyle w:val="783"/>
                <w:rFonts w:ascii="Calibri" w:hAnsi="Calibri" w:eastAsia="宋体"/>
                <w:color w:val="auto"/>
                <w:lang w:eastAsia="zh-CN"/>
              </w:rPr>
            </w:pPr>
            <w:r>
              <w:rPr>
                <w:rStyle w:val="783"/>
                <w:rFonts w:ascii="Calibri" w:hAnsi="Calibri" w:eastAsia="宋体"/>
                <w:color w:val="auto"/>
                <w:lang w:eastAsia="zh-CN"/>
              </w:rPr>
              <w:t xml:space="preserve">10</w:t>
            </w:r>
            <w:r/>
          </w:p>
        </w:tc>
        <w:tc>
          <w:tcPr>
            <w:tcW w:w="135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应急队伍</w:t>
            </w:r>
            <w:r>
              <w:rPr>
                <w:rFonts w:hint="eastAsia" w:ascii="宋体" w:hAnsi="宋体" w:eastAsia="宋体" w:cs="宋体"/>
                <w:color w:val="auto"/>
                <w:sz w:val="24"/>
                <w:szCs w:val="24"/>
              </w:rPr>
              <w:t xml:space="preserve">车辆</w:t>
            </w:r>
            <w:r/>
          </w:p>
        </w:tc>
        <w:tc>
          <w:tcPr>
            <w:tcW w:w="2076"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进行技防维修或登高作业等维修工作</w:t>
            </w:r>
            <w:r/>
          </w:p>
        </w:tc>
        <w:tc>
          <w:tcPr>
            <w:tcW w:w="804"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若干</w:t>
            </w:r>
            <w:r/>
          </w:p>
        </w:tc>
        <w:tc>
          <w:tcPr>
            <w:tcW w:w="2319" w:type="dxa"/>
            <w:vAlign w:val="center"/>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7*24小时响应服务</w:t>
            </w:r>
            <w:r/>
          </w:p>
        </w:tc>
        <w:tc>
          <w:tcPr>
            <w:tcW w:w="1843" w:type="dxa"/>
            <w:textDirection w:val="lrTb"/>
            <w:noWrap w:val="false"/>
          </w:tcPr>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非实质响应条款；</w:t>
            </w:r>
            <w:r/>
          </w:p>
        </w:tc>
      </w:tr>
      <w:tr>
        <w:trPr>
          <w:trHeight w:val="969"/>
        </w:trPr>
        <w:tc>
          <w:tcPr>
            <w:gridSpan w:val="6"/>
            <w:tcW w:w="8931" w:type="dxa"/>
            <w:vAlign w:val="center"/>
            <w:textDirection w:val="lrTb"/>
            <w:noWrap w:val="false"/>
          </w:tcPr>
          <w:p>
            <w:pPr>
              <w:ind w:firstLine="480"/>
              <w:spacing w:after="0" w:line="240" w:lineRule="auto"/>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项目特殊性，投标供应商在投标文件中提供服务承诺书，承诺中标后按照招标文件要求配备专业驻场服务人员（6人），中标后提供单位和人员对应表，派驻现场前由公安机关核验对应公安信息化企业合作单位和人员资质以及其他安全问题。</w:t>
            </w:r>
            <w:r>
              <w:rPr>
                <w:rFonts w:hint="eastAsia" w:ascii="宋体" w:hAnsi="宋体" w:eastAsia="宋体" w:cs="宋体"/>
                <w:b/>
                <w:bCs/>
                <w:color w:val="auto"/>
                <w:sz w:val="24"/>
                <w:szCs w:val="24"/>
                <w:lang w:eastAsia="zh-CN"/>
              </w:rPr>
              <w:t xml:space="preserve">服务承诺书，格式自拟，不提供视为未响应。</w:t>
            </w:r>
            <w:r/>
          </w:p>
          <w:p>
            <w:pPr>
              <w:ind w:firstLine="480"/>
              <w:spacing w:after="0" w:line="240" w:lineRule="auto"/>
              <w:rPr>
                <w:rFonts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2.所有本项目的专业驻场服务人员、项目经理、基础维护人员和其他承诺驻场人员必须签订相关保密责任书，所有人员通过公安机关安全审查后方可上岗。</w:t>
            </w:r>
            <w:r>
              <w:rPr>
                <w:rFonts w:hint="eastAsia" w:ascii="宋体" w:hAnsi="宋体" w:eastAsia="宋体" w:cs="宋体"/>
                <w:b/>
                <w:bCs/>
                <w:color w:val="auto"/>
                <w:sz w:val="24"/>
                <w:szCs w:val="24"/>
                <w:lang w:eastAsia="zh-CN"/>
              </w:rPr>
              <w:t xml:space="preserve">投标单位需要在标书中提供承诺书，格式自拟，不提供视为未响应。</w:t>
            </w:r>
            <w:r/>
          </w:p>
          <w:p>
            <w:pPr>
              <w:ind w:firstLine="480"/>
              <w:spacing w:after="0" w:line="240" w:lineRule="auto"/>
              <w:rPr>
                <w:rFonts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经理和基础维护人员需提供由投标人或投标人下属分支机构缴纳的开标前三个月社保证明复印件，基础维护人员须满足电工作业人员一位（高压、低压皆可）和高处作业人员一位（持证人员可重复计算），须提供有效期内相关作业证件复印件加盖单位公章。</w:t>
            </w:r>
            <w:r>
              <w:rPr>
                <w:rFonts w:hint="eastAsia" w:ascii="宋体" w:hAnsi="宋体" w:eastAsia="宋体" w:cs="宋体"/>
                <w:b/>
                <w:bCs/>
                <w:color w:val="auto"/>
                <w:sz w:val="24"/>
                <w:szCs w:val="24"/>
                <w:lang w:eastAsia="zh-CN"/>
              </w:rPr>
              <w:t xml:space="preserve">不提供视为未响应。</w:t>
            </w:r>
            <w:r/>
          </w:p>
          <w:p>
            <w:pPr>
              <w:ind w:firstLine="480"/>
              <w:spacing w:after="0" w:line="240" w:lineRule="auto"/>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w:t>
            </w:r>
            <w:r>
              <w:rPr>
                <w:rFonts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CN"/>
              </w:rPr>
              <w:t xml:space="preserve">需提供基础维修车辆（需带自动升降设备满足登高作业要求）的行驶证复印件(车辆所属单位应与投标单位或其分支机构一致)或有效期内正规租赁合同。</w:t>
            </w:r>
            <w:r/>
          </w:p>
        </w:tc>
      </w:tr>
    </w:tbl>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6.2、维护单位应制定维护计划，落实维护各个环节，落实好维护范围内所有设备的维护、保养和运行维护工作，保证设备机械性能良好、电气特性符合标准要求、设备运行正常、稳定，数据及时准确，技术资料、原始记录齐全。维护人员应相对固定，有变动需要及时报备审查，且24小时有人值守，认真填写值班日志，并做到维护人员在故障突发时随叫随到。</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6.3、在日常维护中要做好维护记录，并每月一次向太仓市公安局上报维护情况表；对于更换设备，必须通过甲方确认，双方签署设备更换确认单，在实际的维护工作中，系统设备更换维护的数量按实结算，乙方提供采购价格明细表，并每月提交主管单位公示。</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6.4、当有故障发生时，维护单位必须立即采取措施排除故障，不得以任何理由拖延、推诿和隐瞒。每个前端监控点或抓拍卡口设备年度所发生的不可用时间不得大于15 天（光纤问题由运行商确认后除外）。高清抓拍维护应当包括相应的闪光灯、补光灯的调试维护，确保过车抓拍率达到99%，车牌识别率达到99%，且能较清晰捕捉车辆前排人员脸部特征和衣着特征，无法达到的必须及时修复，所需要的额外费用由中标单位承担。监控画面需要清晰且无遮挡</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6.5、甲方有特殊需要时，维护单位必须随叫随到，未经许可，必须在1.5个小时内到达现场，紧急故障4小时内修复；一般故障应于12小时内响应，并进行现场维修,24小时内修复故障。</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6.6、维护单位必须建立健全企业维护技术资料：</w:t>
      </w:r>
      <w:r/>
    </w:p>
    <w:p>
      <w:pPr>
        <w:pStyle w:val="747"/>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6.6.1、妥善保管各种图纸、说明书和有关资料，集中存放，由专人定期整理。设备调拨时有关资料应随机转移，不得扣留或抽取插页。</w:t>
      </w:r>
      <w:r/>
    </w:p>
    <w:p>
      <w:pPr>
        <w:pStyle w:val="747"/>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6.6.2、按行业规范采购一定数量的备件备品，对不能修复的设备进行更换，确保设备正常运行。建立企业定期维护记录表及维护日志，妥善保存启用、停用、大修、故障及重要测试数据。</w:t>
      </w:r>
      <w:r/>
    </w:p>
    <w:p>
      <w:pPr>
        <w:pStyle w:val="747"/>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6.6.3、各种记录在当月工作完成后要及时整理。每年的作业计划、报表和记录要装订成册，标识明确。</w:t>
      </w:r>
      <w:r/>
    </w:p>
    <w:p>
      <w:pPr>
        <w:pStyle w:val="747"/>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6.6.4、各种维护报表、值班记录，要妥善保存。中标方提供服务项目组组成人员名单、常规服务、维护档案、服务建议等；</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6.7维保服务要求：</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如发生一般故障，在采购方发出通知后，中标方应于12小时内响应，并进行现场维修,24小时内修复故障。出现严重故障或大部分故障导致严重影响甲方工作的，中标方应1.5小时内到达现场，并及时修复故障。若发生重大安保、维稳、重要案事件，应甲方要求，中标方应中标方应1.5小时内到达现场，并进行必要的安装、修复等维护服务。</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当设备及其承载的系统发生故障，用户方向中标单位提出故障响应请求后，若故障导致系统不能运行中标单位应在24小时内恢复系统；若故障不影响系统运行则中标单位应在48小时内恢复系统；若故障是由于电力供应或光缆引起的故障，则对中标单位响应时间从电力供应或光缆修复后开始计算。中标方应承担因操作失误等造成故障扩大、数据损坏、误操作等的赔偿和安全责任。</w:t>
      </w:r>
      <w:r/>
    </w:p>
    <w:p>
      <w:pPr>
        <w:pStyle w:val="759"/>
        <w:spacing w:line="400" w:lineRule="exact"/>
        <w:rPr>
          <w:rFonts w:hAnsi="宋体" w:eastAsia="宋体" w:cs="宋体"/>
          <w:sz w:val="24"/>
          <w:szCs w:val="24"/>
          <w:lang w:eastAsia="zh-CN"/>
        </w:rPr>
      </w:pPr>
      <w:r>
        <w:rPr>
          <w:rFonts w:hAnsi="宋体" w:eastAsia="宋体" w:cs="宋体"/>
          <w:sz w:val="24"/>
          <w:szCs w:val="24"/>
          <w:lang w:eastAsia="zh-CN"/>
        </w:rPr>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因客观因素无法解决的,应设有专门的维修备用机,万一出现不能当场排除的硬件故障时（线路故障、道路改造除外）,用不低于故障机配置的周转机供用户使用。</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6.8 系统硬件设备的完好率</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系统硬件设备的完好率是指社会治安监控和抓拍卡口治安监控在系统平台正常运行的状态下，系统前端设备保持正常运行状态所占的比例。主要用来考核前端监控点及卡点监控的正常运行状态。本标书中要求太仓市社会治安监控系统和抓拍卡口监控系统的设备完好率达到98%以上（包括98%）。</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6.9 系统的维护质量和服务满意度</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系统的维护质量和服务满意度是指甲方对中标方所做的关于太仓市社会治安监控系统和抓拍卡口监控系统维护工作的质量评价和和服务满意度的评价。系统的维护质量和服务满意度分为不满意、基本满意、满意和非常满意四个等次。本标书中要求太仓市社会治安监控系统和抓拍卡口监控系统的维护质量和服务满意度达到基本满意以上，若满意度为不满意的，在下一年不得参与太仓市公安局治安监控维护工作。</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6.10系统配件的质量</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系统所维修的配件必须是同型号的，如因备件原因无法更换原型号的，必须选用比原型号的性能指标高，功能更完善的产品替代。改型替代前须向甲方报备。新更换产品保修1年以上。</w:t>
      </w:r>
      <w:r/>
    </w:p>
    <w:p>
      <w:pPr>
        <w:pStyle w:val="745"/>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7、相关职责</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7.1、维护单位按照维护内容、要求和考核细则，设专人负责监控点的运行维护工作，并接受公安局的检查和考核。维护单位要求向甲方提供维修人员的联系方式，负责内容及使用的维修车辆等有关资料。</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7.2、甲方需配合维护单位做好维护工作，太仓市公安局负责有关协调工作。</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7.3、中标方需做好维修过程中的数据保密工作，对于存储资料的设备，比如：硬盘、DVR/NVR、服务器、数据库等的维修，原则上要求在现场维修，对于需要带回中标方公司进行维修的，严禁将带回的设备接入Internet。设备内部资料严禁私自刻录，拷贝，更不得通过各种途径进行传播。对于信息化系统相关数据，必须严格按照公安机关有关信息化保密规定操作，签订相关公司、人员保密协议，一律不得对外拷贝传播。</w:t>
      </w:r>
      <w:r/>
    </w:p>
    <w:p>
      <w:pPr>
        <w:spacing w:line="40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745"/>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8、维护考核</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为了保证公安相关工作顺利高效的进行，我局根据社会治安监控系统、卡口监控系统维护以及公安机关相关业务服务器的维护特点，将维护金额纳入维护考核，并依据考核结果，按合同约定结付维护金额或终止维护合同。</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8.1、考核依据</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A、系统故障管理应当有文字或者网站记录，必须对故障发生的时间、故障情况、处理措施、维护人员等进行详实记录。</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B、中标方维护工程师每次的故障处理，必须由系统使用方值班人员与维护工程师双方签字确认。</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C、维护方必须每月提供一份截至本月末监控故障点的汇总报表，该报表作为考核的依据。</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D、系统的正常维护需遵守中标方投标时的维护响应及处理承诺。</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8.2、绩效考核方式</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w:t>
      </w:r>
      <w:r/>
    </w:p>
    <w:p>
      <w:pPr>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对维护项目中规定时间完成的建设维护任务，将按照合同约定处理。</w:t>
      </w:r>
      <w:r/>
    </w:p>
    <w:p>
      <w:pPr>
        <w:pStyle w:val="745"/>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9、履约保证金</w:t>
      </w:r>
      <w:r/>
    </w:p>
    <w:p>
      <w:pPr>
        <w:ind w:firstLine="72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本项目无需缴纳履约保证金。</w:t>
      </w:r>
      <w:r/>
    </w:p>
    <w:p>
      <w:pPr>
        <w:pStyle w:val="745"/>
        <w:spacing w:line="400" w:lineRule="exact"/>
        <w:rPr>
          <w:rFonts w:ascii="宋体" w:hAnsi="宋体" w:eastAsia="宋体" w:cs="宋体"/>
          <w:b w:val="0"/>
          <w:bCs w:val="0"/>
          <w:color w:val="ff0000"/>
          <w:sz w:val="24"/>
          <w:szCs w:val="24"/>
          <w:lang w:eastAsia="zh-CN"/>
        </w:rPr>
      </w:pPr>
      <w:r>
        <w:rPr>
          <w:rFonts w:hint="eastAsia" w:ascii="宋体" w:hAnsi="宋体" w:eastAsia="宋体" w:cs="宋体"/>
          <w:b w:val="0"/>
          <w:bCs w:val="0"/>
          <w:sz w:val="24"/>
          <w:szCs w:val="24"/>
          <w:lang w:eastAsia="zh-CN"/>
        </w:rPr>
        <w:t xml:space="preserve">10、付款方式</w:t>
      </w:r>
      <w:r/>
    </w:p>
    <w:p>
      <w:pPr>
        <w:pStyle w:val="954"/>
        <w:ind w:firstLine="480"/>
        <w:spacing w:line="400" w:lineRule="exact"/>
        <w:rPr>
          <w:rFonts w:eastAsia="宋体" w:cs="宋体"/>
          <w:sz w:val="24"/>
          <w:szCs w:val="24"/>
          <w:lang w:eastAsia="zh-CN"/>
        </w:rPr>
      </w:pPr>
      <w:r>
        <w:rPr>
          <w:rFonts w:hint="eastAsia" w:eastAsia="宋体" w:cs="宋体"/>
          <w:sz w:val="24"/>
          <w:szCs w:val="24"/>
          <w:lang w:eastAsia="zh-CN"/>
        </w:rPr>
        <w:t xml:space="preserve">合同签订生效后10个工作日内支付人民币</w:t>
      </w:r>
      <w:r>
        <w:rPr>
          <w:rFonts w:hint="eastAsia" w:eastAsia="宋体" w:cs="宋体"/>
          <w:sz w:val="24"/>
          <w:szCs w:val="24"/>
          <w:u w:val="single"/>
          <w:lang w:eastAsia="zh-CN"/>
        </w:rPr>
        <w:t xml:space="preserve">贰佰肆拾万元</w:t>
      </w:r>
      <w:r>
        <w:rPr>
          <w:rFonts w:hint="eastAsia" w:eastAsia="宋体" w:cs="宋体"/>
          <w:sz w:val="24"/>
          <w:szCs w:val="24"/>
          <w:lang w:eastAsia="zh-CN"/>
        </w:rPr>
        <w:t xml:space="preserve">整</w:t>
      </w:r>
      <w:r>
        <w:rPr>
          <w:rFonts w:hint="eastAsia" w:eastAsia="宋体" w:cs="宋体"/>
          <w:sz w:val="24"/>
          <w:szCs w:val="24"/>
          <w:lang w:eastAsia="zh-CN"/>
        </w:rPr>
        <w:t xml:space="preserve">（小写：￥</w:t>
      </w:r>
      <w:r>
        <w:rPr>
          <w:rFonts w:eastAsia="宋体" w:cs="宋体"/>
          <w:sz w:val="24"/>
          <w:szCs w:val="24"/>
          <w:lang w:eastAsia="zh-CN"/>
        </w:rPr>
        <w:t xml:space="preserve">240</w:t>
      </w:r>
      <w:r>
        <w:rPr>
          <w:rFonts w:hint="eastAsia" w:eastAsia="宋体" w:cs="宋体"/>
          <w:sz w:val="24"/>
          <w:szCs w:val="24"/>
          <w:lang w:eastAsia="zh-CN"/>
        </w:rPr>
        <w:t xml:space="preserve">0000.00）；维护期限及免费保修期届满并经验收合格后10个工作日内根据考核结果支付剩余款项。具体时间以财政资金下达情况为准。</w:t>
      </w:r>
      <w:r/>
    </w:p>
    <w:p>
      <w:pPr>
        <w:pStyle w:val="954"/>
        <w:ind w:firstLine="480"/>
        <w:spacing w:line="400" w:lineRule="exact"/>
        <w:rPr>
          <w:rFonts w:eastAsia="宋体" w:cs="宋体"/>
          <w:sz w:val="24"/>
          <w:szCs w:val="24"/>
          <w:lang w:eastAsia="zh-CN"/>
        </w:rPr>
      </w:pPr>
      <w:r>
        <w:rPr>
          <w:rFonts w:hint="eastAsia" w:eastAsia="宋体" w:cs="宋体"/>
          <w:sz w:val="24"/>
          <w:szCs w:val="24"/>
          <w:lang w:eastAsia="zh-CN"/>
        </w:rPr>
        <w:t xml:space="preserve">本服务需要投（中）标单位自行安排现场踏勘，甲方不提供踏勘服务，涉及费用由投标单位自行解决。</w:t>
      </w:r>
      <w:r/>
    </w:p>
    <w:p>
      <w:pPr>
        <w:pStyle w:val="744"/>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（四）维保服务要求</w:t>
      </w:r>
      <w:r/>
    </w:p>
    <w:p>
      <w:pPr>
        <w:pStyle w:val="745"/>
        <w:spacing w:line="400" w:lineRule="exact"/>
        <w:rPr>
          <w:rFonts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eastAsia="zh-CN"/>
        </w:rPr>
        <w:t xml:space="preserve">1、维保服务期限：一年，具体起止时间以合同约定为准。</w:t>
      </w:r>
      <w:r/>
    </w:p>
    <w:p>
      <w:pPr>
        <w:pStyle w:val="745"/>
        <w:spacing w:line="400" w:lineRule="exact"/>
        <w:rPr>
          <w:rFonts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2、系统维保目标及总体要求</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2.1中标单位需保证采购单位规定的维保范围内的各系统的软硬件7*24小时的正常运行及交办的其它事项。</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2.2中标单位必须对涉及公安业务的程序、数据及相关信息等进行保密，不得擅自拷贝、传播、向他人透露。</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2.3中标单位应制定详细、合理、科学的维修保养方案及实施措施，针对维保设备实际运行情况，提供人员及技术保障、备品备件。</w:t>
      </w:r>
      <w:r/>
    </w:p>
    <w:p>
      <w:pPr>
        <w:pStyle w:val="746"/>
        <w:spacing w:line="400" w:lineRule="exact"/>
        <w:rPr>
          <w:rFonts w:ascii="宋体" w:hAnsi="宋体" w:eastAsia="宋体" w:cs="宋体"/>
          <w:b w:val="0"/>
          <w:bCs w:val="0"/>
          <w:lang w:eastAsia="zh-CN"/>
        </w:rPr>
      </w:pPr>
      <w:r>
        <w:rPr>
          <w:rFonts w:hint="eastAsia" w:ascii="宋体" w:hAnsi="宋体" w:eastAsia="宋体" w:cs="宋体"/>
          <w:b w:val="0"/>
          <w:bCs w:val="0"/>
          <w:lang w:eastAsia="zh-CN"/>
        </w:rPr>
        <w:t xml:space="preserve">2.4 投标单位投标文件中的技术需求响应和设备响应必须完全真实，若有违反，采购人有权废除本次招标合同，退回所有产品，重新采购，中标单位需要退回所收款项，造成的损失由中标人自行承担，并承担相应后果，甲方保留追究中标方法律责任的权利。</w:t>
      </w:r>
      <w:r/>
    </w:p>
    <w:p>
      <w:pPr>
        <w:ind w:firstLine="200"/>
        <w:jc w:val="both"/>
        <w:spacing w:line="400" w:lineRule="exact"/>
        <w:rPr>
          <w:rStyle w:val="943"/>
          <w:rFonts w:ascii="宋体" w:hAnsi="宋体" w:cs="宋体"/>
          <w:sz w:val="24"/>
          <w:szCs w:val="24"/>
          <w:lang w:eastAsia="zh-CN"/>
        </w:rPr>
      </w:pPr>
      <w:r>
        <w:rPr>
          <w:rFonts w:ascii="宋体" w:hAnsi="宋体" w:cs="宋体"/>
          <w:sz w:val="24"/>
          <w:szCs w:val="24"/>
          <w:lang w:eastAsia="zh-CN"/>
        </w:rPr>
      </w:r>
      <w:r/>
    </w:p>
    <w:p>
      <w:pPr>
        <w:pStyle w:val="934"/>
        <w:spacing w:line="440" w:lineRule="exact"/>
        <w:rPr>
          <w:rFonts w:hAnsi="宋体" w:eastAsia="宋体" w:cs="宋体"/>
          <w:sz w:val="24"/>
          <w:szCs w:val="24"/>
          <w:lang w:eastAsia="zh-CN"/>
        </w:rPr>
        <w:outlineLvl w:val="1"/>
      </w:pPr>
      <w:r>
        <w:rPr>
          <w:rFonts w:hint="eastAsia" w:hAnsi="宋体" w:eastAsia="宋体" w:cs="宋体"/>
          <w:sz w:val="24"/>
          <w:szCs w:val="24"/>
          <w:lang w:eastAsia="zh-CN"/>
        </w:rPr>
        <w:t xml:space="preserve">三、投标报价要求</w:t>
      </w:r>
      <w:r/>
    </w:p>
    <w:p>
      <w:pPr>
        <w:pStyle w:val="942"/>
        <w:ind w:firstLine="480"/>
        <w:spacing w:line="440" w:lineRule="exact"/>
        <w:rPr>
          <w:rFonts w:ascii="宋体" w:hAnsi="宋体" w:eastAsia="宋体" w:cs="宋体"/>
          <w:szCs w:val="24"/>
          <w:lang w:eastAsia="zh-CN"/>
        </w:rPr>
      </w:pPr>
      <w:r>
        <w:rPr>
          <w:rFonts w:hint="eastAsia" w:ascii="宋体" w:hAnsi="宋体" w:eastAsia="宋体" w:cs="宋体"/>
          <w:szCs w:val="24"/>
          <w:lang w:eastAsia="zh-CN"/>
        </w:rPr>
        <w:t xml:space="preserve">1、投标人须对本项目中的所有内容进行投报，否则作无效投标处理。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本项目的所有费用，包括但不限于本项目所有承包期内需要的人工费（包括人员工资、社保、意外保险费），通讯工具、服装、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left="20"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r/>
    </w:p>
    <w:p>
      <w:pPr>
        <w:ind w:left="20"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5、本项目不收取履约保证金。</w:t>
      </w:r>
      <w:r/>
    </w:p>
    <w:p>
      <w:pPr>
        <w:jc w:val="both"/>
        <w:spacing w:line="400" w:lineRule="exact"/>
        <w:widowControl w:val="off"/>
        <w:tabs>
          <w:tab w:val="left" w:pos="540" w:leader="none"/>
        </w:tabs>
        <w:rPr>
          <w:rFonts w:ascii="宋体" w:hAnsi="宋体" w:eastAsia="宋体" w:cs="宋体"/>
          <w:sz w:val="24"/>
          <w:szCs w:val="24"/>
          <w:lang w:eastAsia="zh-CN"/>
        </w:rPr>
      </w:pPr>
      <w:r>
        <w:rPr>
          <w:rFonts w:ascii="宋体" w:hAnsi="宋体" w:eastAsia="宋体" w:cs="宋体"/>
          <w:sz w:val="24"/>
          <w:szCs w:val="24"/>
          <w:lang w:eastAsia="zh-CN"/>
        </w:rPr>
      </w:r>
      <w:r/>
    </w:p>
    <w:p>
      <w:pPr>
        <w:spacing w:after="0"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四、凡涉及招标文件的补充说明和修改，均以苏州政府采购网、江苏省政府采购网发布的内容为准。</w:t>
      </w:r>
      <w:r/>
    </w:p>
    <w:p>
      <w:pPr>
        <w:jc w:val="center"/>
        <w:spacing w:before="240" w:after="240" w:line="439" w:lineRule="atLeast"/>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240" w:lineRule="auto"/>
        <w:rPr>
          <w:rFonts w:ascii="宋体" w:hAnsi="宋体" w:eastAsia="宋体" w:cs="宋体"/>
          <w:b/>
          <w:color w:val="000000"/>
          <w:sz w:val="44"/>
          <w:lang w:eastAsia="zh-CN"/>
        </w:rPr>
      </w:pPr>
      <w:r>
        <w:rPr>
          <w:rFonts w:ascii="宋体" w:hAnsi="宋体" w:eastAsia="宋体" w:cs="宋体"/>
          <w:b/>
          <w:color w:val="000000"/>
          <w:sz w:val="44"/>
          <w:lang w:eastAsia="zh-CN"/>
        </w:rPr>
        <w:br w:type="page" w:clear="all"/>
      </w:r>
      <w:r/>
    </w:p>
    <w:p>
      <w:pPr>
        <w:pStyle w:val="742"/>
        <w:jc w:val="center"/>
        <w:rPr>
          <w:lang w:eastAsia="zh-CN"/>
        </w:rPr>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color w:val="000000"/>
          <w:sz w:val="24"/>
          <w:u w:val="single"/>
          <w:lang w:eastAsia="zh-CN"/>
        </w:rPr>
        <w:t xml:space="preserve">JSZC-320585-JZCG-G2024-0038</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投标承诺函</w:t>
      </w:r>
      <w:r/>
    </w:p>
    <w:p>
      <w:pPr>
        <w:ind w:firstLine="240"/>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2024年监控及信息化系统维保</w:t>
      </w:r>
      <w:r>
        <w:rPr>
          <w:rFonts w:ascii="宋体" w:hAnsi="宋体" w:eastAsia="宋体" w:cs="宋体"/>
          <w:color w:val="000000"/>
          <w:sz w:val="24"/>
          <w:lang w:eastAsia="zh-CN"/>
        </w:rPr>
        <w:t xml:space="preserve">招标文件（项目编号：</w:t>
      </w:r>
      <w:r>
        <w:rPr>
          <w:rFonts w:hint="eastAsia" w:ascii="宋体" w:hAnsi="宋体" w:eastAsia="宋体" w:cs="宋体"/>
          <w:b/>
          <w:color w:val="000000"/>
          <w:sz w:val="24"/>
          <w:u w:val="single"/>
          <w:lang w:eastAsia="zh-CN"/>
        </w:rPr>
        <w:t xml:space="preserve">JSZC-320585-JZCG-G2024-0038</w:t>
      </w:r>
      <w:r>
        <w:rPr>
          <w:rFonts w:ascii="宋体" w:hAnsi="宋体" w:eastAsia="宋体" w:cs="宋体"/>
          <w:color w:val="000000"/>
          <w:sz w:val="24"/>
          <w:lang w:eastAsia="zh-CN"/>
        </w:rPr>
        <w:t xml:space="preserve"> ），经仔细阅读和研究，我们决定参加投标。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致：苏州市公共资源交易中心太仓分中心：</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w:t>
      </w:r>
      <w:r>
        <w:rPr>
          <w:rFonts w:ascii="宋体" w:hAnsi="宋体" w:eastAsia="宋体" w:cs="宋体"/>
          <w:color w:val="000000"/>
          <w:sz w:val="24"/>
          <w:u w:val="single"/>
          <w:lang w:eastAsia="zh-CN"/>
        </w:rPr>
        <w:t xml:space="preserve">         （供应商名称）</w:t>
      </w:r>
      <w:r>
        <w:rPr>
          <w:rFonts w:ascii="宋体" w:hAnsi="宋体" w:eastAsia="宋体" w:cs="宋体"/>
          <w:color w:val="000000"/>
          <w:sz w:val="24"/>
          <w:lang w:eastAsia="zh-CN"/>
        </w:rPr>
        <w:t xml:space="preserve"> 在参加政府采购活动前三年内，没有重大违法记录，特此声明。</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供应商名称（单位公章）：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法定代表人（负责人）或代理人（签字或盖章）：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ascii="宋体" w:hAnsi="宋体" w:eastAsia="宋体" w:cs="宋体"/>
          <w:b/>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u w:val="single"/>
          <w:lang w:eastAsia="zh-CN"/>
        </w:rPr>
        <w:t xml:space="preserve">JSZC-320585-JZCG-G2024-0038</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color w:val="000000"/>
          <w:sz w:val="24"/>
          <w:lang w:eastAsia="zh-CN"/>
        </w:rPr>
        <w:t xml:space="preserve">JSZC-320585-JZCG-G2024-0038</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0"/>
        <w:gridCol w:w="489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2024年监控及信息化系统维保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元；</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小写：</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2、报价中的人员工资、人员社保不得低于太仓市政府规定的最低标准，其他费用符合法律规定，报价必须含税。</w:t>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420" w:lineRule="exact"/>
        <w:rPr>
          <w:rFonts w:ascii="宋体" w:hAnsi="宋体"/>
          <w:b/>
          <w:bCs/>
          <w:sz w:val="24"/>
          <w:szCs w:val="24"/>
          <w:lang w:eastAsia="zh-CN"/>
        </w:rPr>
      </w:pPr>
      <w:r>
        <w:rPr>
          <w:rFonts w:hint="eastAsia" w:ascii="宋体" w:hAnsi="宋体"/>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759"/>
        <w:ind w:firstLine="0"/>
        <w:rPr>
          <w:rFonts w:hAnsi="宋体"/>
          <w:sz w:val="24"/>
          <w:lang w:eastAsia="zh-CN"/>
        </w:rPr>
      </w:pPr>
      <w:r>
        <w:rPr>
          <w:rFonts w:hint="eastAsia" w:hAnsi="宋体"/>
          <w:sz w:val="24"/>
          <w:lang w:eastAsia="zh-CN"/>
        </w:rPr>
        <w:t xml:space="preserve">日期：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8、服务要求偏离表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服务要求偏离表</w:t>
      </w:r>
      <w:r/>
    </w:p>
    <w:p>
      <w:pPr>
        <w:jc w:val="center"/>
        <w:spacing w:after="0" w:line="85" w:lineRule="atLeast"/>
        <w:rPr>
          <w:rFonts w:ascii="宋体" w:hAnsi="宋体" w:eastAsia="宋体" w:cs="宋体"/>
          <w:b/>
          <w:color w:val="000000"/>
          <w:spacing w:val="2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r>
      <w:r/>
    </w:p>
    <w:tbl>
      <w:tblPr>
        <w:tblStyle w:val="75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2.若事项较多，投标人可根据响应内容的实际情况另纸说明。</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日期：年月日</w:t>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int="eastAsia" w:hAnsi="宋体"/>
          <w:b/>
          <w:bCs/>
          <w:sz w:val="32"/>
          <w:szCs w:val="32"/>
          <w:lang w:eastAsia="zh-CN"/>
        </w:rPr>
        <w:t xml:space="preserve">9、商务要求偏离表</w:t>
      </w:r>
      <w:r/>
    </w:p>
    <w:p>
      <w:pPr>
        <w:jc w:val="center"/>
        <w:spacing w:line="360" w:lineRule="auto"/>
        <w:rPr>
          <w:rFonts w:ascii="宋体" w:hAnsi="宋体"/>
          <w:b/>
          <w:spacing w:val="20"/>
          <w:sz w:val="32"/>
          <w:szCs w:val="32"/>
        </w:rPr>
      </w:pPr>
      <w:r>
        <w:rPr>
          <w:rFonts w:hint="eastAsia" w:ascii="宋体" w:hAnsi="宋体"/>
          <w:b/>
          <w:spacing w:val="20"/>
          <w:sz w:val="32"/>
          <w:szCs w:val="32"/>
        </w:rPr>
        <w:t xml:space="preserve">商务要求偏离表</w:t>
      </w:r>
      <w:r/>
    </w:p>
    <w:tbl>
      <w:tblPr>
        <w:tblStyle w:val="752"/>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53"/>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11、项目实施方案及进度方案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rPr>
          <w:rFonts w:ascii="宋体" w:hAnsi="宋体"/>
          <w:b/>
          <w:bCs/>
          <w:sz w:val="32"/>
          <w:szCs w:val="32"/>
          <w:lang w:eastAsia="zh-CN"/>
        </w:rPr>
      </w:pPr>
      <w:r>
        <w:rPr>
          <w:rFonts w:ascii="宋体" w:hAnsi="宋体"/>
          <w:b/>
          <w:bCs/>
          <w:sz w:val="32"/>
          <w:szCs w:val="32"/>
          <w:lang w:eastAsia="zh-CN"/>
        </w:rPr>
      </w:r>
      <w:r/>
    </w:p>
    <w:p>
      <w:pPr>
        <w:rPr>
          <w:rFonts w:ascii="宋体" w:hAnsi="宋体"/>
          <w:b/>
          <w:sz w:val="32"/>
          <w:szCs w:val="32"/>
          <w:lang w:eastAsia="zh-CN"/>
        </w:rPr>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75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pPr>
      <w:r>
        <w:rPr>
          <w:rFonts w:hint="eastAsia" w:ascii="宋体" w:hAnsi="宋体"/>
          <w:b/>
          <w:bCs/>
          <w:sz w:val="32"/>
          <w:szCs w:val="32"/>
          <w:lang w:eastAsia="zh-CN"/>
        </w:rPr>
        <w:t xml:space="preserve">15、拟投入本项目的专业技术（服务）人员情况一览表</w:t>
      </w:r>
      <w:r/>
    </w:p>
    <w:p>
      <w:pPr>
        <w:pStyle w:val="936"/>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752"/>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759"/>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759"/>
        <w:rPr>
          <w:sz w:val="24"/>
          <w:lang w:eastAsia="zh-CN"/>
        </w:rPr>
      </w:pPr>
      <w:r>
        <w:rPr>
          <w:rFonts w:hint="eastAsia" w:hAnsi="宋体"/>
          <w:sz w:val="24"/>
          <w:szCs w:val="24"/>
          <w:lang w:eastAsia="zh-CN"/>
        </w:rPr>
        <w:t xml:space="preserve">日期：年月日</w:t>
      </w:r>
      <w:r/>
    </w:p>
    <w:p>
      <w:pPr>
        <w:spacing w:line="360" w:lineRule="auto"/>
        <w:rPr>
          <w:rFonts w:ascii="宋体" w:hAnsi="宋体"/>
          <w:b/>
          <w:lang w:eastAsia="zh-CN"/>
        </w:rPr>
      </w:pPr>
      <w:r>
        <w:rPr>
          <w:rFonts w:ascii="宋体" w:hAnsi="宋体"/>
          <w:b/>
          <w:sz w:val="32"/>
          <w:szCs w:val="32"/>
          <w:lang w:eastAsia="zh-CN"/>
        </w:rPr>
        <w:t xml:space="preserve">1</w:t>
      </w:r>
      <w:r>
        <w:rPr>
          <w:rFonts w:hint="eastAsia" w:ascii="宋体" w:hAnsi="宋体"/>
          <w:b/>
          <w:sz w:val="32"/>
          <w:szCs w:val="32"/>
          <w:lang w:eastAsia="zh-CN"/>
        </w:rPr>
        <w:t xml:space="preserve">6、</w:t>
      </w:r>
      <w:r>
        <w:rPr>
          <w:rFonts w:hint="eastAsia" w:ascii="宋体" w:hAnsi="宋体"/>
          <w:b/>
          <w:sz w:val="28"/>
          <w:szCs w:val="32"/>
          <w:lang w:eastAsia="zh-CN"/>
        </w:rPr>
        <w:t xml:space="preserve">中小企业声明函    </w:t>
      </w:r>
      <w:r>
        <w:rPr>
          <w:rFonts w:hint="eastAsia" w:ascii="宋体" w:hAnsi="宋体"/>
          <w:b/>
          <w:sz w:val="32"/>
          <w:szCs w:val="32"/>
          <w:lang w:eastAsia="zh-CN"/>
        </w:rPr>
        <w:t xml:space="preserve">   </w:t>
      </w:r>
      <w:r>
        <w:rPr>
          <w:rFonts w:hint="eastAsia" w:ascii="宋体" w:hAnsi="宋体"/>
          <w:b/>
          <w:lang w:eastAsia="zh-CN"/>
        </w:rPr>
        <w:t xml:space="preserve">           </w:t>
      </w:r>
      <w:r/>
    </w:p>
    <w:p>
      <w:pPr>
        <w:jc w:val="center"/>
        <w:rPr>
          <w:rFonts w:ascii="宋体" w:hAnsi="宋体"/>
          <w:sz w:val="28"/>
          <w:szCs w:val="28"/>
          <w:lang w:eastAsia="zh-CN"/>
        </w:rPr>
      </w:pPr>
      <w:r>
        <w:rPr>
          <w:rFonts w:hint="eastAsia" w:ascii="宋体" w:hAnsi="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eastAsia="宋体"/>
          <w:sz w:val="24"/>
          <w:u w:val="single"/>
          <w:lang w:eastAsia="zh-CN"/>
        </w:rPr>
        <w:t xml:space="preserve"> </w:t>
      </w:r>
      <w:r>
        <w:rPr>
          <w:rFonts w:hint="eastAsia" w:ascii="宋体" w:hAnsi="宋体"/>
          <w:i/>
          <w:sz w:val="24"/>
          <w:u w:val="single"/>
          <w:lang w:eastAsia="zh-CN"/>
        </w:rPr>
        <w:t xml:space="preserve"> </w:t>
      </w:r>
      <w:r>
        <w:rPr>
          <w:rFonts w:hint="eastAsia" w:ascii="宋体" w:hAnsi="宋体"/>
          <w:b/>
          <w:bCs/>
          <w:i/>
          <w:sz w:val="24"/>
          <w:u w:val="single"/>
          <w:lang w:eastAsia="zh-CN"/>
        </w:rPr>
        <w:t xml:space="preserve">太仓市公安局</w:t>
      </w:r>
      <w:r>
        <w:rPr>
          <w:rFonts w:hint="eastAsia" w:ascii="宋体" w:hAnsi="宋体"/>
          <w:i/>
          <w:sz w:val="24"/>
          <w:u w:val="single"/>
          <w:lang w:eastAsia="zh-CN"/>
        </w:rPr>
        <w:t xml:space="preserve">  </w:t>
      </w:r>
      <w:r>
        <w:rPr>
          <w:rFonts w:ascii="宋体" w:hAnsi="宋体"/>
          <w:sz w:val="24"/>
          <w:lang w:eastAsia="zh-CN"/>
        </w:rPr>
        <w:t xml:space="preserve">的</w:t>
      </w:r>
      <w:r>
        <w:rPr>
          <w:rFonts w:hint="eastAsia" w:ascii="宋体" w:hAnsi="宋体" w:eastAsia="宋体"/>
          <w:sz w:val="24"/>
          <w:u w:val="single"/>
          <w:lang w:eastAsia="zh-CN"/>
        </w:rPr>
        <w:t xml:space="preserve">  </w:t>
      </w:r>
      <w:r>
        <w:rPr>
          <w:rFonts w:hint="eastAsia" w:ascii="宋体" w:hAnsi="宋体"/>
          <w:b/>
          <w:bCs/>
          <w:i/>
          <w:sz w:val="24"/>
          <w:u w:val="single"/>
          <w:lang w:eastAsia="zh-CN"/>
        </w:rPr>
        <w:t xml:space="preserve">2024年监控及信息化系统维保  编号JSZC-320585-JZCG-G2024-0038     </w:t>
      </w:r>
      <w:r>
        <w:rPr>
          <w:rFonts w:ascii="宋体" w:hAnsi="宋体"/>
          <w:sz w:val="24"/>
          <w:lang w:eastAsia="zh-CN"/>
        </w:rPr>
        <w:t xml:space="preserve">采购活动，服务全部由符合政策要求的中小企业承接。相关企业的具体情况如下：</w:t>
      </w:r>
      <w:r/>
    </w:p>
    <w:p>
      <w:pPr>
        <w:ind w:firstLine="480"/>
        <w:spacing w:after="0" w:line="440" w:lineRule="exac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(十二)软件和信息技术服务业  </w:t>
      </w:r>
      <w:r>
        <w:rPr>
          <w:rFonts w:hint="eastAsia" w:ascii="宋体" w:hAnsi="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(十二)软件和信息技术服务业  </w:t>
      </w:r>
      <w:r>
        <w:rPr>
          <w:rFonts w:hint="eastAsia" w:ascii="宋体" w:hAnsi="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1084"/>
        <w:jc w:val="both"/>
        <w:spacing w:after="0" w:line="85" w:lineRule="atLeas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40"/>
        <w:spacing w:after="0" w:line="440" w:lineRule="exact"/>
        <w:rPr>
          <w:rFonts w:ascii="宋体" w:hAnsi="宋体" w:eastAsia="宋体" w:cs="宋体"/>
          <w:sz w:val="24"/>
          <w:szCs w:val="24"/>
          <w:lang w:eastAsia="zh-CN"/>
        </w:rPr>
      </w:pP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17、残疾人福利性单位声明函（如有）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spacing w:after="0"/>
        <w:rPr>
          <w:rFonts w:eastAsiaTheme="minorEastAsia"/>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742"/>
        <w:jc w:val="center"/>
        <w:rPr>
          <w:lang w:eastAsia="zh-CN"/>
        </w:rPr>
      </w:pPr>
      <w:r>
        <w:rPr>
          <w:rFonts w:hint="eastAsia" w:ascii="宋体" w:hAnsi="宋体" w:eastAsia="宋体" w:cs="宋体"/>
          <w:b/>
          <w:color w:val="000000"/>
          <w:sz w:val="44"/>
          <w:lang w:eastAsia="zh-CN"/>
        </w:rPr>
        <w:t xml:space="preserve">第五部分</w:t>
      </w:r>
      <w:r>
        <w:rPr>
          <w:rFonts w:ascii="宋体" w:hAnsi="宋体" w:eastAsia="宋体" w:cs="宋体"/>
          <w:b/>
          <w:color w:val="000000"/>
          <w:sz w:val="44"/>
          <w:lang w:eastAsia="zh-CN"/>
        </w:rPr>
        <w:br w:type="textWrapping" w:clear="all"/>
      </w:r>
      <w:r>
        <w:rPr>
          <w:rFonts w:ascii="宋体" w:hAnsi="宋体" w:eastAsia="宋体" w:cs="宋体"/>
          <w:b/>
          <w:color w:val="000000"/>
          <w:sz w:val="44"/>
          <w:lang w:eastAsia="zh-CN"/>
        </w:rPr>
        <w:t xml:space="preserve">评标方法与评标标准</w:t>
      </w:r>
      <w:r/>
    </w:p>
    <w:p>
      <w:pPr>
        <w:ind w:firstLine="422"/>
        <w:jc w:val="both"/>
        <w:spacing w:after="0" w:line="439" w:lineRule="atLeast"/>
        <w:rPr>
          <w:rFonts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r>
      <w:r/>
    </w:p>
    <w:p>
      <w:pPr>
        <w:ind w:firstLine="42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评标方法</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三、评标委员会各成员独立对每个进入打分程序的有效投标人的标书以打分的形式进行评审和评价（计算结果均四舍五入保留两位小数）。</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五、中小企业相关政策：</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专门面向中小企业采购的项目，不再执行价格评审优惠的扶持政策。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lang w:eastAsia="zh-CN"/>
        </w:rPr>
        <w:t xml:space="preserve">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评分标准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一、价格分</w:t>
      </w:r>
      <w:r>
        <w:rPr>
          <w:rFonts w:hint="eastAsia" w:ascii="宋体" w:hAnsi="宋体" w:eastAsia="宋体" w:cs="宋体"/>
          <w:b/>
          <w:color w:val="000000"/>
          <w:sz w:val="24"/>
          <w:lang w:eastAsia="zh-CN"/>
        </w:rPr>
        <w:t xml:space="preserve">2</w:t>
      </w:r>
      <w:r>
        <w:rPr>
          <w:rFonts w:ascii="宋体" w:hAnsi="宋体" w:eastAsia="宋体" w:cs="宋体"/>
          <w:b/>
          <w:color w:val="000000"/>
          <w:sz w:val="24"/>
          <w:lang w:eastAsia="zh-CN"/>
        </w:rPr>
        <w:t xml:space="preserve">0分</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440" w:lineRule="exac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第二步：在所有有效投标报价中满足招标文件要求，且投标价格最低的投标报价为评</w:t>
      </w:r>
      <w:r>
        <w:rPr>
          <w:rFonts w:hint="eastAsia" w:ascii="宋体" w:hAnsi="宋体" w:eastAsia="宋体" w:cs="宋体"/>
          <w:color w:val="000000"/>
          <w:sz w:val="24"/>
          <w:szCs w:val="24"/>
          <w:lang w:eastAsia="zh-CN"/>
        </w:rPr>
        <w:t xml:space="preserve">标基准价，其价格分为20分，其他投标人的价格分按照下列公式计算（计算结果四舍五入保留两位小数）。</w:t>
      </w:r>
      <w:r/>
    </w:p>
    <w:p>
      <w:pPr>
        <w:ind w:firstLine="480"/>
        <w:jc w:val="both"/>
        <w:spacing w:after="0" w:line="440" w:lineRule="exac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投标报价得分＝（评标基准价/投标报价）×20％×100</w:t>
      </w:r>
      <w:r/>
    </w:p>
    <w:p>
      <w:pPr>
        <w:numPr>
          <w:ilvl w:val="0"/>
          <w:numId w:val="10"/>
        </w:numPr>
        <w:jc w:val="both"/>
        <w:spacing w:after="0" w:line="440" w:lineRule="exact"/>
        <w:widowControl w:val="off"/>
        <w:rPr>
          <w:rFonts w:ascii="宋体" w:hAnsi="宋体" w:eastAsia="宋体" w:cs="宋体"/>
          <w:sz w:val="24"/>
          <w:szCs w:val="24"/>
        </w:rPr>
      </w:pPr>
      <w:r>
        <w:rPr>
          <w:rFonts w:hint="eastAsia" w:ascii="宋体" w:hAnsi="宋体" w:eastAsia="宋体" w:cs="宋体"/>
          <w:b/>
          <w:sz w:val="24"/>
          <w:szCs w:val="24"/>
        </w:rPr>
        <w:t xml:space="preserve">详细评审</w:t>
      </w:r>
      <w:r>
        <w:rPr>
          <w:rFonts w:hint="eastAsia" w:ascii="宋体" w:hAnsi="宋体" w:eastAsia="宋体" w:cs="宋体"/>
          <w:b/>
          <w:sz w:val="24"/>
          <w:szCs w:val="24"/>
          <w:lang w:eastAsia="zh-CN"/>
        </w:rPr>
        <w:t xml:space="preserve">：8</w:t>
      </w:r>
      <w:r>
        <w:rPr>
          <w:rFonts w:hint="eastAsia" w:ascii="宋体" w:hAnsi="宋体" w:eastAsia="宋体" w:cs="宋体"/>
          <w:b/>
          <w:sz w:val="24"/>
          <w:szCs w:val="24"/>
        </w:rPr>
        <w:t xml:space="preserve">0分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1.对项目需求中的维护主要内容响应情况（21分）：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sz w:val="24"/>
          <w:szCs w:val="24"/>
          <w:lang w:eastAsia="zh-CN"/>
        </w:rPr>
        <w:t xml:space="preserve">对项目需</w:t>
      </w:r>
      <w:r>
        <w:rPr>
          <w:rFonts w:hint="eastAsia" w:ascii="宋体" w:hAnsi="宋体" w:eastAsia="宋体" w:cs="宋体"/>
          <w:color w:val="auto"/>
          <w:sz w:val="24"/>
          <w:szCs w:val="24"/>
          <w:lang w:eastAsia="zh-CN"/>
        </w:rPr>
        <w:t xml:space="preserve">求中的维护主要内容  “4、维护服务相关技术指标”的需求及相关技术参数指标响应情况全部响应的得21分，普通指标有一项负偏离的扣0.02分，最多扣3分，扣完为止；带★参数指标有一项负偏离扣2分，最多扣18分，扣完为止。（带★参数要求提供</w:t>
      </w:r>
      <w:r>
        <w:rPr>
          <w:rFonts w:ascii="宋体" w:hAnsi="宋体" w:eastAsia="宋体" w:cs="宋体"/>
          <w:color w:val="auto"/>
          <w:sz w:val="24"/>
          <w:szCs w:val="24"/>
          <w:lang w:eastAsia="zh-CN"/>
        </w:rPr>
        <w:t xml:space="preserve">CMA</w:t>
      </w:r>
      <w:r>
        <w:rPr>
          <w:rFonts w:hint="eastAsia" w:ascii="宋体" w:hAnsi="宋体" w:eastAsia="宋体" w:cs="宋体"/>
          <w:color w:val="auto"/>
          <w:sz w:val="24"/>
          <w:szCs w:val="24"/>
          <w:lang w:eastAsia="zh-CN"/>
        </w:rPr>
        <w:t xml:space="preserve">认证的权威机构检测报告复印件）（21分）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2.对项目的整体认知程度及提供运行维护的服务方案，其中以下运维方案需着重说明。（8分）：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color w:val="auto"/>
          <w:sz w:val="24"/>
          <w:szCs w:val="24"/>
          <w:lang w:eastAsia="zh-CN"/>
        </w:rPr>
        <w:t xml:space="preserve">（1）350M系统维保方案（2）网络安全服务（渗透测试、安全咨询培训、灾难恢复演练）（3）太仓市公安局社会治安监控系统、卡口抓拍、人像抓拍系统及各下属单位相关设备的维护服务。（4）对市局、警务中心、指挥中心超过质保期并已损坏的服务器的维护及保养。对超过质保期并已损坏的硬盘、监控、交换机、光收发设备、服务器、云存储、指挥中心</w:t>
      </w:r>
      <w:r>
        <w:rPr>
          <w:rFonts w:hint="eastAsia" w:ascii="宋体" w:hAnsi="宋体" w:eastAsia="宋体" w:cs="宋体"/>
          <w:sz w:val="24"/>
          <w:szCs w:val="24"/>
          <w:lang w:eastAsia="zh-CN"/>
        </w:rPr>
        <w:t xml:space="preserve">及派出所大屏（含电视墙解码器等相关配套设备）等设备的维护。</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2）（3）（4）单项运维方案根据方案的详细性、完整性、专业技术合理性、可行性等方面进行打分。每个方案明显有过精准排摸调研，对现状梳理掌握清楚，内容详实完整的，有专业技术合理性的，且具备可操作性的得2分；方案没有精准排摸调研，对现状梳理掌握模糊的，内容简单，未体现专业技术合理性的，或不具备可操作性的得1分；方案与本项目无关或未提供方案不得分。每个方案最高分2分，共4项，满分8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3.备品备件（1分）：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为维护所准备的详细备件备品数量清单及品牌型号，以保障对各类故障的紧急恢复，三车道高清抓拍4套（含4个主机、4个镜头、12个闪光灯、12个补光灯、4个机罩、4张SD卡），900W超卡4套（含超卡、补光灯、闪光灯、SD卡），高清智能化监控摄像机不得少于20台，高清网络硬盘录像机不得少于2台，交换机不得少于2台。（提供产品清单明细，否则不得分。中标后甲方核验确认）</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4.对招标文件的响应性（4分）：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4.1对技防类设施发生的故障，承诺服务时间范围在7天*24，且根据甲方要求1.5小时内到场服务的得1分；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sz w:val="24"/>
          <w:szCs w:val="24"/>
          <w:lang w:eastAsia="zh-CN"/>
        </w:rPr>
        <w:t xml:space="preserve">4.2对招标文件提出的故障响应、升级服务、日常保养维护要求等方面提供具体的服务方案和证明材料（包括维护团队或售后服务机构的地址，出行方式、出发时间、到达时间等）。方案能够充分结合项目实际情况，配备合理具有可操作性得3分；方案能考虑到项目实际情况，配备合理但可操作性不足得2分；方案不合理或不具备可操作性的，或未</w:t>
      </w:r>
      <w:r>
        <w:rPr>
          <w:rFonts w:hint="eastAsia" w:ascii="宋体" w:hAnsi="宋体" w:eastAsia="宋体" w:cs="宋体"/>
          <w:color w:val="auto"/>
          <w:sz w:val="24"/>
          <w:szCs w:val="24"/>
          <w:lang w:eastAsia="zh-CN"/>
        </w:rPr>
        <w:t xml:space="preserve">提供方案本项不得分。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5.投标单位综合实力及维护能力（46分）：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5.1应急队伍：（</w:t>
      </w:r>
      <w:r>
        <w:rPr>
          <w:rFonts w:ascii="宋体" w:hAnsi="宋体" w:eastAsia="宋体" w:cs="宋体"/>
          <w:color w:val="auto"/>
          <w:sz w:val="24"/>
          <w:szCs w:val="24"/>
          <w:lang w:eastAsia="zh-CN"/>
        </w:rPr>
        <w:t xml:space="preserve">2</w:t>
      </w:r>
      <w:r>
        <w:rPr>
          <w:rFonts w:hint="eastAsia" w:ascii="宋体" w:hAnsi="宋体" w:eastAsia="宋体" w:cs="宋体"/>
          <w:color w:val="auto"/>
          <w:sz w:val="24"/>
          <w:szCs w:val="24"/>
          <w:lang w:eastAsia="zh-CN"/>
        </w:rPr>
        <w:t xml:space="preserve">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根据投标单位</w:t>
      </w:r>
      <w:bookmarkStart w:id="1" w:name="_Hlk167701554"/>
      <w:r>
        <w:rPr>
          <w:rFonts w:hint="eastAsia" w:ascii="宋体" w:hAnsi="宋体" w:eastAsia="宋体" w:cs="宋体"/>
          <w:color w:val="auto"/>
          <w:sz w:val="24"/>
          <w:szCs w:val="24"/>
          <w:lang w:eastAsia="zh-CN"/>
        </w:rPr>
        <w:t xml:space="preserve">投入本项目的应急队伍人员</w:t>
      </w:r>
      <w:bookmarkEnd w:id="1"/>
      <w:r>
        <w:rPr>
          <w:rFonts w:hint="eastAsia" w:ascii="宋体" w:hAnsi="宋体" w:eastAsia="宋体" w:cs="宋体"/>
          <w:color w:val="auto"/>
          <w:sz w:val="24"/>
          <w:szCs w:val="24"/>
          <w:lang w:eastAsia="zh-CN"/>
        </w:rPr>
        <w:t xml:space="preserve">数量，进行评定；每提供1人得0.</w:t>
      </w:r>
      <w:r>
        <w:rPr>
          <w:rFonts w:ascii="宋体" w:hAnsi="宋体" w:eastAsia="宋体" w:cs="宋体"/>
          <w:color w:val="auto"/>
          <w:sz w:val="24"/>
          <w:szCs w:val="24"/>
          <w:lang w:eastAsia="zh-CN"/>
        </w:rPr>
        <w:t xml:space="preserve">2</w:t>
      </w:r>
      <w:r>
        <w:rPr>
          <w:rFonts w:hint="eastAsia" w:ascii="宋体" w:hAnsi="宋体" w:eastAsia="宋体" w:cs="宋体"/>
          <w:color w:val="auto"/>
          <w:sz w:val="24"/>
          <w:szCs w:val="24"/>
          <w:lang w:eastAsia="zh-CN"/>
        </w:rPr>
        <w:t xml:space="preserve">分，最多</w:t>
      </w:r>
      <w:r>
        <w:rPr>
          <w:rFonts w:ascii="宋体" w:hAnsi="宋体" w:eastAsia="宋体" w:cs="宋体"/>
          <w:color w:val="auto"/>
          <w:sz w:val="24"/>
          <w:szCs w:val="24"/>
          <w:lang w:eastAsia="zh-CN"/>
        </w:rPr>
        <w:t xml:space="preserve">2</w:t>
      </w:r>
      <w:r>
        <w:rPr>
          <w:rFonts w:hint="eastAsia" w:ascii="宋体" w:hAnsi="宋体" w:eastAsia="宋体" w:cs="宋体"/>
          <w:color w:val="auto"/>
          <w:sz w:val="24"/>
          <w:szCs w:val="24"/>
          <w:lang w:eastAsia="zh-CN"/>
        </w:rPr>
        <w:t xml:space="preserve">分。（需提供由投标人或投标人下属分支机构缴纳的开标前三个月社保证明复印件）</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ascii="宋体" w:hAnsi="宋体" w:eastAsia="宋体" w:cs="宋体"/>
          <w:color w:val="auto"/>
          <w:sz w:val="24"/>
          <w:szCs w:val="24"/>
          <w:lang w:eastAsia="zh-CN"/>
        </w:rPr>
        <w:t xml:space="preserve">2</w:t>
      </w:r>
      <w:r>
        <w:rPr>
          <w:rFonts w:hint="eastAsia" w:ascii="宋体" w:hAnsi="宋体" w:eastAsia="宋体" w:cs="宋体"/>
          <w:color w:val="auto"/>
          <w:sz w:val="24"/>
          <w:szCs w:val="24"/>
          <w:lang w:eastAsia="zh-CN"/>
        </w:rPr>
        <w:t xml:space="preserve">应急队伍人员作业证件：（1</w:t>
      </w:r>
      <w:r>
        <w:rPr>
          <w:rFonts w:ascii="宋体" w:hAnsi="宋体" w:eastAsia="宋体" w:cs="宋体"/>
          <w:color w:val="auto"/>
          <w:sz w:val="24"/>
          <w:szCs w:val="24"/>
          <w:lang w:eastAsia="zh-CN"/>
        </w:rPr>
        <w:t xml:space="preserve">4</w:t>
      </w:r>
      <w:r>
        <w:rPr>
          <w:rFonts w:hint="eastAsia" w:ascii="宋体" w:hAnsi="宋体" w:eastAsia="宋体" w:cs="宋体"/>
          <w:color w:val="auto"/>
          <w:sz w:val="24"/>
          <w:szCs w:val="24"/>
          <w:lang w:eastAsia="zh-CN"/>
        </w:rPr>
        <w:t xml:space="preserve">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应急队伍人员中具有高、低压电工作业证件的，有1人得1分，最高得</w:t>
      </w:r>
      <w:r>
        <w:rPr>
          <w:rFonts w:ascii="宋体" w:hAnsi="宋体" w:eastAsia="宋体" w:cs="宋体"/>
          <w:color w:val="auto"/>
          <w:sz w:val="24"/>
          <w:szCs w:val="24"/>
          <w:lang w:eastAsia="zh-CN"/>
        </w:rPr>
        <w:t xml:space="preserve">9</w:t>
      </w:r>
      <w:r>
        <w:rPr>
          <w:rFonts w:hint="eastAsia" w:ascii="宋体" w:hAnsi="宋体" w:eastAsia="宋体" w:cs="宋体"/>
          <w:color w:val="auto"/>
          <w:sz w:val="24"/>
          <w:szCs w:val="24"/>
          <w:lang w:eastAsia="zh-CN"/>
        </w:rPr>
        <w:t xml:space="preserve">分，没有不得分（不可重复计分）；上述人员中具有高处作业证件的，有1人得0.5分，最多得5分；（可与电工作业证件重复计分）须提供有效期内相关作业证件复印件加盖单位公章。</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ascii="宋体" w:hAnsi="宋体" w:eastAsia="宋体" w:cs="宋体"/>
          <w:color w:val="auto"/>
          <w:sz w:val="24"/>
          <w:szCs w:val="24"/>
          <w:lang w:eastAsia="zh-CN"/>
        </w:rPr>
        <w:t xml:space="preserve">3</w:t>
      </w:r>
      <w:r>
        <w:rPr>
          <w:rFonts w:hint="eastAsia" w:ascii="宋体" w:hAnsi="宋体" w:eastAsia="宋体" w:cs="宋体"/>
          <w:color w:val="auto"/>
          <w:sz w:val="24"/>
          <w:szCs w:val="24"/>
          <w:lang w:eastAsia="zh-CN"/>
        </w:rPr>
        <w:t xml:space="preserve">承诺人员驻场：（5分）</w:t>
      </w:r>
      <w:r/>
    </w:p>
    <w:p>
      <w:pPr>
        <w:ind w:firstLine="480"/>
        <w:jc w:val="both"/>
        <w:spacing w:after="0" w:line="440" w:lineRule="exact"/>
        <w:widowControl w:val="off"/>
        <w:rPr>
          <w:rFonts w:hint="eastAsia" w:ascii="宋体" w:hAnsi="宋体" w:eastAsia="宋体" w:cs="宋体"/>
          <w:color w:val="auto"/>
          <w:sz w:val="24"/>
          <w:szCs w:val="24"/>
          <w:highlight w:val="red"/>
          <w:lang w:eastAsia="zh-CN"/>
        </w:rPr>
      </w:pPr>
      <w:r>
        <w:rPr>
          <w:rFonts w:hint="eastAsia" w:ascii="宋体" w:hAnsi="宋体" w:eastAsia="宋体" w:cs="宋体"/>
          <w:color w:val="auto"/>
          <w:sz w:val="24"/>
          <w:szCs w:val="24"/>
          <w:lang w:eastAsia="zh-CN"/>
        </w:rPr>
        <w:t xml:space="preserve">因项目涉及公安网络安全及数据安全，投标单位承诺将投入本项目的维护人员、应急队伍派驻在公安机关进行驻场服务的，可酌情加分；每提供驻场1人得0.5分，一人多岗位不重复得分，最多5分。本项须提供驻场承诺，未提供驻场承诺不得分（5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5.4应急队伍车辆：（10分）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除基础维护车辆外，投标单位每额外提供1辆应急队伍车辆，得</w:t>
      </w:r>
      <w:r>
        <w:rPr>
          <w:rFonts w:ascii="宋体" w:hAnsi="宋体" w:eastAsia="宋体" w:cs="宋体"/>
          <w:color w:val="auto"/>
          <w:sz w:val="24"/>
          <w:szCs w:val="24"/>
          <w:lang w:eastAsia="zh-CN"/>
        </w:rPr>
        <w:t xml:space="preserve">0.5</w:t>
      </w:r>
      <w:r>
        <w:rPr>
          <w:rFonts w:hint="eastAsia" w:ascii="宋体" w:hAnsi="宋体" w:eastAsia="宋体" w:cs="宋体"/>
          <w:color w:val="auto"/>
          <w:sz w:val="24"/>
          <w:szCs w:val="24"/>
          <w:lang w:eastAsia="zh-CN"/>
        </w:rPr>
        <w:t xml:space="preserve">分，最多得</w:t>
      </w:r>
      <w:r>
        <w:rPr>
          <w:rFonts w:ascii="宋体" w:hAnsi="宋体" w:eastAsia="宋体" w:cs="宋体"/>
          <w:color w:val="auto"/>
          <w:sz w:val="24"/>
          <w:szCs w:val="24"/>
          <w:lang w:eastAsia="zh-CN"/>
        </w:rPr>
        <w:t xml:space="preserve">4</w:t>
      </w:r>
      <w:r>
        <w:rPr>
          <w:rFonts w:hint="eastAsia" w:ascii="宋体" w:hAnsi="宋体" w:eastAsia="宋体" w:cs="宋体"/>
          <w:color w:val="auto"/>
          <w:sz w:val="24"/>
          <w:szCs w:val="24"/>
          <w:lang w:eastAsia="zh-CN"/>
        </w:rPr>
        <w:t xml:space="preserve">分；投标单位提供的应急队伍车辆中具备自动升降设备的，有一辆再得2分，最多得</w:t>
      </w:r>
      <w:r>
        <w:rPr>
          <w:rFonts w:ascii="宋体" w:hAnsi="宋体" w:eastAsia="宋体" w:cs="宋体"/>
          <w:color w:val="auto"/>
          <w:sz w:val="24"/>
          <w:szCs w:val="24"/>
          <w:lang w:eastAsia="zh-CN"/>
        </w:rPr>
        <w:t xml:space="preserve">6</w:t>
      </w:r>
      <w:r>
        <w:rPr>
          <w:rFonts w:hint="eastAsia" w:ascii="宋体" w:hAnsi="宋体" w:eastAsia="宋体" w:cs="宋体"/>
          <w:color w:val="auto"/>
          <w:sz w:val="24"/>
          <w:szCs w:val="24"/>
          <w:lang w:eastAsia="zh-CN"/>
        </w:rPr>
        <w:t xml:space="preserve">分；以上需提供车辆行驶证复印件(车辆所属单位应与投标单位或其分支机构一致)或有效期内正规租赁合同，不提供不得分，本项最高分10分。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5.5承诺车辆派驻：（</w:t>
      </w:r>
      <w:r>
        <w:rPr>
          <w:rFonts w:ascii="宋体" w:hAnsi="宋体" w:eastAsia="宋体" w:cs="宋体"/>
          <w:color w:val="auto"/>
          <w:sz w:val="24"/>
          <w:szCs w:val="24"/>
          <w:lang w:eastAsia="zh-CN"/>
        </w:rPr>
        <w:t xml:space="preserve">5</w:t>
      </w:r>
      <w:r>
        <w:rPr>
          <w:rFonts w:hint="eastAsia" w:ascii="宋体" w:hAnsi="宋体" w:eastAsia="宋体" w:cs="宋体"/>
          <w:color w:val="auto"/>
          <w:sz w:val="24"/>
          <w:szCs w:val="24"/>
          <w:lang w:eastAsia="zh-CN"/>
        </w:rPr>
        <w:t xml:space="preserve">分）</w:t>
      </w:r>
      <w:r/>
    </w:p>
    <w:p>
      <w:pPr>
        <w:ind w:firstLine="480"/>
        <w:jc w:val="both"/>
        <w:spacing w:after="0" w:line="44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承诺投标提供的基础维修车辆、应急队伍车辆在服务期内全部长期派驻太仓，专门服务本项目维护使用的，得</w:t>
      </w:r>
      <w:r>
        <w:rPr>
          <w:rFonts w:ascii="宋体" w:hAnsi="宋体" w:eastAsia="宋体" w:cs="宋体"/>
          <w:color w:val="auto"/>
          <w:sz w:val="24"/>
          <w:szCs w:val="24"/>
          <w:lang w:eastAsia="zh-CN"/>
        </w:rPr>
        <w:t xml:space="preserve">5</w:t>
      </w:r>
      <w:r>
        <w:rPr>
          <w:rFonts w:hint="eastAsia" w:ascii="宋体" w:hAnsi="宋体" w:eastAsia="宋体" w:cs="宋体"/>
          <w:color w:val="auto"/>
          <w:sz w:val="24"/>
          <w:szCs w:val="24"/>
          <w:lang w:eastAsia="zh-CN"/>
        </w:rPr>
        <w:t xml:space="preserve">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5.6类似业绩：（10分）</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具有20</w:t>
      </w:r>
      <w:r>
        <w:rPr>
          <w:rFonts w:ascii="宋体" w:hAnsi="宋体" w:eastAsia="宋体" w:cs="宋体"/>
          <w:sz w:val="24"/>
          <w:szCs w:val="24"/>
          <w:lang w:eastAsia="zh-CN"/>
        </w:rPr>
        <w:t xml:space="preserve">21</w:t>
      </w:r>
      <w:r>
        <w:rPr>
          <w:rFonts w:hint="eastAsia" w:ascii="宋体" w:hAnsi="宋体" w:eastAsia="宋体" w:cs="宋体"/>
          <w:sz w:val="24"/>
          <w:szCs w:val="24"/>
          <w:lang w:eastAsia="zh-CN"/>
        </w:rPr>
        <w:t xml:space="preserve">年以来包含道路高清治安监控和车辆高清抓拍卡口（或电子警察卡口）的安防类监控维护项目业绩，有一个得2分，最多不超过10分，须附合同书复印件加盖公章（10分）。</w:t>
      </w:r>
      <w:r/>
    </w:p>
    <w:p>
      <w:pPr>
        <w:pStyle w:val="956"/>
        <w:ind w:firstLine="420"/>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注：1、报价超过最高限价的为无效投标。</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2、针对评分标准中评分的每一条，投标人均应提供相关电子资料并作出相应说明供评委评判，不提供相关资料的视为不具备该项得分的条件。</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3、若要求提供的复印件请加盖公章扫描入投标文件中，复印件电子扫描件未放入投标文件中，影响评分情况，是投标人的责任。</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4、所有复印件字迹须复印清晰可见,复印不全或字迹不清晰的，视为未提供。</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5、防止虚假应标，采购方保留调查的权利，并由此引发的一切调查与诉讼费用由投标方承担。</w:t>
      </w:r>
      <w:r/>
    </w:p>
    <w:p>
      <w:pPr>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240" w:lineRule="auto"/>
        <w:rPr>
          <w:rFonts w:ascii="宋体" w:hAnsi="宋体" w:eastAsia="宋体" w:cs="宋体"/>
          <w:b/>
          <w:color w:val="000000"/>
          <w:sz w:val="44"/>
          <w:lang w:eastAsia="zh-CN"/>
        </w:rPr>
      </w:pPr>
      <w:r>
        <w:rPr>
          <w:rFonts w:ascii="宋体" w:hAnsi="宋体" w:eastAsia="宋体" w:cs="宋体"/>
          <w:b/>
          <w:color w:val="000000"/>
          <w:sz w:val="44"/>
          <w:lang w:eastAsia="zh-CN"/>
        </w:rPr>
        <w:br w:type="page" w:clear="all"/>
      </w:r>
      <w:r/>
    </w:p>
    <w:p>
      <w:pPr>
        <w:pStyle w:val="742"/>
        <w:jc w:val="center"/>
        <w:rPr>
          <w:lang w:eastAsia="zh-CN"/>
        </w:rPr>
      </w:pPr>
      <w:r>
        <w:rPr>
          <w:rFonts w:ascii="宋体" w:hAnsi="宋体" w:eastAsia="宋体" w:cs="宋体"/>
          <w:b/>
          <w:color w:val="000000"/>
          <w:sz w:val="44"/>
          <w:lang w:eastAsia="zh-CN"/>
        </w:rPr>
        <w:t xml:space="preserve">第六部分 合同格式</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一、签约单位：</w:t>
      </w:r>
      <w:r/>
    </w:p>
    <w:p>
      <w:pPr>
        <w:pStyle w:val="947"/>
        <w:ind w:firstLine="422"/>
        <w:jc w:val="left"/>
        <w:spacing w:line="42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甲方（采购人）</w:t>
      </w:r>
      <w:r>
        <w:rPr>
          <w:rFonts w:hint="eastAsia" w:ascii="宋体" w:hAnsi="宋体" w:eastAsia="宋体" w:cs="宋体"/>
          <w:sz w:val="24"/>
          <w:szCs w:val="24"/>
          <w:lang w:eastAsia="zh-CN"/>
        </w:rPr>
        <w:t xml:space="preserve">：</w:t>
      </w:r>
      <w:r/>
    </w:p>
    <w:p>
      <w:pPr>
        <w:pStyle w:val="947"/>
        <w:ind w:firstLine="422"/>
        <w:jc w:val="left"/>
        <w:spacing w:line="42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乙方（中标人）</w:t>
      </w:r>
      <w:r>
        <w:rPr>
          <w:rFonts w:hint="eastAsia" w:ascii="宋体" w:hAnsi="宋体" w:eastAsia="宋体" w:cs="宋体"/>
          <w:sz w:val="24"/>
          <w:szCs w:val="24"/>
          <w:lang w:eastAsia="zh-CN"/>
        </w:rPr>
        <w:t xml:space="preserve">：</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u w:val="single"/>
          <w:lang w:eastAsia="zh-CN"/>
        </w:rPr>
        <w:t xml:space="preserve">  2024年监控及信息化系统维保项目  </w:t>
      </w:r>
      <w:r>
        <w:rPr>
          <w:rFonts w:hint="eastAsia" w:ascii="宋体" w:hAnsi="宋体" w:eastAsia="宋体" w:cs="宋体"/>
          <w:sz w:val="24"/>
          <w:szCs w:val="24"/>
          <w:lang w:eastAsia="zh-CN"/>
        </w:rPr>
        <w:t xml:space="preserve">（编号 JSZC-320585-JZCG-G2024-0038 ）的招标结果签订本合同。</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二、交货地点：太仓市公安局</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项目名称：2024年监控及信息化系统维保项目</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项目地点：太仓市</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三、货物或服务名称、数量：</w:t>
      </w:r>
      <w:r/>
    </w:p>
    <w:p>
      <w:pPr>
        <w:pStyle w:val="744"/>
        <w:ind w:firstLine="480"/>
        <w:spacing w:line="42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1、协议内容</w:t>
      </w:r>
      <w:r/>
    </w:p>
    <w:p>
      <w:pPr>
        <w:pStyle w:val="947"/>
        <w:ind w:left="389" w:firstLine="480"/>
        <w:jc w:val="left"/>
        <w:spacing w:line="42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太仓市公安局在用且已过保的历年信息化建设项目的专业综合维护服务；太仓市治安监控（前端监控设备、人脸识别、高清抓拍、内部监控、中心机房配套设备等）、市局、警务中心、派出所、交警等其他内部监控及机房配套设备维护。</w:t>
      </w:r>
      <w:r/>
    </w:p>
    <w:p>
      <w:pPr>
        <w:pStyle w:val="947"/>
        <w:ind w:left="389"/>
        <w:jc w:val="left"/>
        <w:spacing w:line="420" w:lineRule="exact"/>
        <w:rPr>
          <w:rFonts w:ascii="宋体" w:hAnsi="宋体" w:eastAsia="宋体" w:cs="宋体"/>
          <w:bCs/>
          <w:sz w:val="24"/>
          <w:szCs w:val="24"/>
          <w:lang w:eastAsia="zh-CN"/>
        </w:rPr>
      </w:pPr>
      <w:r>
        <w:rPr>
          <w:rFonts w:hint="eastAsia" w:ascii="宋体" w:hAnsi="宋体" w:eastAsia="宋体" w:cs="宋体"/>
          <w:sz w:val="24"/>
          <w:szCs w:val="24"/>
          <w:shd w:val="clear" w:color="auto" w:fill="ffffff"/>
          <w:lang w:eastAsia="zh-CN"/>
        </w:rPr>
        <w:t xml:space="preserve">（1）信息化建设项目的专业综合维护服务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太仓市公安局综合业务服务器数据库、PGIS系统数据库一年专业维护</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350M电台系统、基站和设备的专业维护（五个基站+电台基础维护）</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监控运维平台维保一年、互联网微信云工单服务一年及一年驻场服务1人</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科达视频会议驻场服务1人</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雪亮工程接入云维护服务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太仓市视频联网共享平台、信息港社会面监控联网共享平台管理维护服务及驻场维护服务人员</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市局主页维护及部分更新服务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公安海康监控联网平台授权服务及安排驻场维护服务人员</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大华监控平台及云存储平台的维护服务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网络安全服务（渗透测试、安全咨询培训、灾难恢复演练）</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太仓旅馆民宿系统新装、维护服务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太仓在册旅馆民宿治安管理信息系统维护服务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基础工作双网融合平台部分定制服务工作及基础运维服务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民警健康档案系统运行维护服务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太仓合成维稳系统维护服务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南郊智慧检查站集成维护服务</w:t>
      </w:r>
      <w:r>
        <w:rPr>
          <w:rFonts w:hint="eastAsia" w:ascii="宋体" w:hAnsi="宋体" w:eastAsia="宋体" w:cs="宋体"/>
          <w:sz w:val="24"/>
          <w:szCs w:val="24"/>
          <w:lang w:eastAsia="zh-CN"/>
        </w:rPr>
        <w:t xml:space="preserve">及</w:t>
      </w:r>
      <w:r>
        <w:rPr>
          <w:rFonts w:hint="eastAsia" w:ascii="宋体" w:hAnsi="宋体" w:eastAsia="宋体" w:cs="宋体"/>
          <w:sz w:val="24"/>
          <w:szCs w:val="24"/>
          <w:shd w:val="clear" w:color="auto" w:fill="ffffff"/>
          <w:lang w:eastAsia="zh-CN"/>
        </w:rPr>
        <w:t xml:space="preserve">南郊检查站、洋桥检查站配套系统、弱电设施、监控设施、机房设施、弱电管线设施的维护服务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小区人像感知运维服务（服务时间2023.11-2024.11）</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视频监控系统（含平台）及配套设备维护、对部分高清监控前后端进行维护修复,包含4G车载监控及其他移动图传设备</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高清抓拍系统（含平台）及配套设备维护、对部分高清抓拍前后端进行维护修复</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人脸识别系统前后端及配套设备维护调式及对部分人像卡口前后端进行维护修复</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对全市公安各级机关的弱电网络线路维护</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雪亮一期过保软硬件设施（含运维平台）</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社会面监控汇聚平台服务及维护服务（2024.1-2025.8.24共20个月）</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ETC智慧感知系统项目及苏州市公安局下发的20套etc设备的维护（一年）</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火车站反恐维稳项目到期（含铁塔服务）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太仓站、太仓南站公安技防设施到期运维（故障线路恢复难度大22车卡+27人卡+28监控）</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雪亮工程驻场维护服务人员2人到期，需要继续驻场服务1年</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监视居住专用场所（智能化）改造工程</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智慧交通一期基础预备项目</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2020年度人像卡口项目标段一到期运维</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2020年度人像卡口项目标段二采购部分到期运维</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太仓市智慧技防小区数字化管理系统维保服务费用</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指挥中心大屏建设项目到期运维</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二维码门牌管理平台维护服务</w:t>
      </w:r>
      <w:r/>
    </w:p>
    <w:p>
      <w:pPr>
        <w:numPr>
          <w:ilvl w:val="0"/>
          <w:numId w:val="22"/>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太仓市公安局全员考系统一年的维护服务</w:t>
      </w:r>
      <w:r/>
    </w:p>
    <w:p>
      <w:pPr>
        <w:pStyle w:val="745"/>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（2）治安监控系统及前后端配套设备维护服务</w:t>
      </w:r>
      <w:r/>
    </w:p>
    <w:p>
      <w:pPr>
        <w:numPr>
          <w:ilvl w:val="0"/>
          <w:numId w:val="23"/>
        </w:numPr>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太仓市公安局及下属单位所有过保的治安监控系统和单位内部监控系统的维护服务</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太仓市公安局所有过保的治安监控和单位内部监控的前端设备以及各级监控中心机房相关配套设备的一年维保服务，视频专网治安监控2143台，视频专网内部监控1300台；公安网内部监控合计543路。合计视频监控3986路，硬盘录像机218台。另有中心存储3台。</w:t>
      </w:r>
      <w:r/>
    </w:p>
    <w:p>
      <w:pPr>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2、太仓市公安局已经过保的车辆高清抓拍卡口系统前后端等设备的维护及服务</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对已经过保的车辆高清抓拍卡口系统前后端等设备的维护服务。合计243套抓拍主机。                                                                                                               </w:t>
      </w:r>
      <w:r/>
    </w:p>
    <w:p>
      <w:pPr>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3、太仓市公安局及下属单位所有过保的人脸识别系统的维护服务： </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已经过保的人脸识别系统及配套设备的维护及服务，合计122个动态人像卡口</w:t>
      </w:r>
      <w:r/>
    </w:p>
    <w:p>
      <w:pPr>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4、对市局过保的移动图传设备的维护服务</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对市局过保的42套4G车载图传设备、4G布控球、4G单兵、4G执法仪、无人机单兵等设备的维护及服务，包含架设、安装、改装、搬迁、维护、现场应急安保等。</w:t>
      </w:r>
      <w:r/>
    </w:p>
    <w:p>
      <w:pPr>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5、对市局所有使用的视频会议系统的维护服务：</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对市局所有使用的视频会议系统（57套）及一键点调系统（33套）维保服务</w:t>
      </w:r>
      <w:r/>
    </w:p>
    <w:p>
      <w:pPr>
        <w:ind w:firstLine="42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6、其他内容：</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应急安保：因应急安保、市政施工、道路重新规划、供电系统改造、路面修补（损坏）、自然灾害等原因引起的设备采购、点位迁移及维护修复工作</w:t>
      </w:r>
      <w:r/>
    </w:p>
    <w:p>
      <w:pPr>
        <w:ind w:left="840"/>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对全局各部门已经过保的各类指挥大屏、拼接屏、小间距屏的维护及修复服务 </w:t>
      </w:r>
      <w:r/>
    </w:p>
    <w:p>
      <w:pPr>
        <w:ind w:left="840"/>
        <w:spacing w:line="420" w:lineRule="exact"/>
        <w:rPr>
          <w:rFonts w:ascii="宋体" w:hAnsi="宋体" w:eastAsia="宋体" w:cs="宋体"/>
          <w:bCs/>
          <w:sz w:val="24"/>
          <w:szCs w:val="24"/>
          <w:lang w:eastAsia="zh-CN"/>
        </w:rPr>
      </w:pPr>
      <w:r>
        <w:rPr>
          <w:rFonts w:hint="eastAsia" w:ascii="宋体" w:hAnsi="宋体" w:eastAsia="宋体" w:cs="宋体"/>
          <w:sz w:val="24"/>
          <w:szCs w:val="24"/>
          <w:shd w:val="clear" w:color="auto" w:fill="ffffff"/>
          <w:lang w:eastAsia="zh-CN"/>
        </w:rPr>
        <w:t xml:space="preserve">其他配套设施：对市局、警务中心、指挥中心及各下属派出所、业务大队、交警中队等部门超过质保期的机房交换机、服务器、存储、硬盘、防火墙、安全边界、网闸、指挥大屏(指挥中心、警务中心、业务大队、派出所、中队及其他有关单位)、ups电源、空调、门禁等其他设备的一年维护及保养</w:t>
      </w:r>
      <w:r/>
    </w:p>
    <w:p>
      <w:pPr>
        <w:pStyle w:val="947"/>
        <w:jc w:val="left"/>
        <w:spacing w:line="42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2、响应时间</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从乙方有效联络人收到甲方有效联络人的报修电话、网络平台报修或传真开始，至乙方技术人员到达甲方现场所经历的时间。</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乙方响应及维护时间要求： 24（小时）×365（天）服务。</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一般故障12小时内响应，24小时内到现场并修复，出现严重故障或大部分故障导致严重影响甲方工作的，1.5小时内到达现场，4小时内修复。</w:t>
      </w:r>
      <w:r/>
    </w:p>
    <w:p>
      <w:pPr>
        <w:pStyle w:val="744"/>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3、服务范围</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(1)为甲方提供实时现场服务，响应紧急维护维修要求。</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乙方在接到甲方有效报修人的维修要求后，根据故障等级作出响应并及时采取相应措施使系统或设备恢复正常运行：</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(2)服务内容：详见“项目需求”。</w:t>
      </w:r>
      <w:r/>
    </w:p>
    <w:p>
      <w:pPr>
        <w:pStyle w:val="744"/>
        <w:ind w:firstLine="48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4、乙方责任</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(1)对提供给甲方的实时的常规服务，乙方每次应提供详细的服务报告，每半年双方会面总结上一阶段的服务状态，发现问题并及时解决。</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(2)乙方应为甲方的协议设备建立设备维护档案。</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(3)乙方在服务过程中应及时提出设备替换、系统升级改告、扩充的建议，以利甲方最大限度地满足自身需要。</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加强对派至甲方场所工作人员的教育和管理，并与他们签定《安全保密责任书》。提供相关工作人员的基本信息（姓名、年龄、性别、身份证号码、户籍地址、现居住地址等资料），以及乙方对派出人员政治素质评审的书面意见，供甲方备案。</w:t>
      </w:r>
      <w:r/>
    </w:p>
    <w:p>
      <w:pPr>
        <w:pStyle w:val="947"/>
        <w:ind w:firstLine="24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(5)乙方对派入甲方工作人员进行调换，需事先与甲方沟通，办理有关手续后再作调整。</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(6)乙方人员必须自觉遵守甲方工作纪律和规章制度，服从管理。未经甲方许可，不得擅自在甲方单位从事与项目无关的事务，不得擅自进出与工作无关的其他场所。</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(7)乙方人员不得与甲方人员谈论甲方的情况；不得私自打听有关涉密的事情；不得擅自在甲方工作场所摄像、拍照。</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乙方人员阅读和使用甲方资料需在指定场所进行；不得擅自登陆、访问公安信息网；严禁以甲方名义编写、发布、传递信息资料；严禁在公安信息网上下载或上传任何文件资料。确因工作需要访问公安信息网的，经批准后，在甲方工作人员在场的情况下，严格按照批准范围使用公安信息网。</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(9)乙方人员严禁擅自设置、调整甲方系统设备的参数和配置，严禁在甲方的计算机系统及网站等应用软件中预留后门、逻辑炸弹等，严禁将掌握的甲方应用软件的源代码向第三方公布或泄露。</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(10)乙方人员不得擅自抄录、复制甲方的设备资料、工作文件和电话号码等。严禁将甲方的技术情报、资料数据、设备参数、密码口令和其它涉密材料带出甲方工作场所，或向第三方泄露。</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(11)乙方人员完成工作任务后，必须向甲方上交书面资料、密码口令等，并销毁或上交与甲方有关的全部电子文档资料。</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5、甲方义务</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(1)在现场维护时，甲方应积极配合乙方的工作。</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(2)甲方联络人应在报修时如实提供详细的故障情况，并如实确定故障等级，同时积极配合乙方作好各类服务及验收工作。</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(3)甲方在未经乙方书面同意的情况下不得将以上维护交由第三方进行维护、维修。</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(4)本协议有关设备的使用地点、连接、运行方式等状态变动时，甲方应及时书面通知书乙方。</w:t>
      </w:r>
      <w:r/>
    </w:p>
    <w:p>
      <w:pPr>
        <w:pStyle w:val="947"/>
        <w:ind w:firstLine="48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(5)甲方有效报修联络人应配合乙方建立设备维护档案，并按要求作好系统及设备运行记录，为乙方现场维护提供分析依据。</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四、组成本合同的有关文件</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下列与本次采购活动有关的文件及有关附件是本合同不可分割的组成部分，与本合同具有同等法律效力，这些文件包括但不限于：</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1、招标采购文件（编号     ）</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2、乙方提供的投标文件和投标报价表；           </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3、供货一览表；</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4、技术规格响应表；</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5、投标承诺；</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6、服务承诺；</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7、中标通知书；</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8、甲乙双方商定的其他文件等。</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五、合同总价款：__________________。</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六、合同总价范围：</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1．报价要求及内容：报价包括系统维护维修、设备维护维修、检测、调试、应急支撑、验收、保险、利润、税金、人员、交通、食宿、加班、招标人向第三方咨询产生的费用等工作所发生的全部费用以及投标人企业利润、税金和政策性文件规定及合同包含的所有风险、责任等各项应有费用。</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2．维保过程新更换货物的免费质保期</w:t>
      </w:r>
      <w:r>
        <w:rPr>
          <w:rFonts w:hint="eastAsia" w:ascii="宋体" w:hAnsi="宋体" w:eastAsia="宋体" w:cs="宋体"/>
          <w:sz w:val="24"/>
          <w:szCs w:val="24"/>
          <w:u w:val="single"/>
          <w:lang w:eastAsia="zh-CN"/>
        </w:rPr>
        <w:t xml:space="preserve">1</w:t>
      </w:r>
      <w:r>
        <w:rPr>
          <w:rFonts w:hint="eastAsia" w:ascii="宋体" w:hAnsi="宋体" w:eastAsia="宋体" w:cs="宋体"/>
          <w:sz w:val="24"/>
          <w:szCs w:val="24"/>
          <w:lang w:eastAsia="zh-CN"/>
        </w:rPr>
        <w:t xml:space="preserve">年的费用；</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七、维护期限：</w:t>
      </w:r>
      <w:r/>
    </w:p>
    <w:p>
      <w:pPr>
        <w:pStyle w:val="743"/>
        <w:ind w:firstLine="482"/>
        <w:spacing w:line="42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2024年  月  日-2025年  月   日，具体以合同为准</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八、支付方式：</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合同签订生效后10个工作日内支付人民币</w:t>
      </w:r>
      <w:r>
        <w:rPr>
          <w:rFonts w:hint="eastAsia" w:ascii="宋体" w:hAnsi="宋体" w:eastAsia="宋体" w:cs="宋体"/>
          <w:sz w:val="24"/>
          <w:szCs w:val="24"/>
          <w:u w:val="single"/>
          <w:lang w:eastAsia="zh-CN"/>
        </w:rPr>
        <w:t xml:space="preserve">贰佰肆拾万元</w:t>
      </w:r>
      <w:r>
        <w:rPr>
          <w:rFonts w:hint="eastAsia" w:ascii="宋体" w:hAnsi="宋体" w:eastAsia="宋体" w:cs="宋体"/>
          <w:sz w:val="24"/>
          <w:szCs w:val="24"/>
          <w:lang w:eastAsia="zh-CN"/>
        </w:rPr>
        <w:t xml:space="preserve">整（小写：￥2400000.00）；维护期限及免费保修期届满并经验收合格后10个工作日内根据考核结果支付剩余款项。具体时间以财政资金下达情况为准。</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发票必须背书成交单位的收款银行和帐号，并在备注栏中注明合同编号。由采购人汇入成交单位开户银行（付款方式如有变更，按财政部门相关要求执行）。</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九、质量保证</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十、保修期：</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项目维护服务期限一年，对项目中的全新采购及更换设备免费保修期为1年（自现场调试合格达到可正常使用状态之日起计算）。</w:t>
      </w:r>
      <w:r/>
    </w:p>
    <w:p>
      <w:pPr>
        <w:pStyle w:val="743"/>
        <w:ind w:firstLine="420"/>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十一、售后服务</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售后服务见合同附件乙方投标文件中的承诺。</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十二、不可抗拒事故</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十三、违约责任</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1．除人力不可抗拒因素外，乙方不能按期交货，或因运输及安装中货物缺损需要更换而影响实际交付使用时，乙方必须向甲方支付延期交货或延期交付使用的违约金，具体标准按合同总价每日万分之四计算。</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延期交货时间超过15天或交货不合格从而影响甲方按期正常使用的视为乙方严重违约，甲方有权立即终止合同，乙方仍需向甲方支付全部延期交货违约金(指定交货日至合同终止日)，并按合同总金额的30%支付违约金同时返还甲方已支付的合同款。如违约金不足弥补甲方损失的，由乙方另行支付。</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对报修后未在规定时间内及时修复的故障（不可抗力原因除外），甲方将抄告乙方，从抄告之日起计算，单次故障每超时一天，扣除维护费用2000元作为违约惩罚。合同期内抄告累计达到365天次的，甲方有权终止维保合同及退回全部产品，重新采购。乙方需要退回已收取费用，所有损失由乙方承担。</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乙方因违反其他相关合同及招标文件其他应尽义务的，甲方有权根据乙方违约程度要求乙方支付相当于合同总价款5%的违约金。如违约金不足弥补甲方损失的，由乙方另行支付，由此引起的后果，甲方保留进一步追索的权利。</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乙方应在规定的日期前（或甲、乙双方另外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5．乙方全部履行合同，甲方在收到乙方的付款通知并审定无误10天内按期付款，如有违约，甲方按合同总价每日万分之四支付延期付款违约金。</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6．乙方提前交货的，甲方接货后，按合同规定的付款方式付款。</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7．对乙方工作人员违反有关职责义务的，甲方一经发现，可立即中止其工作。</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8．因乙方违反有关职责义务给甲方造成损失的，乙方需承担相应的赔偿责任。对造成严重失、泄密事故的个人，将依法追究其法律责任。</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十四、索赔：</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索赔方式除上述规定之外，甲方还有权选择以下方式进行索赔：</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向乙方退货，返还甲方已支付的合同款及支付合同总金额30%违约金，并承担由此发生的一切损失和费用，包括甲方直接损失、利息、银行手续费、运费、保险费、仓储费、装卸费以及为保护退回货物所需的其它必要费用。</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2．根据货物的损坏程度以及甲方遭受损失的数额，经甲乙双方商定降低货物的价格。</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十五、特别条款</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1．双方签约人为各自法定代表人或被授权代表。</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2．本合同系指本文件及其附件中的所有部分；其中招标文件、中标的投标文件、中标单位在招标过程中的澄清、承诺等为本合同不可缺少的必要组成部分。</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3．本合同一式肆份，甲、乙双方各执贰份，各份具有同等法律效力。</w:t>
      </w:r>
      <w:r/>
    </w:p>
    <w:p>
      <w:pPr>
        <w:pStyle w:val="743"/>
        <w:ind w:firstLine="482"/>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十六、其他</w:t>
      </w:r>
      <w:r/>
    </w:p>
    <w:p>
      <w:pPr>
        <w:pStyle w:val="947"/>
        <w:ind w:firstLine="420"/>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本合同未尽事宜，签约双方应友好协商解决。协商不成，任何一方均可向甲方所在地有管辖权的人民法院提起诉讼。</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甲方（采购人）：（盖章）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乙方（供应商）：（盖章）</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代表人：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代表人：</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电    话：</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开户银行：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开户银行：</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帐    号：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帐    号：</w:t>
      </w:r>
      <w:r/>
    </w:p>
    <w:p>
      <w:pPr>
        <w:pStyle w:val="947"/>
        <w:jc w:val="left"/>
        <w:spacing w:line="420" w:lineRule="exact"/>
        <w:rPr>
          <w:rFonts w:ascii="宋体" w:hAnsi="宋体" w:eastAsia="宋体" w:cs="宋体"/>
          <w:sz w:val="24"/>
          <w:szCs w:val="24"/>
          <w:lang w:eastAsia="zh-CN"/>
        </w:rPr>
      </w:pPr>
      <w:r>
        <w:rPr>
          <w:rFonts w:hint="eastAsia" w:ascii="宋体" w:hAnsi="宋体" w:eastAsia="宋体" w:cs="宋体"/>
          <w:sz w:val="24"/>
          <w:szCs w:val="24"/>
        </w:rPr>
        <w:t xml:space="preserve">日期： 年 月 日                    日期：  年  月  </w:t>
      </w:r>
      <w:r>
        <w:rPr>
          <w:rFonts w:hint="eastAsia" w:ascii="宋体" w:hAnsi="宋体" w:eastAsia="宋体" w:cs="宋体"/>
          <w:sz w:val="24"/>
          <w:szCs w:val="24"/>
          <w:lang w:eastAsia="zh-CN"/>
        </w:rPr>
        <w:t xml:space="preserve">日</w:t>
      </w:r>
      <w:r/>
    </w:p>
    <w:p>
      <w:pPr>
        <w:pStyle w:val="947"/>
        <w:jc w:val="left"/>
        <w:spacing w:line="42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947"/>
        <w:jc w:val="center"/>
        <w:spacing w:line="360" w:lineRule="auto"/>
        <w:rPr>
          <w:rFonts w:ascii="宋体" w:hAnsi="宋体" w:eastAsia="宋体" w:cs="宋体"/>
          <w:sz w:val="24"/>
          <w:szCs w:val="24"/>
          <w:lang w:eastAsia="zh-CN"/>
        </w:rPr>
        <w:sectPr>
          <w:headerReference w:type="default" r:id="rId9"/>
          <w:footerReference w:type="default" r:id="rId10"/>
          <w:footnotePr/>
          <w:endnotePr/>
          <w:type w:val="nextPage"/>
          <w:pgSz w:w="11906" w:h="16838" w:orient="portrait"/>
          <w:pgMar w:top="1270" w:right="1418" w:bottom="1270" w:left="1418" w:header="851" w:footer="992" w:gutter="0"/>
          <w:cols w:num="1" w:sep="0" w:space="720" w:equalWidth="1"/>
          <w:docGrid w:linePitch="360"/>
          <w:titlePg/>
        </w:sectPr>
      </w:pPr>
      <w:r>
        <w:rPr>
          <w:rFonts w:hint="eastAsia" w:ascii="宋体" w:hAnsi="宋体"/>
        </w:rPr>
        <w:t xml:space="preserve">（全文完）</w:t>
      </w:r>
      <w:bookmarkStart w:id="2" w:name="_GoBack"/>
      <w:r/>
      <w:bookmarkEnd w:id="2"/>
      <w:r/>
      <w:r/>
    </w:p>
    <w:p>
      <w:pPr>
        <w:rPr>
          <w:rFonts w:ascii="宋体" w:hAnsi="宋体" w:eastAsia="宋体" w:cs="宋体"/>
          <w:sz w:val="24"/>
          <w:szCs w:val="24"/>
          <w:lang w:eastAsia="zh-CN"/>
        </w:rPr>
      </w:pPr>
      <w:r>
        <w:rPr>
          <w:rFonts w:ascii="宋体" w:hAnsi="宋体" w:eastAsia="宋体" w:cs="宋体"/>
          <w:sz w:val="24"/>
          <w:szCs w:val="24"/>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Gothic">
    <w:panose1 w:val="020B060907020508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rPr>
        <w:rStyle w:val="943"/>
      </w:rP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rPr>
        <w:rStyle w:val="943"/>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94" w:hanging="420"/>
      </w:pPr>
    </w:lvl>
    <w:lvl w:ilvl="1">
      <w:start w:val="1"/>
      <w:numFmt w:val="lowerLetter"/>
      <w:isLgl w:val="false"/>
      <w:suff w:val="tab"/>
      <w:lvlText w:val="%2)"/>
      <w:lvlJc w:val="left"/>
      <w:pPr>
        <w:ind w:left="1414" w:hanging="420"/>
      </w:pPr>
    </w:lvl>
    <w:lvl w:ilvl="2">
      <w:start w:val="1"/>
      <w:numFmt w:val="lowerRoman"/>
      <w:isLgl w:val="false"/>
      <w:suff w:val="tab"/>
      <w:lvlText w:val="%3."/>
      <w:lvlJc w:val="right"/>
      <w:pPr>
        <w:ind w:left="1834" w:hanging="420"/>
      </w:pPr>
    </w:lvl>
    <w:lvl w:ilvl="3">
      <w:start w:val="1"/>
      <w:numFmt w:val="decimal"/>
      <w:isLgl w:val="false"/>
      <w:suff w:val="tab"/>
      <w:lvlText w:val="%4)"/>
      <w:lvlJc w:val="left"/>
      <w:pPr>
        <w:ind w:left="2254" w:hanging="420"/>
      </w:pPr>
    </w:lvl>
    <w:lvl w:ilvl="4">
      <w:start w:val="1"/>
      <w:numFmt w:val="lowerLetter"/>
      <w:isLgl w:val="false"/>
      <w:suff w:val="tab"/>
      <w:lvlText w:val="%5)"/>
      <w:lvlJc w:val="left"/>
      <w:pPr>
        <w:ind w:left="2674" w:hanging="420"/>
      </w:pPr>
    </w:lvl>
    <w:lvl w:ilvl="5">
      <w:start w:val="1"/>
      <w:numFmt w:val="lowerRoman"/>
      <w:isLgl w:val="false"/>
      <w:suff w:val="tab"/>
      <w:lvlText w:val="%6."/>
      <w:lvlJc w:val="right"/>
      <w:pPr>
        <w:ind w:left="3094" w:hanging="420"/>
      </w:pPr>
    </w:lvl>
    <w:lvl w:ilvl="6">
      <w:start w:val="1"/>
      <w:numFmt w:val="decimal"/>
      <w:isLgl w:val="false"/>
      <w:suff w:val="tab"/>
      <w:lvlText w:val="%7."/>
      <w:lvlJc w:val="left"/>
      <w:pPr>
        <w:ind w:left="3514" w:hanging="420"/>
      </w:pPr>
    </w:lvl>
    <w:lvl w:ilvl="7">
      <w:start w:val="1"/>
      <w:numFmt w:val="lowerLetter"/>
      <w:isLgl w:val="false"/>
      <w:suff w:val="tab"/>
      <w:lvlText w:val="%8)"/>
      <w:lvlJc w:val="left"/>
      <w:pPr>
        <w:ind w:left="3934" w:hanging="420"/>
      </w:pPr>
    </w:lvl>
    <w:lvl w:ilvl="8">
      <w:start w:val="1"/>
      <w:numFmt w:val="lowerRoman"/>
      <w:isLgl w:val="false"/>
      <w:suff w:val="tab"/>
      <w:lvlText w:val="%9."/>
      <w:lvlJc w:val="right"/>
      <w:pPr>
        <w:ind w:left="4354" w:hanging="420"/>
      </w:pPr>
    </w:lvl>
  </w:abstractNum>
  <w:abstractNum w:abstractNumId="1">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japaneseCounting"/>
      <w:isLgl w:val="false"/>
      <w:suff w:val="tab"/>
      <w:lvlText w:val="%1、"/>
      <w:lvlJc w:val="left"/>
      <w:pPr>
        <w:ind w:left="679" w:hanging="480"/>
      </w:pPr>
      <w:rPr>
        <w:rFonts w:hint="default"/>
      </w:rPr>
    </w:lvl>
    <w:lvl w:ilvl="1">
      <w:start w:val="1"/>
      <w:numFmt w:val="lowerLetter"/>
      <w:isLgl w:val="false"/>
      <w:suff w:val="tab"/>
      <w:lvlText w:val="%2)"/>
      <w:lvlJc w:val="left"/>
      <w:pPr>
        <w:ind w:left="1039" w:hanging="420"/>
      </w:pPr>
    </w:lvl>
    <w:lvl w:ilvl="2">
      <w:start w:val="1"/>
      <w:numFmt w:val="decimal"/>
      <w:isLgl w:val="false"/>
      <w:suff w:val="tab"/>
      <w:lvlText w:val="%3、"/>
      <w:lvlJc w:val="left"/>
      <w:pPr>
        <w:ind w:left="1759" w:hanging="720"/>
      </w:pPr>
      <w:rPr>
        <w:rFonts w:hint="default"/>
      </w:rPr>
    </w:lvl>
    <w:lvl w:ilvl="3">
      <w:start w:val="1"/>
      <w:numFmt w:val="decimal"/>
      <w:isLgl w:val="false"/>
      <w:suff w:val="tab"/>
      <w:lvlText w:val="%4."/>
      <w:lvlJc w:val="left"/>
      <w:pPr>
        <w:ind w:left="1879" w:hanging="420"/>
      </w:pPr>
    </w:lvl>
    <w:lvl w:ilvl="4">
      <w:start w:val="1"/>
      <w:numFmt w:val="lowerLetter"/>
      <w:isLgl w:val="false"/>
      <w:suff w:val="tab"/>
      <w:lvlText w:val="%5)"/>
      <w:lvlJc w:val="left"/>
      <w:pPr>
        <w:ind w:left="2299" w:hanging="420"/>
      </w:pPr>
    </w:lvl>
    <w:lvl w:ilvl="5">
      <w:start w:val="1"/>
      <w:numFmt w:val="lowerRoman"/>
      <w:isLgl w:val="false"/>
      <w:suff w:val="tab"/>
      <w:lvlText w:val="%6."/>
      <w:lvlJc w:val="right"/>
      <w:pPr>
        <w:ind w:left="2719" w:hanging="420"/>
      </w:pPr>
    </w:lvl>
    <w:lvl w:ilvl="6">
      <w:start w:val="1"/>
      <w:numFmt w:val="decimal"/>
      <w:isLgl w:val="false"/>
      <w:suff w:val="tab"/>
      <w:lvlText w:val="%7."/>
      <w:lvlJc w:val="left"/>
      <w:pPr>
        <w:ind w:left="3139" w:hanging="420"/>
      </w:pPr>
    </w:lvl>
    <w:lvl w:ilvl="7">
      <w:start w:val="1"/>
      <w:numFmt w:val="lowerLetter"/>
      <w:isLgl w:val="false"/>
      <w:suff w:val="tab"/>
      <w:lvlText w:val="%8)"/>
      <w:lvlJc w:val="left"/>
      <w:pPr>
        <w:ind w:left="3559" w:hanging="420"/>
      </w:pPr>
    </w:lvl>
    <w:lvl w:ilvl="8">
      <w:start w:val="1"/>
      <w:numFmt w:val="lowerRoman"/>
      <w:isLgl w:val="false"/>
      <w:suff w:val="tab"/>
      <w:lvlText w:val="%9."/>
      <w:lvlJc w:val="right"/>
      <w:pPr>
        <w:ind w:left="3979" w:hanging="420"/>
      </w:pPr>
    </w:lvl>
  </w:abstractNum>
  <w:abstractNum w:abstractNumId="3">
    <w:multiLevelType w:val="hybridMultilevel"/>
    <w:lvl w:ilvl="0">
      <w:start w:val="1"/>
      <w:numFmt w:val="decimal"/>
      <w:isLgl w:val="false"/>
      <w:suff w:val="tab"/>
      <w:lvlText w:val="%1)"/>
      <w:lvlJc w:val="left"/>
      <w:pPr>
        <w:ind w:left="777" w:hanging="420"/>
      </w:pPr>
      <w:rPr>
        <w:rFonts w:hint="eastAsia"/>
      </w:rPr>
    </w:lvl>
    <w:lvl w:ilvl="1">
      <w:start w:val="1"/>
      <w:numFmt w:val="lowerLetter"/>
      <w:isLgl w:val="false"/>
      <w:suff w:val="tab"/>
      <w:lvlText w:val="%2)"/>
      <w:lvlJc w:val="left"/>
      <w:pPr>
        <w:ind w:left="1197" w:hanging="420"/>
      </w:pPr>
    </w:lvl>
    <w:lvl w:ilvl="2">
      <w:start w:val="1"/>
      <w:numFmt w:val="lowerRoman"/>
      <w:isLgl w:val="false"/>
      <w:suff w:val="tab"/>
      <w:lvlText w:val="%3."/>
      <w:lvlJc w:val="right"/>
      <w:pPr>
        <w:ind w:left="1617" w:hanging="420"/>
      </w:pPr>
    </w:lvl>
    <w:lvl w:ilvl="3">
      <w:start w:val="1"/>
      <w:numFmt w:val="decimal"/>
      <w:isLgl w:val="false"/>
      <w:suff w:val="tab"/>
      <w:lvlText w:val="%4."/>
      <w:lvlJc w:val="left"/>
      <w:pPr>
        <w:ind w:left="2037" w:hanging="420"/>
      </w:pPr>
    </w:lvl>
    <w:lvl w:ilvl="4">
      <w:start w:val="1"/>
      <w:numFmt w:val="lowerLetter"/>
      <w:isLgl w:val="false"/>
      <w:suff w:val="tab"/>
      <w:lvlText w:val="%5)"/>
      <w:lvlJc w:val="left"/>
      <w:pPr>
        <w:ind w:left="2457" w:hanging="420"/>
      </w:pPr>
    </w:lvl>
    <w:lvl w:ilvl="5">
      <w:start w:val="1"/>
      <w:numFmt w:val="lowerRoman"/>
      <w:isLgl w:val="false"/>
      <w:suff w:val="tab"/>
      <w:lvlText w:val="%6."/>
      <w:lvlJc w:val="right"/>
      <w:pPr>
        <w:ind w:left="2877" w:hanging="420"/>
      </w:pPr>
    </w:lvl>
    <w:lvl w:ilvl="6">
      <w:start w:val="1"/>
      <w:numFmt w:val="decimal"/>
      <w:isLgl w:val="false"/>
      <w:suff w:val="tab"/>
      <w:lvlText w:val="%7."/>
      <w:lvlJc w:val="left"/>
      <w:pPr>
        <w:ind w:left="3297" w:hanging="420"/>
      </w:pPr>
    </w:lvl>
    <w:lvl w:ilvl="7">
      <w:start w:val="1"/>
      <w:numFmt w:val="lowerLetter"/>
      <w:isLgl w:val="false"/>
      <w:suff w:val="tab"/>
      <w:lvlText w:val="%8)"/>
      <w:lvlJc w:val="left"/>
      <w:pPr>
        <w:ind w:left="3717" w:hanging="420"/>
      </w:pPr>
    </w:lvl>
    <w:lvl w:ilvl="8">
      <w:start w:val="1"/>
      <w:numFmt w:val="lowerRoman"/>
      <w:isLgl w:val="false"/>
      <w:suff w:val="tab"/>
      <w:lvlText w:val="%9."/>
      <w:lvlJc w:val="right"/>
      <w:pPr>
        <w:ind w:left="4137" w:hanging="420"/>
      </w:pPr>
    </w:lvl>
  </w:abstractNum>
  <w:abstractNum w:abstractNumId="4">
    <w:multiLevelType w:val="hybridMultilevel"/>
    <w:lvl w:ilvl="0">
      <w:start w:val="1"/>
      <w:numFmt w:val="decimal"/>
      <w:isLgl w:val="false"/>
      <w:suff w:val="tab"/>
      <w:lvlText w:val="%1)"/>
      <w:lvlJc w:val="left"/>
      <w:pPr>
        <w:ind w:left="777" w:hanging="420"/>
      </w:pPr>
      <w:rPr>
        <w:rFonts w:hint="eastAsia"/>
      </w:rPr>
    </w:lvl>
    <w:lvl w:ilvl="1">
      <w:start w:val="1"/>
      <w:numFmt w:val="lowerLetter"/>
      <w:isLgl w:val="false"/>
      <w:suff w:val="tab"/>
      <w:lvlText w:val="%2)"/>
      <w:lvlJc w:val="left"/>
      <w:pPr>
        <w:ind w:left="1197" w:hanging="420"/>
      </w:pPr>
    </w:lvl>
    <w:lvl w:ilvl="2">
      <w:start w:val="1"/>
      <w:numFmt w:val="lowerRoman"/>
      <w:isLgl w:val="false"/>
      <w:suff w:val="tab"/>
      <w:lvlText w:val="%3."/>
      <w:lvlJc w:val="right"/>
      <w:pPr>
        <w:ind w:left="1617" w:hanging="420"/>
      </w:pPr>
    </w:lvl>
    <w:lvl w:ilvl="3">
      <w:start w:val="1"/>
      <w:numFmt w:val="decimal"/>
      <w:isLgl w:val="false"/>
      <w:suff w:val="tab"/>
      <w:lvlText w:val="%4."/>
      <w:lvlJc w:val="left"/>
      <w:pPr>
        <w:ind w:left="2037" w:hanging="420"/>
      </w:pPr>
    </w:lvl>
    <w:lvl w:ilvl="4">
      <w:start w:val="1"/>
      <w:numFmt w:val="lowerLetter"/>
      <w:isLgl w:val="false"/>
      <w:suff w:val="tab"/>
      <w:lvlText w:val="%5)"/>
      <w:lvlJc w:val="left"/>
      <w:pPr>
        <w:ind w:left="2457" w:hanging="420"/>
      </w:pPr>
    </w:lvl>
    <w:lvl w:ilvl="5">
      <w:start w:val="1"/>
      <w:numFmt w:val="lowerRoman"/>
      <w:isLgl w:val="false"/>
      <w:suff w:val="tab"/>
      <w:lvlText w:val="%6."/>
      <w:lvlJc w:val="right"/>
      <w:pPr>
        <w:ind w:left="2877" w:hanging="420"/>
      </w:pPr>
    </w:lvl>
    <w:lvl w:ilvl="6">
      <w:start w:val="1"/>
      <w:numFmt w:val="decimal"/>
      <w:isLgl w:val="false"/>
      <w:suff w:val="tab"/>
      <w:lvlText w:val="%7."/>
      <w:lvlJc w:val="left"/>
      <w:pPr>
        <w:ind w:left="3297" w:hanging="420"/>
      </w:pPr>
    </w:lvl>
    <w:lvl w:ilvl="7">
      <w:start w:val="1"/>
      <w:numFmt w:val="lowerLetter"/>
      <w:isLgl w:val="false"/>
      <w:suff w:val="tab"/>
      <w:lvlText w:val="%8)"/>
      <w:lvlJc w:val="left"/>
      <w:pPr>
        <w:ind w:left="3717" w:hanging="420"/>
      </w:pPr>
    </w:lvl>
    <w:lvl w:ilvl="8">
      <w:start w:val="1"/>
      <w:numFmt w:val="lowerRoman"/>
      <w:isLgl w:val="false"/>
      <w:suff w:val="tab"/>
      <w:lvlText w:val="%9."/>
      <w:lvlJc w:val="right"/>
      <w:pPr>
        <w:ind w:left="4137" w:hanging="420"/>
      </w:pPr>
    </w:lvl>
  </w:abstractNum>
  <w:abstractNum w:abstractNumId="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lowerLetter"/>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3"/>
      <w:numFmt w:val="decimal"/>
      <w:isLgl w:val="false"/>
      <w:suff w:val="tab"/>
      <w:lvlText w:val="%1."/>
      <w:lvlJc w:val="left"/>
      <w:pPr>
        <w:ind w:left="780" w:hanging="780"/>
      </w:pPr>
      <w:rPr>
        <w:rFonts w:hint="default" w:ascii="宋体" w:hAnsi="宋体"/>
      </w:rPr>
    </w:lvl>
    <w:lvl w:ilvl="1">
      <w:start w:val="3"/>
      <w:numFmt w:val="decimal"/>
      <w:isLgl w:val="false"/>
      <w:suff w:val="tab"/>
      <w:lvlText w:val="%1.%2."/>
      <w:lvlJc w:val="left"/>
      <w:pPr>
        <w:ind w:left="992" w:hanging="780"/>
      </w:pPr>
      <w:rPr>
        <w:rFonts w:hint="default" w:ascii="宋体" w:hAnsi="宋体"/>
      </w:rPr>
    </w:lvl>
    <w:lvl w:ilvl="2">
      <w:start w:val="30"/>
      <w:numFmt w:val="decimal"/>
      <w:isLgl w:val="false"/>
      <w:suff w:val="tab"/>
      <w:lvlText w:val="%1.%2.%3、"/>
      <w:lvlJc w:val="left"/>
      <w:pPr>
        <w:ind w:left="1504" w:hanging="1080"/>
      </w:pPr>
      <w:rPr>
        <w:rFonts w:hint="default" w:ascii="宋体" w:hAnsi="宋体"/>
      </w:rPr>
    </w:lvl>
    <w:lvl w:ilvl="3">
      <w:start w:val="1"/>
      <w:numFmt w:val="decimal"/>
      <w:isLgl w:val="false"/>
      <w:suff w:val="tab"/>
      <w:lvlText w:val="%4)"/>
      <w:lvlJc w:val="left"/>
      <w:pPr>
        <w:ind w:left="2076" w:hanging="1440"/>
      </w:pPr>
      <w:rPr>
        <w:rFonts w:hint="default"/>
      </w:rPr>
    </w:lvl>
    <w:lvl w:ilvl="4">
      <w:start w:val="1"/>
      <w:numFmt w:val="decimal"/>
      <w:isLgl w:val="false"/>
      <w:suff w:val="tab"/>
      <w:lvlText w:val="%1.%2.%3、%4.%5."/>
      <w:lvlJc w:val="left"/>
      <w:pPr>
        <w:ind w:left="2288" w:hanging="1440"/>
      </w:pPr>
      <w:rPr>
        <w:rFonts w:hint="default" w:ascii="宋体" w:hAnsi="宋体"/>
      </w:rPr>
    </w:lvl>
    <w:lvl w:ilvl="5">
      <w:start w:val="1"/>
      <w:numFmt w:val="decimal"/>
      <w:isLgl w:val="false"/>
      <w:suff w:val="tab"/>
      <w:lvlText w:val="%1.%2.%3、%4.%5.%6."/>
      <w:lvlJc w:val="left"/>
      <w:pPr>
        <w:ind w:left="2860" w:hanging="1800"/>
      </w:pPr>
      <w:rPr>
        <w:rFonts w:hint="default" w:ascii="宋体" w:hAnsi="宋体"/>
      </w:rPr>
    </w:lvl>
    <w:lvl w:ilvl="6">
      <w:start w:val="1"/>
      <w:numFmt w:val="decimal"/>
      <w:isLgl w:val="false"/>
      <w:suff w:val="tab"/>
      <w:lvlText w:val="%1.%2.%3、%4.%5.%6.%7."/>
      <w:lvlJc w:val="left"/>
      <w:pPr>
        <w:ind w:left="3432" w:hanging="2160"/>
      </w:pPr>
      <w:rPr>
        <w:rFonts w:hint="default" w:ascii="宋体" w:hAnsi="宋体"/>
      </w:rPr>
    </w:lvl>
    <w:lvl w:ilvl="7">
      <w:start w:val="1"/>
      <w:numFmt w:val="decimal"/>
      <w:isLgl w:val="false"/>
      <w:suff w:val="tab"/>
      <w:lvlText w:val="%1.%2.%3、%4.%5.%6.%7.%8."/>
      <w:lvlJc w:val="left"/>
      <w:pPr>
        <w:ind w:left="3644" w:hanging="2160"/>
      </w:pPr>
      <w:rPr>
        <w:rFonts w:hint="default" w:ascii="宋体" w:hAnsi="宋体"/>
      </w:rPr>
    </w:lvl>
    <w:lvl w:ilvl="8">
      <w:start w:val="1"/>
      <w:numFmt w:val="decimal"/>
      <w:isLgl w:val="false"/>
      <w:suff w:val="tab"/>
      <w:lvlText w:val="%1.%2.%3、%4.%5.%6.%7.%8.%9."/>
      <w:lvlJc w:val="left"/>
      <w:pPr>
        <w:ind w:left="4216" w:hanging="2520"/>
      </w:pPr>
      <w:rPr>
        <w:rFonts w:hint="default" w:ascii="宋体" w:hAnsi="宋体"/>
      </w:rPr>
    </w:lvl>
  </w:abstractNum>
  <w:abstractNum w:abstractNumId="8">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ascii="宋体" w:hAnsi="宋体" w:eastAsia="宋体"/>
      </w:rPr>
    </w:lvl>
    <w:lvl w:ilvl="2">
      <w:start w:val="1"/>
      <w:numFmt w:val="decimal"/>
      <w:isLgl w:val="false"/>
      <w:suff w:val="tab"/>
      <w:lvlText w:val="%1.%2.%3."/>
      <w:lvlJc w:val="left"/>
      <w:pPr>
        <w:ind w:left="425" w:hanging="425"/>
        <w:tabs>
          <w:tab w:val="left" w:pos="425" w:leader="none"/>
        </w:tabs>
      </w:pPr>
      <w:rPr>
        <w:rFonts w:hint="eastAsia" w:ascii="宋体" w:hAnsi="宋体" w:eastAsia="宋体"/>
      </w:rPr>
    </w:lvl>
    <w:lvl w:ilvl="3">
      <w:start w:val="1"/>
      <w:numFmt w:val="decimal"/>
      <w:isLgl w:val="false"/>
      <w:suff w:val="tab"/>
      <w:lvlText w:val="%1.%2.%3.%4."/>
      <w:lvlJc w:val="left"/>
      <w:pPr>
        <w:ind w:left="851" w:hanging="851"/>
        <w:tabs>
          <w:tab w:val="left" w:pos="851" w:leader="none"/>
        </w:tabs>
      </w:pPr>
      <w:rPr>
        <w:rFonts w:hint="eastAsia" w:ascii="宋体" w:hAnsi="宋体" w:eastAsia="宋体"/>
      </w:rPr>
    </w:lvl>
    <w:lvl w:ilvl="4">
      <w:start w:val="1"/>
      <w:numFmt w:val="decimal"/>
      <w:isLgl w:val="false"/>
      <w:suff w:val="tab"/>
      <w:lvlText w:val="%1.%2.%3.%4.%5."/>
      <w:lvlJc w:val="left"/>
      <w:pPr>
        <w:ind w:left="992" w:hanging="992"/>
        <w:tabs>
          <w:tab w:val="left" w:pos="992" w:leader="none"/>
        </w:tabs>
      </w:pPr>
      <w:rPr>
        <w:rFonts w:hint="eastAsia" w:ascii="宋体" w:hAnsi="宋体" w:eastAsia="宋体"/>
      </w:rPr>
    </w:lvl>
    <w:lvl w:ilvl="5">
      <w:start w:val="1"/>
      <w:numFmt w:val="decimal"/>
      <w:isLgl w:val="false"/>
      <w:suff w:val="tab"/>
      <w:lvlText w:val="%1.%2.%3.%4.%5.%6."/>
      <w:lvlJc w:val="left"/>
      <w:pPr>
        <w:ind w:left="1134" w:hanging="1134"/>
        <w:tabs>
          <w:tab w:val="left" w:pos="1134" w:leader="none"/>
        </w:tabs>
      </w:pPr>
      <w:rPr>
        <w:rFonts w:hint="eastAsia" w:ascii="宋体" w:hAnsi="宋体" w:eastAsia="宋体"/>
      </w:rPr>
    </w:lvl>
    <w:lvl w:ilvl="6">
      <w:start w:val="1"/>
      <w:numFmt w:val="decimal"/>
      <w:isLgl w:val="false"/>
      <w:suff w:val="tab"/>
      <w:lvlText w:val="%1.%2.%3.%4.%5.%6.%7."/>
      <w:lvlJc w:val="left"/>
      <w:pPr>
        <w:ind w:left="1276" w:hanging="1276"/>
        <w:tabs>
          <w:tab w:val="left" w:pos="1276" w:leader="none"/>
        </w:tabs>
      </w:pPr>
      <w:rPr>
        <w:rFonts w:hint="eastAsia" w:ascii="宋体" w:hAnsi="宋体" w:eastAsia="宋体"/>
      </w:rPr>
    </w:lvl>
    <w:lvl w:ilvl="7">
      <w:start w:val="1"/>
      <w:numFmt w:val="decimal"/>
      <w:isLgl w:val="false"/>
      <w:suff w:val="tab"/>
      <w:lvlText w:val="%1.%2.%3.%4.%5.%6.%7.%8."/>
      <w:lvlJc w:val="left"/>
      <w:pPr>
        <w:ind w:left="1418" w:hanging="1418"/>
        <w:tabs>
          <w:tab w:val="left" w:pos="1418" w:leader="none"/>
        </w:tabs>
      </w:pPr>
      <w:rPr>
        <w:rFonts w:hint="eastAsia" w:ascii="宋体" w:hAnsi="宋体" w:eastAsia="宋体"/>
      </w:rPr>
    </w:lvl>
    <w:lvl w:ilvl="8">
      <w:start w:val="1"/>
      <w:numFmt w:val="decimal"/>
      <w:isLgl w:val="false"/>
      <w:suff w:val="tab"/>
      <w:lvlText w:val="%1.%2.%3.%4.%5.%6.%7.%8.%9."/>
      <w:lvlJc w:val="left"/>
      <w:pPr>
        <w:ind w:left="1559" w:hanging="1559"/>
        <w:tabs>
          <w:tab w:val="left" w:pos="1559" w:leader="none"/>
        </w:tabs>
      </w:pPr>
      <w:rPr>
        <w:rFonts w:hint="eastAsia" w:ascii="宋体" w:hAnsi="宋体" w:eastAsia="宋体"/>
      </w:rPr>
    </w:lvl>
  </w:abstractNum>
  <w:abstractNum w:abstractNumId="11">
    <w:multiLevelType w:val="hybridMultilevel"/>
    <w:lvl w:ilvl="0">
      <w:start w:val="1"/>
      <w:numFmt w:val="decimal"/>
      <w:isLgl w:val="false"/>
      <w:suff w:val="tab"/>
      <w:lvlText w:val="%1)"/>
      <w:lvlJc w:val="left"/>
      <w:pPr>
        <w:ind w:left="777" w:hanging="420"/>
      </w:pPr>
      <w:rPr>
        <w:rFonts w:hint="eastAsia"/>
      </w:rPr>
    </w:lvl>
    <w:lvl w:ilvl="1">
      <w:start w:val="1"/>
      <w:numFmt w:val="lowerLetter"/>
      <w:isLgl w:val="false"/>
      <w:suff w:val="tab"/>
      <w:lvlText w:val="%2)"/>
      <w:lvlJc w:val="left"/>
      <w:pPr>
        <w:ind w:left="1197" w:hanging="420"/>
      </w:pPr>
    </w:lvl>
    <w:lvl w:ilvl="2">
      <w:start w:val="1"/>
      <w:numFmt w:val="lowerRoman"/>
      <w:isLgl w:val="false"/>
      <w:suff w:val="tab"/>
      <w:lvlText w:val="%3."/>
      <w:lvlJc w:val="right"/>
      <w:pPr>
        <w:ind w:left="1617" w:hanging="420"/>
      </w:pPr>
    </w:lvl>
    <w:lvl w:ilvl="3">
      <w:start w:val="1"/>
      <w:numFmt w:val="decimal"/>
      <w:isLgl w:val="false"/>
      <w:suff w:val="tab"/>
      <w:lvlText w:val="%4."/>
      <w:lvlJc w:val="left"/>
      <w:pPr>
        <w:ind w:left="2037" w:hanging="420"/>
      </w:pPr>
    </w:lvl>
    <w:lvl w:ilvl="4">
      <w:start w:val="1"/>
      <w:numFmt w:val="lowerLetter"/>
      <w:isLgl w:val="false"/>
      <w:suff w:val="tab"/>
      <w:lvlText w:val="%5)"/>
      <w:lvlJc w:val="left"/>
      <w:pPr>
        <w:ind w:left="2457" w:hanging="420"/>
      </w:pPr>
    </w:lvl>
    <w:lvl w:ilvl="5">
      <w:start w:val="1"/>
      <w:numFmt w:val="lowerRoman"/>
      <w:isLgl w:val="false"/>
      <w:suff w:val="tab"/>
      <w:lvlText w:val="%6."/>
      <w:lvlJc w:val="right"/>
      <w:pPr>
        <w:ind w:left="2877" w:hanging="420"/>
      </w:pPr>
    </w:lvl>
    <w:lvl w:ilvl="6">
      <w:start w:val="1"/>
      <w:numFmt w:val="decimal"/>
      <w:isLgl w:val="false"/>
      <w:suff w:val="tab"/>
      <w:lvlText w:val="%7."/>
      <w:lvlJc w:val="left"/>
      <w:pPr>
        <w:ind w:left="3297" w:hanging="420"/>
      </w:pPr>
    </w:lvl>
    <w:lvl w:ilvl="7">
      <w:start w:val="1"/>
      <w:numFmt w:val="lowerLetter"/>
      <w:isLgl w:val="false"/>
      <w:suff w:val="tab"/>
      <w:lvlText w:val="%8)"/>
      <w:lvlJc w:val="left"/>
      <w:pPr>
        <w:ind w:left="3717" w:hanging="420"/>
      </w:pPr>
    </w:lvl>
    <w:lvl w:ilvl="8">
      <w:start w:val="1"/>
      <w:numFmt w:val="lowerRoman"/>
      <w:isLgl w:val="false"/>
      <w:suff w:val="tab"/>
      <w:lvlText w:val="%9."/>
      <w:lvlJc w:val="right"/>
      <w:pPr>
        <w:ind w:left="4137" w:hanging="420"/>
      </w:pPr>
    </w:lvl>
  </w:abstractNum>
  <w:abstractNum w:abstractNumId="12">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tab"/>
      <w:lvlText w:val="%1)"/>
      <w:lvlJc w:val="left"/>
      <w:pPr>
        <w:ind w:left="283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7"/>
  </w:num>
  <w:num w:numId="2">
    <w:abstractNumId w:val="18"/>
  </w:num>
  <w:num w:numId="3">
    <w:abstractNumId w:val="13"/>
  </w:num>
  <w:num w:numId="4">
    <w:abstractNumId w:val="22"/>
  </w:num>
  <w:num w:numId="5">
    <w:abstractNumId w:val="0"/>
  </w:num>
  <w:num w:numId="6">
    <w:abstractNumId w:val="20"/>
  </w:num>
  <w:num w:numId="7">
    <w:abstractNumId w:val="5"/>
  </w:num>
  <w:num w:numId="8">
    <w:abstractNumId w:val="9"/>
  </w:num>
  <w:num w:numId="9">
    <w:abstractNumId w:val="16"/>
  </w:num>
  <w:num w:numId="10">
    <w:abstractNumId w:val="2"/>
  </w:num>
  <w:num w:numId="11">
    <w:abstractNumId w:val="12"/>
  </w:num>
  <w:num w:numId="12">
    <w:abstractNumId w:val="7"/>
  </w:num>
  <w:num w:numId="13">
    <w:abstractNumId w:val="6"/>
  </w:num>
  <w:num w:numId="14">
    <w:abstractNumId w:val="10"/>
  </w:num>
  <w:num w:numId="15">
    <w:abstractNumId w:val="3"/>
  </w:num>
  <w:num w:numId="16">
    <w:abstractNumId w:val="1"/>
  </w:num>
  <w:num w:numId="17">
    <w:abstractNumId w:val="4"/>
  </w:num>
  <w:num w:numId="18">
    <w:abstractNumId w:val="11"/>
  </w:num>
  <w:num w:numId="19">
    <w:abstractNumId w:val="21"/>
  </w:num>
  <w:num w:numId="20">
    <w:abstractNumId w:val="15"/>
  </w:num>
  <w:num w:numId="21">
    <w:abstractNumId w:val="14"/>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6"/>
    <w:uiPriority w:val="10"/>
    <w:rPr>
      <w:sz w:val="48"/>
      <w:szCs w:val="48"/>
    </w:rPr>
  </w:style>
  <w:style w:type="character" w:styleId="714">
    <w:name w:val="Subtitle Char"/>
    <w:basedOn w:val="751"/>
    <w:link w:val="769"/>
    <w:uiPriority w:val="11"/>
    <w:rPr>
      <w:sz w:val="24"/>
      <w:szCs w:val="24"/>
    </w:rPr>
  </w:style>
  <w:style w:type="character" w:styleId="715">
    <w:name w:val="Quote Char"/>
    <w:link w:val="797"/>
    <w:uiPriority w:val="29"/>
    <w:rPr>
      <w:i/>
    </w:rPr>
  </w:style>
  <w:style w:type="character" w:styleId="716">
    <w:name w:val="Intense Quote Char"/>
    <w:link w:val="799"/>
    <w:uiPriority w:val="30"/>
    <w:rPr>
      <w:i/>
    </w:rPr>
  </w:style>
  <w:style w:type="character" w:styleId="717">
    <w:name w:val="Header Char"/>
    <w:basedOn w:val="751"/>
    <w:link w:val="766"/>
    <w:uiPriority w:val="99"/>
  </w:style>
  <w:style w:type="character" w:styleId="718">
    <w:name w:val="Caption Char"/>
    <w:basedOn w:val="755"/>
    <w:link w:val="765"/>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0"/>
    <w:uiPriority w:val="99"/>
    <w:rPr>
      <w:sz w:val="18"/>
    </w:rPr>
  </w:style>
  <w:style w:type="character" w:styleId="739">
    <w:name w:val="Endnote Text Char"/>
    <w:link w:val="763"/>
    <w:uiPriority w:val="99"/>
    <w:rPr>
      <w:sz w:val="20"/>
    </w:rPr>
  </w:style>
  <w:style w:type="paragraph" w:styleId="740">
    <w:name w:val="TOC Heading"/>
    <w:uiPriority w:val="39"/>
    <w:unhideWhenUsed/>
  </w:style>
  <w:style w:type="paragraph" w:styleId="741"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42">
    <w:name w:val="Heading 1"/>
    <w:basedOn w:val="741"/>
    <w:next w:val="741"/>
    <w:link w:val="786"/>
    <w:uiPriority w:val="9"/>
    <w:qFormat/>
    <w:pPr>
      <w:keepLines/>
      <w:keepNext/>
      <w:spacing w:before="480"/>
      <w:outlineLvl w:val="0"/>
    </w:pPr>
    <w:rPr>
      <w:rFonts w:ascii="Arial" w:hAnsi="Arial" w:eastAsia="Arial" w:cs="Arial"/>
      <w:sz w:val="40"/>
      <w:szCs w:val="40"/>
    </w:rPr>
  </w:style>
  <w:style w:type="paragraph" w:styleId="743">
    <w:name w:val="Heading 2"/>
    <w:basedOn w:val="741"/>
    <w:next w:val="753"/>
    <w:link w:val="787"/>
    <w:uiPriority w:val="9"/>
    <w:unhideWhenUsed/>
    <w:qFormat/>
    <w:pPr>
      <w:keepLines/>
      <w:keepNext/>
      <w:spacing w:before="360"/>
      <w:outlineLvl w:val="1"/>
    </w:pPr>
    <w:rPr>
      <w:rFonts w:ascii="Arial" w:hAnsi="Arial" w:eastAsia="Arial" w:cs="Arial"/>
      <w:sz w:val="34"/>
    </w:rPr>
  </w:style>
  <w:style w:type="paragraph" w:styleId="744">
    <w:name w:val="Heading 3"/>
    <w:basedOn w:val="741"/>
    <w:next w:val="741"/>
    <w:link w:val="788"/>
    <w:uiPriority w:val="9"/>
    <w:unhideWhenUsed/>
    <w:qFormat/>
    <w:pPr>
      <w:keepLines/>
      <w:keepNext/>
      <w:spacing w:before="320"/>
      <w:outlineLvl w:val="2"/>
    </w:pPr>
    <w:rPr>
      <w:rFonts w:ascii="Arial" w:hAnsi="Arial" w:eastAsia="Arial" w:cs="Arial"/>
      <w:sz w:val="30"/>
      <w:szCs w:val="30"/>
    </w:rPr>
  </w:style>
  <w:style w:type="paragraph" w:styleId="745">
    <w:name w:val="Heading 4"/>
    <w:basedOn w:val="742"/>
    <w:next w:val="741"/>
    <w:link w:val="789"/>
    <w:uiPriority w:val="9"/>
    <w:unhideWhenUsed/>
    <w:qFormat/>
    <w:pPr>
      <w:spacing w:before="320"/>
      <w:outlineLvl w:val="3"/>
    </w:pPr>
    <w:rPr>
      <w:b/>
      <w:bCs/>
      <w:sz w:val="26"/>
      <w:szCs w:val="26"/>
    </w:rPr>
  </w:style>
  <w:style w:type="paragraph" w:styleId="746">
    <w:name w:val="Heading 5"/>
    <w:basedOn w:val="741"/>
    <w:next w:val="741"/>
    <w:link w:val="790"/>
    <w:uiPriority w:val="9"/>
    <w:unhideWhenUsed/>
    <w:qFormat/>
    <w:pPr>
      <w:keepLines/>
      <w:keepNext/>
      <w:spacing w:before="320"/>
      <w:outlineLvl w:val="4"/>
    </w:pPr>
    <w:rPr>
      <w:rFonts w:ascii="Arial" w:hAnsi="Arial" w:eastAsia="Arial" w:cs="Arial"/>
      <w:b/>
      <w:bCs/>
      <w:sz w:val="24"/>
      <w:szCs w:val="24"/>
    </w:rPr>
  </w:style>
  <w:style w:type="paragraph" w:styleId="747">
    <w:name w:val="Heading 6"/>
    <w:basedOn w:val="741"/>
    <w:next w:val="741"/>
    <w:link w:val="791"/>
    <w:uiPriority w:val="9"/>
    <w:unhideWhenUsed/>
    <w:qFormat/>
    <w:pPr>
      <w:keepLines/>
      <w:keepNext/>
      <w:spacing w:before="320"/>
      <w:outlineLvl w:val="5"/>
    </w:pPr>
    <w:rPr>
      <w:rFonts w:ascii="Arial" w:hAnsi="Arial" w:eastAsia="Arial" w:cs="Arial"/>
      <w:b/>
      <w:bCs/>
    </w:rPr>
  </w:style>
  <w:style w:type="paragraph" w:styleId="748">
    <w:name w:val="Heading 7"/>
    <w:basedOn w:val="741"/>
    <w:next w:val="741"/>
    <w:link w:val="792"/>
    <w:uiPriority w:val="9"/>
    <w:unhideWhenUsed/>
    <w:qFormat/>
    <w:pPr>
      <w:keepLines/>
      <w:keepNext/>
      <w:spacing w:before="320"/>
      <w:outlineLvl w:val="6"/>
    </w:pPr>
    <w:rPr>
      <w:rFonts w:ascii="Arial" w:hAnsi="Arial" w:eastAsia="Arial" w:cs="Arial"/>
      <w:b/>
      <w:bCs/>
      <w:i/>
      <w:iCs/>
    </w:rPr>
  </w:style>
  <w:style w:type="paragraph" w:styleId="749">
    <w:name w:val="Heading 8"/>
    <w:basedOn w:val="741"/>
    <w:next w:val="741"/>
    <w:link w:val="793"/>
    <w:uiPriority w:val="9"/>
    <w:unhideWhenUsed/>
    <w:qFormat/>
    <w:pPr>
      <w:keepLines/>
      <w:keepNext/>
      <w:spacing w:before="320"/>
      <w:outlineLvl w:val="7"/>
    </w:pPr>
    <w:rPr>
      <w:rFonts w:ascii="Arial" w:hAnsi="Arial" w:eastAsia="Arial" w:cs="Arial"/>
      <w:i/>
      <w:iCs/>
    </w:rPr>
  </w:style>
  <w:style w:type="paragraph" w:styleId="750">
    <w:name w:val="Heading 9"/>
    <w:basedOn w:val="741"/>
    <w:next w:val="741"/>
    <w:link w:val="794"/>
    <w:uiPriority w:val="9"/>
    <w:unhideWhenUsed/>
    <w:qFormat/>
    <w:pPr>
      <w:keepLines/>
      <w:keepNext/>
      <w:spacing w:before="32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next w:val="741"/>
    <w:uiPriority w:val="0"/>
    <w:qFormat/>
    <w:pPr>
      <w:ind w:firstLine="420"/>
    </w:pPr>
  </w:style>
  <w:style w:type="paragraph" w:styleId="754">
    <w:name w:val="toc 7"/>
    <w:basedOn w:val="741"/>
    <w:next w:val="741"/>
    <w:uiPriority w:val="39"/>
    <w:unhideWhenUsed/>
    <w:qFormat/>
    <w:pPr>
      <w:ind w:left="1701"/>
      <w:spacing w:after="57"/>
    </w:pPr>
  </w:style>
  <w:style w:type="paragraph" w:styleId="755">
    <w:name w:val="Caption"/>
    <w:basedOn w:val="741"/>
    <w:next w:val="741"/>
    <w:uiPriority w:val="35"/>
    <w:semiHidden/>
    <w:unhideWhenUsed/>
    <w:qFormat/>
    <w:rPr>
      <w:b/>
      <w:bCs/>
      <w:color w:val="5b9bd5" w:themeColor="accent1"/>
      <w:sz w:val="18"/>
      <w:szCs w:val="18"/>
      <w14:textFill>
        <w14:solidFill>
          <w14:schemeClr w14:val="accent1"/>
        </w14:solidFill>
      </w14:textFill>
    </w:rPr>
  </w:style>
  <w:style w:type="paragraph" w:styleId="756">
    <w:name w:val="Document Map"/>
    <w:basedOn w:val="741"/>
    <w:uiPriority w:val="99"/>
    <w:qFormat/>
    <w:pPr>
      <w:shd w:val="clear" w:color="auto" w:fill="000080"/>
    </w:pPr>
  </w:style>
  <w:style w:type="paragraph" w:styleId="757">
    <w:name w:val="annotation text"/>
    <w:basedOn w:val="741"/>
    <w:link w:val="958"/>
    <w:uiPriority w:val="0"/>
    <w:qFormat/>
    <w:rPr>
      <w:rFonts w:ascii="Calibri" w:hAnsi="Calibri"/>
    </w:rPr>
  </w:style>
  <w:style w:type="paragraph" w:styleId="758">
    <w:name w:val="Body Text"/>
    <w:basedOn w:val="741"/>
    <w:next w:val="753"/>
    <w:uiPriority w:val="0"/>
    <w:qFormat/>
    <w:rPr>
      <w:rFonts w:ascii="楷体_GB2312" w:hAnsi="Arial" w:eastAsia="楷体_GB2312"/>
      <w:sz w:val="28"/>
    </w:rPr>
  </w:style>
  <w:style w:type="paragraph" w:styleId="759">
    <w:name w:val="Body Text Indent"/>
    <w:basedOn w:val="741"/>
    <w:next w:val="741"/>
    <w:uiPriority w:val="0"/>
    <w:qFormat/>
    <w:pPr>
      <w:ind w:firstLine="574"/>
      <w:spacing w:line="312" w:lineRule="atLeast"/>
    </w:pPr>
    <w:rPr>
      <w:rFonts w:ascii="宋体"/>
      <w:sz w:val="28"/>
    </w:rPr>
  </w:style>
  <w:style w:type="paragraph" w:styleId="760">
    <w:name w:val="toc 5"/>
    <w:basedOn w:val="741"/>
    <w:next w:val="741"/>
    <w:uiPriority w:val="39"/>
    <w:unhideWhenUsed/>
    <w:qFormat/>
    <w:pPr>
      <w:ind w:left="1134"/>
      <w:spacing w:after="57"/>
    </w:pPr>
  </w:style>
  <w:style w:type="paragraph" w:styleId="761">
    <w:name w:val="toc 3"/>
    <w:basedOn w:val="741"/>
    <w:next w:val="741"/>
    <w:uiPriority w:val="39"/>
    <w:unhideWhenUsed/>
    <w:qFormat/>
    <w:pPr>
      <w:ind w:left="567"/>
      <w:spacing w:after="57"/>
    </w:pPr>
  </w:style>
  <w:style w:type="paragraph" w:styleId="762">
    <w:name w:val="toc 8"/>
    <w:basedOn w:val="741"/>
    <w:next w:val="741"/>
    <w:uiPriority w:val="39"/>
    <w:unhideWhenUsed/>
    <w:qFormat/>
    <w:pPr>
      <w:ind w:left="1984"/>
      <w:spacing w:after="57"/>
    </w:pPr>
  </w:style>
  <w:style w:type="paragraph" w:styleId="763">
    <w:name w:val="endnote text"/>
    <w:basedOn w:val="741"/>
    <w:link w:val="930"/>
    <w:uiPriority w:val="99"/>
    <w:semiHidden/>
    <w:unhideWhenUsed/>
    <w:qFormat/>
    <w:pPr>
      <w:spacing w:after="0" w:line="240" w:lineRule="auto"/>
    </w:pPr>
    <w:rPr>
      <w:sz w:val="20"/>
    </w:rPr>
  </w:style>
  <w:style w:type="paragraph" w:styleId="764">
    <w:name w:val="Balloon Text"/>
    <w:basedOn w:val="741"/>
    <w:link w:val="939"/>
    <w:uiPriority w:val="99"/>
    <w:semiHidden/>
    <w:unhideWhenUsed/>
    <w:qFormat/>
    <w:pPr>
      <w:spacing w:after="0" w:line="240" w:lineRule="auto"/>
    </w:pPr>
    <w:rPr>
      <w:sz w:val="18"/>
      <w:szCs w:val="18"/>
    </w:rPr>
  </w:style>
  <w:style w:type="paragraph" w:styleId="765">
    <w:name w:val="Footer"/>
    <w:basedOn w:val="741"/>
    <w:link w:val="803"/>
    <w:uiPriority w:val="99"/>
    <w:unhideWhenUsed/>
    <w:qFormat/>
    <w:pPr>
      <w:spacing w:after="0" w:line="240" w:lineRule="auto"/>
      <w:tabs>
        <w:tab w:val="center" w:pos="7143" w:leader="none"/>
        <w:tab w:val="right" w:pos="14287" w:leader="none"/>
      </w:tabs>
    </w:pPr>
  </w:style>
  <w:style w:type="paragraph" w:styleId="766">
    <w:name w:val="Header"/>
    <w:basedOn w:val="741"/>
    <w:link w:val="801"/>
    <w:uiPriority w:val="99"/>
    <w:unhideWhenUsed/>
    <w:qFormat/>
    <w:pPr>
      <w:spacing w:after="0" w:line="240" w:lineRule="auto"/>
      <w:tabs>
        <w:tab w:val="center" w:pos="7143" w:leader="none"/>
        <w:tab w:val="right" w:pos="14287" w:leader="none"/>
      </w:tabs>
    </w:pPr>
  </w:style>
  <w:style w:type="paragraph" w:styleId="767">
    <w:name w:val="toc 1"/>
    <w:basedOn w:val="741"/>
    <w:next w:val="741"/>
    <w:uiPriority w:val="39"/>
    <w:unhideWhenUsed/>
    <w:qFormat/>
    <w:pPr>
      <w:spacing w:after="57"/>
    </w:pPr>
  </w:style>
  <w:style w:type="paragraph" w:styleId="768">
    <w:name w:val="toc 4"/>
    <w:basedOn w:val="741"/>
    <w:next w:val="741"/>
    <w:uiPriority w:val="39"/>
    <w:unhideWhenUsed/>
    <w:qFormat/>
    <w:pPr>
      <w:ind w:left="850"/>
      <w:spacing w:after="57"/>
    </w:pPr>
  </w:style>
  <w:style w:type="paragraph" w:styleId="769">
    <w:name w:val="Subtitle"/>
    <w:basedOn w:val="741"/>
    <w:next w:val="741"/>
    <w:link w:val="796"/>
    <w:uiPriority w:val="11"/>
    <w:qFormat/>
    <w:pPr>
      <w:spacing w:before="200"/>
    </w:pPr>
    <w:rPr>
      <w:sz w:val="24"/>
      <w:szCs w:val="24"/>
    </w:rPr>
  </w:style>
  <w:style w:type="paragraph" w:styleId="770">
    <w:name w:val="footnote text"/>
    <w:basedOn w:val="741"/>
    <w:link w:val="929"/>
    <w:uiPriority w:val="99"/>
    <w:semiHidden/>
    <w:unhideWhenUsed/>
    <w:qFormat/>
    <w:pPr>
      <w:spacing w:after="40" w:line="240" w:lineRule="auto"/>
    </w:pPr>
    <w:rPr>
      <w:sz w:val="18"/>
    </w:rPr>
  </w:style>
  <w:style w:type="paragraph" w:styleId="771">
    <w:name w:val="toc 6"/>
    <w:basedOn w:val="741"/>
    <w:next w:val="741"/>
    <w:uiPriority w:val="39"/>
    <w:unhideWhenUsed/>
    <w:qFormat/>
    <w:pPr>
      <w:ind w:left="1417"/>
      <w:spacing w:after="57"/>
    </w:pPr>
  </w:style>
  <w:style w:type="paragraph" w:styleId="772">
    <w:name w:val="table of figures"/>
    <w:basedOn w:val="741"/>
    <w:next w:val="741"/>
    <w:uiPriority w:val="99"/>
    <w:unhideWhenUsed/>
    <w:qFormat/>
    <w:pPr>
      <w:spacing w:after="0"/>
    </w:pPr>
  </w:style>
  <w:style w:type="paragraph" w:styleId="773">
    <w:name w:val="toc 2"/>
    <w:basedOn w:val="741"/>
    <w:next w:val="741"/>
    <w:uiPriority w:val="39"/>
    <w:unhideWhenUsed/>
    <w:qFormat/>
    <w:pPr>
      <w:ind w:left="283"/>
      <w:spacing w:after="57"/>
    </w:pPr>
  </w:style>
  <w:style w:type="paragraph" w:styleId="774">
    <w:name w:val="toc 9"/>
    <w:basedOn w:val="741"/>
    <w:next w:val="741"/>
    <w:uiPriority w:val="39"/>
    <w:unhideWhenUsed/>
    <w:qFormat/>
    <w:pPr>
      <w:ind w:left="2268"/>
      <w:spacing w:after="57"/>
    </w:pPr>
  </w:style>
  <w:style w:type="paragraph" w:styleId="775">
    <w:name w:val="Normal (Web)"/>
    <w:basedOn w:val="741"/>
    <w:uiPriority w:val="0"/>
    <w:qFormat/>
    <w:pPr>
      <w:spacing w:beforeAutospacing="1" w:after="0" w:afterAutospacing="1"/>
    </w:pPr>
    <w:rPr>
      <w:rFonts w:cs="Times New Roman"/>
      <w:sz w:val="24"/>
      <w:lang w:eastAsia="zh-CN"/>
    </w:rPr>
  </w:style>
  <w:style w:type="paragraph" w:styleId="776">
    <w:name w:val="Title"/>
    <w:basedOn w:val="741"/>
    <w:next w:val="741"/>
    <w:link w:val="795"/>
    <w:uiPriority w:val="10"/>
    <w:qFormat/>
    <w:pPr>
      <w:contextualSpacing/>
      <w:spacing w:before="300"/>
    </w:pPr>
    <w:rPr>
      <w:sz w:val="48"/>
      <w:szCs w:val="48"/>
    </w:rPr>
  </w:style>
  <w:style w:type="paragraph" w:styleId="777">
    <w:name w:val="annotation subject"/>
    <w:basedOn w:val="757"/>
    <w:next w:val="757"/>
    <w:link w:val="959"/>
    <w:uiPriority w:val="99"/>
    <w:semiHidden/>
    <w:unhideWhenUsed/>
    <w:qFormat/>
    <w:rPr>
      <w:rFonts w:asciiTheme="minorHAnsi" w:hAnsiTheme="minorHAnsi"/>
      <w:b/>
      <w:bCs/>
    </w:rPr>
  </w:style>
  <w:style w:type="paragraph" w:styleId="778">
    <w:name w:val="Body Text First Indent 2"/>
    <w:basedOn w:val="759"/>
    <w:uiPriority w:val="99"/>
    <w:unhideWhenUsed/>
    <w:qFormat/>
    <w:pPr>
      <w:ind w:left="420" w:firstLine="420"/>
      <w:spacing w:after="120" w:line="240" w:lineRule="auto"/>
    </w:pPr>
    <w:rPr>
      <w:rFonts w:ascii="Times New Roman"/>
      <w:sz w:val="24"/>
      <w:szCs w:val="24"/>
    </w:rPr>
  </w:style>
  <w:style w:type="table" w:styleId="779">
    <w:name w:val="Table Grid"/>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basedOn w:val="751"/>
    <w:uiPriority w:val="0"/>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563c1" w:themeColor="hyperlink"/>
      <w:u w:val="single"/>
      <w14:textFill>
        <w14:solidFill>
          <w14:schemeClr w14:val="hlink"/>
        </w14:solidFill>
      </w14:textFill>
    </w:rPr>
  </w:style>
  <w:style w:type="character" w:styleId="783">
    <w:name w:val="annotation reference"/>
    <w:basedOn w:val="751"/>
    <w:uiPriority w:val="99"/>
    <w:qFormat/>
    <w:rPr>
      <w:sz w:val="21"/>
      <w:szCs w:val="21"/>
    </w:rPr>
  </w:style>
  <w:style w:type="character" w:styleId="784">
    <w:name w:val="footnote reference"/>
    <w:uiPriority w:val="99"/>
    <w:unhideWhenUsed/>
    <w:qFormat/>
    <w:rPr>
      <w:vertAlign w:val="superscript"/>
    </w:rPr>
  </w:style>
  <w:style w:type="paragraph" w:styleId="785" w:customStyle="1">
    <w:name w:val="段"/>
    <w:next w:val="741"/>
    <w:uiPriority w:val="0"/>
    <w:qFormat/>
    <w:pPr>
      <w:ind w:firstLine="200"/>
      <w:jc w:val="both"/>
    </w:pPr>
    <w:rPr>
      <w:rFonts w:ascii="宋体" w:hAnsi="Times New Roman" w:eastAsia="宋体" w:cs="Times New Roman"/>
      <w:sz w:val="21"/>
      <w:lang w:val="en-US" w:eastAsia="zh-CN" w:bidi="ar-SA"/>
    </w:rPr>
  </w:style>
  <w:style w:type="character" w:styleId="786" w:customStyle="1">
    <w:name w:val="标题 1 字符"/>
    <w:link w:val="742"/>
    <w:uiPriority w:val="9"/>
    <w:qFormat/>
    <w:rPr>
      <w:rFonts w:ascii="Arial" w:hAnsi="Arial" w:eastAsia="Arial" w:cs="Arial"/>
      <w:sz w:val="40"/>
      <w:szCs w:val="40"/>
    </w:rPr>
  </w:style>
  <w:style w:type="character" w:styleId="787" w:customStyle="1">
    <w:name w:val="标题 2 字符"/>
    <w:link w:val="743"/>
    <w:uiPriority w:val="9"/>
    <w:qFormat/>
    <w:rPr>
      <w:rFonts w:ascii="Arial" w:hAnsi="Arial" w:eastAsia="Arial" w:cs="Arial"/>
      <w:sz w:val="34"/>
    </w:rPr>
  </w:style>
  <w:style w:type="character" w:styleId="788" w:customStyle="1">
    <w:name w:val="标题 3 字符"/>
    <w:link w:val="744"/>
    <w:uiPriority w:val="9"/>
    <w:qFormat/>
    <w:rPr>
      <w:rFonts w:ascii="Arial" w:hAnsi="Arial" w:eastAsia="Arial" w:cs="Arial"/>
      <w:sz w:val="30"/>
      <w:szCs w:val="30"/>
    </w:rPr>
  </w:style>
  <w:style w:type="character" w:styleId="789" w:customStyle="1">
    <w:name w:val="标题 4 字符"/>
    <w:link w:val="745"/>
    <w:uiPriority w:val="9"/>
    <w:qFormat/>
    <w:rPr>
      <w:rFonts w:ascii="Arial" w:hAnsi="Arial" w:eastAsia="Arial" w:cs="Arial"/>
      <w:b/>
      <w:bCs/>
      <w:sz w:val="26"/>
      <w:szCs w:val="26"/>
    </w:rPr>
  </w:style>
  <w:style w:type="character" w:styleId="790" w:customStyle="1">
    <w:name w:val="标题 5 字符"/>
    <w:link w:val="746"/>
    <w:uiPriority w:val="9"/>
    <w:qFormat/>
    <w:rPr>
      <w:rFonts w:ascii="Arial" w:hAnsi="Arial" w:eastAsia="Arial" w:cs="Arial"/>
      <w:b/>
      <w:bCs/>
      <w:sz w:val="24"/>
      <w:szCs w:val="24"/>
    </w:rPr>
  </w:style>
  <w:style w:type="character" w:styleId="791" w:customStyle="1">
    <w:name w:val="标题 6 字符"/>
    <w:link w:val="747"/>
    <w:uiPriority w:val="9"/>
    <w:qFormat/>
    <w:rPr>
      <w:rFonts w:ascii="Arial" w:hAnsi="Arial" w:eastAsia="Arial" w:cs="Arial"/>
      <w:b/>
      <w:bCs/>
      <w:sz w:val="22"/>
      <w:szCs w:val="22"/>
    </w:rPr>
  </w:style>
  <w:style w:type="character" w:styleId="792" w:customStyle="1">
    <w:name w:val="标题 7 字符"/>
    <w:link w:val="748"/>
    <w:uiPriority w:val="9"/>
    <w:qFormat/>
    <w:rPr>
      <w:rFonts w:ascii="Arial" w:hAnsi="Arial" w:eastAsia="Arial" w:cs="Arial"/>
      <w:b/>
      <w:bCs/>
      <w:i/>
      <w:iCs/>
      <w:sz w:val="22"/>
      <w:szCs w:val="22"/>
    </w:rPr>
  </w:style>
  <w:style w:type="character" w:styleId="793" w:customStyle="1">
    <w:name w:val="标题 8 字符"/>
    <w:link w:val="749"/>
    <w:uiPriority w:val="9"/>
    <w:qFormat/>
    <w:rPr>
      <w:rFonts w:ascii="Arial" w:hAnsi="Arial" w:eastAsia="Arial" w:cs="Arial"/>
      <w:i/>
      <w:iCs/>
      <w:sz w:val="22"/>
      <w:szCs w:val="22"/>
    </w:rPr>
  </w:style>
  <w:style w:type="character" w:styleId="794" w:customStyle="1">
    <w:name w:val="标题 9 字符"/>
    <w:link w:val="750"/>
    <w:uiPriority w:val="9"/>
    <w:qFormat/>
    <w:rPr>
      <w:rFonts w:ascii="Arial" w:hAnsi="Arial" w:eastAsia="Arial" w:cs="Arial"/>
      <w:i/>
      <w:iCs/>
      <w:sz w:val="21"/>
      <w:szCs w:val="21"/>
    </w:rPr>
  </w:style>
  <w:style w:type="character" w:styleId="795" w:customStyle="1">
    <w:name w:val="标题 字符"/>
    <w:link w:val="776"/>
    <w:uiPriority w:val="10"/>
    <w:qFormat/>
    <w:rPr>
      <w:sz w:val="48"/>
      <w:szCs w:val="48"/>
    </w:rPr>
  </w:style>
  <w:style w:type="character" w:styleId="796" w:customStyle="1">
    <w:name w:val="副标题 字符"/>
    <w:link w:val="769"/>
    <w:uiPriority w:val="11"/>
    <w:qFormat/>
    <w:rPr>
      <w:sz w:val="24"/>
      <w:szCs w:val="24"/>
    </w:rPr>
  </w:style>
  <w:style w:type="paragraph" w:styleId="797">
    <w:name w:val="Quote"/>
    <w:basedOn w:val="741"/>
    <w:next w:val="741"/>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41"/>
    <w:next w:val="74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766"/>
    <w:uiPriority w:val="99"/>
    <w:qFormat/>
  </w:style>
  <w:style w:type="character" w:styleId="802" w:customStyle="1">
    <w:name w:val="Footer Char"/>
    <w:uiPriority w:val="99"/>
    <w:qFormat/>
  </w:style>
  <w:style w:type="character" w:styleId="803" w:customStyle="1">
    <w:name w:val="页脚 字符"/>
    <w:link w:val="765"/>
    <w:uiPriority w:val="99"/>
    <w:qFormat/>
  </w:style>
  <w:style w:type="table" w:styleId="804" w:customStyle="1">
    <w:name w:val="Table Grid Light"/>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5" w:customStyle="1">
    <w:name w:val="无格式表格 11"/>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4" w:customStyle="1">
    <w:name w:val="网格表 31"/>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5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3" w:customStyle="1">
    <w:name w:val="Grid Table 4 - Accent 2"/>
    <w:basedOn w:val="75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5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5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5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7" w:customStyle="1">
    <w:name w:val="Grid Table 4 - Accent 6"/>
    <w:basedOn w:val="75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网格表 5 深色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0" w:customStyle="1">
    <w:name w:val="Grid Table 5 Dark - Accent 2"/>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1" w:customStyle="1">
    <w:name w:val="Grid Table 5 Dark - Accent 3"/>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2" w:customStyle="1">
    <w:name w:val="Grid Table 5 Dark- Accent 4"/>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3" w:customStyle="1">
    <w:name w:val="Grid Table 5 Dark - Accent 5"/>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4" w:customStyle="1">
    <w:name w:val="Grid Table 5 Dark - Accent 6"/>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5" w:customStyle="1">
    <w:name w:val="网格表 6 彩色1"/>
    <w:basedOn w:val="7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5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5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9" w:customStyle="1">
    <w:name w:val="Grid Table 6 Colorful - Accent 4"/>
    <w:basedOn w:val="7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5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1" w:customStyle="1">
    <w:name w:val="Grid Table 6 Colorful - Accent 6"/>
    <w:basedOn w:val="75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2" w:customStyle="1">
    <w:name w:val="网格表 7 彩色1"/>
    <w:basedOn w:val="7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5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5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5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5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5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5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basedOn w:val="7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5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5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5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5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5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5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清单表 21"/>
    <w:basedOn w:val="7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5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8" w:customStyle="1">
    <w:name w:val="List Table 2 - Accent 2"/>
    <w:basedOn w:val="75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9" w:customStyle="1">
    <w:name w:val="List Table 2 - Accent 3"/>
    <w:basedOn w:val="75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0" w:customStyle="1">
    <w:name w:val="List Table 2 - Accent 4"/>
    <w:basedOn w:val="75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1" w:customStyle="1">
    <w:name w:val="List Table 2 - Accent 5"/>
    <w:basedOn w:val="75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2" w:customStyle="1">
    <w:name w:val="List Table 2 - Accent 6"/>
    <w:basedOn w:val="75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3" w:customStyle="1">
    <w:name w:val="清单表 3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5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3 - Accent 2"/>
    <w:basedOn w:val="7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5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5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5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0" w:customStyle="1">
    <w:name w:val="清单表 4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5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2" w:customStyle="1">
    <w:name w:val="List Table 4 - Accent 2"/>
    <w:basedOn w:val="75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3" w:customStyle="1">
    <w:name w:val="List Table 4 - Accent 3"/>
    <w:basedOn w:val="75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4" w:customStyle="1">
    <w:name w:val="List Table 4 - Accent 4"/>
    <w:basedOn w:val="75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5" w:customStyle="1">
    <w:name w:val="List Table 4 - Accent 5"/>
    <w:basedOn w:val="75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6" w:customStyle="1">
    <w:name w:val="List Table 4 - Accent 6"/>
    <w:basedOn w:val="75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7" w:customStyle="1">
    <w:name w:val="清单表 5 深色1"/>
    <w:basedOn w:val="7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5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5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5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5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5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5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basedOn w:val="7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5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6" w:customStyle="1">
    <w:name w:val="List Table 6 Colorful - Accent 2"/>
    <w:basedOn w:val="75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7" w:customStyle="1">
    <w:name w:val="List Table 6 Colorful - Accent 3"/>
    <w:basedOn w:val="75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8" w:customStyle="1">
    <w:name w:val="List Table 6 Colorful - Accent 4"/>
    <w:basedOn w:val="75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9" w:customStyle="1">
    <w:name w:val="List Table 6 Colorful - Accent 5"/>
    <w:basedOn w:val="75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0" w:customStyle="1">
    <w:name w:val="List Table 6 Colorful - Accent 6"/>
    <w:basedOn w:val="75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1" w:customStyle="1">
    <w:name w:val="清单表 7 彩色1"/>
    <w:basedOn w:val="7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5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5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5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5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5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5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Lined - Accent 2"/>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Lined - Accent 3"/>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Lined - Accent 4"/>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Lined - Accent 5"/>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Lined - Accent 6"/>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amp; Lined - Accent"/>
    <w:basedOn w:val="7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5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7" w:customStyle="1">
    <w:name w:val="Bordered &amp; Lined - Accent 2"/>
    <w:basedOn w:val="75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Bordered &amp; Lined - Accent 3"/>
    <w:basedOn w:val="75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Bordered &amp; Lined - Accent 4"/>
    <w:basedOn w:val="75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Bordered &amp; Lined - Accent 5"/>
    <w:basedOn w:val="75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Bordered &amp; Lined - Accent 6"/>
    <w:basedOn w:val="75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w:basedOn w:val="7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4" w:customStyle="1">
    <w:name w:val="Bordered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5" w:customStyle="1">
    <w:name w:val="Bordered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6" w:customStyle="1">
    <w:name w:val="Bordered - Accent 4"/>
    <w:basedOn w:val="7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7" w:customStyle="1">
    <w:name w:val="Bordered - Accent 5"/>
    <w:basedOn w:val="7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8" w:customStyle="1">
    <w:name w:val="Bordered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9" w:customStyle="1">
    <w:name w:val="脚注文本 字符"/>
    <w:link w:val="770"/>
    <w:uiPriority w:val="99"/>
    <w:qFormat/>
    <w:rPr>
      <w:sz w:val="18"/>
    </w:rPr>
  </w:style>
  <w:style w:type="character" w:styleId="930" w:customStyle="1">
    <w:name w:val="尾注文本 字符"/>
    <w:link w:val="763"/>
    <w:uiPriority w:val="99"/>
    <w:qFormat/>
    <w:rPr>
      <w:sz w:val="20"/>
    </w:rPr>
  </w:style>
  <w:style w:type="paragraph" w:styleId="931"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2">
    <w:name w:val="No Spacing"/>
    <w:basedOn w:val="741"/>
    <w:uiPriority w:val="1"/>
    <w:qFormat/>
    <w:pPr>
      <w:spacing w:after="0" w:line="240" w:lineRule="auto"/>
    </w:pPr>
  </w:style>
  <w:style w:type="paragraph" w:styleId="933">
    <w:name w:val="List Paragraph"/>
    <w:basedOn w:val="741"/>
    <w:uiPriority w:val="34"/>
    <w:qFormat/>
    <w:pPr>
      <w:contextualSpacing/>
      <w:ind w:left="720"/>
    </w:pPr>
  </w:style>
  <w:style w:type="paragraph" w:styleId="934" w:customStyle="1">
    <w:name w:val="Plain Text2"/>
    <w:basedOn w:val="741"/>
    <w:uiPriority w:val="99"/>
    <w:qFormat/>
    <w:rPr>
      <w:rFonts w:ascii="宋体" w:hAnsi="Courier New" w:eastAsia="楷体_GB2312"/>
      <w:sz w:val="28"/>
    </w:rPr>
  </w:style>
  <w:style w:type="paragraph" w:styleId="935" w:customStyle="1">
    <w:name w:val="纯文本6"/>
    <w:basedOn w:val="741"/>
    <w:uiPriority w:val="0"/>
    <w:qFormat/>
    <w:rPr>
      <w:rFonts w:ascii="宋体" w:hAnsi="Courier New" w:eastAsia="楷体_GB2312"/>
      <w:sz w:val="26"/>
    </w:rPr>
  </w:style>
  <w:style w:type="paragraph" w:styleId="936" w:customStyle="1">
    <w:name w:val="_正文"/>
    <w:basedOn w:val="741"/>
    <w:uiPriority w:val="0"/>
    <w:qFormat/>
    <w:pPr>
      <w:ind w:firstLine="200"/>
      <w:spacing w:line="360" w:lineRule="auto"/>
    </w:pPr>
    <w:rPr>
      <w:sz w:val="24"/>
      <w:szCs w:val="24"/>
    </w:rPr>
  </w:style>
  <w:style w:type="paragraph" w:styleId="937" w:customStyle="1">
    <w:name w:val="纯文本1"/>
    <w:basedOn w:val="741"/>
    <w:uiPriority w:val="0"/>
    <w:qFormat/>
    <w:rPr>
      <w:rFonts w:ascii="宋体" w:hAnsi="Courier New" w:eastAsia="楷体_GB2312"/>
      <w:sz w:val="26"/>
    </w:rPr>
  </w:style>
  <w:style w:type="paragraph" w:styleId="938" w:customStyle="1">
    <w:name w:val="列出段落1"/>
    <w:basedOn w:val="741"/>
    <w:uiPriority w:val="34"/>
    <w:qFormat/>
    <w:pPr>
      <w:ind w:firstLine="420"/>
    </w:pPr>
    <w:rPr>
      <w:rFonts w:eastAsiaTheme="minorEastAsia"/>
      <w:szCs w:val="24"/>
    </w:rPr>
  </w:style>
  <w:style w:type="character" w:styleId="939" w:customStyle="1">
    <w:name w:val="批注框文本 字符"/>
    <w:basedOn w:val="751"/>
    <w:link w:val="764"/>
    <w:uiPriority w:val="99"/>
    <w:semiHidden/>
    <w:qFormat/>
    <w:rPr>
      <w:rFonts w:asciiTheme="minorHAnsi" w:hAnsiTheme="minorHAnsi" w:eastAsiaTheme="minorHAnsi" w:cstheme="minorBidi"/>
      <w:sz w:val="18"/>
      <w:szCs w:val="18"/>
      <w:lang w:eastAsia="en-US"/>
    </w:rPr>
  </w:style>
  <w:style w:type="paragraph" w:styleId="940" w:customStyle="1">
    <w:name w:val="01 章标"/>
    <w:basedOn w:val="741"/>
    <w:uiPriority w:val="0"/>
    <w:qFormat/>
    <w:pPr>
      <w:ind w:firstLine="883"/>
      <w:jc w:val="center"/>
      <w:outlineLvl w:val="0"/>
    </w:pPr>
    <w:rPr>
      <w:b/>
      <w:sz w:val="44"/>
      <w:szCs w:val="44"/>
    </w:rPr>
  </w:style>
  <w:style w:type="paragraph" w:styleId="941" w:customStyle="1">
    <w:name w:val="一级目录"/>
    <w:next w:val="741"/>
    <w:uiPriority w:val="0"/>
    <w:qFormat/>
    <w:pPr>
      <w:jc w:val="center"/>
      <w:outlineLvl w:val="0"/>
    </w:pPr>
    <w:rPr>
      <w:rFonts w:ascii="黑体" w:hAnsi="Times New Roman" w:eastAsia="黑体" w:cs="Times New Roman"/>
      <w:b/>
      <w:sz w:val="44"/>
      <w:szCs w:val="44"/>
      <w:lang w:val="en-US" w:eastAsia="zh-CN" w:bidi="ar-SA"/>
    </w:rPr>
  </w:style>
  <w:style w:type="paragraph" w:styleId="942" w:customStyle="1">
    <w:name w:val="方案正文"/>
    <w:basedOn w:val="741"/>
    <w:uiPriority w:val="0"/>
    <w:qFormat/>
    <w:pPr>
      <w:spacing w:line="440" w:lineRule="atLeast"/>
    </w:pPr>
    <w:rPr>
      <w:sz w:val="24"/>
    </w:rPr>
  </w:style>
  <w:style w:type="character" w:styleId="943" w:customStyle="1">
    <w:name w:val="NormalCharacter"/>
    <w:uiPriority w:val="0"/>
    <w:qFormat/>
    <w:rPr>
      <w:rFonts w:ascii="Times New Roman" w:hAnsi="Times New Roman" w:eastAsia="宋体"/>
    </w:rPr>
  </w:style>
  <w:style w:type="paragraph" w:styleId="944" w:customStyle="1">
    <w:name w:val="A正文小四"/>
    <w:basedOn w:val="741"/>
    <w:uiPriority w:val="0"/>
    <w:qFormat/>
    <w:pPr>
      <w:ind w:firstLine="200"/>
      <w:jc w:val="both"/>
      <w:spacing w:line="360" w:lineRule="auto"/>
      <w:widowControl w:val="off"/>
    </w:pPr>
    <w:rPr>
      <w:sz w:val="21"/>
    </w:rPr>
  </w:style>
  <w:style w:type="paragraph" w:styleId="945" w:customStyle="1">
    <w:name w:val="UserStyle_1"/>
    <w:next w:val="946"/>
    <w:uiPriority w:val="0"/>
    <w:qFormat/>
    <w:pPr>
      <w:ind w:firstLine="200"/>
      <w:jc w:val="both"/>
    </w:pPr>
    <w:rPr>
      <w:rFonts w:ascii="宋体" w:hAnsi="Times New Roman" w:eastAsia="宋体" w:cs="Times New Roman"/>
      <w:lang w:val="en-US" w:eastAsia="zh-CN" w:bidi="ar-SA"/>
    </w:rPr>
  </w:style>
  <w:style w:type="paragraph" w:styleId="946" w:customStyle="1">
    <w:name w:val="UserStyle_0"/>
    <w:next w:val="945"/>
    <w:uiPriority w:val="0"/>
    <w:qFormat/>
    <w:pPr>
      <w:jc w:val="both"/>
    </w:pPr>
    <w:rPr>
      <w:rFonts w:ascii="Arial Unicode MS" w:hAnsi="Arial Unicode MS" w:eastAsia="Times New Roman" w:cs="Times New Roman"/>
      <w:color w:val="000000"/>
      <w:szCs w:val="21"/>
      <w:lang w:val="en-US" w:eastAsia="zh-CN" w:bidi="ar-SA"/>
    </w:rPr>
  </w:style>
  <w:style w:type="paragraph" w:styleId="947" w:customStyle="1">
    <w:name w:val="p0"/>
    <w:basedOn w:val="741"/>
    <w:uiPriority w:val="0"/>
    <w:qFormat/>
    <w:pPr>
      <w:jc w:val="both"/>
    </w:pPr>
    <w:rPr>
      <w:rFonts w:ascii="Calibri" w:hAnsi="Calibri" w:cs="Calibri"/>
      <w:sz w:val="21"/>
      <w:szCs w:val="21"/>
    </w:rPr>
  </w:style>
  <w:style w:type="paragraph" w:styleId="948" w:customStyle="1">
    <w:name w:val="p17"/>
    <w:basedOn w:val="741"/>
    <w:uiPriority w:val="0"/>
    <w:qFormat/>
    <w:pPr>
      <w:jc w:val="both"/>
    </w:pPr>
    <w:rPr>
      <w:sz w:val="21"/>
      <w:szCs w:val="21"/>
    </w:rPr>
  </w:style>
  <w:style w:type="paragraph" w:styleId="949" w:customStyle="1">
    <w:name w:val="样式 首行缩进:  0 字符"/>
    <w:basedOn w:val="741"/>
    <w:uiPriority w:val="0"/>
    <w:qFormat/>
    <w:pPr>
      <w:ind w:firstLine="200"/>
      <w:jc w:val="both"/>
      <w:spacing w:line="360" w:lineRule="auto"/>
      <w:widowControl w:val="off"/>
    </w:pPr>
    <w:rPr>
      <w:rFonts w:ascii="Verdana" w:hAnsi="Verdana" w:cs="宋体"/>
    </w:rPr>
  </w:style>
  <w:style w:type="paragraph" w:styleId="950" w:customStyle="1">
    <w:name w:val="￥正文"/>
    <w:basedOn w:val="741"/>
    <w:uiPriority w:val="0"/>
    <w:qFormat/>
    <w:rPr>
      <w:rFonts w:ascii="Calibri" w:hAnsi="Calibri" w:cs="Calibri"/>
      <w:szCs w:val="24"/>
    </w:rPr>
  </w:style>
  <w:style w:type="paragraph" w:styleId="951" w:customStyle="1">
    <w:name w:val="首行缩进"/>
    <w:basedOn w:val="741"/>
    <w:uiPriority w:val="0"/>
    <w:qFormat/>
    <w:pPr>
      <w:ind w:firstLine="480"/>
    </w:pPr>
    <w:rPr>
      <w:rFonts w:ascii="宋体" w:hAnsi="宋体" w:cs="宋体"/>
      <w:szCs w:val="24"/>
    </w:rPr>
  </w:style>
  <w:style w:type="paragraph" w:styleId="952" w:customStyle="1">
    <w:name w:val="列出段落"/>
    <w:basedOn w:val="741"/>
    <w:uiPriority w:val="0"/>
    <w:qFormat/>
    <w:pPr>
      <w:ind w:firstLine="420"/>
    </w:pPr>
    <w:rPr>
      <w:rFonts w:ascii="Calibri" w:hAnsi="Calibri" w:cs="Calibri"/>
      <w:szCs w:val="24"/>
    </w:rPr>
  </w:style>
  <w:style w:type="paragraph" w:styleId="953" w:customStyle="1">
    <w:name w:val="列表段落4"/>
    <w:basedOn w:val="741"/>
    <w:uiPriority w:val="34"/>
    <w:qFormat/>
    <w:pPr>
      <w:ind w:firstLine="420"/>
    </w:pPr>
  </w:style>
  <w:style w:type="paragraph" w:styleId="954" w:customStyle="1">
    <w:name w:val="*正文"/>
    <w:basedOn w:val="741"/>
    <w:next w:val="741"/>
    <w:uiPriority w:val="0"/>
    <w:qFormat/>
    <w:pPr>
      <w:ind w:firstLine="200"/>
      <w:jc w:val="both"/>
      <w:widowControl w:val="off"/>
    </w:pPr>
    <w:rPr>
      <w:rFonts w:ascii="宋体" w:hAnsi="宋体" w:cs="MS Gothic"/>
      <w:sz w:val="21"/>
      <w:szCs w:val="21"/>
    </w:rPr>
  </w:style>
  <w:style w:type="paragraph" w:styleId="955" w:customStyle="1">
    <w:name w:val="p20"/>
    <w:basedOn w:val="741"/>
    <w:uiPriority w:val="0"/>
    <w:qFormat/>
    <w:pPr>
      <w:ind w:firstLine="420"/>
      <w:jc w:val="both"/>
    </w:pPr>
    <w:rPr>
      <w:rFonts w:ascii="宋体" w:hAnsi="宋体" w:cs="宋体"/>
      <w:sz w:val="21"/>
      <w:szCs w:val="21"/>
    </w:rPr>
  </w:style>
  <w:style w:type="paragraph" w:styleId="956" w:customStyle="1">
    <w:name w:val="p18"/>
    <w:basedOn w:val="741"/>
    <w:uiPriority w:val="0"/>
    <w:qFormat/>
  </w:style>
  <w:style w:type="paragraph" w:styleId="957" w:customStyle="1">
    <w:name w:val="p23"/>
    <w:basedOn w:val="741"/>
    <w:uiPriority w:val="0"/>
    <w:qFormat/>
    <w:pPr>
      <w:ind w:firstLine="420"/>
      <w:jc w:val="both"/>
    </w:pPr>
    <w:rPr>
      <w:sz w:val="21"/>
      <w:szCs w:val="21"/>
    </w:rPr>
  </w:style>
  <w:style w:type="character" w:styleId="958" w:customStyle="1">
    <w:name w:val="批注文字 字符"/>
    <w:basedOn w:val="751"/>
    <w:link w:val="757"/>
    <w:uiPriority w:val="99"/>
    <w:rPr>
      <w:rFonts w:ascii="Calibri" w:hAnsi="Calibri" w:eastAsiaTheme="minorHAnsi" w:cstheme="minorBidi"/>
      <w:sz w:val="22"/>
      <w:szCs w:val="22"/>
      <w:lang w:eastAsia="en-US"/>
    </w:rPr>
  </w:style>
  <w:style w:type="character" w:styleId="959" w:customStyle="1">
    <w:name w:val="批注主题 字符"/>
    <w:basedOn w:val="958"/>
    <w:link w:val="777"/>
    <w:uiPriority w:val="99"/>
    <w:semiHidden/>
    <w:rPr>
      <w:rFonts w:asciiTheme="minorHAnsi" w:hAnsiTheme="minorHAnsi" w:eastAsiaTheme="minorHAnsi" w:cstheme="minorBidi"/>
      <w:b/>
      <w:bCs/>
      <w:sz w:val="22"/>
      <w:szCs w:val="22"/>
      <w:lang w:eastAsia="en-US"/>
    </w:rPr>
  </w:style>
  <w:style w:type="character" w:styleId="960" w:customStyle="1">
    <w:name w:val="批注文字 字符1"/>
    <w:uiPriority w:val="99"/>
    <w:qFormat/>
    <w:rPr>
      <w:rFonts w:ascii="Calibri" w:hAnsi="Calibri"/>
      <w:sz w:val="21"/>
      <w:szCs w:val="22"/>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434</cp:revision>
  <dcterms:created xsi:type="dcterms:W3CDTF">2024-01-30T01:43:00Z</dcterms:created>
  <dcterms:modified xsi:type="dcterms:W3CDTF">2024-05-29T06:26:35Z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78CA6F8CF7464EC18BF74180A739CCD7_13</vt:lpwstr>
  </property>
</Properties>
</file>