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val="en-US" w:eastAsia="zh-CN"/>
        </w:rPr>
        <w:t xml:space="preserve">            </w:t>
      </w: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JSZC-321003-SWGC-G2024-0210</w:t>
      </w:r>
      <w:r/>
    </w:p>
    <w:p>
      <w:pPr>
        <w:pStyle w:val="959"/>
        <w:ind w:firstLine="0"/>
        <w:rPr>
          <w:rFonts w:hint="eastAsia"/>
          <w:color w:val="auto"/>
          <w:highlight w:val="none"/>
        </w:rPr>
      </w:pPr>
      <w:r>
        <w:rPr>
          <w:rFonts w:hint="eastAsia"/>
          <w:color w:val="auto"/>
          <w:highlight w:val="none"/>
        </w:rPr>
      </w:r>
      <w:r/>
    </w:p>
    <w:p>
      <w:pPr>
        <w:jc w:val="center"/>
        <w:keepLines w:val="0"/>
        <w:keepNext w:val="0"/>
        <w:pageBreakBefore w:val="0"/>
        <w:spacing w:line="480" w:lineRule="auto"/>
        <w:widowControl w:val="off"/>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维扬经济开发区居家养老政府购买服务项目二次</w:t>
      </w:r>
      <w:r/>
    </w:p>
    <w:p>
      <w:pPr>
        <w:jc w:val="center"/>
        <w:keepLines w:val="0"/>
        <w:keepNext w:val="0"/>
        <w:pageBreakBefore w:val="0"/>
        <w:spacing w:line="480" w:lineRule="auto"/>
        <w:widowControl w:val="off"/>
        <w:rPr>
          <w:rFonts w:ascii="宋体" w:hAnsi="宋体"/>
          <w:b/>
          <w:bCs/>
          <w:color w:val="auto"/>
          <w:sz w:val="36"/>
          <w:highlight w:val="none"/>
        </w:rPr>
      </w:pPr>
      <w:r>
        <w:rPr>
          <w:rFonts w:hint="eastAsia" w:ascii="宋体" w:hAnsi="宋体"/>
          <w:b/>
          <w:bCs/>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6068060" cy="37433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6068644" cy="37433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7.8pt;height:294.8pt;mso-wrap-distance-left:0.0pt;mso-wrap-distance-top:0.0pt;mso-wrap-distance-right:0.0pt;mso-wrap-distance-bottom:0.0pt;" stroked="f">
                <v:path textboxrect="0,0,0,0"/>
                <v:imagedata r:id="rId14" o:title=""/>
              </v:shape>
            </w:pict>
          </mc:Fallback>
        </mc:AlternateContent>
      </w:r>
      <w:r/>
    </w:p>
    <w:p>
      <w:pPr>
        <w:pStyle w:val="937"/>
        <w:rPr>
          <w:color w:val="auto"/>
          <w:highlight w:val="none"/>
        </w:rPr>
      </w:pPr>
      <w:r>
        <w:rPr>
          <w:color w:val="auto"/>
          <w:highlight w:val="none"/>
        </w:rPr>
      </w:r>
      <w:r/>
    </w:p>
    <w:p>
      <w:pPr>
        <w:jc w:val="center"/>
        <w:keepLines w:val="0"/>
        <w:keepNext w:val="0"/>
        <w:pageBreakBefore w:val="0"/>
        <w:spacing w:line="480" w:lineRule="auto"/>
        <w:widowControl w:val="off"/>
        <w:rPr>
          <w:rFonts w:hint="eastAsia"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keepLines w:val="0"/>
        <w:keepNext w:val="0"/>
        <w:pageBreakBefore w:val="0"/>
        <w:spacing w:line="480" w:lineRule="auto"/>
        <w:widowControl w:val="off"/>
        <w:rPr>
          <w:rFonts w:hint="eastAsia" w:ascii="宋体" w:hAnsi="宋体" w:eastAsia="宋体"/>
          <w:color w:val="auto"/>
          <w:sz w:val="36"/>
          <w:highlight w:val="none"/>
          <w:lang w:eastAsia="zh-CN"/>
        </w:rPr>
      </w:pPr>
      <w:r>
        <w:rPr>
          <w:rFonts w:hint="eastAsia" w:ascii="宋体" w:hAnsi="宋体"/>
          <w:b/>
          <w:bCs/>
          <w:color w:val="auto"/>
          <w:sz w:val="36"/>
          <w:highlight w:val="none"/>
          <w:lang w:eastAsia="zh-CN"/>
        </w:rPr>
        <w:t xml:space="preserve">2024年</w:t>
      </w:r>
      <w:r>
        <w:rPr>
          <w:rFonts w:hint="eastAsia" w:ascii="宋体" w:hAnsi="宋体"/>
          <w:b/>
          <w:bCs/>
          <w:color w:val="auto"/>
          <w:sz w:val="36"/>
          <w:highlight w:val="none"/>
          <w:lang w:val="en-US" w:eastAsia="zh-CN"/>
        </w:rPr>
        <w:t xml:space="preserve">10</w:t>
      </w:r>
      <w:r>
        <w:rPr>
          <w:rFonts w:hint="eastAsia" w:ascii="宋体" w:hAnsi="宋体"/>
          <w:b/>
          <w:bCs/>
          <w:color w:val="auto"/>
          <w:sz w:val="36"/>
          <w:highlight w:val="none"/>
          <w:lang w:eastAsia="zh-CN"/>
        </w:rPr>
        <w:t xml:space="preserve">月</w:t>
      </w:r>
      <w:r>
        <w:rPr>
          <w:rFonts w:hint="eastAsia" w:ascii="宋体" w:hAnsi="宋体"/>
          <w:b/>
          <w:bCs/>
          <w:color w:val="auto"/>
          <w:sz w:val="36"/>
          <w:highlight w:val="none"/>
          <w:lang w:val="en-US" w:eastAsia="zh-CN"/>
        </w:rPr>
        <w:t xml:space="preserve">16</w:t>
      </w:r>
      <w:r>
        <w:rPr>
          <w:rFonts w:hint="eastAsia" w:ascii="宋体" w:hAnsi="宋体"/>
          <w:b/>
          <w:bCs/>
          <w:color w:val="auto"/>
          <w:sz w:val="36"/>
          <w:highlight w:val="none"/>
          <w:lang w:eastAsia="zh-CN"/>
        </w:rPr>
        <w:t xml:space="preserve">日</w:t>
      </w:r>
      <w:r/>
    </w:p>
    <w:p>
      <w:pPr>
        <w:keepLines w:val="0"/>
        <w:keepNext w:val="0"/>
        <w:pageBreakBefore w:val="0"/>
        <w:spacing w:line="480" w:lineRule="auto"/>
        <w:widowControl w:val="off"/>
        <w:rPr>
          <w:color w:val="auto"/>
          <w:highlight w:val="none"/>
        </w:rPr>
      </w:pPr>
      <w:r>
        <w:rPr>
          <w:color w:val="auto"/>
          <w:highlight w:val="none"/>
        </w:rPr>
      </w:r>
      <w:r/>
    </w:p>
    <w:p>
      <w:pPr>
        <w:rPr>
          <w:rFonts w:hint="eastAsia" w:ascii="宋体" w:hAnsi="宋体"/>
          <w:color w:val="auto"/>
          <w:sz w:val="32"/>
          <w:highlight w:val="none"/>
        </w:rPr>
      </w:pPr>
      <w:r>
        <w:rPr>
          <w:rFonts w:hint="eastAsia" w:ascii="宋体" w:hAnsi="宋体"/>
          <w:color w:val="auto"/>
          <w:sz w:val="32"/>
          <w:highlight w:val="none"/>
        </w:rPr>
      </w:r>
      <w:r/>
    </w:p>
    <w:p>
      <w:pPr>
        <w:pStyle w:val="959"/>
        <w:ind w:firstLine="400"/>
        <w:rPr>
          <w:rFonts w:hint="eastAsia"/>
          <w:color w:val="auto"/>
          <w:highlight w:val="none"/>
        </w:rPr>
      </w:pPr>
      <w:r>
        <w:rPr>
          <w:rFonts w:hint="eastAsia"/>
          <w:color w:val="auto"/>
          <w:highlight w:val="none"/>
        </w:rPr>
      </w:r>
      <w:r/>
    </w:p>
    <w:p>
      <w:pPr>
        <w:jc w:val="center"/>
        <w:spacing w:line="480" w:lineRule="auto"/>
        <w:rPr>
          <w:rFonts w:hint="eastAsia" w:ascii="宋体" w:hAnsi="宋体"/>
          <w:color w:val="auto"/>
          <w:sz w:val="32"/>
          <w:highlight w:val="none"/>
        </w:rPr>
      </w:pPr>
      <w:r>
        <w:rPr>
          <w:rFonts w:hint="eastAsia" w:ascii="宋体" w:hAnsi="宋体"/>
          <w:color w:val="auto"/>
          <w:sz w:val="32"/>
          <w:highlight w:val="none"/>
        </w:rPr>
        <w:t xml:space="preserve">目 录</w:t>
      </w:r>
      <w:r/>
    </w:p>
    <w:p>
      <w:pPr>
        <w:pStyle w:val="959"/>
        <w:ind w:firstLine="400"/>
        <w:rPr>
          <w:color w:val="auto"/>
          <w:highlight w:val="none"/>
        </w:rPr>
      </w:pPr>
      <w:r>
        <w:rPr>
          <w:color w:val="auto"/>
          <w:highlight w:val="none"/>
        </w:rPr>
      </w:r>
      <w:r/>
    </w:p>
    <w:p>
      <w:pPr>
        <w:pStyle w:val="953"/>
        <w:spacing w:line="480" w:lineRule="auto"/>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highlight w:val="none"/>
          <w:lang w:eastAsia="zh-CN"/>
        </w:rPr>
        <w:t xml:space="preserve">采购</w:t>
      </w:r>
      <w:r>
        <w:rPr>
          <w:rFonts w:hint="eastAsia" w:ascii="宋体" w:hAnsi="宋体"/>
          <w:color w:val="auto"/>
          <w:highlight w:val="none"/>
        </w:rPr>
        <w:t xml:space="preserve">公告</w:t>
      </w:r>
      <w:r>
        <w:rPr>
          <w:rFonts w:hint="eastAsia"/>
          <w:color w:val="auto"/>
          <w:highlight w:val="none"/>
        </w:rPr>
        <w:tab/>
      </w:r>
      <w:r>
        <w:rPr>
          <w:rFonts w:hint="eastAsia"/>
          <w:color w:val="auto"/>
          <w:highlight w:val="none"/>
        </w:rPr>
        <w:t xml:space="preserve">3</w:t>
      </w:r>
      <w:r/>
    </w:p>
    <w:p>
      <w:pPr>
        <w:pStyle w:val="953"/>
        <w:spacing w:line="480" w:lineRule="auto"/>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53"/>
        <w:spacing w:line="48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w:t>
      </w:r>
      <w:r>
        <w:rPr>
          <w:rFonts w:hint="eastAsia"/>
          <w:color w:val="auto"/>
          <w:highlight w:val="none"/>
          <w:lang w:val="en-US" w:eastAsia="zh-CN"/>
        </w:rPr>
        <w:t xml:space="preserve">9</w:t>
      </w:r>
      <w:r/>
    </w:p>
    <w:p>
      <w:pPr>
        <w:pStyle w:val="953"/>
        <w:spacing w:line="480" w:lineRule="auto"/>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4</w:t>
      </w:r>
      <w:r/>
    </w:p>
    <w:p>
      <w:pPr>
        <w:pStyle w:val="953"/>
        <w:spacing w:line="480" w:lineRule="auto"/>
        <w:tabs>
          <w:tab w:val="right" w:pos="8296" w:leader="dot"/>
        </w:tabs>
        <w:rPr>
          <w:rFonts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29</w:t>
      </w:r>
      <w:r/>
    </w:p>
    <w:p>
      <w:pPr>
        <w:pStyle w:val="953"/>
        <w:spacing w:line="480" w:lineRule="auto"/>
        <w:tabs>
          <w:tab w:val="right" w:pos="8296" w:leader="dot"/>
        </w:tabs>
        <w:rPr>
          <w:rFonts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33</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numPr>
          <w:ilvl w:val="0"/>
          <w:numId w:val="2"/>
        </w:numPr>
        <w:jc w:val="center"/>
        <w:rPr>
          <w:rFonts w:hint="eastAsia" w:ascii="宋体" w:hAnsi="宋体"/>
          <w:b/>
          <w:bCs/>
          <w:color w:val="auto"/>
          <w:sz w:val="36"/>
          <w:highlight w:val="none"/>
          <w:lang w:eastAsia="zh-CN"/>
        </w:rPr>
        <w:sectPr>
          <w:headerReference w:type="default" r:id="rId9"/>
          <w:footerReference w:type="default" r:id="rId11"/>
          <w:footnotePr/>
          <w:endnotePr/>
          <w:type w:val="nextPage"/>
          <w:pgSz w:w="11906" w:h="16838" w:orient="portrait"/>
          <w:pgMar w:top="1440" w:right="1576" w:bottom="1440" w:left="1463" w:header="851" w:footer="992" w:gutter="0"/>
          <w:cols w:num="1" w:sep="0" w:space="1701" w:equalWidth="1"/>
          <w:docGrid w:linePitch="360"/>
        </w:sectPr>
      </w:pPr>
      <w:r/>
      <w:bookmarkStart w:id="0" w:name="_Toc55204177"/>
      <w:r/>
      <w:r/>
    </w:p>
    <w:p>
      <w:pPr>
        <w:numPr>
          <w:ilvl w:val="0"/>
          <w:numId w:val="0"/>
        </w:numPr>
        <w:jc w:val="center"/>
        <w:keepLines w:val="0"/>
        <w:keepNext w:val="0"/>
        <w:pageBreakBefore w:val="0"/>
        <w:spacing w:line="360" w:lineRule="auto"/>
        <w:widowControl w:val="off"/>
        <w:rPr>
          <w:rFonts w:hint="eastAsia" w:ascii="宋体" w:hAnsi="宋体"/>
          <w:b/>
          <w:bCs/>
          <w:color w:val="auto"/>
          <w:sz w:val="36"/>
          <w:highlight w:val="none"/>
          <w:lang w:eastAsia="zh-CN"/>
        </w:rPr>
      </w:pPr>
      <w:r>
        <w:rPr>
          <w:rFonts w:hint="eastAsia" w:ascii="宋体" w:hAnsi="宋体" w:eastAsia="宋体" w:cs="Times New Roman"/>
          <w:b/>
          <w:bCs/>
          <w:color w:val="auto"/>
          <w:sz w:val="36"/>
          <w:szCs w:val="22"/>
          <w:highlight w:val="none"/>
          <w:lang w:val="en-US" w:eastAsia="zh-CN" w:bidi="ar-SA"/>
        </w:rPr>
        <w:t xml:space="preserve">第一章</w:t>
      </w:r>
      <w:r>
        <w:rPr>
          <w:rFonts w:hint="eastAsia" w:ascii="宋体" w:hAnsi="宋体"/>
          <w:b/>
          <w:bCs/>
          <w:color w:val="auto"/>
          <w:sz w:val="36"/>
          <w:highlight w:val="none"/>
          <w:lang w:eastAsia="zh-CN"/>
        </w:rPr>
        <w:t xml:space="preserve">维扬经济开发区居家养老政府购买服务项目二次</w:t>
      </w:r>
      <w:r/>
    </w:p>
    <w:p>
      <w:pPr>
        <w:numPr>
          <w:ilvl w:val="0"/>
          <w:numId w:val="0"/>
        </w:numPr>
        <w:jc w:val="center"/>
        <w:keepLines w:val="0"/>
        <w:keepNext w:val="0"/>
        <w:pageBreakBefore w:val="0"/>
        <w:spacing w:line="360" w:lineRule="auto"/>
        <w:widowControl w:val="off"/>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采购</w:t>
      </w:r>
      <w:r>
        <w:rPr>
          <w:rFonts w:hint="eastAsia" w:ascii="宋体" w:hAnsi="宋体"/>
          <w:b/>
          <w:bCs/>
          <w:color w:val="auto"/>
          <w:sz w:val="36"/>
          <w:highlight w:val="none"/>
        </w:rPr>
        <w:t xml:space="preserve">公告</w:t>
      </w:r>
      <w:bookmarkEnd w:id="0"/>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江苏扬州维扬经济开发区管理委员会</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维扬经济开发区居家养老政府购买服务项目二次</w:t>
      </w:r>
      <w:r>
        <w:rPr>
          <w:rFonts w:hint="eastAsia" w:ascii="宋体" w:hAnsi="宋体" w:cs="宋体"/>
          <w:color w:val="auto"/>
          <w:highlight w:val="none"/>
        </w:rPr>
        <w:t xml:space="preserve">进行公开招标采购，欢迎符合条件的供应商投标。</w:t>
      </w:r>
      <w:r/>
    </w:p>
    <w:p>
      <w:pPr>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lang w:eastAsia="zh-CN"/>
        </w:rPr>
        <w:t xml:space="preserve">维扬经济开发区居家养老政府购买服务项目二次</w:t>
      </w:r>
      <w:r>
        <w:rPr>
          <w:rFonts w:hint="eastAsia" w:ascii="宋体" w:hAnsi="宋体" w:cs="宋体"/>
          <w:color w:val="auto"/>
          <w:szCs w:val="21"/>
          <w:highlight w:val="none"/>
        </w:rPr>
        <w:t xml:space="preserve">，</w:t>
      </w:r>
      <w:r>
        <w:rPr>
          <w:rFonts w:hint="eastAsia" w:ascii="宋体" w:hAnsi="宋体" w:cs="宋体"/>
          <w:color w:val="auto"/>
          <w:highlight w:val="none"/>
        </w:rPr>
        <w:t xml:space="preserve">具体内容详见第四章。</w:t>
      </w:r>
      <w:r/>
    </w:p>
    <w:p>
      <w:pPr>
        <w:ind w:firstLine="42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维扬经济开发区居家养老政府购买服务项目二次</w:t>
      </w:r>
      <w:r>
        <w:rPr>
          <w:rFonts w:hint="eastAsia" w:ascii="宋体" w:hAnsi="宋体" w:cs="宋体"/>
          <w:color w:val="auto"/>
          <w:highlight w:val="none"/>
        </w:rPr>
        <w:t xml:space="preserve">潜在投标人可在</w:t>
      </w:r>
      <w:r>
        <w:rPr>
          <w:rFonts w:hint="eastAsia" w:ascii="宋体" w:hAnsi="宋体" w:cs="宋体"/>
          <w:color w:val="auto"/>
          <w:highlight w:val="none"/>
          <w:u w:val="single"/>
          <w:lang w:eastAsia="zh-CN"/>
        </w:rPr>
        <w:t xml:space="preserve">“邗江区政府采购网”、“扬州市政府采购网”和“江苏省政府采购网”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2024年</w:t>
      </w:r>
      <w:r>
        <w:rPr>
          <w:rFonts w:hint="eastAsia" w:ascii="宋体" w:hAnsi="宋体" w:cs="宋体"/>
          <w:bCs/>
          <w:color w:val="auto"/>
          <w:highlight w:val="none"/>
          <w:u w:val="single"/>
          <w:lang w:val="en-US" w:eastAsia="zh-CN"/>
        </w:rPr>
        <w:t xml:space="preserve">11</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6</w:t>
      </w:r>
      <w:r>
        <w:rPr>
          <w:rFonts w:hint="eastAsia" w:ascii="宋体" w:hAnsi="宋体" w:cs="宋体"/>
          <w:bCs/>
          <w:color w:val="auto"/>
          <w:highlight w:val="none"/>
          <w:u w:val="single"/>
          <w:lang w:eastAsia="zh-CN"/>
        </w:rPr>
        <w:t xml:space="preserve">日下午</w:t>
      </w:r>
      <w:r>
        <w:rPr>
          <w:rFonts w:hint="eastAsia" w:ascii="宋体" w:hAnsi="宋体" w:cs="宋体"/>
          <w:bCs/>
          <w:color w:val="auto"/>
          <w:highlight w:val="none"/>
          <w:u w:val="single"/>
          <w:lang w:val="en-US" w:eastAsia="zh-CN"/>
        </w:rPr>
        <w:t xml:space="preserve">14:30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1" w:name="_Toc35393790"/>
      <w:r/>
      <w:bookmarkStart w:id="2" w:name="_Toc35393621"/>
      <w:r/>
      <w:bookmarkStart w:id="3" w:name="_Toc38985263"/>
      <w:r/>
      <w:bookmarkStart w:id="4" w:name="_Toc28359079"/>
      <w:r/>
      <w:bookmarkStart w:id="5" w:name="_Toc28359002"/>
      <w:r/>
      <w:bookmarkStart w:id="6" w:name="_Hlk24379207"/>
      <w:r>
        <w:rPr>
          <w:rFonts w:hint="eastAsia" w:ascii="宋体" w:hAnsi="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t xml:space="preserve">1.项目编号：</w:t>
      </w:r>
      <w:r>
        <w:rPr>
          <w:rFonts w:hint="eastAsia" w:ascii="宋体" w:hAnsi="宋体" w:cs="宋体"/>
          <w:color w:val="auto"/>
          <w:highlight w:val="none"/>
          <w:lang w:eastAsia="zh-CN"/>
        </w:rPr>
        <w:t xml:space="preserve">JSZC-321003-SWGC-G2024-0210</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bookmarkStart w:id="63" w:name="_GoBack"/>
      <w:r/>
      <w:bookmarkEnd w:id="63"/>
      <w:r>
        <w:rPr>
          <w:rFonts w:hint="eastAsia" w:ascii="宋体" w:hAnsi="宋体" w:cs="宋体"/>
          <w:color w:val="auto"/>
          <w:highlight w:val="none"/>
          <w:lang w:eastAsia="zh-CN"/>
        </w:rPr>
        <w:t xml:space="preserve">维扬经济开发区居家养老政府购买服务项目二次</w:t>
      </w:r>
      <w:bookmarkEnd w:id="6"/>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3.预算金额：</w:t>
      </w:r>
      <w:r>
        <w:rPr>
          <w:rFonts w:hint="eastAsia" w:ascii="宋体" w:hAnsi="宋体" w:cs="宋体"/>
          <w:color w:val="auto"/>
          <w:sz w:val="21"/>
          <w:szCs w:val="22"/>
          <w:highlight w:val="none"/>
          <w:lang w:val="en-US" w:eastAsia="zh-CN"/>
        </w:rPr>
        <w:t xml:space="preserve"> 45.192万元/年，两年共计90.384 万元</w:t>
      </w:r>
      <w:r>
        <w:rPr>
          <w:rFonts w:hint="eastAsia" w:ascii="宋体" w:hAnsi="宋体" w:eastAsia="宋体" w:cs="宋体"/>
          <w:color w:val="auto"/>
          <w:sz w:val="21"/>
          <w:szCs w:val="22"/>
          <w:highlight w:val="none"/>
        </w:rPr>
        <w:t xml:space="preserve">；</w:t>
      </w:r>
      <w:r/>
    </w:p>
    <w:p>
      <w:pPr>
        <w:ind w:firstLine="420"/>
        <w:spacing w:line="360" w:lineRule="auto"/>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4.本项目设置最高限价</w:t>
      </w:r>
      <w:r>
        <w:rPr>
          <w:rFonts w:hint="eastAsia" w:ascii="宋体" w:hAnsi="宋体" w:eastAsia="宋体" w:cs="宋体"/>
          <w:color w:val="auto"/>
          <w:szCs w:val="22"/>
          <w:highlight w:val="none"/>
        </w:rPr>
        <w:t xml:space="preserve">：</w:t>
      </w:r>
      <w:r>
        <w:rPr>
          <w:rFonts w:hint="eastAsia" w:ascii="宋体" w:hAnsi="宋体" w:cs="宋体"/>
          <w:color w:val="auto"/>
          <w:sz w:val="21"/>
          <w:szCs w:val="22"/>
          <w:highlight w:val="none"/>
          <w:lang w:val="en-US" w:eastAsia="zh-CN"/>
        </w:rPr>
        <w:t xml:space="preserve">人民币30元/小时(含服务费、管理费、服务人员交通费及通讯费等)</w:t>
      </w:r>
      <w:r>
        <w:rPr>
          <w:rFonts w:hint="eastAsia" w:ascii="宋体" w:hAnsi="宋体" w:eastAsia="宋体" w:cs="宋体"/>
          <w:color w:val="auto"/>
          <w:sz w:val="21"/>
          <w:szCs w:val="22"/>
          <w:highlight w:val="none"/>
          <w:lang w:eastAsia="zh-CN"/>
        </w:rPr>
        <w:t xml:space="preserve">，本项目设置最高限价</w:t>
      </w:r>
      <w:r>
        <w:rPr>
          <w:rFonts w:hint="eastAsia" w:ascii="宋体" w:hAnsi="宋体" w:eastAsia="宋体" w:cs="宋体"/>
          <w:color w:val="auto"/>
          <w:sz w:val="21"/>
          <w:szCs w:val="22"/>
          <w:highlight w:val="none"/>
        </w:rPr>
        <w:t xml:space="preserve">，超过最高限价作无效投标处理；</w:t>
      </w:r>
      <w:r/>
    </w:p>
    <w:p>
      <w:pPr>
        <w:ind w:firstLine="420"/>
        <w:spacing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5.采购需求：见招标文件第四章。</w:t>
      </w:r>
      <w:r/>
    </w:p>
    <w:p>
      <w:pPr>
        <w:ind w:firstLine="420"/>
        <w:jc w:val="left"/>
        <w:spacing w:line="360" w:lineRule="auto"/>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6.合同履行期限：</w:t>
      </w:r>
      <w:r>
        <w:rPr>
          <w:rFonts w:hint="eastAsia" w:ascii="宋体" w:hAnsi="宋体" w:cs="宋体"/>
          <w:color w:val="auto"/>
          <w:highlight w:val="none"/>
          <w:lang w:eastAsia="zh-CN"/>
        </w:rPr>
        <w:t xml:space="preserve">本项目服务年限2年，采取1＋1模式，第一年合同期满后，可根据服务考核情况决定是否签订次年的合同</w:t>
      </w:r>
      <w:r>
        <w:rPr>
          <w:rFonts w:hint="eastAsia" w:ascii="宋体" w:hAnsi="宋体" w:eastAsia="宋体" w:cs="宋体"/>
          <w:color w:val="auto"/>
          <w:sz w:val="21"/>
          <w:szCs w:val="22"/>
          <w:highlight w:val="none"/>
          <w:lang w:eastAsia="zh-CN"/>
        </w:rPr>
        <w:t xml:space="preserve">。</w:t>
      </w:r>
      <w:r/>
    </w:p>
    <w:p>
      <w:pPr>
        <w:ind w:firstLine="420"/>
        <w:spacing w:line="360" w:lineRule="auto"/>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接受</w:t>
      </w:r>
      <w:r>
        <w:rPr>
          <w:rFonts w:hint="eastAsia" w:ascii="宋体" w:hAnsi="宋体" w:eastAsia="宋体" w:cs="宋体"/>
          <w:color w:val="auto"/>
          <w:highlight w:val="none"/>
        </w:rPr>
        <w:t xml:space="preserve">联合体投标</w:t>
      </w:r>
      <w:r>
        <w:rPr>
          <w:rFonts w:hint="eastAsia" w:ascii="宋体" w:hAnsi="宋体" w:eastAsia="宋体" w:cs="宋体"/>
          <w:color w:val="auto"/>
          <w:sz w:val="21"/>
          <w:szCs w:val="22"/>
          <w:highlight w:val="none"/>
          <w:u w:val="none"/>
          <w:lang w:val="en-US"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8.本项目</w:t>
      </w:r>
      <w:r>
        <w:rPr>
          <w:rFonts w:hint="eastAsia" w:ascii="宋体" w:hAnsi="宋体" w:eastAsia="宋体" w:cs="宋体"/>
          <w:color w:val="auto"/>
          <w:highlight w:val="none"/>
          <w:u w:val="none"/>
        </w:rPr>
        <w:t xml:space="preserve">不接受</w:t>
      </w:r>
      <w:r>
        <w:rPr>
          <w:rFonts w:hint="eastAsia" w:ascii="宋体" w:hAnsi="宋体" w:eastAsia="宋体" w:cs="宋体"/>
          <w:color w:val="auto"/>
          <w:highlight w:val="none"/>
        </w:rPr>
        <w:t xml:space="preserve">进口产品投标</w:t>
      </w:r>
      <w:r>
        <w:rPr>
          <w:rFonts w:hint="eastAsia" w:ascii="宋体" w:hAnsi="宋体" w:eastAsia="宋体" w:cs="宋体"/>
          <w:color w:val="auto"/>
          <w:highlight w:val="none"/>
          <w:lang w:eastAsia="zh-CN"/>
        </w:rPr>
        <w:t xml:space="preserve">。</w:t>
      </w:r>
      <w:r/>
    </w:p>
    <w:p>
      <w:pPr>
        <w:spacing w:line="360" w:lineRule="auto"/>
        <w:tabs>
          <w:tab w:val="left" w:pos="266" w:leader="none"/>
        </w:tabs>
        <w:rPr>
          <w:rFonts w:ascii="宋体" w:hAnsi="宋体" w:cs="宋体"/>
          <w:b/>
          <w:bCs/>
          <w:color w:val="auto"/>
          <w:highlight w:val="none"/>
        </w:rPr>
      </w:pPr>
      <w:r/>
      <w:bookmarkStart w:id="7" w:name="_Toc28359003"/>
      <w:r/>
      <w:bookmarkStart w:id="8" w:name="_Toc35393622"/>
      <w:r/>
      <w:bookmarkStart w:id="9" w:name="_Toc28359080"/>
      <w:r/>
      <w:bookmarkStart w:id="10" w:name="_Toc38985264"/>
      <w:r/>
      <w:bookmarkStart w:id="11" w:name="_Toc35393791"/>
      <w:r>
        <w:rPr>
          <w:rFonts w:hint="eastAsia" w:ascii="宋体" w:hAnsi="宋体" w:cs="宋体"/>
          <w:b/>
          <w:bCs/>
          <w:color w:val="auto"/>
          <w:highlight w:val="none"/>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auto"/>
          <w:szCs w:val="21"/>
          <w:highlight w:val="none"/>
        </w:rPr>
      </w:pPr>
      <w:r/>
      <w:bookmarkStart w:id="12" w:name="_Toc28359004"/>
      <w:r/>
      <w:bookmarkStart w:id="13" w:name="_Toc28359081"/>
      <w:r/>
      <w:bookmarkStart w:id="14" w:name="_Toc38985265"/>
      <w:r/>
      <w:bookmarkStart w:id="15" w:name="_Toc35393623"/>
      <w:r/>
      <w:bookmarkStart w:id="16" w:name="_Toc35393792"/>
      <w:r>
        <w:rPr>
          <w:rFonts w:hint="eastAsia" w:ascii="宋体" w:hAnsi="宋体" w:cs="宋体"/>
          <w:color w:val="auto"/>
          <w:szCs w:val="21"/>
          <w:highlight w:val="none"/>
        </w:rPr>
        <w:t xml:space="preserve">1.满足《中华人民共和国政府采购法》第二十二条规定，并提供下列材料： </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 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1.2上一年度的财务状况报告（成立不满一年无需提供）；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val="0"/>
          <w:iCs w:val="0"/>
          <w:color w:val="auto"/>
          <w:szCs w:val="21"/>
          <w:highlight w:val="none"/>
          <w:u w:val="non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.落实政府采购政策需满足的资格要求：</w:t>
      </w:r>
      <w:r>
        <w:rPr>
          <w:rFonts w:hint="eastAsia" w:ascii="宋体" w:hAnsi="宋体" w:cs="宋体"/>
          <w:color w:val="auto"/>
          <w:szCs w:val="21"/>
          <w:highlight w:val="none"/>
          <w:lang w:val="en-US" w:eastAsia="zh-CN"/>
        </w:rPr>
        <w:t xml:space="preserve">本项目专门面向中小企业采购，供应商须提供《中小企业声明函》</w:t>
      </w:r>
      <w:r>
        <w:rPr>
          <w:rFonts w:hint="eastAsia" w:ascii="宋体" w:hAnsi="宋体" w:eastAsia="宋体" w:cs="宋体"/>
          <w:i w:val="0"/>
          <w:iCs w:val="0"/>
          <w:color w:val="auto"/>
          <w:szCs w:val="21"/>
          <w:highlight w:val="none"/>
          <w:u w:val="none"/>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.本项目的特定资格要求：无</w:t>
      </w:r>
      <w:r>
        <w:rPr>
          <w:rFonts w:hint="eastAsia" w:ascii="宋体" w:hAnsi="宋体" w:eastAsia="宋体" w:cs="宋体"/>
          <w:color w:val="auto"/>
          <w:szCs w:val="21"/>
          <w:highlight w:val="none"/>
          <w:lang w:eastAsia="zh-CN"/>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auto"/>
          <w:highlight w:val="none"/>
        </w:rPr>
      </w:pPr>
      <w:r/>
      <w:bookmarkStart w:id="17" w:name="_Toc28359082"/>
      <w:r/>
      <w:bookmarkStart w:id="18" w:name="_Toc38985266"/>
      <w:r/>
      <w:bookmarkStart w:id="19" w:name="_Toc28359005"/>
      <w:r/>
      <w:bookmarkStart w:id="20" w:name="_Toc35393624"/>
      <w:r/>
      <w:bookmarkStart w:id="21" w:name="_Toc35393793"/>
      <w:r/>
      <w:bookmarkStart w:id="22" w:name="_Toc38985267"/>
      <w:r/>
      <w:bookmarkStart w:id="23" w:name="_Toc35393625"/>
      <w:r/>
      <w:bookmarkStart w:id="24" w:name="_Toc35393794"/>
      <w:r/>
      <w:bookmarkStart w:id="25" w:name="_Toc28359084"/>
      <w:r/>
      <w:bookmarkStart w:id="26" w:name="_Toc28359007"/>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7"/>
      <w:r/>
      <w:bookmarkEnd w:id="18"/>
      <w:r/>
      <w:bookmarkEnd w:id="19"/>
      <w:r/>
      <w:bookmarkEnd w:id="20"/>
      <w:r/>
      <w:bookmarkEnd w:id="21"/>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Times New Roman"/>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w:t>
      </w:r>
      <w:r>
        <w:rPr>
          <w:rFonts w:hint="eastAsia" w:ascii="宋体" w:hAnsi="宋体" w:eastAsia="宋体" w:cs="Times New Roman"/>
          <w:b/>
          <w:bCs/>
          <w:color w:val="auto"/>
          <w:szCs w:val="21"/>
          <w:highlight w:val="none"/>
        </w:rPr>
        <w:t xml:space="preserve">系统，供潜在供应商下载或者查阅。     </w:t>
      </w:r>
      <w:r/>
    </w:p>
    <w:p>
      <w:pPr>
        <w:ind w:firstLine="540"/>
        <w:spacing w:line="360" w:lineRule="auto"/>
        <w:rPr>
          <w:rFonts w:hint="eastAsia" w:ascii="宋体" w:hAnsi="宋体"/>
          <w:b/>
          <w:bCs/>
          <w:color w:val="auto"/>
          <w:szCs w:val="21"/>
          <w:highlight w:val="none"/>
        </w:rPr>
      </w:pPr>
      <w:r>
        <w:rPr>
          <w:rFonts w:hint="eastAsia" w:ascii="宋体" w:hAnsi="宋体" w:eastAsia="宋体" w:cs="Times New Roman"/>
          <w:b/>
          <w:bCs/>
          <w:color w:val="auto"/>
          <w:szCs w:val="21"/>
          <w:highlight w:val="none"/>
        </w:rPr>
        <w:t xml:space="preserve">（7）苏采云系统使用谷歌浏览器参与不见面开标</w:t>
      </w:r>
      <w:r>
        <w:rPr>
          <w:rFonts w:hint="eastAsia" w:ascii="宋体" w:hAnsi="宋体"/>
          <w:b/>
          <w:bCs/>
          <w:color w:val="auto"/>
          <w:szCs w:val="21"/>
          <w:highlight w:val="none"/>
        </w:rPr>
        <w:t xml:space="preserve">。</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2024年</w:t>
      </w:r>
      <w:r>
        <w:rPr>
          <w:rFonts w:hint="eastAsia" w:ascii="宋体" w:hAnsi="宋体" w:cs="宋体"/>
          <w:bCs/>
          <w:color w:val="auto"/>
          <w:highlight w:val="none"/>
          <w:u w:val="single"/>
          <w:lang w:val="en-US" w:eastAsia="zh-CN"/>
        </w:rPr>
        <w:t xml:space="preserve">11</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6</w:t>
      </w:r>
      <w:r>
        <w:rPr>
          <w:rFonts w:hint="eastAsia" w:ascii="宋体" w:hAnsi="宋体" w:cs="宋体"/>
          <w:bCs/>
          <w:color w:val="auto"/>
          <w:highlight w:val="none"/>
          <w:u w:val="single"/>
          <w:lang w:eastAsia="zh-CN"/>
        </w:rPr>
        <w:t xml:space="preserve">日下午</w:t>
      </w:r>
      <w:r>
        <w:rPr>
          <w:rFonts w:hint="eastAsia" w:ascii="宋体" w:hAnsi="宋体" w:cs="宋体"/>
          <w:bCs/>
          <w:color w:val="auto"/>
          <w:highlight w:val="none"/>
          <w:u w:val="single"/>
          <w:lang w:val="en-US" w:eastAsia="zh-CN"/>
        </w:rPr>
        <w:t xml:space="preserve">14:30</w:t>
      </w:r>
      <w:r>
        <w:rPr>
          <w:rFonts w:hint="eastAsia" w:ascii="宋体" w:hAnsi="宋体" w:cs="宋体"/>
          <w:bCs/>
          <w:color w:val="auto"/>
          <w:highlight w:val="none"/>
          <w:u w:val="single"/>
        </w:rPr>
        <w:tab/>
      </w:r>
      <w:r>
        <w:rPr>
          <w:rFonts w:hint="eastAsia" w:ascii="宋体" w:hAnsi="宋体" w:cs="宋体"/>
          <w:bCs/>
          <w:color w:val="auto"/>
          <w:highlight w:val="none"/>
        </w:rPr>
        <w:t xml:space="preserve">（北京时间）</w:t>
      </w:r>
      <w:r/>
    </w:p>
    <w:p>
      <w:pPr>
        <w:ind w:firstLine="42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pStyle w:val="980"/>
        <w:spacing w:before="0" w:after="0" w:line="360" w:lineRule="auto"/>
        <w:rPr>
          <w:rFonts w:hint="eastAsia" w:ascii="宋体" w:hAnsi="宋体" w:cs="宋体"/>
          <w:bCs w:val="0"/>
          <w:color w:val="auto"/>
          <w:sz w:val="21"/>
          <w:szCs w:val="21"/>
          <w:highlight w:val="none"/>
        </w:rPr>
      </w:pPr>
      <w:r/>
      <w:bookmarkStart w:id="27" w:name="_Toc12476"/>
      <w:r/>
      <w:bookmarkStart w:id="28" w:name="_Toc109304967"/>
      <w:r>
        <w:rPr>
          <w:rFonts w:hint="eastAsia" w:ascii="宋体" w:hAnsi="宋体" w:cs="宋体"/>
          <w:bCs w:val="0"/>
          <w:color w:val="auto"/>
          <w:sz w:val="21"/>
          <w:szCs w:val="21"/>
          <w:highlight w:val="none"/>
        </w:rPr>
        <w:t xml:space="preserve">五、开启</w:t>
      </w:r>
      <w:bookmarkEnd w:id="27"/>
      <w:r/>
      <w:bookmarkEnd w:id="28"/>
      <w:r/>
      <w:r/>
    </w:p>
    <w:p>
      <w:pPr>
        <w:pStyle w:val="983"/>
        <w:spacing w:line="360" w:lineRule="auto"/>
        <w:rPr>
          <w:rFonts w:hint="eastAsia"/>
          <w:color w:val="auto"/>
          <w:highlight w:val="none"/>
        </w:rPr>
      </w:pPr>
      <w:r>
        <w:rPr>
          <w:rFonts w:hint="eastAsia" w:ascii="宋体" w:hAnsi="宋体" w:cs="宋体"/>
          <w:color w:val="auto"/>
          <w:szCs w:val="21"/>
          <w:highlight w:val="none"/>
        </w:rPr>
        <w:t xml:space="preserve">1.时间：</w:t>
      </w:r>
      <w:r>
        <w:rPr>
          <w:rFonts w:hint="eastAsia" w:ascii="宋体" w:hAnsi="宋体" w:cs="宋体"/>
          <w:bCs/>
          <w:color w:val="auto"/>
          <w:highlight w:val="none"/>
          <w:u w:val="single"/>
          <w:lang w:eastAsia="zh-CN"/>
        </w:rPr>
        <w:t xml:space="preserve">2024年</w:t>
      </w:r>
      <w:r>
        <w:rPr>
          <w:rFonts w:hint="eastAsia" w:ascii="宋体" w:hAnsi="宋体" w:cs="宋体"/>
          <w:bCs/>
          <w:color w:val="auto"/>
          <w:highlight w:val="none"/>
          <w:u w:val="single"/>
          <w:lang w:val="en-US" w:eastAsia="zh-CN"/>
        </w:rPr>
        <w:t xml:space="preserve">11</w:t>
      </w:r>
      <w:r>
        <w:rPr>
          <w:rFonts w:hint="eastAsia" w:ascii="宋体" w:hAnsi="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6</w:t>
      </w:r>
      <w:r>
        <w:rPr>
          <w:rFonts w:hint="eastAsia" w:ascii="宋体" w:hAnsi="宋体" w:cs="宋体"/>
          <w:bCs/>
          <w:color w:val="auto"/>
          <w:highlight w:val="none"/>
          <w:u w:val="single"/>
          <w:lang w:eastAsia="zh-CN"/>
        </w:rPr>
        <w:t xml:space="preserve">日下午</w:t>
      </w:r>
      <w:r>
        <w:rPr>
          <w:rFonts w:hint="eastAsia" w:ascii="宋体" w:hAnsi="宋体" w:cs="宋体"/>
          <w:bCs/>
          <w:color w:val="auto"/>
          <w:highlight w:val="none"/>
          <w:u w:val="single"/>
          <w:lang w:val="en-US" w:eastAsia="zh-CN"/>
        </w:rPr>
        <w:t xml:space="preserve">14:30</w:t>
      </w:r>
      <w:r>
        <w:rPr>
          <w:rFonts w:hint="eastAsia" w:ascii="宋体" w:hAnsi="宋体" w:cs="宋体"/>
          <w:bCs/>
          <w:color w:val="auto"/>
          <w:highlight w:val="none"/>
        </w:rPr>
        <w:t xml:space="preserve">（北京时间）</w:t>
      </w:r>
      <w:bookmarkEnd w:id="22"/>
      <w:r/>
      <w:bookmarkEnd w:id="23"/>
      <w:r/>
      <w:bookmarkEnd w:id="24"/>
      <w:r/>
      <w:bookmarkEnd w:id="25"/>
      <w:r/>
      <w:bookmarkEnd w:id="26"/>
      <w:r/>
      <w:r/>
    </w:p>
    <w:p>
      <w:pPr>
        <w:spacing w:line="360" w:lineRule="auto"/>
        <w:tabs>
          <w:tab w:val="left" w:pos="266" w:leader="none"/>
        </w:tabs>
        <w:rPr>
          <w:rFonts w:ascii="宋体" w:hAnsi="宋体" w:cs="宋体"/>
          <w:b/>
          <w:bCs/>
          <w:color w:val="auto"/>
          <w:highlight w:val="none"/>
        </w:rPr>
      </w:pPr>
      <w:r/>
      <w:bookmarkStart w:id="29" w:name="_Toc38985268"/>
      <w:r/>
      <w:bookmarkStart w:id="30" w:name="_Toc35393795"/>
      <w:r/>
      <w:bookmarkStart w:id="31" w:name="_Toc35393626"/>
      <w:r>
        <w:rPr>
          <w:rFonts w:hint="eastAsia" w:ascii="宋体" w:hAnsi="宋体" w:cs="宋体"/>
          <w:b/>
          <w:bCs/>
          <w:color w:val="auto"/>
          <w:highlight w:val="none"/>
        </w:rPr>
        <w:t xml:space="preserve">六、公告期限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9"/>
      <w:r/>
      <w:bookmarkEnd w:id="30"/>
      <w:r/>
      <w:bookmarkEnd w:id="31"/>
      <w:r/>
      <w:r/>
    </w:p>
    <w:p>
      <w:pPr>
        <w:ind w:firstLine="422"/>
        <w:spacing w:line="360" w:lineRule="auto"/>
        <w:shd w:val="clear" w:color="auto" w:fill="ffffff"/>
        <w:rPr>
          <w:rFonts w:ascii="宋体" w:hAnsi="宋体"/>
          <w:b/>
          <w:bCs/>
          <w:color w:val="auto"/>
          <w:highlight w:val="none"/>
        </w:rPr>
      </w:pPr>
      <w:r/>
      <w:bookmarkStart w:id="32" w:name="_Toc28359085"/>
      <w:r/>
      <w:bookmarkStart w:id="33" w:name="_Toc35393627"/>
      <w:r/>
      <w:bookmarkStart w:id="34" w:name="_Toc38985269"/>
      <w:r/>
      <w:bookmarkStart w:id="35" w:name="_Toc35393796"/>
      <w:r/>
      <w:bookmarkStart w:id="36" w:name="_Toc28359008"/>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w:t>
      </w:r>
      <w:r>
        <w:rPr>
          <w:rFonts w:hint="eastAsia" w:ascii="宋体" w:hAnsi="宋体"/>
          <w:color w:val="auto"/>
          <w:szCs w:val="21"/>
          <w:highlight w:val="none"/>
          <w:lang w:eastAsia="zh-CN"/>
        </w:rPr>
        <w:t xml:space="preserve">“邗江区政府采购网”、“扬州市政府采购网”和“江苏省政府采购网”</w:t>
      </w:r>
      <w:r>
        <w:rPr>
          <w:rFonts w:hint="eastAsia" w:ascii="宋体" w:hAnsi="宋体"/>
          <w:color w:val="auto"/>
          <w:szCs w:val="21"/>
          <w:highlight w:val="none"/>
        </w:rPr>
        <w:t xml:space="preserve">发布的信息。</w:t>
      </w:r>
      <w:r/>
    </w:p>
    <w:p>
      <w:pPr>
        <w:ind w:firstLine="420"/>
        <w:spacing w:line="360" w:lineRule="auto"/>
        <w:rPr>
          <w:color w:val="auto"/>
          <w:highlight w:val="none"/>
        </w:rPr>
      </w:pPr>
      <w:r>
        <w:rPr>
          <w:rFonts w:hint="eastAsia" w:ascii="宋体" w:hAnsi="宋体"/>
          <w:color w:val="auto"/>
          <w:szCs w:val="21"/>
          <w:highlight w:val="none"/>
        </w:rPr>
        <w:t xml:space="preserve">6.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7.本项目招标文件中所有斜体下划线部分为实质性条款，如不满足，则为无效投标。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8.如在开标时间发生系统崩溃等不可预见的情况，造成开评标活动无法正常进行的，将延迟开评标，具体开评标时间另行通知。</w:t>
      </w:r>
      <w:r/>
    </w:p>
    <w:p>
      <w:pPr>
        <w:ind w:firstLine="42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9.</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10.</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b/>
          <w:color w:val="auto"/>
          <w:highlight w:val="none"/>
        </w:rPr>
      </w:pPr>
      <w:r>
        <w:rPr>
          <w:rFonts w:hint="eastAsia" w:ascii="宋体" w:hAnsi="宋体" w:cs="宋体"/>
          <w:b/>
          <w:color w:val="auto"/>
          <w:szCs w:val="21"/>
          <w:highlight w:val="none"/>
        </w:rPr>
        <w:t xml:space="preserve">11.</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32"/>
      <w:r/>
      <w:bookmarkEnd w:id="33"/>
      <w:r/>
      <w:bookmarkEnd w:id="34"/>
      <w:r/>
      <w:bookmarkEnd w:id="35"/>
      <w:r/>
      <w:bookmarkEnd w:id="36"/>
      <w:r/>
      <w:r/>
    </w:p>
    <w:p>
      <w:pPr>
        <w:ind w:firstLine="420"/>
        <w:jc w:val="left"/>
        <w:spacing w:line="360" w:lineRule="auto"/>
        <w:widowControl/>
        <w:rPr>
          <w:rFonts w:ascii="宋体" w:hAnsi="宋体" w:cs="宋体"/>
          <w:color w:val="auto"/>
          <w:szCs w:val="21"/>
          <w:highlight w:val="none"/>
        </w:rPr>
      </w:pPr>
      <w:r/>
      <w:bookmarkStart w:id="37" w:name="_Toc28359010"/>
      <w:r/>
      <w:bookmarkStart w:id="38" w:name="_Toc28359087"/>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名 称：</w:t>
      </w:r>
      <w:r>
        <w:rPr>
          <w:rFonts w:hint="eastAsia" w:ascii="宋体" w:hAnsi="宋体" w:cs="Times New Roman"/>
          <w:color w:val="auto"/>
          <w:szCs w:val="21"/>
          <w:highlight w:val="none"/>
          <w:lang w:eastAsia="zh-CN"/>
        </w:rPr>
        <w:t xml:space="preserve">江苏扬州维扬经济开发区管理委员会</w:t>
      </w:r>
      <w:r/>
    </w:p>
    <w:p>
      <w:pPr>
        <w:ind w:firstLine="420"/>
        <w:jc w:val="left"/>
        <w:spacing w:line="360" w:lineRule="auto"/>
        <w:rPr>
          <w:rFonts w:hint="eastAsia" w:ascii="宋体" w:hAnsi="宋体" w:eastAsia="宋体" w:cs="Times New Roman"/>
          <w:color w:val="auto"/>
          <w:szCs w:val="21"/>
          <w:highlight w:val="none"/>
          <w:lang w:val="en-US"/>
        </w:rPr>
      </w:pPr>
      <w:r>
        <w:rPr>
          <w:rFonts w:hint="eastAsia" w:ascii="宋体" w:hAnsi="宋体" w:eastAsia="宋体" w:cs="Times New Roman"/>
          <w:color w:val="auto"/>
          <w:szCs w:val="21"/>
          <w:highlight w:val="none"/>
        </w:rPr>
        <w:t xml:space="preserve">地 址：</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扬州市邗江区平山路123号</w:t>
      </w:r>
      <w:r/>
    </w:p>
    <w:p>
      <w:pPr>
        <w:ind w:firstLine="420"/>
        <w:jc w:val="left"/>
        <w:spacing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联系人：魏</w:t>
      </w:r>
      <w:r>
        <w:rPr>
          <w:rFonts w:hint="eastAsia" w:ascii="宋体" w:hAnsi="宋体" w:cs="Times New Roman"/>
          <w:color w:val="auto"/>
          <w:szCs w:val="21"/>
          <w:highlight w:val="none"/>
          <w:lang w:val="en-US" w:eastAsia="zh-CN"/>
        </w:rPr>
        <w:t xml:space="preserve">女士 </w:t>
      </w:r>
      <w:r/>
    </w:p>
    <w:p>
      <w:pPr>
        <w:ind w:firstLine="420"/>
        <w:jc w:val="left"/>
        <w:spacing w:line="360" w:lineRule="auto"/>
        <w:rPr>
          <w:rFonts w:hint="default" w:ascii="宋体" w:hAnsi="宋体" w:eastAsia="宋体" w:cs="宋体"/>
          <w:color w:val="auto"/>
          <w:highlight w:val="none"/>
          <w:u w:val="single"/>
          <w:lang w:val="en-US" w:eastAsia="zh-CN"/>
        </w:rPr>
      </w:pPr>
      <w:r>
        <w:rPr>
          <w:rFonts w:hint="eastAsia" w:ascii="宋体" w:hAnsi="宋体" w:eastAsia="宋体" w:cs="Times New Roman"/>
          <w:color w:val="auto"/>
          <w:szCs w:val="21"/>
          <w:highlight w:val="none"/>
        </w:rPr>
        <w:t xml:space="preserve">联系方式：</w:t>
      </w:r>
      <w:r>
        <w:rPr>
          <w:rFonts w:hint="eastAsia" w:ascii="宋体" w:hAnsi="宋体" w:cs="Times New Roman"/>
          <w:color w:val="auto"/>
          <w:szCs w:val="21"/>
          <w:highlight w:val="none"/>
          <w:lang w:val="en-US" w:eastAsia="zh-CN"/>
        </w:rPr>
        <w:t xml:space="preserve">0514-87638790  </w:t>
      </w:r>
      <w:r/>
    </w:p>
    <w:p>
      <w:pPr>
        <w:numPr>
          <w:ilvl w:val="0"/>
          <w:numId w:val="0"/>
        </w:numPr>
        <w:ind w:firstLine="420"/>
        <w:jc w:val="left"/>
        <w:spacing w:line="360" w:lineRule="auto"/>
        <w:rPr>
          <w:rFonts w:hint="eastAsia" w:ascii="宋体" w:hAnsi="宋体"/>
          <w:color w:val="auto"/>
          <w:szCs w:val="21"/>
          <w:highlight w:val="none"/>
          <w:lang w:eastAsia="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代理机构</w:t>
      </w:r>
      <w:r>
        <w:rPr>
          <w:rFonts w:hint="eastAsia" w:ascii="宋体" w:hAnsi="宋体"/>
          <w:color w:val="auto"/>
          <w:szCs w:val="21"/>
          <w:highlight w:val="none"/>
          <w:lang w:eastAsia="zh-CN"/>
        </w:rPr>
        <w:t xml:space="preserve">信息</w:t>
      </w:r>
      <w:r/>
    </w:p>
    <w:p>
      <w:pPr>
        <w:numPr>
          <w:ilvl w:val="0"/>
          <w:numId w:val="0"/>
        </w:num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eastAsia="zh-CN"/>
        </w:rPr>
        <w:t xml:space="preserve">金雨薇</w:t>
      </w:r>
      <w:r/>
    </w:p>
    <w:p>
      <w:pPr>
        <w:ind w:firstLine="420"/>
        <w:spacing w:line="360" w:lineRule="auto"/>
        <w:rPr>
          <w:rFonts w:hint="eastAsia" w:ascii="宋体" w:hAnsi="宋体" w:eastAsia="宋体" w:cs="宋体"/>
          <w:color w:val="auto"/>
          <w:highlight w:val="none"/>
          <w:u w:val="single"/>
          <w:lang w:eastAsia="zh-CN"/>
        </w:rPr>
      </w:pPr>
      <w:r>
        <w:rPr>
          <w:rFonts w:hint="eastAsia" w:ascii="宋体" w:hAnsi="宋体" w:cs="宋体"/>
          <w:color w:val="auto"/>
          <w:highlight w:val="none"/>
        </w:rPr>
        <w:t xml:space="preserve">联系方式：</w:t>
      </w:r>
      <w:r>
        <w:rPr>
          <w:rFonts w:hint="eastAsia" w:ascii="宋体" w:hAnsi="宋体"/>
          <w:color w:val="auto"/>
          <w:szCs w:val="21"/>
          <w:highlight w:val="none"/>
          <w:lang w:eastAsia="zh-CN"/>
        </w:rPr>
        <w:t xml:space="preserve">0514-82129596</w:t>
      </w:r>
      <w:r/>
    </w:p>
    <w:p>
      <w:pPr>
        <w:numPr>
          <w:ilvl w:val="0"/>
          <w:numId w:val="0"/>
        </w:num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项目联系方式</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金雨薇</w:t>
      </w:r>
      <w:r/>
    </w:p>
    <w:p>
      <w:pPr>
        <w:ind w:firstLine="420"/>
        <w:spacing w:line="360" w:lineRule="auto"/>
        <w:rPr>
          <w:rFonts w:hint="eastAsia" w:ascii="宋体" w:hAnsi="宋体" w:eastAsia="宋体" w:cs="宋体"/>
          <w:b/>
          <w:bCs/>
          <w:color w:val="auto"/>
          <w:highlight w:val="none"/>
          <w:lang w:eastAsia="zh-CN"/>
        </w:rPr>
      </w:pPr>
      <w:r>
        <w:rPr>
          <w:rFonts w:hint="eastAsia" w:ascii="宋体" w:hAnsi="宋体"/>
          <w:color w:val="auto"/>
          <w:szCs w:val="21"/>
          <w:highlight w:val="none"/>
        </w:rPr>
        <w:t xml:space="preserve">联系方式：0514-</w:t>
      </w:r>
      <w:r>
        <w:rPr>
          <w:rFonts w:hint="eastAsia" w:ascii="宋体" w:hAnsi="宋体"/>
          <w:color w:val="auto"/>
          <w:szCs w:val="21"/>
          <w:highlight w:val="none"/>
          <w:lang w:eastAsia="zh-CN"/>
        </w:rPr>
        <w:t xml:space="preserve">82129596</w:t>
      </w:r>
      <w:bookmarkEnd w:id="37"/>
      <w:r/>
      <w:bookmarkEnd w:id="38"/>
      <w:r/>
      <w:r/>
    </w:p>
    <w:p>
      <w:pPr>
        <w:pStyle w:val="934"/>
        <w:jc w:val="center"/>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val="en-US" w:eastAsia="zh-CN"/>
        </w:rPr>
        <w:t xml:space="preserve">JSZC-321003-SWGC-G2024-0210</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60" w:lineRule="auto"/>
        <w:widowControl w:val="off"/>
        <w:rPr>
          <w:color w:val="auto"/>
          <w:highlight w:val="none"/>
        </w:rPr>
      </w:pPr>
      <w:r>
        <w:rPr>
          <w:color w:val="auto"/>
          <w:highlight w:val="none"/>
        </w:rPr>
        <w:t xml:space="preserve">4.1 投标人应自行承担所有与参加投标有关的费用，无论投标过程中的做法和结果如何，代理机构在任何情况下均无义务和责任承担这些费用。 </w:t>
      </w:r>
      <w:r/>
    </w:p>
    <w:p>
      <w:pPr>
        <w:ind w:firstLine="420"/>
        <w:jc w:val="left"/>
        <w:keepLines w:val="0"/>
        <w:keepNext w:val="0"/>
        <w:pageBreakBefore w:val="0"/>
        <w:spacing w:line="360" w:lineRule="auto"/>
        <w:widowControl w:val="off"/>
        <w:rPr>
          <w:rFonts w:hint="eastAsia" w:ascii="宋体" w:hAnsi="宋体"/>
          <w:b/>
          <w:bCs/>
          <w:color w:val="auto"/>
          <w:szCs w:val="21"/>
          <w:highlight w:val="none"/>
        </w:rPr>
      </w:pPr>
      <w:r>
        <w:rPr>
          <w:rFonts w:ascii="Calibri" w:hAnsi="Calibri" w:eastAsia="宋体" w:cs="Times New Roman"/>
          <w:b w:val="0"/>
          <w:bCs w:val="0"/>
          <w:color w:val="auto"/>
          <w:szCs w:val="22"/>
          <w:highlight w:val="none"/>
        </w:rPr>
        <w:t xml:space="preserve">4.2</w:t>
      </w:r>
      <w:r>
        <w:rPr>
          <w:rFonts w:hint="eastAsia" w:ascii="Calibri" w:hAnsi="Calibri" w:eastAsia="宋体" w:cs="Times New Roman"/>
          <w:b w:val="0"/>
          <w:bCs w:val="0"/>
          <w:color w:val="auto"/>
          <w:szCs w:val="22"/>
          <w:highlight w:val="none"/>
        </w:rPr>
        <w:t xml:space="preserve">本次采购由</w:t>
      </w:r>
      <w:r>
        <w:rPr>
          <w:rFonts w:hint="eastAsia" w:cs="Times New Roman"/>
          <w:b w:val="0"/>
          <w:bCs w:val="0"/>
          <w:color w:val="auto"/>
          <w:szCs w:val="22"/>
          <w:highlight w:val="none"/>
          <w:lang w:val="en-US" w:eastAsia="zh-CN"/>
        </w:rPr>
        <w:t xml:space="preserve">中标</w:t>
      </w:r>
      <w:r>
        <w:rPr>
          <w:rFonts w:hint="eastAsia" w:ascii="Calibri" w:hAnsi="Calibri" w:eastAsia="宋体" w:cs="Times New Roman"/>
          <w:b w:val="0"/>
          <w:bCs w:val="0"/>
          <w:color w:val="auto"/>
          <w:szCs w:val="22"/>
          <w:highlight w:val="none"/>
        </w:rPr>
        <w:t xml:space="preserve">人按照固定价3000元一次性支付给招标代理机构代理服务费</w:t>
      </w:r>
      <w:r>
        <w:rPr>
          <w:rFonts w:ascii="Calibri" w:hAnsi="Calibri" w:eastAsia="宋体" w:cs="Times New Roman"/>
          <w:b w:val="0"/>
          <w:bCs w:val="0"/>
          <w:color w:val="auto"/>
          <w:szCs w:val="22"/>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开户帐号：1108020819100000612</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“邗江区政府采购网”、“扬州市政府采购网”和“江苏省政府采购网”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（5）分项报价表 </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如有</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rPr>
        <w:t xml:space="preserve">12、</w:t>
      </w:r>
      <w:r>
        <w:rPr>
          <w:rFonts w:hint="eastAsia"/>
          <w:b/>
          <w:bCs/>
          <w:color w:val="auto"/>
          <w:highlight w:val="none"/>
        </w:rPr>
        <w:t xml:space="preserve">分项报价表</w:t>
      </w:r>
      <w:r>
        <w:rPr>
          <w:rFonts w:hint="eastAsia"/>
          <w:b/>
          <w:bCs/>
          <w:color w:val="auto"/>
          <w:highlight w:val="none"/>
          <w:lang w:eastAsia="zh-CN"/>
        </w:rPr>
        <w:t xml:space="preserve">（</w:t>
      </w:r>
      <w:r>
        <w:rPr>
          <w:rFonts w:hint="eastAsia"/>
          <w:b/>
          <w:bCs/>
          <w:color w:val="auto"/>
          <w:highlight w:val="none"/>
          <w:lang w:val="en-US" w:eastAsia="zh-CN"/>
        </w:rPr>
        <w:t xml:space="preserve">如有</w:t>
      </w:r>
      <w:r>
        <w:rPr>
          <w:rFonts w:hint="eastAsia"/>
          <w:b/>
          <w:bCs/>
          <w:color w:val="auto"/>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如有</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39" w:name="_Toc462564084"/>
      <w:r/>
      <w:bookmarkStart w:id="40" w:name="_Toc513029225"/>
      <w:r/>
      <w:bookmarkStart w:id="41" w:name="_Toc20823297"/>
      <w:r/>
      <w:bookmarkStart w:id="42" w:name="_Toc16938541"/>
      <w:r>
        <w:rPr>
          <w:rFonts w:hint="eastAsia" w:ascii="宋体" w:hAnsi="宋体"/>
          <w:b/>
          <w:color w:val="auto"/>
          <w:szCs w:val="21"/>
          <w:highlight w:val="none"/>
        </w:rPr>
        <w:t xml:space="preserve">17、投标文件</w:t>
      </w:r>
      <w:bookmarkEnd w:id="39"/>
      <w:r/>
      <w:bookmarkEnd w:id="40"/>
      <w:r/>
      <w:bookmarkEnd w:id="41"/>
      <w:r/>
      <w:bookmarkEnd w:id="42"/>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3" w:name="_Toc16938542"/>
      <w:r/>
      <w:bookmarkStart w:id="44" w:name="_Toc20823298"/>
      <w:r/>
      <w:bookmarkStart w:id="45" w:name="_Toc51302922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3"/>
      <w:r/>
      <w:bookmarkEnd w:id="44"/>
      <w:r/>
      <w:bookmarkEnd w:id="45"/>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46" w:name="_Toc513029227"/>
      <w:r/>
      <w:bookmarkStart w:id="47" w:name="_Toc20823299"/>
      <w:r/>
      <w:bookmarkStart w:id="48" w:name="_Toc16938543"/>
      <w:r>
        <w:rPr>
          <w:rFonts w:hint="eastAsia" w:ascii="宋体" w:hAnsi="宋体"/>
          <w:b/>
          <w:color w:val="auto"/>
          <w:szCs w:val="21"/>
          <w:highlight w:val="none"/>
        </w:rPr>
        <w:t xml:space="preserve">19、投标文件</w:t>
      </w:r>
      <w:bookmarkEnd w:id="46"/>
      <w:r/>
      <w:bookmarkEnd w:id="47"/>
      <w:r/>
      <w:bookmarkEnd w:id="48"/>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49" w:name="_Toc513029228"/>
      <w:r/>
      <w:bookmarkStart w:id="50" w:name="_Toc20823300"/>
      <w:r/>
      <w:bookmarkStart w:id="51" w:name="_Toc16938544"/>
      <w:r>
        <w:rPr>
          <w:rFonts w:hint="eastAsia" w:ascii="宋体" w:hAnsi="宋体"/>
          <w:b/>
          <w:color w:val="auto"/>
          <w:szCs w:val="21"/>
          <w:highlight w:val="none"/>
        </w:rPr>
        <w:t xml:space="preserve">20、投标文件的撤回和修改</w:t>
      </w:r>
      <w:bookmarkEnd w:id="49"/>
      <w:r/>
      <w:bookmarkEnd w:id="50"/>
      <w:r/>
      <w:bookmarkEnd w:id="51"/>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参照《中华人民共和国政府采购法》第二十二条规定，下列信用记录属于应依法拒绝供应商参加采购的失信信息：</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（1）政府采购严重违法记录，即供应商被全国各级财政部门列入“政府采购严重违法失信行为记录名单”，且在处罚有效期内的。</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（2）财政部门与法院、工商、税务等部门联合惩戒的失信信息，包括：</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1）被列入失信被执行人名单；</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2）被列入重大税收违法案件当事人名单；</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3）企业经营异常名录中被责令停产停业、暂扣或者吊销许可证或者执照，或者对经营活动中的违法行为处以200万元以上数额罚款的信用记录。处罚生效日至递交投标文件日未满三年的。</w:t>
      </w:r>
      <w:r/>
    </w:p>
    <w:p>
      <w:pPr>
        <w:ind w:firstLine="420"/>
        <w:jc w:val="left"/>
        <w:spacing w:line="360" w:lineRule="auto"/>
        <w:rPr>
          <w:rFonts w:hint="eastAsia"/>
          <w:color w:val="auto"/>
          <w:highlight w:val="none"/>
        </w:rPr>
      </w:pPr>
      <w:r>
        <w:rPr>
          <w:rFonts w:hint="eastAsia" w:ascii="宋体" w:hAnsi="宋体" w:cs="宋体"/>
          <w:bCs/>
          <w:color w:val="auto"/>
          <w:szCs w:val="21"/>
          <w:highlight w:val="none"/>
        </w:rPr>
        <w:t xml:space="preserve">    对存在失信信息的供应商，评审小组应填写《扬州市级政府采购供应商失信信息确认函》，由失信供应商应签名确认。同时，采购代理机构工作人员应根据采购人确认的失信信息，登陆到相关来源网站页面进行复核并打印，作为证据留存。</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“邗江区政府采购网”、“扬州市政府采购网”和“江苏省政府采购网”</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val="0"/>
          <w:bCs/>
          <w:color w:val="auto"/>
          <w:szCs w:val="21"/>
          <w:highlight w:val="none"/>
        </w:rPr>
        <w:t xml:space="preserve">同时需与采购代理机构经办人确认是否收到《质疑函》，如供应商未按上述要求去做，将自行承担所产生的风险</w:t>
      </w:r>
      <w:r>
        <w:rPr>
          <w:rFonts w:hint="eastAsia" w:ascii="宋体" w:hAnsi="宋体"/>
          <w:b/>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0"/>
        <w:spacing w:line="360" w:lineRule="auto"/>
        <w:rPr>
          <w:rFonts w:hint="eastAsia" w:eastAsia="宋体" w:cs="Times New Roman"/>
          <w:b/>
          <w:bCs/>
          <w:color w:val="auto"/>
          <w:highlight w:val="none"/>
        </w:rPr>
      </w:pPr>
      <w:r>
        <w:rPr>
          <w:rFonts w:hint="eastAsia" w:eastAsia="宋体" w:cs="Times New Roman"/>
          <w:b/>
          <w:bCs/>
          <w:color w:val="auto"/>
          <w:highlight w:val="none"/>
        </w:rPr>
        <w:t xml:space="preserve">31.4投标人应对要求提供的资格证明文件（如资质证书、资格证书）、技术资料（如白皮书、彩页、手册、检测报告等）扫描上传至投标系统。</w:t>
      </w:r>
      <w:r/>
    </w:p>
    <w:p>
      <w:pPr>
        <w:ind w:firstLine="420"/>
        <w:spacing w:line="360" w:lineRule="auto"/>
        <w:rPr>
          <w:rFonts w:hint="eastAsia" w:eastAsia="宋体" w:cs="Times New Roman"/>
          <w:b/>
          <w:bCs/>
          <w:color w:val="auto"/>
          <w:highlight w:val="none"/>
        </w:rPr>
      </w:pPr>
      <w:r>
        <w:rPr>
          <w:rFonts w:hint="eastAsia" w:eastAsia="宋体" w:cs="Times New Roman"/>
          <w:b/>
          <w:bCs/>
          <w:color w:val="auto"/>
          <w:highlight w:val="none"/>
        </w:rPr>
        <w:t xml:space="preserve">提交投标文件的截止时间（投标截止时间）</w:t>
      </w:r>
      <w:r/>
    </w:p>
    <w:p>
      <w:pPr>
        <w:ind w:firstLine="420"/>
        <w:spacing w:line="360" w:lineRule="auto"/>
        <w:rPr>
          <w:rFonts w:hint="eastAsia" w:eastAsia="宋体" w:cs="Times New Roman"/>
          <w:b/>
          <w:bCs/>
          <w:color w:val="auto"/>
          <w:highlight w:val="none"/>
        </w:rPr>
      </w:pPr>
      <w:r>
        <w:rPr>
          <w:rFonts w:hint="eastAsia" w:eastAsia="宋体" w:cs="Times New Roman"/>
          <w:b/>
          <w:bCs/>
          <w:color w:val="auto"/>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hint="eastAsia" w:eastAsia="宋体" w:cs="Times New Roman"/>
          <w:b/>
          <w:bCs/>
          <w:color w:val="auto"/>
          <w:highlight w:val="none"/>
          <w:lang w:val="en-US" w:eastAsia="zh-CN"/>
        </w:rPr>
      </w:pPr>
      <w:r>
        <w:rPr>
          <w:rFonts w:hint="eastAsia" w:eastAsia="宋体" w:cs="Times New Roman"/>
          <w:b/>
          <w:bCs/>
          <w:color w:val="auto"/>
          <w:highlight w:val="none"/>
          <w:lang w:val="en-US" w:eastAsia="zh-CN"/>
        </w:rPr>
        <w:t xml:space="preserve">32.2各投标人应在规定时间内凭CA证书进行网上解密。</w:t>
      </w:r>
      <w:r/>
    </w:p>
    <w:p>
      <w:pPr>
        <w:ind w:firstLine="420"/>
        <w:spacing w:line="360" w:lineRule="auto"/>
        <w:rPr>
          <w:rFonts w:hint="eastAsia" w:eastAsia="宋体" w:cs="Times New Roman"/>
          <w:b/>
          <w:bCs/>
          <w:color w:val="auto"/>
          <w:highlight w:val="none"/>
        </w:rPr>
      </w:pPr>
      <w:r>
        <w:rPr>
          <w:rFonts w:hint="eastAsia" w:eastAsia="宋体" w:cs="Times New Roman"/>
          <w:b/>
          <w:bCs/>
          <w:color w:val="auto"/>
          <w:highlight w:val="none"/>
        </w:rPr>
        <w:t xml:space="preserve">3</w:t>
      </w:r>
      <w:r>
        <w:rPr>
          <w:rFonts w:hint="eastAsia" w:eastAsia="宋体" w:cs="Times New Roman"/>
          <w:b/>
          <w:bCs/>
          <w:color w:val="auto"/>
          <w:highlight w:val="none"/>
          <w:lang w:val="en-US" w:eastAsia="zh-CN"/>
        </w:rPr>
        <w:t xml:space="preserve">2、</w:t>
      </w:r>
      <w:r>
        <w:rPr>
          <w:rFonts w:hint="eastAsia" w:eastAsia="宋体" w:cs="Times New Roman"/>
          <w:b/>
          <w:bCs/>
          <w:color w:val="auto"/>
          <w:highlight w:val="none"/>
        </w:rPr>
        <w:t xml:space="preserve">其他</w:t>
      </w:r>
      <w:r/>
    </w:p>
    <w:p>
      <w:pPr>
        <w:ind w:firstLine="420"/>
        <w:spacing w:line="360" w:lineRule="auto"/>
        <w:rPr>
          <w:rFonts w:hint="eastAsia" w:eastAsia="宋体" w:cs="Times New Roman"/>
          <w:color w:val="auto"/>
          <w:highlight w:val="none"/>
        </w:rPr>
      </w:pPr>
      <w:r>
        <w:rPr>
          <w:rFonts w:hint="eastAsia" w:eastAsia="宋体" w:cs="Times New Roman"/>
          <w:color w:val="auto"/>
          <w:highlight w:val="none"/>
        </w:rPr>
        <w:t xml:space="preserve">    3</w:t>
      </w:r>
      <w:r>
        <w:rPr>
          <w:rFonts w:hint="eastAsia" w:eastAsia="宋体" w:cs="Times New Roman"/>
          <w:color w:val="auto"/>
          <w:highlight w:val="none"/>
          <w:lang w:val="en-US" w:eastAsia="zh-CN"/>
        </w:rPr>
        <w:t xml:space="preserve">2</w:t>
      </w:r>
      <w:r>
        <w:rPr>
          <w:rFonts w:hint="eastAsia" w:eastAsia="宋体" w:cs="Times New Roman"/>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eastAsia="宋体" w:cs="Times New Roman"/>
          <w:b/>
          <w:bCs/>
          <w:color w:val="auto"/>
          <w:highlight w:val="none"/>
        </w:rPr>
      </w:pPr>
      <w:r>
        <w:rPr>
          <w:rFonts w:hint="eastAsia" w:eastAsia="宋体" w:cs="Times New Roman"/>
          <w:b/>
          <w:bCs/>
          <w:color w:val="auto"/>
          <w:highlight w:val="none"/>
        </w:rPr>
        <w:t xml:space="preserve">3</w:t>
      </w:r>
      <w:r>
        <w:rPr>
          <w:rFonts w:hint="eastAsia" w:eastAsia="宋体" w:cs="Times New Roman"/>
          <w:b/>
          <w:bCs/>
          <w:color w:val="auto"/>
          <w:highlight w:val="none"/>
          <w:lang w:val="en-US" w:eastAsia="zh-CN"/>
        </w:rPr>
        <w:t xml:space="preserve">3</w:t>
      </w:r>
      <w:r>
        <w:rPr>
          <w:rFonts w:hint="eastAsia" w:eastAsia="宋体" w:cs="Times New Roman"/>
          <w:b/>
          <w:bCs/>
          <w:color w:val="auto"/>
          <w:highlight w:val="none"/>
        </w:rPr>
        <w:t xml:space="preserve">、联合投标</w:t>
      </w:r>
      <w:r/>
    </w:p>
    <w:p>
      <w:pPr>
        <w:ind w:firstLine="840"/>
        <w:jc w:val="left"/>
        <w:spacing w:line="440" w:lineRule="exact"/>
        <w:rPr>
          <w:rFonts w:hint="eastAsia" w:ascii="宋体" w:hAnsi="宋体"/>
          <w:b/>
          <w:bCs/>
          <w:color w:val="auto"/>
          <w:sz w:val="32"/>
          <w:szCs w:val="32"/>
          <w:highlight w:val="none"/>
        </w:rPr>
      </w:pPr>
      <w:r>
        <w:rPr>
          <w:rFonts w:hint="eastAsia" w:eastAsia="宋体" w:cs="Times New Roman"/>
          <w:color w:val="auto"/>
          <w:highlight w:val="none"/>
          <w:lang w:val="en-US" w:eastAsia="zh-CN"/>
        </w:rPr>
        <w:t xml:space="preserve">本项目不接受联合体投标</w:t>
      </w:r>
      <w:r>
        <w:rPr>
          <w:rFonts w:hint="eastAsia" w:ascii="宋体" w:hAnsi="宋体"/>
          <w:bCs/>
          <w:color w:val="auto"/>
          <w:szCs w:val="21"/>
          <w:highlight w:val="none"/>
        </w:rPr>
        <w:br w:type="page" w:clear="all"/>
      </w:r>
      <w:bookmarkStart w:id="52" w:name="_Toc55204179"/>
      <w:r/>
      <w:bookmarkStart w:id="53" w:name="_Hlk69392822"/>
      <w:r>
        <w:rPr>
          <w:rFonts w:hint="eastAsia" w:ascii="宋体" w:hAnsi="宋体"/>
          <w:b/>
          <w:bCs/>
          <w:color w:val="auto"/>
          <w:sz w:val="44"/>
          <w:szCs w:val="36"/>
          <w:highlight w:val="none"/>
        </w:rPr>
        <w:t xml:space="preserve">第三章 合同条款及格式</w:t>
      </w:r>
      <w:bookmarkEnd w:id="52"/>
      <w:r/>
      <w:r/>
    </w:p>
    <w:p>
      <w:pPr>
        <w:pStyle w:val="947"/>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47"/>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w:t>
      </w:r>
      <w:r/>
    </w:p>
    <w:p>
      <w:pPr>
        <w:spacing w:line="440" w:lineRule="exact"/>
        <w:rPr>
          <w:rFonts w:hint="eastAsia"/>
          <w:color w:val="auto"/>
          <w:highlight w:val="none"/>
        </w:rPr>
      </w:pPr>
      <w:r>
        <w:rPr>
          <w:rFonts w:hint="eastAsia"/>
          <w:color w:val="auto"/>
          <w:highlight w:val="none"/>
        </w:rPr>
        <w:t xml:space="preserve">项目名称：          </w:t>
      </w:r>
      <w:r/>
    </w:p>
    <w:p>
      <w:pPr>
        <w:spacing w:line="440" w:lineRule="exact"/>
        <w:rPr>
          <w:rFonts w:hint="eastAsia"/>
          <w:color w:val="auto"/>
          <w:highlight w:val="none"/>
        </w:rPr>
      </w:pPr>
      <w:r>
        <w:rPr>
          <w:rFonts w:hint="eastAsia"/>
          <w:color w:val="auto"/>
          <w:highlight w:val="none"/>
        </w:rPr>
        <w:t xml:space="preserve">项目编号：</w:t>
      </w:r>
      <w:r/>
    </w:p>
    <w:p>
      <w:pPr>
        <w:spacing w:line="480" w:lineRule="exact"/>
        <w:rPr>
          <w:rFonts w:hint="eastAsia"/>
          <w:color w:val="auto"/>
          <w:highlight w:val="none"/>
        </w:rPr>
      </w:pPr>
      <w:r>
        <w:rPr>
          <w:rFonts w:hint="eastAsia"/>
          <w:color w:val="auto"/>
          <w:highlight w:val="none"/>
        </w:rPr>
        <w:t xml:space="preserve">甲方：（买方）</w:t>
      </w:r>
      <w:r/>
    </w:p>
    <w:p>
      <w:pPr>
        <w:spacing w:line="480" w:lineRule="exact"/>
        <w:rPr>
          <w:color w:val="auto"/>
          <w:highlight w:val="none"/>
        </w:rPr>
      </w:pPr>
      <w:r>
        <w:rPr>
          <w:rFonts w:hint="eastAsia"/>
          <w:color w:val="auto"/>
          <w:highlight w:val="none"/>
        </w:rPr>
        <w:t xml:space="preserve">乙方：（卖方）_________</w:t>
      </w:r>
      <w:r/>
    </w:p>
    <w:p>
      <w:pPr>
        <w:spacing w:line="480" w:lineRule="exact"/>
        <w:rPr>
          <w:color w:val="auto"/>
          <w:highlight w:val="none"/>
        </w:rPr>
      </w:pPr>
      <w:r>
        <w:rPr>
          <w:rFonts w:hint="eastAsia"/>
          <w:color w:val="auto"/>
          <w:highlight w:val="none"/>
        </w:rPr>
        <w:t xml:space="preserve">见证方：</w:t>
      </w:r>
      <w:r/>
    </w:p>
    <w:p>
      <w:pPr>
        <w:ind w:firstLine="420"/>
        <w:spacing w:line="480" w:lineRule="exact"/>
        <w:rPr>
          <w:color w:val="auto"/>
          <w:highlight w:val="none"/>
        </w:rPr>
      </w:pPr>
      <w:r>
        <w:rPr>
          <w:rFonts w:hint="eastAsia"/>
          <w:color w:val="auto"/>
          <w:highlight w:val="none"/>
        </w:rPr>
        <w:t xml:space="preserve">甲、乙双方根据江苏苏维工程管理有限公司</w:t>
      </w:r>
      <w:r>
        <w:rPr>
          <w:rFonts w:hint="eastAsia"/>
          <w:color w:val="auto"/>
          <w:highlight w:val="none"/>
          <w:u w:val="single"/>
        </w:rPr>
        <w:t xml:space="preserve">      </w:t>
      </w:r>
      <w:r>
        <w:rPr>
          <w:rFonts w:hint="eastAsia"/>
          <w:color w:val="auto"/>
          <w:highlight w:val="none"/>
        </w:rPr>
        <w:t xml:space="preserve">项目公开招标的结果，签署本合同。</w:t>
      </w:r>
      <w:r/>
    </w:p>
    <w:p>
      <w:pPr>
        <w:pStyle w:val="947"/>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1、合同标的</w:t>
      </w:r>
      <w:r/>
    </w:p>
    <w:p>
      <w:pPr>
        <w:pStyle w:val="947"/>
        <w:ind w:firstLine="420"/>
        <w:spacing w:before="120" w:after="120" w:line="360" w:lineRule="auto"/>
        <w:rPr>
          <w:rFonts w:hAnsi="宋体"/>
          <w:color w:val="auto"/>
          <w:sz w:val="21"/>
          <w:highlight w:val="none"/>
        </w:rPr>
      </w:pPr>
      <w:r>
        <w:rPr>
          <w:rFonts w:hint="eastAsia" w:hAnsi="宋体"/>
          <w:color w:val="auto"/>
          <w:sz w:val="21"/>
          <w:highlight w:val="none"/>
        </w:rPr>
        <w:t xml:space="preserve">乙方根据甲方需求，提供下列服务：</w:t>
      </w:r>
      <w:r>
        <w:rPr>
          <w:rFonts w:hint="eastAsia" w:hAnsi="宋体"/>
          <w:color w:val="auto"/>
          <w:sz w:val="21"/>
          <w:highlight w:val="none"/>
          <w:u w:val="single"/>
        </w:rPr>
        <w:t xml:space="preserve">                      </w:t>
      </w:r>
      <w:r>
        <w:rPr>
          <w:rFonts w:hint="eastAsia" w:hAnsi="宋体"/>
          <w:color w:val="auto"/>
          <w:sz w:val="21"/>
          <w:highlight w:val="none"/>
        </w:rPr>
        <w:t xml:space="preserve">。</w:t>
      </w:r>
      <w:r/>
    </w:p>
    <w:p>
      <w:pPr>
        <w:pStyle w:val="947"/>
        <w:ind w:firstLine="420"/>
        <w:spacing w:before="120" w:after="120" w:line="360" w:lineRule="auto"/>
        <w:rPr>
          <w:rFonts w:hAnsi="宋体"/>
          <w:b/>
          <w:color w:val="auto"/>
          <w:sz w:val="21"/>
          <w:highlight w:val="none"/>
        </w:rPr>
      </w:pPr>
      <w:r>
        <w:rPr>
          <w:rFonts w:hint="eastAsia" w:hAnsi="宋体"/>
          <w:color w:val="auto"/>
          <w:sz w:val="21"/>
          <w:highlight w:val="none"/>
        </w:rPr>
        <w:t xml:space="preserve">服务内容等要求详见招标文件及乙方投标文件。</w:t>
      </w:r>
      <w:r/>
    </w:p>
    <w:p>
      <w:pPr>
        <w:ind w:firstLine="422"/>
        <w:spacing w:line="480" w:lineRule="exact"/>
        <w:rPr>
          <w:b/>
          <w:bCs/>
          <w:color w:val="auto"/>
          <w:highlight w:val="none"/>
        </w:rPr>
      </w:pPr>
      <w:r>
        <w:rPr>
          <w:rFonts w:hint="eastAsia"/>
          <w:b/>
          <w:bCs/>
          <w:color w:val="auto"/>
          <w:highlight w:val="none"/>
        </w:rPr>
        <w:t xml:space="preserve">二、合同金额</w:t>
      </w:r>
      <w:r/>
    </w:p>
    <w:p>
      <w:pPr>
        <w:ind w:firstLine="420"/>
        <w:spacing w:line="480" w:lineRule="exact"/>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2.1 </w:t>
      </w:r>
      <w:r>
        <w:rPr>
          <w:rFonts w:hint="eastAsia" w:ascii="宋体" w:hAnsi="宋体" w:eastAsia="宋体" w:cs="宋体"/>
          <w:color w:val="auto"/>
          <w:sz w:val="21"/>
          <w:szCs w:val="21"/>
          <w:highlight w:val="none"/>
        </w:rPr>
        <w:t xml:space="preserve">本合同金额为（大写）：________圆/小时（_________元/小时）人民币</w:t>
      </w:r>
      <w:r>
        <w:rPr>
          <w:rFonts w:hint="eastAsia" w:ascii="Times New Roman" w:hAnsi="Times New Roman" w:eastAsia="宋体" w:cs="宋体"/>
          <w:color w:val="auto"/>
          <w:sz w:val="21"/>
          <w:szCs w:val="21"/>
          <w:highlight w:val="none"/>
        </w:rPr>
        <w:t xml:space="preserve">。</w:t>
      </w:r>
      <w:r/>
    </w:p>
    <w:p>
      <w:pPr>
        <w:ind w:firstLine="422"/>
        <w:spacing w:line="480" w:lineRule="exact"/>
        <w:rPr>
          <w:color w:val="auto"/>
          <w:highlight w:val="none"/>
        </w:rPr>
      </w:pPr>
      <w:r>
        <w:rPr>
          <w:rFonts w:hint="eastAsia"/>
          <w:b/>
          <w:bCs/>
          <w:color w:val="auto"/>
          <w:highlight w:val="none"/>
        </w:rPr>
        <w:t xml:space="preserve">三、技术资料</w:t>
      </w:r>
      <w:r/>
    </w:p>
    <w:p>
      <w:pPr>
        <w:ind w:firstLine="420"/>
        <w:spacing w:line="480" w:lineRule="exact"/>
        <w:rPr>
          <w:color w:val="auto"/>
          <w:highlight w:val="none"/>
        </w:rPr>
      </w:pPr>
      <w:r>
        <w:rPr>
          <w:rFonts w:hint="eastAsia"/>
          <w:color w:val="auto"/>
          <w:highlight w:val="none"/>
        </w:rPr>
        <w:t xml:space="preserve">3.1乙方应按招标文件规定的时间向甲方提供使用货物及服务的有关技术资料。</w:t>
      </w:r>
      <w:r/>
    </w:p>
    <w:p>
      <w:pPr>
        <w:ind w:firstLine="420"/>
        <w:spacing w:line="480" w:lineRule="exact"/>
        <w:rPr>
          <w:color w:val="auto"/>
          <w:highlight w:val="none"/>
        </w:rPr>
      </w:pPr>
      <w:r>
        <w:rPr>
          <w:rFonts w:hint="eastAsia"/>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80" w:lineRule="exact"/>
        <w:rPr>
          <w:b/>
          <w:bCs/>
          <w:color w:val="auto"/>
          <w:highlight w:val="none"/>
        </w:rPr>
      </w:pPr>
      <w:r>
        <w:rPr>
          <w:rFonts w:hint="eastAsia"/>
          <w:b/>
          <w:bCs/>
          <w:color w:val="auto"/>
          <w:highlight w:val="none"/>
        </w:rPr>
        <w:t xml:space="preserve">四、知识产权</w:t>
      </w:r>
      <w:r/>
    </w:p>
    <w:p>
      <w:pPr>
        <w:ind w:firstLine="420"/>
        <w:spacing w:line="480" w:lineRule="exact"/>
        <w:rPr>
          <w:color w:val="auto"/>
          <w:highlight w:val="none"/>
        </w:rPr>
      </w:pPr>
      <w:r>
        <w:rPr>
          <w:rFonts w:hint="eastAsia"/>
          <w:color w:val="auto"/>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spacing w:line="480" w:lineRule="exact"/>
        <w:rPr>
          <w:b/>
          <w:bCs/>
          <w:color w:val="auto"/>
          <w:highlight w:val="none"/>
        </w:rPr>
      </w:pPr>
      <w:r>
        <w:rPr>
          <w:rFonts w:hint="eastAsia"/>
          <w:b/>
          <w:bCs/>
          <w:color w:val="auto"/>
          <w:highlight w:val="none"/>
        </w:rPr>
        <w:t xml:space="preserve">五、产权担保</w:t>
      </w:r>
      <w:r/>
    </w:p>
    <w:p>
      <w:pPr>
        <w:ind w:firstLine="420"/>
        <w:spacing w:line="480" w:lineRule="exact"/>
        <w:rPr>
          <w:color w:val="auto"/>
          <w:highlight w:val="none"/>
        </w:rPr>
      </w:pPr>
      <w:r>
        <w:rPr>
          <w:rFonts w:hint="eastAsia"/>
          <w:color w:val="auto"/>
          <w:highlight w:val="none"/>
        </w:rPr>
        <w:t xml:space="preserve">5.1 乙方保证所交付的货物及服务的所有权完全属于乙方且无任何抵押、查封等产权瑕疵。</w:t>
      </w:r>
      <w:r/>
    </w:p>
    <w:p>
      <w:pPr>
        <w:ind w:firstLine="422"/>
        <w:spacing w:line="480" w:lineRule="exact"/>
        <w:rPr>
          <w:b/>
          <w:bCs/>
          <w:color w:val="auto"/>
          <w:highlight w:val="none"/>
        </w:rPr>
      </w:pPr>
      <w:r>
        <w:rPr>
          <w:rFonts w:hint="eastAsia"/>
          <w:b/>
          <w:bCs/>
          <w:color w:val="auto"/>
          <w:highlight w:val="none"/>
        </w:rPr>
        <w:t xml:space="preserve">六、履约保证金</w:t>
      </w:r>
      <w:r/>
    </w:p>
    <w:p>
      <w:pPr>
        <w:ind w:firstLine="420"/>
        <w:spacing w:line="480" w:lineRule="exact"/>
        <w:rPr>
          <w:color w:val="auto"/>
          <w:highlight w:val="none"/>
        </w:rPr>
      </w:pPr>
      <w:r>
        <w:rPr>
          <w:rFonts w:hint="eastAsia"/>
          <w:color w:val="auto"/>
          <w:highlight w:val="none"/>
        </w:rPr>
        <w:t xml:space="preserve">6.</w:t>
      </w:r>
      <w:r>
        <w:rPr>
          <w:rFonts w:hint="eastAsia"/>
          <w:color w:val="auto"/>
          <w:highlight w:val="none"/>
          <w:lang w:val="en-US" w:eastAsia="zh-CN"/>
        </w:rPr>
        <w:t xml:space="preserve">1</w:t>
      </w:r>
      <w:r>
        <w:rPr>
          <w:rFonts w:hint="eastAsia"/>
          <w:color w:val="auto"/>
          <w:highlight w:val="none"/>
        </w:rPr>
        <w:t xml:space="preserve"> 履约保证金收取：无</w:t>
      </w:r>
      <w:r/>
    </w:p>
    <w:p>
      <w:pPr>
        <w:ind w:firstLine="422"/>
        <w:spacing w:line="480" w:lineRule="exact"/>
        <w:rPr>
          <w:b/>
          <w:bCs/>
          <w:color w:val="auto"/>
          <w:highlight w:val="none"/>
        </w:rPr>
      </w:pPr>
      <w:r>
        <w:rPr>
          <w:rFonts w:hint="eastAsia"/>
          <w:b/>
          <w:bCs/>
          <w:color w:val="auto"/>
          <w:highlight w:val="none"/>
        </w:rPr>
        <w:t xml:space="preserve">七、转包或分包</w:t>
      </w:r>
      <w:r/>
    </w:p>
    <w:p>
      <w:pPr>
        <w:ind w:firstLine="420"/>
        <w:spacing w:line="480" w:lineRule="exact"/>
        <w:rPr>
          <w:color w:val="auto"/>
          <w:highlight w:val="none"/>
        </w:rPr>
      </w:pPr>
      <w:r>
        <w:rPr>
          <w:rFonts w:hint="eastAsia"/>
          <w:color w:val="auto"/>
          <w:highlight w:val="none"/>
        </w:rPr>
        <w:t xml:space="preserve">7.1本合同范围的货物及服务，应由乙方直接供应，不得转让他人供应；</w:t>
      </w:r>
      <w:r/>
    </w:p>
    <w:p>
      <w:pPr>
        <w:ind w:firstLine="420"/>
        <w:spacing w:line="480" w:lineRule="exact"/>
        <w:rPr>
          <w:color w:val="auto"/>
          <w:highlight w:val="none"/>
        </w:rPr>
      </w:pPr>
      <w:r>
        <w:rPr>
          <w:rFonts w:hint="eastAsia"/>
          <w:color w:val="auto"/>
          <w:highlight w:val="none"/>
        </w:rPr>
        <w:t xml:space="preserve">7.2 除非得到甲方的书面同意，乙方不得部分分包给他人供应。</w:t>
      </w:r>
      <w:r/>
    </w:p>
    <w:p>
      <w:pPr>
        <w:ind w:firstLine="420"/>
        <w:spacing w:line="480" w:lineRule="exact"/>
        <w:rPr>
          <w:color w:val="auto"/>
          <w:highlight w:val="none"/>
        </w:rPr>
      </w:pPr>
      <w:r>
        <w:rPr>
          <w:rFonts w:hint="eastAsia"/>
          <w:color w:val="auto"/>
          <w:highlight w:val="none"/>
        </w:rPr>
        <w:t xml:space="preserve">7.3如有转让和未经甲方同意的分包行为，甲方有权给予终止合同。</w:t>
      </w:r>
      <w:r/>
    </w:p>
    <w:p>
      <w:pPr>
        <w:ind w:firstLine="422"/>
        <w:spacing w:line="480" w:lineRule="exact"/>
        <w:rPr>
          <w:color w:val="auto"/>
          <w:highlight w:val="none"/>
        </w:rPr>
      </w:pPr>
      <w:r>
        <w:rPr>
          <w:rFonts w:hint="eastAsia"/>
          <w:b/>
          <w:bCs/>
          <w:color w:val="auto"/>
          <w:highlight w:val="none"/>
        </w:rPr>
        <w:t xml:space="preserve">八、服务期</w:t>
      </w:r>
      <w:r/>
    </w:p>
    <w:p>
      <w:pPr>
        <w:ind w:firstLine="420"/>
        <w:spacing w:line="480" w:lineRule="exact"/>
        <w:rPr>
          <w:rFonts w:hint="eastAsia"/>
          <w:color w:val="auto"/>
          <w:highlight w:val="none"/>
        </w:rPr>
      </w:pPr>
      <w:r>
        <w:rPr>
          <w:rFonts w:hint="eastAsia"/>
          <w:color w:val="auto"/>
          <w:highlight w:val="none"/>
        </w:rPr>
        <w:t xml:space="preserve">8.1 服务期：</w:t>
      </w:r>
      <w:r/>
    </w:p>
    <w:p>
      <w:pPr>
        <w:ind w:firstLine="420"/>
        <w:jc w:val="left"/>
        <w:spacing w:line="360" w:lineRule="auto"/>
        <w:rPr>
          <w:rFonts w:hint="eastAsia"/>
          <w:color w:val="auto"/>
          <w:highlight w:val="none"/>
        </w:rPr>
      </w:pPr>
      <w:r>
        <w:rPr>
          <w:rFonts w:hint="eastAsia" w:ascii="宋体" w:hAnsi="宋体"/>
          <w:color w:val="auto"/>
          <w:szCs w:val="21"/>
          <w:highlight w:val="none"/>
        </w:rPr>
        <w:t xml:space="preserve">本项目总服务期限</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color w:val="auto"/>
          <w:highlight w:val="none"/>
        </w:rPr>
        <w:t xml:space="preserve">（202 年  月  日至202 年  月  日）</w:t>
      </w:r>
      <w:r/>
    </w:p>
    <w:p>
      <w:pPr>
        <w:ind w:firstLine="422"/>
        <w:spacing w:line="480" w:lineRule="exact"/>
        <w:rPr>
          <w:color w:val="auto"/>
          <w:highlight w:val="none"/>
        </w:rPr>
      </w:pPr>
      <w:r>
        <w:rPr>
          <w:rFonts w:hint="eastAsia"/>
          <w:b/>
          <w:bCs/>
          <w:color w:val="auto"/>
          <w:highlight w:val="none"/>
        </w:rPr>
        <w:t xml:space="preserve">九、交付期、交付方式及交付地点</w:t>
      </w:r>
      <w:r/>
    </w:p>
    <w:p>
      <w:pPr>
        <w:ind w:firstLine="420"/>
        <w:spacing w:line="480" w:lineRule="exact"/>
        <w:rPr>
          <w:rFonts w:hint="eastAsia"/>
          <w:color w:val="auto"/>
          <w:highlight w:val="none"/>
        </w:rPr>
      </w:pPr>
      <w:r>
        <w:rPr>
          <w:rFonts w:hint="eastAsia"/>
          <w:color w:val="auto"/>
          <w:highlight w:val="none"/>
        </w:rPr>
        <w:t xml:space="preserve">9.1 交付期：甲方指定时间</w:t>
      </w:r>
      <w:r/>
    </w:p>
    <w:p>
      <w:pPr>
        <w:ind w:firstLine="420"/>
        <w:spacing w:line="480" w:lineRule="exact"/>
        <w:rPr>
          <w:color w:val="auto"/>
          <w:highlight w:val="none"/>
        </w:rPr>
      </w:pPr>
      <w:r>
        <w:rPr>
          <w:rFonts w:hint="eastAsia"/>
          <w:color w:val="auto"/>
          <w:highlight w:val="none"/>
        </w:rPr>
        <w:t xml:space="preserve">9.2 交付方式：甲方指定方式</w:t>
      </w:r>
      <w:r/>
    </w:p>
    <w:p>
      <w:pPr>
        <w:ind w:firstLine="420"/>
        <w:spacing w:line="480" w:lineRule="exact"/>
        <w:rPr>
          <w:rFonts w:hint="eastAsia"/>
          <w:color w:val="auto"/>
          <w:highlight w:val="none"/>
        </w:rPr>
      </w:pPr>
      <w:r>
        <w:rPr>
          <w:rFonts w:hint="eastAsia"/>
          <w:color w:val="auto"/>
          <w:highlight w:val="none"/>
        </w:rPr>
        <w:t xml:space="preserve">9.3 交付地点：甲方指定地点</w:t>
      </w:r>
      <w:r/>
    </w:p>
    <w:p>
      <w:pPr>
        <w:ind w:firstLine="422"/>
        <w:spacing w:line="480" w:lineRule="exact"/>
        <w:rPr>
          <w:color w:val="auto"/>
          <w:highlight w:val="none"/>
        </w:rPr>
      </w:pPr>
      <w:r>
        <w:rPr>
          <w:rFonts w:hint="eastAsia"/>
          <w:b/>
          <w:bCs/>
          <w:color w:val="auto"/>
          <w:highlight w:val="none"/>
        </w:rPr>
        <w:t xml:space="preserve">十、支付</w:t>
      </w:r>
      <w:r/>
    </w:p>
    <w:p>
      <w:pPr>
        <w:ind w:firstLine="420"/>
        <w:spacing w:line="480" w:lineRule="exact"/>
        <w:rPr>
          <w:color w:val="auto"/>
          <w:highlight w:val="none"/>
        </w:rPr>
      </w:pPr>
      <w:r>
        <w:rPr>
          <w:rFonts w:hint="eastAsia"/>
          <w:color w:val="auto"/>
          <w:highlight w:val="none"/>
        </w:rPr>
        <w:t xml:space="preserve">10.1 本合同项下所有款项均以人民币支付。 </w:t>
      </w:r>
      <w:r/>
    </w:p>
    <w:p>
      <w:pPr>
        <w:ind w:firstLine="420"/>
        <w:spacing w:line="480" w:lineRule="exact"/>
        <w:rPr>
          <w:color w:val="auto"/>
          <w:highlight w:val="none"/>
        </w:rPr>
      </w:pPr>
      <w:r>
        <w:rPr>
          <w:rFonts w:hint="eastAsia"/>
          <w:color w:val="auto"/>
          <w:highlight w:val="none"/>
        </w:rPr>
        <w:t xml:space="preserve">10.2 本合同项下的采购资金由甲方支付，付款前乙方向甲方开具发票。</w:t>
      </w:r>
      <w:r/>
    </w:p>
    <w:p>
      <w:pPr>
        <w:ind w:firstLine="420"/>
        <w:spacing w:line="480" w:lineRule="exact"/>
        <w:rPr>
          <w:rFonts w:hint="eastAsia"/>
          <w:color w:val="auto"/>
          <w:highlight w:val="none"/>
        </w:rPr>
      </w:pPr>
      <w:r>
        <w:rPr>
          <w:rFonts w:hint="eastAsia"/>
          <w:color w:val="auto"/>
          <w:highlight w:val="none"/>
        </w:rPr>
        <w:t xml:space="preserve">10.3 甲方付款方式：</w:t>
      </w:r>
      <w:r/>
    </w:p>
    <w:p>
      <w:pPr>
        <w:ind w:firstLine="420"/>
        <w:spacing w:line="480" w:lineRule="exact"/>
        <w:rPr>
          <w:rFonts w:hint="eastAsia"/>
          <w:color w:val="auto"/>
          <w:highlight w:val="none"/>
        </w:rPr>
      </w:pPr>
      <w:r>
        <w:rPr>
          <w:rFonts w:hint="eastAsia"/>
          <w:color w:val="auto"/>
          <w:highlight w:val="none"/>
        </w:rPr>
        <w:t xml:space="preserve">10.3.1 本项目采用单价合同，乙方已充分考虑自身实际情况进行报价，如有少报或者漏报，则视同乙方让利，签订合同时不因任何理由予以调整或补贴。除合同另有规定外， 服务价格不因服务过程中政策、标准及市场因素变化等原因而调整。最终服务费根据乙方实际提供服务的老人人数(老人名单由甲方提供，并得到甲方认可)以及服务单价按实结算。</w:t>
      </w:r>
      <w:r/>
    </w:p>
    <w:p>
      <w:pPr>
        <w:ind w:firstLine="420"/>
        <w:spacing w:line="480" w:lineRule="exact"/>
        <w:rPr>
          <w:rFonts w:hint="eastAsia"/>
          <w:color w:val="auto"/>
          <w:highlight w:val="none"/>
        </w:rPr>
      </w:pPr>
      <w:r>
        <w:rPr>
          <w:rFonts w:hint="eastAsia"/>
          <w:color w:val="auto"/>
          <w:highlight w:val="none"/>
        </w:rPr>
        <w:t xml:space="preserve">合同签订后，乙方提供</w:t>
      </w:r>
      <w:r>
        <w:rPr>
          <w:rFonts w:hint="eastAsia"/>
          <w:color w:val="auto"/>
          <w:highlight w:val="none"/>
          <w:lang w:val="en-US" w:eastAsia="zh-CN"/>
        </w:rPr>
        <w:t xml:space="preserve">正规</w:t>
      </w:r>
      <w:r>
        <w:rPr>
          <w:rFonts w:hint="eastAsia"/>
          <w:color w:val="auto"/>
          <w:highlight w:val="none"/>
        </w:rPr>
        <w:t xml:space="preserve">发票，甲方在</w:t>
      </w:r>
      <w:r>
        <w:rPr>
          <w:rFonts w:hint="eastAsia"/>
          <w:color w:val="auto"/>
          <w:highlight w:val="none"/>
          <w:lang w:val="en-US" w:eastAsia="zh-CN"/>
        </w:rPr>
        <w:t xml:space="preserve">收到发票起</w:t>
      </w:r>
      <w:r>
        <w:rPr>
          <w:rFonts w:hint="eastAsia"/>
          <w:color w:val="auto"/>
          <w:highlight w:val="none"/>
        </w:rPr>
        <w:t xml:space="preserve">1</w:t>
      </w:r>
      <w:r>
        <w:rPr>
          <w:rFonts w:hint="eastAsia"/>
          <w:color w:val="auto"/>
          <w:highlight w:val="none"/>
          <w:lang w:val="en-US" w:eastAsia="zh-CN"/>
        </w:rPr>
        <w:t xml:space="preserve">0个工作日</w:t>
      </w:r>
      <w:r>
        <w:rPr>
          <w:rFonts w:hint="eastAsia"/>
          <w:color w:val="auto"/>
          <w:highlight w:val="none"/>
        </w:rPr>
        <w:t xml:space="preserve">内预付</w:t>
      </w:r>
      <w:r>
        <w:rPr>
          <w:rFonts w:hint="eastAsia"/>
          <w:color w:val="auto"/>
          <w:highlight w:val="none"/>
          <w:lang w:val="en-US" w:eastAsia="zh-CN"/>
        </w:rPr>
        <w:t xml:space="preserve">当年</w:t>
      </w:r>
      <w:r>
        <w:rPr>
          <w:rFonts w:hint="eastAsia"/>
          <w:color w:val="auto"/>
          <w:highlight w:val="none"/>
        </w:rPr>
        <w:t xml:space="preserve">合同价的30%（人员数量由甲方提供，合同估算总价=人数*中标单价）；</w:t>
      </w:r>
      <w:r/>
    </w:p>
    <w:p>
      <w:pPr>
        <w:ind w:firstLine="420"/>
        <w:spacing w:line="480" w:lineRule="exact"/>
        <w:rPr>
          <w:rFonts w:hint="eastAsia"/>
          <w:color w:val="auto"/>
          <w:highlight w:val="none"/>
        </w:rPr>
      </w:pPr>
      <w:r>
        <w:rPr>
          <w:rFonts w:hint="eastAsia"/>
          <w:color w:val="auto"/>
          <w:highlight w:val="none"/>
        </w:rPr>
        <w:t xml:space="preserve">之后按</w:t>
      </w:r>
      <w:r>
        <w:rPr>
          <w:rFonts w:hint="eastAsia"/>
          <w:color w:val="auto"/>
          <w:highlight w:val="none"/>
          <w:lang w:val="en-US" w:eastAsia="zh-CN"/>
        </w:rPr>
        <w:t xml:space="preserve">季度</w:t>
      </w:r>
      <w:r>
        <w:rPr>
          <w:rFonts w:hint="eastAsia"/>
          <w:color w:val="auto"/>
          <w:highlight w:val="none"/>
        </w:rPr>
        <w:t xml:space="preserve">支付服务费用，乙方提交上季度的申请付款材料，甲方审核无误后于当月25号之前完成审核和付款流程（首次</w:t>
      </w:r>
      <w:r>
        <w:rPr>
          <w:rFonts w:hint="eastAsia"/>
          <w:color w:val="auto"/>
          <w:highlight w:val="none"/>
          <w:lang w:val="en-US" w:eastAsia="zh-CN"/>
        </w:rPr>
        <w:t xml:space="preserve">季度</w:t>
      </w:r>
      <w:r>
        <w:rPr>
          <w:rFonts w:hint="eastAsia"/>
          <w:color w:val="auto"/>
          <w:highlight w:val="none"/>
        </w:rPr>
        <w:t xml:space="preserve">支付结算款时扣除预付款）。如因上级部门财政资金拨付导致延迟，则甲方付款顺延。 满足合同约定支付条件时，乙方应按合同约定金额开具发票，甲方自收到发票后 1</w:t>
      </w:r>
      <w:r>
        <w:rPr>
          <w:rFonts w:hint="eastAsia"/>
          <w:color w:val="auto"/>
          <w:highlight w:val="none"/>
          <w:lang w:val="en-US" w:eastAsia="zh-CN"/>
        </w:rPr>
        <w:t xml:space="preserve">0个工作日内</w:t>
      </w:r>
      <w:r>
        <w:rPr>
          <w:rFonts w:hint="eastAsia"/>
          <w:color w:val="auto"/>
          <w:highlight w:val="none"/>
        </w:rPr>
        <w:t xml:space="preserve">将资金支付到合同约定的乙方账户。 </w:t>
      </w:r>
      <w:r/>
    </w:p>
    <w:p>
      <w:pPr>
        <w:ind w:firstLine="422"/>
        <w:spacing w:line="480" w:lineRule="exact"/>
        <w:rPr>
          <w:b/>
          <w:bCs/>
          <w:color w:val="auto"/>
          <w:highlight w:val="none"/>
        </w:rPr>
      </w:pPr>
      <w:r>
        <w:rPr>
          <w:rFonts w:hint="eastAsia"/>
          <w:b/>
          <w:bCs/>
          <w:color w:val="auto"/>
          <w:highlight w:val="none"/>
        </w:rPr>
        <w:t xml:space="preserve">十一、税费</w:t>
      </w:r>
      <w:r/>
    </w:p>
    <w:p>
      <w:pPr>
        <w:ind w:firstLine="420"/>
        <w:spacing w:line="480" w:lineRule="exact"/>
        <w:rPr>
          <w:color w:val="auto"/>
          <w:highlight w:val="none"/>
        </w:rPr>
      </w:pPr>
      <w:r>
        <w:rPr>
          <w:rFonts w:hint="eastAsia"/>
          <w:color w:val="auto"/>
          <w:highlight w:val="none"/>
        </w:rPr>
        <w:t xml:space="preserve">11.1本合同执行中相关的一切税费均由乙方负担。</w:t>
      </w:r>
      <w:r/>
    </w:p>
    <w:p>
      <w:pPr>
        <w:ind w:firstLine="422"/>
        <w:spacing w:line="480" w:lineRule="exact"/>
        <w:rPr>
          <w:color w:val="auto"/>
          <w:highlight w:val="none"/>
        </w:rPr>
      </w:pPr>
      <w:r>
        <w:rPr>
          <w:rFonts w:hint="eastAsia"/>
          <w:b/>
          <w:bCs/>
          <w:color w:val="auto"/>
          <w:highlight w:val="none"/>
        </w:rPr>
        <w:t xml:space="preserve">十二、质量保证及售后服务</w:t>
      </w:r>
      <w:r/>
    </w:p>
    <w:p>
      <w:pPr>
        <w:ind w:firstLine="420"/>
        <w:spacing w:line="480" w:lineRule="exact"/>
        <w:rPr>
          <w:color w:val="auto"/>
          <w:highlight w:val="none"/>
        </w:rPr>
      </w:pPr>
      <w:r>
        <w:rPr>
          <w:rFonts w:hint="eastAsia"/>
          <w:color w:val="auto"/>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480" w:lineRule="exact"/>
        <w:rPr>
          <w:color w:val="auto"/>
          <w:highlight w:val="none"/>
        </w:rPr>
      </w:pPr>
      <w:r>
        <w:rPr>
          <w:rFonts w:hint="eastAsia"/>
          <w:color w:val="auto"/>
          <w:highlight w:val="none"/>
        </w:rPr>
        <w:t xml:space="preserve">12.2乙方应保证其提供的服务是全面和规范的，并完全符合招投标文件。如因乙方提供的服务有瑕疵造成甲方损失的，所需费用由乙方承担。</w:t>
      </w:r>
      <w:r/>
    </w:p>
    <w:p>
      <w:pPr>
        <w:ind w:firstLine="420"/>
        <w:spacing w:line="480" w:lineRule="exact"/>
        <w:rPr>
          <w:color w:val="auto"/>
          <w:highlight w:val="none"/>
        </w:rPr>
      </w:pPr>
      <w:r>
        <w:rPr>
          <w:rFonts w:hint="eastAsia"/>
          <w:color w:val="auto"/>
          <w:highlight w:val="none"/>
        </w:rPr>
        <w:t xml:space="preserve">12.3 如在使用过程中发生质量问题，乙方在接到甲方通知后在___小时内到达甲方现场。</w:t>
      </w:r>
      <w:r/>
    </w:p>
    <w:p>
      <w:pPr>
        <w:ind w:firstLine="422"/>
        <w:spacing w:line="480" w:lineRule="exact"/>
        <w:rPr>
          <w:b/>
          <w:bCs/>
          <w:color w:val="auto"/>
          <w:highlight w:val="none"/>
        </w:rPr>
      </w:pPr>
      <w:r>
        <w:rPr>
          <w:rFonts w:hint="eastAsia"/>
          <w:b/>
          <w:bCs/>
          <w:color w:val="auto"/>
          <w:highlight w:val="none"/>
        </w:rPr>
        <w:t xml:space="preserve">十三、交付和验收</w:t>
      </w:r>
      <w:r/>
    </w:p>
    <w:p>
      <w:pPr>
        <w:ind w:firstLine="420"/>
        <w:spacing w:line="480" w:lineRule="exact"/>
        <w:rPr>
          <w:color w:val="auto"/>
          <w:highlight w:val="none"/>
        </w:rPr>
      </w:pPr>
      <w:r>
        <w:rPr>
          <w:rFonts w:hint="eastAsia"/>
          <w:color w:val="auto"/>
          <w:highlight w:val="none"/>
        </w:rPr>
        <w:t xml:space="preserve">13.1 乙方应当在合同签订后     天内完成服务事项，招标文件有约定的，从其约定。</w:t>
      </w:r>
      <w:r/>
    </w:p>
    <w:p>
      <w:pPr>
        <w:spacing w:line="480" w:lineRule="exact"/>
        <w:rPr>
          <w:color w:val="auto"/>
          <w:highlight w:val="none"/>
        </w:rPr>
      </w:pPr>
      <w:r>
        <w:rPr>
          <w:rFonts w:hint="eastAsia"/>
          <w:color w:val="auto"/>
          <w:highlight w:val="none"/>
        </w:rPr>
        <w:t xml:space="preserve">在交付前，乙方应作出全面检查和对验收文件进行整理，并列出清单，作为甲方初验收和使用的技术条件依据，检验的结果交甲方。</w:t>
      </w:r>
      <w:r/>
    </w:p>
    <w:p>
      <w:pPr>
        <w:ind w:firstLine="420"/>
        <w:spacing w:line="480" w:lineRule="exact"/>
        <w:rPr>
          <w:color w:val="auto"/>
          <w:highlight w:val="none"/>
        </w:rPr>
      </w:pPr>
      <w:r>
        <w:rPr>
          <w:rFonts w:hint="eastAsia"/>
          <w:color w:val="auto"/>
          <w:highlight w:val="none"/>
        </w:rPr>
        <w:t xml:space="preserve">13.2 验收标准：按乙方投标文件的承诺，并不低于国家相关标准。</w:t>
      </w:r>
      <w:r/>
    </w:p>
    <w:p>
      <w:pPr>
        <w:spacing w:line="480" w:lineRule="exact"/>
        <w:rPr>
          <w:color w:val="auto"/>
          <w:highlight w:val="none"/>
        </w:rPr>
      </w:pPr>
      <w:r>
        <w:rPr>
          <w:rFonts w:hint="eastAsia"/>
          <w:color w:val="auto"/>
          <w:highlight w:val="none"/>
        </w:rPr>
        <w:t xml:space="preserve">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480" w:lineRule="exact"/>
        <w:rPr>
          <w:color w:val="auto"/>
          <w:highlight w:val="none"/>
        </w:rPr>
      </w:pPr>
      <w:r>
        <w:rPr>
          <w:rFonts w:hint="eastAsia"/>
          <w:color w:val="auto"/>
          <w:highlight w:val="none"/>
        </w:rPr>
        <w:t xml:space="preserve">13.3 乙方按照招标文件要求负责安装并培训甲方的使用操作人员，乙方在甲方使用前进行调试，调试直到符合技术要求的甲方才做最终验收。</w:t>
      </w:r>
      <w:r/>
    </w:p>
    <w:p>
      <w:pPr>
        <w:ind w:firstLine="420"/>
        <w:spacing w:line="480" w:lineRule="exact"/>
        <w:rPr>
          <w:color w:val="auto"/>
          <w:highlight w:val="none"/>
        </w:rPr>
      </w:pPr>
      <w:r>
        <w:rPr>
          <w:rFonts w:hint="eastAsia"/>
          <w:color w:val="auto"/>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480" w:lineRule="exact"/>
        <w:rPr>
          <w:color w:val="auto"/>
          <w:highlight w:val="none"/>
        </w:rPr>
      </w:pPr>
      <w:r>
        <w:rPr>
          <w:rFonts w:hint="eastAsia"/>
          <w:color w:val="auto"/>
          <w:highlight w:val="none"/>
        </w:rPr>
        <w:t xml:space="preserve">13.5 甲乙双方关于调试和验收的其他约定：               。</w:t>
      </w:r>
      <w:r/>
    </w:p>
    <w:p>
      <w:pPr>
        <w:ind w:firstLine="422"/>
        <w:spacing w:line="480" w:lineRule="exact"/>
        <w:rPr>
          <w:b/>
          <w:bCs/>
          <w:color w:val="auto"/>
          <w:highlight w:val="none"/>
        </w:rPr>
      </w:pPr>
      <w:r>
        <w:rPr>
          <w:rFonts w:hint="eastAsia"/>
          <w:b/>
          <w:bCs/>
          <w:color w:val="auto"/>
          <w:highlight w:val="none"/>
        </w:rPr>
        <w:t xml:space="preserve">十四、包装、发运及运输</w:t>
      </w:r>
      <w:r/>
    </w:p>
    <w:p>
      <w:pPr>
        <w:ind w:firstLine="420"/>
        <w:spacing w:line="480" w:lineRule="exact"/>
        <w:rPr>
          <w:color w:val="auto"/>
          <w:highlight w:val="none"/>
        </w:rPr>
      </w:pPr>
      <w:r>
        <w:rPr>
          <w:rFonts w:hint="eastAsia"/>
          <w:color w:val="auto"/>
          <w:highlight w:val="none"/>
        </w:rPr>
        <w:t xml:space="preserve">14.1 乙方应对其提供的服务所涉及物品在发运前对其进行满足运输距离、防潮、防震、防锈和防破损装卸等要求包装，以保证安全运达甲方指定地点。</w:t>
      </w:r>
      <w:r/>
    </w:p>
    <w:p>
      <w:pPr>
        <w:ind w:firstLine="420"/>
        <w:spacing w:line="480" w:lineRule="exact"/>
        <w:rPr>
          <w:color w:val="auto"/>
          <w:highlight w:val="none"/>
        </w:rPr>
      </w:pPr>
      <w:r>
        <w:rPr>
          <w:rFonts w:hint="eastAsia"/>
          <w:color w:val="auto"/>
          <w:highlight w:val="none"/>
        </w:rPr>
        <w:t xml:space="preserve">14.2 乙方交付时，使用说明书、检验证明书、随配附件和工具以及清单一并附于内。</w:t>
      </w:r>
      <w:r/>
    </w:p>
    <w:p>
      <w:pPr>
        <w:ind w:firstLine="420"/>
        <w:spacing w:line="480" w:lineRule="exact"/>
        <w:rPr>
          <w:color w:val="auto"/>
          <w:highlight w:val="none"/>
        </w:rPr>
      </w:pPr>
      <w:r>
        <w:rPr>
          <w:rFonts w:hint="eastAsia"/>
          <w:color w:val="auto"/>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480" w:lineRule="exact"/>
        <w:rPr>
          <w:color w:val="auto"/>
          <w:highlight w:val="none"/>
        </w:rPr>
      </w:pPr>
      <w:r>
        <w:rPr>
          <w:rFonts w:hint="eastAsia"/>
          <w:color w:val="auto"/>
          <w:highlight w:val="none"/>
        </w:rPr>
        <w:t xml:space="preserve">14.4 服务在交付甲方前发生的风险均由乙方负责。</w:t>
      </w:r>
      <w:r/>
    </w:p>
    <w:p>
      <w:pPr>
        <w:ind w:firstLine="420"/>
        <w:spacing w:line="480" w:lineRule="exact"/>
        <w:rPr>
          <w:rFonts w:hint="eastAsia"/>
          <w:color w:val="auto"/>
          <w:highlight w:val="none"/>
        </w:rPr>
      </w:pPr>
      <w:r>
        <w:rPr>
          <w:rFonts w:hint="eastAsia"/>
          <w:color w:val="auto"/>
          <w:highlight w:val="none"/>
        </w:rPr>
        <w:t xml:space="preserve">14.5 服务在规定的交付期限内由乙方送达甲方指定的地点。</w:t>
      </w:r>
      <w:r/>
    </w:p>
    <w:p>
      <w:pPr>
        <w:ind w:firstLine="422"/>
        <w:spacing w:line="480" w:lineRule="exact"/>
        <w:rPr>
          <w:color w:val="auto"/>
          <w:highlight w:val="none"/>
        </w:rPr>
      </w:pPr>
      <w:r>
        <w:rPr>
          <w:rFonts w:hint="eastAsia"/>
          <w:b/>
          <w:bCs/>
          <w:color w:val="auto"/>
          <w:highlight w:val="none"/>
        </w:rPr>
        <w:t xml:space="preserve">十五、违约责任</w:t>
      </w:r>
      <w:r/>
    </w:p>
    <w:p>
      <w:pPr>
        <w:ind w:firstLine="420"/>
        <w:spacing w:line="480" w:lineRule="exact"/>
        <w:rPr>
          <w:color w:val="auto"/>
          <w:highlight w:val="none"/>
        </w:rPr>
      </w:pPr>
      <w:r>
        <w:rPr>
          <w:rFonts w:hint="eastAsia"/>
          <w:color w:val="auto"/>
          <w:highlight w:val="none"/>
        </w:rPr>
        <w:t xml:space="preserve">15.1 甲方无正当理由拒收服务的，甲方向乙方偿付拒收款项总值的百分之五违约金。</w:t>
      </w:r>
      <w:r/>
    </w:p>
    <w:p>
      <w:pPr>
        <w:ind w:firstLine="420"/>
        <w:spacing w:line="480" w:lineRule="exact"/>
        <w:rPr>
          <w:color w:val="auto"/>
          <w:highlight w:val="none"/>
        </w:rPr>
      </w:pPr>
      <w:r>
        <w:rPr>
          <w:rFonts w:hint="eastAsia"/>
          <w:color w:val="auto"/>
          <w:highlight w:val="none"/>
        </w:rPr>
        <w:t xml:space="preserve">15.2 甲方无故逾期验收和办理款项支付手续的,甲方应按逾期付款总额每日万分之五向乙方支付违约金。</w:t>
      </w:r>
      <w:r/>
    </w:p>
    <w:p>
      <w:pPr>
        <w:ind w:firstLine="420"/>
        <w:spacing w:line="480" w:lineRule="exact"/>
        <w:rPr>
          <w:color w:val="auto"/>
          <w:highlight w:val="none"/>
        </w:rPr>
      </w:pPr>
      <w:r>
        <w:rPr>
          <w:rFonts w:hint="eastAsia"/>
          <w:color w:val="auto"/>
          <w:highlight w:val="none"/>
        </w:rPr>
        <w:t xml:space="preserve">15.3 乙方逾期交付服务的，乙方应按逾期交付总额每日</w:t>
      </w:r>
      <w:r>
        <w:rPr>
          <w:rFonts w:hint="eastAsia"/>
          <w:color w:val="auto"/>
          <w:highlight w:val="none"/>
          <w:lang w:val="en-US" w:eastAsia="zh-CN"/>
        </w:rPr>
        <w:t xml:space="preserve">万分之五</w:t>
      </w:r>
      <w:r>
        <w:rPr>
          <w:rFonts w:hint="eastAsia"/>
          <w:color w:val="auto"/>
          <w:highlight w:val="none"/>
        </w:rPr>
        <w:t xml:space="preserve">向甲方支付违约金，由甲方从待付款项中扣除。逾期超过约定日期</w:t>
      </w:r>
      <w:r>
        <w:rPr>
          <w:rFonts w:hint="eastAsia"/>
          <w:color w:val="auto"/>
          <w:highlight w:val="none"/>
          <w:lang w:val="en-US" w:eastAsia="zh-CN"/>
        </w:rPr>
        <w:t xml:space="preserve">90</w:t>
      </w:r>
      <w:r>
        <w:rPr>
          <w:rFonts w:hint="eastAsia"/>
          <w:color w:val="auto"/>
          <w:highlight w:val="none"/>
        </w:rPr>
        <w:t xml:space="preserve">个工作日不能交付的，甲方可解除本合同。乙方因逾期交付或因其他违约行为导致甲方解除合同的，乙方应向甲方支付合同总值</w:t>
      </w:r>
      <w:r>
        <w:rPr>
          <w:rFonts w:hint="eastAsia"/>
          <w:color w:val="auto"/>
          <w:highlight w:val="none"/>
          <w:lang w:val="en-US" w:eastAsia="zh-CN"/>
        </w:rPr>
        <w:t xml:space="preserve">10</w:t>
      </w:r>
      <w:r>
        <w:rPr>
          <w:rFonts w:hint="eastAsia"/>
          <w:color w:val="auto"/>
          <w:highlight w:val="none"/>
        </w:rPr>
        <w:t xml:space="preserve">%的违约金，如造成甲方损失超过违约金的，超出部分由乙方继续承担赔偿责任。 </w:t>
      </w:r>
      <w:r/>
    </w:p>
    <w:p>
      <w:pPr>
        <w:ind w:firstLine="420"/>
        <w:spacing w:line="480" w:lineRule="exact"/>
        <w:rPr>
          <w:color w:val="auto"/>
          <w:highlight w:val="none"/>
        </w:rPr>
      </w:pPr>
      <w:r>
        <w:rPr>
          <w:rFonts w:hint="eastAsia"/>
          <w:color w:val="auto"/>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ind w:firstLine="422"/>
        <w:spacing w:line="480" w:lineRule="exact"/>
        <w:rPr>
          <w:b/>
          <w:bCs/>
          <w:color w:val="auto"/>
          <w:highlight w:val="none"/>
        </w:rPr>
      </w:pPr>
      <w:r>
        <w:rPr>
          <w:rFonts w:hint="eastAsia"/>
          <w:b/>
          <w:bCs/>
          <w:color w:val="auto"/>
          <w:highlight w:val="none"/>
        </w:rPr>
        <w:t xml:space="preserve">十六、不可抗力事件处理</w:t>
      </w:r>
      <w:r/>
    </w:p>
    <w:p>
      <w:pPr>
        <w:ind w:firstLine="420"/>
        <w:spacing w:line="480" w:lineRule="exact"/>
        <w:rPr>
          <w:color w:val="auto"/>
          <w:highlight w:val="none"/>
        </w:rPr>
      </w:pPr>
      <w:r>
        <w:rPr>
          <w:rFonts w:hint="eastAsia"/>
          <w:color w:val="auto"/>
          <w:highlight w:val="none"/>
        </w:rPr>
        <w:t xml:space="preserve">16.1 在合同有效期内，任何一方因不可抗力事件导致不能履行合同，则合同履行期可延长，其延长期与不可抗力影响期相同。</w:t>
      </w:r>
      <w:r/>
    </w:p>
    <w:p>
      <w:pPr>
        <w:ind w:firstLine="420"/>
        <w:spacing w:line="480" w:lineRule="exact"/>
        <w:rPr>
          <w:color w:val="auto"/>
          <w:highlight w:val="none"/>
        </w:rPr>
      </w:pPr>
      <w:r>
        <w:rPr>
          <w:rFonts w:hint="eastAsia"/>
          <w:color w:val="auto"/>
          <w:highlight w:val="none"/>
        </w:rPr>
        <w:t xml:space="preserve">16.2 不可抗力事件发生后，应立即通知对方，并寄送有关权威机构出具的证明。</w:t>
      </w:r>
      <w:r/>
    </w:p>
    <w:p>
      <w:pPr>
        <w:ind w:firstLine="420"/>
        <w:spacing w:line="480" w:lineRule="exact"/>
        <w:rPr>
          <w:color w:val="auto"/>
          <w:highlight w:val="none"/>
        </w:rPr>
      </w:pPr>
      <w:r>
        <w:rPr>
          <w:rFonts w:hint="eastAsia"/>
          <w:color w:val="auto"/>
          <w:highlight w:val="none"/>
        </w:rPr>
        <w:t xml:space="preserve">16.3 不可抗力事件延续120天以上，双方应通过友好协商，确定是否继续履行合同。</w:t>
      </w:r>
      <w:r/>
    </w:p>
    <w:p>
      <w:pPr>
        <w:ind w:firstLine="422"/>
        <w:spacing w:line="480" w:lineRule="exact"/>
        <w:rPr>
          <w:b/>
          <w:bCs/>
          <w:color w:val="auto"/>
          <w:highlight w:val="none"/>
        </w:rPr>
      </w:pPr>
      <w:r>
        <w:rPr>
          <w:rFonts w:hint="eastAsia"/>
          <w:b/>
          <w:bCs/>
          <w:color w:val="auto"/>
          <w:highlight w:val="none"/>
        </w:rPr>
        <w:t xml:space="preserve">十七、诉讼</w:t>
      </w:r>
      <w:r/>
    </w:p>
    <w:p>
      <w:pPr>
        <w:ind w:firstLine="420"/>
        <w:spacing w:line="480" w:lineRule="exact"/>
        <w:rPr>
          <w:color w:val="auto"/>
          <w:highlight w:val="none"/>
        </w:rPr>
      </w:pPr>
      <w:r>
        <w:rPr>
          <w:rFonts w:hint="eastAsia"/>
          <w:color w:val="auto"/>
          <w:highlight w:val="none"/>
        </w:rPr>
        <w:t xml:space="preserve">17.1 双方在执行合同中所发生的一切争议，应通过协商解决。如协商不成，可向合同签订地法院起诉，合同签订地在此约定为扬州市</w:t>
      </w:r>
      <w:r>
        <w:rPr>
          <w:rFonts w:hint="eastAsia" w:eastAsia="宋体" w:cs="Times New Roman"/>
          <w:color w:val="auto"/>
          <w:highlight w:val="none"/>
          <w:lang w:val="en-US" w:eastAsia="zh-CN"/>
        </w:rPr>
        <w:t xml:space="preserve">邗江区</w:t>
      </w:r>
      <w:r>
        <w:rPr>
          <w:rFonts w:hint="eastAsia"/>
          <w:color w:val="auto"/>
          <w:highlight w:val="none"/>
        </w:rPr>
        <w:t xml:space="preserve">。</w:t>
      </w:r>
      <w:r/>
    </w:p>
    <w:p>
      <w:pPr>
        <w:ind w:firstLine="422"/>
        <w:spacing w:line="360" w:lineRule="auto"/>
        <w:tabs>
          <w:tab w:val="left" w:pos="266" w:leader="none"/>
        </w:tabs>
        <w:rPr>
          <w:color w:val="auto"/>
          <w:highlight w:val="none"/>
        </w:rPr>
      </w:pPr>
      <w:r>
        <w:rPr>
          <w:rFonts w:hint="eastAsia"/>
          <w:b/>
          <w:bCs/>
          <w:color w:val="auto"/>
          <w:highlight w:val="none"/>
        </w:rPr>
        <w:t xml:space="preserve">十八、</w:t>
      </w:r>
      <w:r>
        <w:rPr>
          <w:rFonts w:hint="eastAsia" w:ascii="宋体" w:hAnsi="宋体" w:cs="宋体"/>
          <w:b/>
          <w:bCs/>
          <w:color w:val="auto"/>
          <w:highlight w:val="none"/>
        </w:rPr>
        <w:t xml:space="preserve">中标/成交供应商可凭政府采购合同办理融资贷款，详见江苏政府采购网“政采贷”专栏。</w:t>
      </w:r>
      <w:r/>
    </w:p>
    <w:p>
      <w:pPr>
        <w:ind w:firstLine="422"/>
        <w:spacing w:line="480" w:lineRule="exact"/>
        <w:rPr>
          <w:color w:val="auto"/>
          <w:highlight w:val="none"/>
        </w:rPr>
      </w:pPr>
      <w:r>
        <w:rPr>
          <w:rFonts w:hint="eastAsia"/>
          <w:b/>
          <w:bCs/>
          <w:color w:val="auto"/>
          <w:highlight w:val="none"/>
        </w:rPr>
        <w:t xml:space="preserve">十九、合同生效及其它</w:t>
      </w:r>
      <w:r/>
    </w:p>
    <w:p>
      <w:pPr>
        <w:ind w:firstLine="420"/>
        <w:spacing w:line="480" w:lineRule="exact"/>
        <w:rPr>
          <w:color w:val="auto"/>
          <w:highlight w:val="none"/>
        </w:rPr>
      </w:pPr>
      <w:r>
        <w:rPr>
          <w:rFonts w:hint="eastAsia"/>
          <w:color w:val="auto"/>
          <w:highlight w:val="none"/>
        </w:rPr>
        <w:t xml:space="preserve">19.1 合同经双方法定代表人签章并加盖单位公章，并经江苏苏维工程管理有限公司见证盖章后生效。</w:t>
      </w:r>
      <w:r/>
    </w:p>
    <w:p>
      <w:pPr>
        <w:ind w:firstLine="420"/>
        <w:spacing w:line="480" w:lineRule="exact"/>
        <w:rPr>
          <w:color w:val="auto"/>
          <w:highlight w:val="none"/>
        </w:rPr>
      </w:pPr>
      <w:r>
        <w:rPr>
          <w:rFonts w:hint="eastAsia"/>
          <w:color w:val="auto"/>
          <w:highlight w:val="none"/>
        </w:rPr>
        <w:t xml:space="preserve">19.2本合同未尽事宜，遵照《民法典》有关条文执行。</w:t>
      </w:r>
      <w:r/>
    </w:p>
    <w:p>
      <w:pPr>
        <w:ind w:firstLine="420"/>
        <w:spacing w:line="480" w:lineRule="exact"/>
        <w:rPr>
          <w:color w:val="auto"/>
          <w:highlight w:val="none"/>
        </w:rPr>
      </w:pPr>
      <w:r>
        <w:rPr>
          <w:rFonts w:hint="eastAsia"/>
          <w:color w:val="auto"/>
          <w:highlight w:val="none"/>
        </w:rPr>
        <w:t xml:space="preserve">19.3 本合同正本一式</w:t>
      </w:r>
      <w:r>
        <w:rPr>
          <w:rFonts w:hint="eastAsia"/>
          <w:color w:val="auto"/>
          <w:highlight w:val="none"/>
          <w:lang w:val="en-US" w:eastAsia="zh-CN"/>
        </w:rPr>
        <w:t xml:space="preserve">陆</w:t>
      </w:r>
      <w:r>
        <w:rPr>
          <w:rFonts w:hint="eastAsia"/>
          <w:color w:val="auto"/>
          <w:highlight w:val="none"/>
        </w:rPr>
        <w:t xml:space="preserve">份，具有同等法律效力，甲方、乙方各执</w:t>
      </w:r>
      <w:r>
        <w:rPr>
          <w:rFonts w:hint="eastAsia"/>
          <w:color w:val="auto"/>
          <w:highlight w:val="none"/>
          <w:lang w:val="en-US" w:eastAsia="zh-CN"/>
        </w:rPr>
        <w:t xml:space="preserve">贰</w:t>
      </w:r>
      <w:r>
        <w:rPr>
          <w:rFonts w:hint="eastAsia"/>
          <w:color w:val="auto"/>
          <w:highlight w:val="none"/>
        </w:rPr>
        <w:t xml:space="preserve">份、见证方及财政监管部门各执一份。  </w:t>
      </w:r>
      <w:r/>
    </w:p>
    <w:tbl>
      <w:tblPr>
        <w:tblStyle w:val="762"/>
        <w:tblpPr w:horzAnchor="page" w:tblpX="1791" w:vertAnchor="text" w:tblpY="957" w:leftFromText="180" w:topFromText="0" w:rightFromText="180" w:bottomFromText="0"/>
        <w:tblW w:w="8094" w:type="dxa"/>
        <w:tblInd w:w="0" w:type="dxa"/>
        <w:tblLayout w:type="fixed"/>
        <w:tblCellMar>
          <w:left w:w="108" w:type="dxa"/>
          <w:top w:w="0" w:type="dxa"/>
          <w:right w:w="108" w:type="dxa"/>
          <w:bottom w:w="0" w:type="dxa"/>
        </w:tblCellMar>
        <w:tblLook w:val="04A0" w:firstRow="1" w:lastRow="0" w:firstColumn="1" w:lastColumn="0" w:noHBand="0" w:noVBand="1"/>
      </w:tblPr>
      <w:tblGrid>
        <w:gridCol w:w="3856"/>
        <w:gridCol w:w="4238"/>
      </w:tblGrid>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auto"/>
                <w:highlight w:val="none"/>
              </w:rPr>
            </w:pPr>
            <w:r>
              <w:rPr>
                <w:rFonts w:hint="eastAsia"/>
                <w:color w:val="auto"/>
                <w:highlight w:val="none"/>
              </w:rPr>
              <w:t xml:space="preserve">甲方：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auto"/>
                <w:highlight w:val="none"/>
              </w:rPr>
            </w:pPr>
            <w:r>
              <w:rPr>
                <w:rFonts w:hint="eastAsia"/>
                <w:color w:val="auto"/>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auto"/>
                <w:highlight w:val="none"/>
              </w:rPr>
            </w:pPr>
            <w:r>
              <w:rPr>
                <w:rFonts w:hint="eastAsia"/>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auto"/>
                <w:highlight w:val="none"/>
              </w:rPr>
            </w:pPr>
            <w:r>
              <w:rPr>
                <w:rFonts w:hint="eastAsia"/>
                <w:color w:val="auto"/>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auto"/>
                <w:highlight w:val="none"/>
              </w:rPr>
            </w:pPr>
            <w:r>
              <w:rPr>
                <w:rFonts w:hint="eastAsia"/>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auto"/>
                <w:highlight w:val="none"/>
              </w:rPr>
            </w:pPr>
            <w:r>
              <w:rPr>
                <w:rFonts w:hint="eastAsia"/>
                <w:color w:val="auto"/>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auto"/>
                <w:highlight w:val="none"/>
              </w:rPr>
            </w:pPr>
            <w:r>
              <w:rPr>
                <w:rFonts w:hint="eastAsia"/>
                <w:color w:val="auto"/>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auto"/>
                <w:highlight w:val="none"/>
              </w:rPr>
            </w:pPr>
            <w:r>
              <w:rPr>
                <w:rFonts w:hint="eastAsia"/>
                <w:color w:val="auto"/>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color w:val="auto"/>
                <w:highlight w:val="none"/>
              </w:rPr>
            </w:pPr>
            <w:r>
              <w:rPr>
                <w:rFonts w:hint="eastAsia"/>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color w:val="auto"/>
                <w:highlight w:val="none"/>
              </w:rPr>
            </w:pPr>
            <w:r>
              <w:rPr>
                <w:rFonts w:hint="eastAsia"/>
                <w:color w:val="auto"/>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auto"/>
                <w:highlight w:val="none"/>
              </w:rPr>
            </w:pPr>
            <w:r>
              <w:rPr>
                <w:rFonts w:hint="eastAsia"/>
                <w:color w:val="auto"/>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auto"/>
                <w:highlight w:val="none"/>
              </w:rPr>
            </w:pPr>
            <w:r>
              <w:rPr>
                <w:rFonts w:hint="eastAsia"/>
                <w:color w:val="auto"/>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auto"/>
                <w:highlight w:val="none"/>
              </w:rPr>
            </w:pPr>
            <w:r>
              <w:rPr>
                <w:rFonts w:hint="eastAsia"/>
                <w:color w:val="auto"/>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auto"/>
                <w:highlight w:val="none"/>
              </w:rPr>
            </w:pPr>
            <w:r>
              <w:rPr>
                <w:rFonts w:hint="eastAsia"/>
                <w:color w:val="auto"/>
                <w:highlight w:val="none"/>
              </w:rPr>
            </w:r>
            <w:r/>
          </w:p>
        </w:tc>
      </w:tr>
      <w:tr>
        <w:trPr/>
        <w:tc>
          <w:tcPr>
            <w:tcBorders>
              <w:top w:val="none" w:color="000000" w:sz="4" w:space="0"/>
              <w:left w:val="none" w:color="000000" w:sz="4" w:space="0"/>
              <w:bottom w:val="none" w:color="000000" w:sz="4" w:space="0"/>
              <w:right w:val="none" w:color="000000" w:sz="4" w:space="0"/>
            </w:tcBorders>
            <w:tcW w:w="3856" w:type="dxa"/>
            <w:vAlign w:val="top"/>
            <w:textDirection w:val="lrTb"/>
            <w:noWrap w:val="false"/>
          </w:tcPr>
          <w:p>
            <w:pPr>
              <w:spacing w:line="480" w:lineRule="exact"/>
              <w:rPr>
                <w:rFonts w:hint="eastAsia"/>
                <w:color w:val="auto"/>
                <w:highlight w:val="none"/>
              </w:rPr>
            </w:pPr>
            <w:r>
              <w:rPr>
                <w:rFonts w:hint="eastAsia"/>
                <w:color w:val="auto"/>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spacing w:line="480" w:lineRule="exact"/>
              <w:rPr>
                <w:rFonts w:hint="eastAsia"/>
                <w:color w:val="auto"/>
                <w:highlight w:val="none"/>
              </w:rPr>
            </w:pPr>
            <w:r>
              <w:rPr>
                <w:rFonts w:hint="eastAsia"/>
                <w:color w:val="auto"/>
                <w:highlight w:val="none"/>
              </w:rPr>
            </w:r>
            <w:r/>
          </w:p>
        </w:tc>
      </w:tr>
    </w:tbl>
    <w:p>
      <w:pPr>
        <w:pStyle w:val="947"/>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47"/>
        <w:spacing w:before="120" w:after="120" w:line="360" w:lineRule="auto"/>
        <w:rPr>
          <w:rFonts w:hint="eastAsia" w:hAnsi="宋体"/>
          <w:color w:val="auto"/>
          <w:sz w:val="21"/>
          <w:highlight w:val="none"/>
        </w:rPr>
      </w:pPr>
      <w:r>
        <w:rPr>
          <w:rFonts w:hint="eastAsia" w:hAnsi="宋体"/>
          <w:color w:val="auto"/>
          <w:sz w:val="21"/>
          <w:highlight w:val="none"/>
        </w:rPr>
        <w:t xml:space="preserve">  </w:t>
      </w:r>
      <w:bookmarkEnd w:id="53"/>
      <w:r/>
      <w:r/>
    </w:p>
    <w:p>
      <w:pPr>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59"/>
        <w:ind w:firstLine="400"/>
        <w:rPr>
          <w:color w:val="auto"/>
          <w:highlight w:val="none"/>
        </w:rPr>
      </w:pPr>
      <w:r>
        <w:rPr>
          <w:color w:val="auto"/>
          <w:highlight w:val="none"/>
        </w:rPr>
      </w:r>
      <w:r/>
    </w:p>
    <w:p>
      <w:pPr>
        <w:pStyle w:val="934"/>
        <w:jc w:val="center"/>
        <w:rPr>
          <w:rFonts w:ascii="宋体" w:hAnsi="宋体"/>
          <w:color w:val="auto"/>
          <w:sz w:val="32"/>
          <w:szCs w:val="32"/>
          <w:highlight w:val="none"/>
        </w:rPr>
      </w:pPr>
      <w:r>
        <w:rPr>
          <w:rFonts w:hint="eastAsia" w:ascii="宋体" w:hAnsi="宋体"/>
          <w:color w:val="auto"/>
          <w:sz w:val="32"/>
          <w:szCs w:val="32"/>
          <w:highlight w:val="none"/>
        </w:rPr>
        <w:br w:type="page" w:clear="all"/>
      </w:r>
      <w:r>
        <w:rPr>
          <w:rFonts w:hint="eastAsia" w:ascii="宋体" w:hAnsi="宋体"/>
          <w:color w:val="auto"/>
          <w:szCs w:val="36"/>
          <w:highlight w:val="none"/>
        </w:rPr>
        <w:t xml:space="preserve">第四章 项目需求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pStyle w:val="985"/>
        <w:numPr>
          <w:ilvl w:val="0"/>
          <w:numId w:val="3"/>
        </w:numPr>
        <w:contextualSpacing/>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项目需求：</w:t>
      </w:r>
      <w:r/>
    </w:p>
    <w:tbl>
      <w:tblPr>
        <w:tblStyle w:val="762"/>
        <w:tblW w:w="8564" w:type="dxa"/>
        <w:tblInd w:w="0" w:type="dxa"/>
        <w:tblLayout w:type="fixed"/>
        <w:tblCellMar>
          <w:left w:w="30" w:type="dxa"/>
          <w:top w:w="0" w:type="dxa"/>
          <w:right w:w="30" w:type="dxa"/>
          <w:bottom w:w="0" w:type="dxa"/>
        </w:tblCellMar>
        <w:tblLook w:val="04A0" w:firstRow="1" w:lastRow="0" w:firstColumn="1" w:lastColumn="0" w:noHBand="0" w:noVBand="1"/>
      </w:tblPr>
      <w:tblGrid>
        <w:gridCol w:w="1448"/>
        <w:gridCol w:w="993"/>
        <w:gridCol w:w="994"/>
        <w:gridCol w:w="1685"/>
        <w:gridCol w:w="1596"/>
        <w:gridCol w:w="1848"/>
      </w:tblGrid>
      <w:tr>
        <w:trPr>
          <w:trHeight w:val="281"/>
        </w:trPr>
        <w:tc>
          <w:tcPr>
            <w:gridSpan w:val="6"/>
            <w:tcBorders>
              <w:top w:val="single" w:color="000000" w:sz="2" w:space="0"/>
              <w:left w:val="single" w:color="000000" w:sz="2" w:space="0"/>
              <w:bottom w:val="single" w:color="000000" w:sz="2" w:space="0"/>
              <w:right w:val="single" w:color="000000" w:sz="2" w:space="0"/>
            </w:tcBorders>
            <w:tcW w:w="8564" w:type="dxa"/>
            <w:vAlign w:val="top"/>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维扬开发区政府居家养老购买服务人员情况</w:t>
            </w:r>
            <w:r/>
          </w:p>
        </w:tc>
      </w:tr>
      <w:tr>
        <w:trPr>
          <w:trHeight w:val="448"/>
        </w:trPr>
        <w:tc>
          <w:tcPr>
            <w:gridSpan w:val="6"/>
            <w:tcBorders>
              <w:top w:val="single" w:color="000000" w:sz="2" w:space="0"/>
              <w:left w:val="single" w:color="000000" w:sz="2" w:space="0"/>
              <w:bottom w:val="single" w:color="auto" w:sz="6" w:space="0"/>
              <w:right w:val="single" w:color="000000" w:sz="2" w:space="0"/>
            </w:tcBorders>
            <w:tcW w:w="8564" w:type="dxa"/>
            <w:vAlign w:val="center"/>
            <w:textDirection w:val="lrTb"/>
            <w:noWrap w:val="false"/>
          </w:tcPr>
          <w:p>
            <w:pPr>
              <w:jc w:val="righ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单位：元</w:t>
            </w:r>
            <w:r/>
          </w:p>
        </w:tc>
      </w:tr>
      <w:tr>
        <w:trPr>
          <w:trHeight w:val="339"/>
        </w:trPr>
        <w:tc>
          <w:tcPr>
            <w:tcBorders>
              <w:top w:val="single" w:color="auto" w:sz="6" w:space="0"/>
              <w:left w:val="single" w:color="auto" w:sz="6" w:space="0"/>
              <w:bottom w:val="single" w:color="auto" w:sz="6" w:space="0"/>
              <w:right w:val="none" w:color="000000" w:sz="4" w:space="0"/>
            </w:tcBorders>
            <w:tcW w:w="14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类别</w:t>
            </w:r>
            <w:r/>
          </w:p>
        </w:tc>
        <w:tc>
          <w:tcPr>
            <w:tcBorders>
              <w:top w:val="single" w:color="auto" w:sz="6" w:space="0"/>
              <w:left w:val="none" w:color="000000" w:sz="4" w:space="0"/>
              <w:bottom w:val="single" w:color="auto" w:sz="6" w:space="0"/>
              <w:right w:val="single" w:color="auto" w:sz="6" w:space="0"/>
            </w:tcBorders>
            <w:tcW w:w="993"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预估</w:t>
            </w:r>
            <w:r>
              <w:rPr>
                <w:rFonts w:hint="eastAsia" w:ascii="宋体" w:hAnsi="宋体" w:eastAsia="宋体" w:cs="宋体"/>
                <w:color w:val="auto"/>
                <w:sz w:val="21"/>
                <w:szCs w:val="21"/>
                <w:highlight w:val="none"/>
              </w:rPr>
              <w:t xml:space="preserve">人数</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小计</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05"/>
        </w:trPr>
        <w:tc>
          <w:tcPr>
            <w:tcBorders>
              <w:top w:val="single" w:color="auto" w:sz="6" w:space="0"/>
              <w:left w:val="single" w:color="auto" w:sz="6" w:space="0"/>
              <w:right w:val="single" w:color="auto" w:sz="6" w:space="0"/>
            </w:tcBorders>
            <w:tcW w:w="1448" w:type="dxa"/>
            <w:vAlign w:val="center"/>
            <w:vMerge w:val="restart"/>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困难老人</w:t>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自理</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1600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left w:val="single" w:color="auto" w:sz="6" w:space="0"/>
              <w:right w:val="single" w:color="auto" w:sz="6" w:space="0"/>
            </w:tcBorders>
            <w:tcW w:w="1448"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半</w:t>
            </w:r>
            <w:r>
              <w:rPr>
                <w:rFonts w:hint="eastAsia" w:ascii="宋体" w:hAnsi="宋体" w:eastAsia="宋体" w:cs="宋体"/>
                <w:color w:val="auto"/>
                <w:sz w:val="21"/>
                <w:szCs w:val="21"/>
                <w:highlight w:val="none"/>
                <w:lang w:val="en-US" w:eastAsia="zh-CN"/>
              </w:rPr>
              <w:t xml:space="preserve">失能</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92"/>
        </w:trPr>
        <w:tc>
          <w:tcPr>
            <w:tcBorders>
              <w:left w:val="single" w:color="auto" w:sz="6" w:space="0"/>
              <w:bottom w:val="single" w:color="auto" w:sz="6" w:space="0"/>
              <w:right w:val="single" w:color="auto" w:sz="6" w:space="0"/>
            </w:tcBorders>
            <w:tcW w:w="1448" w:type="dxa"/>
            <w:vAlign w:val="center"/>
            <w:vMerge w:val="continue"/>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失能</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39"/>
        </w:trPr>
        <w:tc>
          <w:tcPr>
            <w:gridSpan w:val="2"/>
            <w:tcBorders>
              <w:top w:val="single" w:color="auto" w:sz="6" w:space="0"/>
              <w:left w:val="single" w:color="auto" w:sz="6" w:space="0"/>
              <w:bottom w:val="single" w:color="auto" w:sz="6" w:space="0"/>
              <w:right w:val="single" w:color="auto" w:sz="6" w:space="0"/>
            </w:tcBorders>
            <w:tcW w:w="244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高龄老人</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586</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35160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52"/>
        </w:trPr>
        <w:tc>
          <w:tcPr>
            <w:gridSpan w:val="2"/>
            <w:tcBorders>
              <w:top w:val="single" w:color="auto" w:sz="6" w:space="0"/>
              <w:left w:val="single" w:color="auto" w:sz="6" w:space="0"/>
              <w:bottom w:val="single" w:color="auto" w:sz="6" w:space="0"/>
              <w:right w:val="single" w:color="auto" w:sz="6" w:space="0"/>
            </w:tcBorders>
            <w:tcW w:w="244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612</w:t>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37660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每月服务费</w:t>
            </w:r>
            <w:r/>
          </w:p>
        </w:tc>
      </w:tr>
      <w:tr>
        <w:trPr>
          <w:trHeight w:val="90"/>
        </w:trPr>
        <w:tc>
          <w:tcPr>
            <w:gridSpan w:val="2"/>
            <w:tcBorders>
              <w:top w:val="single" w:color="000000" w:sz="2" w:space="0"/>
              <w:left w:val="single" w:color="000000" w:sz="2" w:space="0"/>
              <w:bottom w:val="single" w:color="000000" w:sz="2" w:space="0"/>
              <w:right w:val="single" w:color="auto" w:sz="6" w:space="0"/>
            </w:tcBorders>
            <w:tcW w:w="244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全年总计</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451920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年服务费</w:t>
            </w:r>
            <w:r/>
          </w:p>
        </w:tc>
      </w:tr>
      <w:tr>
        <w:trPr>
          <w:trHeight w:val="90"/>
        </w:trPr>
        <w:tc>
          <w:tcPr>
            <w:gridSpan w:val="2"/>
            <w:tcBorders>
              <w:top w:val="single" w:color="000000" w:sz="2" w:space="0"/>
              <w:left w:val="single" w:color="000000" w:sz="2" w:space="0"/>
              <w:bottom w:val="single" w:color="000000" w:sz="2" w:space="0"/>
              <w:right w:val="single" w:color="auto" w:sz="6" w:space="0"/>
            </w:tcBorders>
            <w:tcW w:w="2441"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年总计</w:t>
            </w:r>
            <w:r/>
          </w:p>
        </w:tc>
        <w:tc>
          <w:tcPr>
            <w:tcBorders>
              <w:top w:val="single" w:color="auto" w:sz="6" w:space="0"/>
              <w:left w:val="single" w:color="auto" w:sz="6" w:space="0"/>
              <w:bottom w:val="single" w:color="auto" w:sz="6" w:space="0"/>
              <w:right w:val="single" w:color="auto" w:sz="6" w:space="0"/>
            </w:tcBorders>
            <w:tcW w:w="994"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85"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596" w:type="dxa"/>
            <w:vAlign w:val="center"/>
            <w:textDirection w:val="lrTb"/>
            <w:noWrap w:val="false"/>
          </w:tcPr>
          <w:p>
            <w:pPr>
              <w:jc w:val="center"/>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903840</w:t>
            </w:r>
            <w:r/>
          </w:p>
        </w:tc>
        <w:tc>
          <w:tcPr>
            <w:tcBorders>
              <w:top w:val="single" w:color="auto" w:sz="6" w:space="0"/>
              <w:left w:val="single" w:color="auto" w:sz="6" w:space="0"/>
              <w:bottom w:val="single" w:color="auto" w:sz="6" w:space="0"/>
              <w:right w:val="single" w:color="auto" w:sz="6" w:space="0"/>
            </w:tcBorders>
            <w:tcW w:w="1848" w:type="dxa"/>
            <w:vAlign w:val="center"/>
            <w:textDirection w:val="lrTb"/>
            <w:noWrap w:val="false"/>
          </w:tcPr>
          <w:p>
            <w:pPr>
              <w:jc w:val="cente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年服务费</w:t>
            </w:r>
            <w:r/>
          </w:p>
        </w:tc>
      </w:tr>
    </w:tbl>
    <w:p>
      <w:pPr>
        <w:pStyle w:val="985"/>
        <w:numPr>
          <w:ilvl w:val="0"/>
          <w:numId w:val="0"/>
        </w:numPr>
        <w:contextualSpacing/>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政府购买服务对象和标准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1）困难老年人养老服务补贴。对年满 60 周岁以上，户籍在邗江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2）高龄老年人养老服务补贴。对年满 80 周岁以上，户籍在邗江且长期（原则上指半年以上）居住在户籍地的老人（简称“高龄老人”），根据政府购买居家养老服务占比要求，在对高龄老人进行能力评估后，按照每人每月不低于 60 元的标准给予补贴。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上述两种类型的养老服务补贴不得重复享受。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项目预算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位服务对象每月政府购买服务补贴标准为60、80、150、260元。其补助标准可能会根据市、区民政部门相关政策的要求做出相应的调整，居家养老政府购买服务对象经维扬经济开发区民政部门审批确定。采购服务人数预计</w:t>
      </w:r>
      <w:r>
        <w:rPr>
          <w:rFonts w:hint="eastAsia" w:ascii="宋体" w:hAnsi="宋体" w:cs="宋体"/>
          <w:color w:val="auto"/>
          <w:sz w:val="21"/>
          <w:szCs w:val="21"/>
          <w:highlight w:val="none"/>
          <w:lang w:val="en-US" w:eastAsia="zh-CN"/>
        </w:rPr>
        <w:t xml:space="preserve">612人</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3、人员配备要求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（1）中标人负责组建养老护理员队伍，服务对象与招录养老护理员比例不高于80:1，中标单位须要定期组织养老护理员培训，队伍须熟练掌握专业的养老服务知识、方法和技能。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管理团队需明确1名项目负责人和1名片区主管，负责人和片区主管具备一定的管理和服务能力，针对不同服务类别为服务人员提供专业的指导。管理团队负责对服务过程进行有效监管，并对服务人员服务记录表定期进行收集整理、登记建档，档案要完整、详实、可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（3）中标人应为录用的养老护理员购买意外伤害险，多购自愿。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服务内容</w:t>
      </w:r>
      <w:r/>
    </w:p>
    <w:p>
      <w:pPr>
        <w:pStyle w:val="766"/>
        <w:ind w:firstLine="420"/>
        <w:spacing w:before="7"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居家养老政府购买服务对象提供基本居家养老服务内容</w:t>
      </w:r>
      <w:r/>
    </w:p>
    <w:tbl>
      <w:tblPr>
        <w:tblStyle w:val="762"/>
        <w:tblpPr w:horzAnchor="page" w:tblpX="1882" w:vertAnchor="text" w:tblpY="464" w:leftFromText="180" w:topFromText="0" w:rightFromText="180" w:bottomFromText="0"/>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981"/>
        <w:gridCol w:w="5930"/>
        <w:gridCol w:w="2209"/>
      </w:tblGrid>
      <w:tr>
        <w:trPr>
          <w:jc w:val="center"/>
          <w:trHeight w:val="1264"/>
        </w:trPr>
        <w:tc>
          <w:tcPr>
            <w:tcW w:w="981"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补贴标准</w:t>
            </w:r>
            <w:r/>
          </w:p>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(元/人/月)</w:t>
            </w:r>
            <w:r/>
          </w:p>
        </w:tc>
        <w:tc>
          <w:tcPr>
            <w:tcW w:w="5930"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基本服务内容</w:t>
            </w:r>
            <w:r/>
          </w:p>
        </w:tc>
        <w:tc>
          <w:tcPr>
            <w:tcW w:w="2209" w:type="dxa"/>
            <w:vAlign w:val="center"/>
            <w:textDirection w:val="lrTb"/>
            <w:noWrap w:val="false"/>
          </w:tcPr>
          <w:p>
            <w:pPr>
              <w:pStyle w:val="96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拓展服务内容</w:t>
            </w:r>
            <w:r/>
          </w:p>
        </w:tc>
      </w:tr>
      <w:tr>
        <w:trPr>
          <w:jc w:val="center"/>
          <w:trHeight w:val="285"/>
        </w:trPr>
        <w:tc>
          <w:tcPr>
            <w:tcW w:w="981"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60元</w:t>
            </w:r>
            <w:r/>
          </w:p>
        </w:tc>
        <w:tc>
          <w:tcPr>
            <w:tcW w:w="5930" w:type="dxa"/>
            <w:vAlign w:val="center"/>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助餐、助浴、助医、助洁等居家养老服务。</w:t>
            </w:r>
            <w:r/>
          </w:p>
        </w:tc>
        <w:tc>
          <w:tcPr>
            <w:tcW w:w="2209" w:type="dxa"/>
            <w:vAlign w:val="center"/>
            <w:vMerge w:val="restart"/>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981"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80元</w:t>
            </w:r>
            <w:r/>
          </w:p>
        </w:tc>
        <w:tc>
          <w:tcPr>
            <w:tcW w:w="5930" w:type="dxa"/>
            <w:vAlign w:val="center"/>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助餐、助浴、助医、助洁、助急等居家养老服务。</w:t>
            </w:r>
            <w:r/>
          </w:p>
        </w:tc>
        <w:tc>
          <w:tcPr>
            <w:tcW w:w="2209" w:type="dxa"/>
            <w:vAlign w:val="center"/>
            <w:vMerge w:val="continue"/>
            <w:textDirection w:val="lrTb"/>
            <w:noWrap w:val="false"/>
          </w:tcPr>
          <w:p>
            <w:pPr>
              <w:pStyle w:val="96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1"/>
        </w:trPr>
        <w:tc>
          <w:tcPr>
            <w:tcW w:w="981"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150元</w:t>
            </w:r>
            <w:r/>
          </w:p>
        </w:tc>
        <w:tc>
          <w:tcPr>
            <w:tcW w:w="5930" w:type="dxa"/>
            <w:vAlign w:val="center"/>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pStyle w:val="96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0"/>
        </w:trPr>
        <w:tc>
          <w:tcPr>
            <w:tcW w:w="981" w:type="dxa"/>
            <w:vAlign w:val="center"/>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260元</w:t>
            </w:r>
            <w:r/>
          </w:p>
        </w:tc>
        <w:tc>
          <w:tcPr>
            <w:tcW w:w="5930" w:type="dxa"/>
            <w:vAlign w:val="center"/>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pStyle w:val="96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0"/>
        </w:trPr>
        <w:tc>
          <w:tcPr>
            <w:tcW w:w="981" w:type="dxa"/>
            <w:vAlign w:val="center"/>
            <w:vMerge w:val="restart"/>
            <w:textDirection w:val="lrTb"/>
            <w:noWrap w:val="false"/>
          </w:tcPr>
          <w:p>
            <w:pPr>
              <w:pStyle w:val="964"/>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8139" w:type="dxa"/>
            <w:vAlign w:val="center"/>
            <w:vMerge w:val="restart"/>
            <w:textDirection w:val="lrTb"/>
            <w:noWrap w:val="false"/>
          </w:tcPr>
          <w:p>
            <w:pPr>
              <w:pStyle w:val="96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1、各地在购买基本服务的同时，要根据老年人实际养老需求，不断充实完善购买基本养老服务内容；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3、根据第三方开展养老服务实际，积极鼓励开设家庭养老床位建设，对符合养老机构备案条件的，各地民政部门应予以备案并列入养老机构管理。</w:t>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服务要求</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1）提升服务质量，做强专业能力</w:t>
      </w:r>
      <w:r/>
    </w:p>
    <w:p>
      <w:pPr>
        <w:ind w:firstLine="63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镇（街道）民政部门，委托他们向社会公开招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）加强运营管理，做优服务过程</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i/>
          <w:iCs/>
          <w:color w:val="auto"/>
          <w:sz w:val="21"/>
          <w:szCs w:val="21"/>
          <w:highlight w:val="none"/>
          <w:u w:val="single"/>
        </w:rPr>
        <w:t xml:space="preserve">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rPr>
          <w:rFonts w:hint="eastAsia" w:ascii="宋体" w:hAnsi="宋体" w:cs="宋体"/>
          <w:b/>
          <w:bCs/>
          <w:i/>
          <w:iCs/>
          <w:color w:val="auto"/>
          <w:sz w:val="21"/>
          <w:szCs w:val="21"/>
          <w:highlight w:val="none"/>
          <w:u w:val="single"/>
          <w:lang w:eastAsia="zh-CN"/>
        </w:rPr>
        <w:t xml:space="preserve">（</w:t>
      </w:r>
      <w:r>
        <w:rPr>
          <w:rFonts w:hint="eastAsia" w:ascii="宋体" w:hAnsi="宋体" w:cs="宋体"/>
          <w:b/>
          <w:bCs/>
          <w:i/>
          <w:iCs/>
          <w:color w:val="auto"/>
          <w:sz w:val="21"/>
          <w:szCs w:val="21"/>
          <w:highlight w:val="none"/>
          <w:u w:val="single"/>
          <w:lang w:val="en-US" w:eastAsia="zh-CN"/>
        </w:rPr>
        <w:t xml:space="preserve">提供承诺函原件</w:t>
      </w:r>
      <w:r>
        <w:rPr>
          <w:rFonts w:hint="eastAsia" w:ascii="宋体" w:hAnsi="宋体" w:cs="宋体"/>
          <w:b/>
          <w:bCs/>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、规范服务流程。服务前，承接服务主体要印制和发放服务清单，明确服务项目(组合套餐)、内容、标准、时长，让服务对象充分知晓和按需选择</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接到老人服务需求后,通过邗江区统一使用的智慧养老服务平台系统派出服务工单，服务人员使用市级或者县级养老平台APP 上门服务，服务前扫二维码签入，服务结束后签出并通过POS机或专用APP刷市民卡进行消费扣款结算，同时，需使用平台APP 准确记录服务老人、助老员、服务项目、服务开始、结束服务时间、服务前后对比照片等全过程详细信息。最后</w:t>
      </w:r>
      <w:r>
        <w:rPr>
          <w:rFonts w:hint="eastAsia" w:ascii="宋体" w:hAnsi="宋体" w:cs="宋体"/>
          <w:color w:val="auto"/>
          <w:sz w:val="21"/>
          <w:szCs w:val="21"/>
          <w:highlight w:val="none"/>
          <w:lang w:val="en-US" w:eastAsia="zh-CN"/>
        </w:rPr>
        <w:t xml:space="preserve">中标人</w:t>
      </w:r>
      <w:r>
        <w:rPr>
          <w:rFonts w:hint="eastAsia" w:ascii="宋体" w:hAnsi="宋体" w:eastAsia="宋体" w:cs="宋体"/>
          <w:color w:val="auto"/>
          <w:sz w:val="21"/>
          <w:szCs w:val="21"/>
          <w:highlight w:val="none"/>
        </w:rPr>
        <w:t xml:space="preserve">需要对所有完成的工单进行满意度回访。</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合镇（街道）加强购买服务人员动态管理。配合做好居家养老上门服务对象的增减工作，对新增服务对象要做到“四个及时”，即:及时申报、及时审批、及时评估、及时服务。对接受服务中的老年人，要实现村(社区)、服务人员、供应商、镇（街道）四方信息互通有无，定期核实居家养老上门服务对象真实情况，如发现有老人过世、迁出或其他不符合服务条件的情况，应立即核销平台人员信息、停止提供服务，并上报村(社区)和镇（街道）进行复核增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）化监督管理，做大服务成效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镇（街道）反馈结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、建立居家服务考核制度。镇（街道）将对供应商服务质量的考核评价</w:t>
      </w:r>
      <w:r>
        <w:rPr>
          <w:rFonts w:hint="eastAsia" w:ascii="宋体" w:hAnsi="宋体" w:eastAsia="宋体" w:cs="宋体"/>
          <w:color w:val="auto"/>
          <w:sz w:val="21"/>
          <w:szCs w:val="21"/>
          <w:highlight w:val="none"/>
        </w:rPr>
        <w:t xml:space="preserve">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①以向服务对象送实物等变通方式套取服务对象补贴资金的;②借助开展服务的机会向老年人推销保健产品的;③借助开展服务的机会向老年人集资、吸储等严重损害了老年人合法权益的;④中标后，不具备完成政府购买服务能力的;⑤供应商有其他违法行为的。</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、使用区级统一监管平台。</w:t>
      </w:r>
      <w:r>
        <w:rPr>
          <w:rFonts w:hint="eastAsia" w:ascii="宋体" w:hAnsi="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供应商统一使用全区智慧养老服务信息平台，平台将对服务平台管理使用人员进行业务培训指导，规范各服务商服务流程，对服务商的服务质量进行电话回访和满意度调查</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考核办法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中标单位运营管理情况每季度对乙方考核一次，考核办法由招标单位与中标单位根据招标文件及中标后的投标文件商榷后制定，考核情况与运营费用给付挂钩，考核连续两次不达标，终止与乙方的下一年度续约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、每季度区级统一监管平台进行一次线下服务对象满意度调查，将区平台回访和满意度调查结果纳入对服务商的考核范畴内，确保服务行为规范、有序、务实、高效，维护广大老年人的权益。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为规范监管和服务流程，本项目中标方不得参与邗江区居家养老政府购买服务工作区级系统运营项目的招投标活动；邗江区居家养老政府购买服务工作区级系统运营项目的中标方亦不得参与本项目的招投标活动。</w:t>
      </w:r>
      <w:r/>
    </w:p>
    <w:p>
      <w:pPr>
        <w:numPr>
          <w:ilvl w:val="0"/>
          <w:numId w:val="0"/>
        </w:numPr>
        <w:ind w:left="0"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rPr>
        <w:t xml:space="preserve">其它</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1、中标单位的服务人员要统一服从采购单位的监管。</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2、中标单位具备居家上门服务质量内控管理系统，对服务辖区内服务质量进行质控。</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3、服务机构应根据采购单位需求，无条件配合采购单位向辖区独居、空巢、留守、失能 (失智)、计划生育特殊家庭等特殊困难老年人进行关爱探访服务。</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4、采购人除服务费用之外不再承担其它任何费用，服务人员的薪金、福利、休假日补贴、医疗费用、与工作相关的意外事故所产生的费用等均由中标单位负责，与采购人无关。</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5、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r/>
    </w:p>
    <w:p>
      <w:pPr>
        <w:numPr>
          <w:ilvl w:val="0"/>
          <w:numId w:val="0"/>
        </w:numPr>
        <w:ind w:firstLine="420"/>
        <w:keepLines w:val="0"/>
        <w:keepNext w:val="0"/>
        <w:pageBreakBefore w:val="0"/>
        <w:spacing w:line="360" w:lineRule="auto"/>
        <w:rPr>
          <w:rFonts w:hint="eastAsia" w:ascii="宋体" w:hAnsi="宋体" w:cs="宋体"/>
          <w:b w:val="0"/>
          <w:bCs/>
          <w:color w:val="auto"/>
          <w:sz w:val="21"/>
          <w:szCs w:val="21"/>
          <w:highlight w:val="none"/>
          <w:lang w:val="en-US" w:eastAsia="zh-CN"/>
        </w:rPr>
      </w:pPr>
      <w:r>
        <w:rPr>
          <w:rFonts w:hint="eastAsia" w:ascii="宋体" w:hAnsi="宋体" w:cs="宋体"/>
          <w:b w:val="0"/>
          <w:bCs/>
          <w:i/>
          <w:iCs/>
          <w:color w:val="auto"/>
          <w:sz w:val="21"/>
          <w:szCs w:val="21"/>
          <w:highlight w:val="none"/>
          <w:u w:val="single"/>
          <w:lang w:val="en-US" w:eastAsia="zh-CN"/>
        </w:rPr>
        <w:t xml:space="preserve">人员工资不得低于扬州市区最低工资标准或非全日制用工小时最低工资标准</w:t>
      </w:r>
      <w:r>
        <w:rPr>
          <w:rFonts w:hint="eastAsia" w:ascii="宋体" w:hAnsi="宋体" w:cs="宋体"/>
          <w:b w:val="0"/>
          <w:bCs/>
          <w:color w:val="auto"/>
          <w:sz w:val="21"/>
          <w:szCs w:val="21"/>
          <w:highlight w:val="none"/>
          <w:lang w:val="en-US"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投标报价应包括招标文件所确定招标范围全部内容的价格体现，应包括加工制作、劳务、包装、运输、利润、保险、税金、以及所包含的风险、责任等所有费用。投标人中标后不得以任何理由进行调整，费用自行考虑均包含在投标报价中，相关费用如缺项，视为让利。请各投标单位认真考虑其各种风险，除合同另有规定之外，采购方不再另行支付。</w:t>
      </w:r>
      <w:r/>
    </w:p>
    <w:p>
      <w:pPr>
        <w:numPr>
          <w:ilvl w:val="0"/>
          <w:numId w:val="0"/>
        </w:num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w:t>
      </w:r>
      <w:r>
        <w:rPr>
          <w:rFonts w:hint="eastAsia" w:ascii="宋体" w:hAnsi="宋体" w:eastAsia="宋体" w:cs="宋体"/>
          <w:b w:val="0"/>
          <w:bCs/>
          <w:color w:val="auto"/>
          <w:sz w:val="21"/>
          <w:szCs w:val="21"/>
          <w:highlight w:val="none"/>
          <w:lang w:val="en-US" w:eastAsia="zh-CN"/>
        </w:rPr>
        <w:t xml:space="preserve">投标人需充分了解本项目背景情况、做好背景及现状分析，采取合理可行的研究方法、技术路线及相应的合理化建议。对于本项目重难点要充分把握，合理安排好工作进度，并做好售后服务工作，确保具备完成本项目的所有工作内容的技术条件。</w:t>
      </w:r>
      <w:r/>
    </w:p>
    <w:p>
      <w:pPr>
        <w:ind w:firstLine="420"/>
        <w:keepLines w:val="0"/>
        <w:keepNext w:val="0"/>
        <w:pageBreakBefore w:val="0"/>
        <w:spacing w:line="360" w:lineRule="auto"/>
        <w:rPr>
          <w:rFonts w:hint="eastAsia" w:ascii="宋体" w:hAnsi="宋体" w:cs="Times New Roman"/>
          <w:b w:val="0"/>
          <w:bCs w:val="0"/>
          <w:i/>
          <w:iCs/>
          <w:color w:val="auto"/>
          <w:highlight w:val="none"/>
          <w:u w:val="single"/>
          <w:lang w:val="en-US" w:eastAsia="zh-CN"/>
        </w:rPr>
      </w:pPr>
      <w:r>
        <w:rPr>
          <w:rFonts w:hint="eastAsia" w:ascii="宋体" w:hAnsi="宋体" w:cs="Times New Roman"/>
          <w:b w:val="0"/>
          <w:bCs w:val="0"/>
          <w:i/>
          <w:iCs/>
          <w:color w:val="auto"/>
          <w:highlight w:val="none"/>
          <w:u w:val="single"/>
          <w:lang w:val="en-US" w:eastAsia="zh-CN"/>
        </w:rPr>
        <w:t xml:space="preserve">8、中标供应商应在中标公告发布之日起三十日内按照招标文件确定的事项和投标承诺与采购人签订政府采购合同，并在承诺的服务期内完成所有服务。中标供应商无法在规定时间内签订合同的，视为自动放弃中标资格，根据《中华人民共和国政府采购法实施条例》第四十九条，采购人可以按照评审报告推荐的中标候选人名单排序，确定下一候选人为中标供应商。中标供应商无法在合同约定的时间内交付所有产品的，采购人可以解除合同，并重新开展采购活动。</w:t>
      </w:r>
      <w:r/>
    </w:p>
    <w:p>
      <w:pPr>
        <w:numPr>
          <w:ilvl w:val="0"/>
          <w:numId w:val="0"/>
        </w:num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Times New Roman"/>
          <w:b w:val="0"/>
          <w:bCs w:val="0"/>
          <w:i/>
          <w:iCs/>
          <w:color w:val="auto"/>
          <w:highlight w:val="none"/>
          <w:u w:val="single"/>
          <w:lang w:val="en-US" w:eastAsia="zh-CN"/>
        </w:rPr>
        <w:t xml:space="preserve">9、</w:t>
      </w:r>
      <w:r>
        <w:rPr>
          <w:rFonts w:hint="eastAsia" w:ascii="宋体" w:hAnsi="宋体" w:cs="宋体"/>
          <w:i/>
          <w:iCs/>
          <w:color w:val="auto"/>
          <w:szCs w:val="21"/>
          <w:highlight w:val="none"/>
          <w:u w:val="single"/>
        </w:rPr>
        <w:t xml:space="preserve">中标人逾期交付服务或产品的，中标人应按逾期交付总额每日千分之六向采购人支付违约金，由采购人从待付款项中扣除。逾期超过约定日期10个工作日不能交付的对采购人项目造成影响的，采购人可解除合同并追究其相关责任。中标人因逾期交付或因其他违约行为导致采购人解除合同的，中标人应向采购人支付合同总值</w:t>
      </w:r>
      <w:r>
        <w:rPr>
          <w:rFonts w:hint="eastAsia" w:ascii="宋体" w:hAnsi="宋体" w:cs="宋体"/>
          <w:i/>
          <w:iCs/>
          <w:color w:val="auto"/>
          <w:szCs w:val="21"/>
          <w:highlight w:val="none"/>
          <w:u w:val="single"/>
          <w:lang w:val="en-US" w:eastAsia="zh-CN"/>
        </w:rPr>
        <w:t xml:space="preserve">10</w:t>
      </w:r>
      <w:r>
        <w:rPr>
          <w:rFonts w:hint="eastAsia" w:ascii="宋体" w:hAnsi="宋体" w:cs="宋体"/>
          <w:i/>
          <w:iCs/>
          <w:color w:val="auto"/>
          <w:szCs w:val="21"/>
          <w:highlight w:val="none"/>
          <w:u w:val="single"/>
        </w:rPr>
        <w:t xml:space="preserve">%的违约金，如造成采购人损失超过违约金的，超出部分由中标人继续承担赔偿责任。</w:t>
      </w:r>
      <w:r/>
    </w:p>
    <w:p>
      <w:pPr>
        <w:ind w:left="0" w:firstLine="422"/>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lang w:eastAsia="zh-CN"/>
        </w:rPr>
        <w:t xml:space="preserve">、节能产品要求</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iCs/>
          <w:color w:val="auto"/>
          <w:sz w:val="21"/>
          <w:szCs w:val="21"/>
          <w:highlight w:val="none"/>
        </w:rPr>
        <w:t xml:space="preserve">本次拟采购的产品</w:t>
      </w:r>
      <w:r>
        <w:rPr>
          <w:rFonts w:hint="eastAsia" w:ascii="宋体" w:hAnsi="宋体" w:eastAsia="宋体" w:cs="宋体"/>
          <w:iCs/>
          <w:color w:val="auto"/>
          <w:sz w:val="21"/>
          <w:szCs w:val="21"/>
          <w:highlight w:val="none"/>
          <w:lang w:eastAsia="zh-CN"/>
        </w:rPr>
        <w:t xml:space="preserve">如</w:t>
      </w:r>
      <w:r>
        <w:rPr>
          <w:rFonts w:hint="eastAsia" w:ascii="宋体" w:hAnsi="宋体" w:eastAsia="宋体" w:cs="宋体"/>
          <w:iCs/>
          <w:color w:val="auto"/>
          <w:sz w:val="21"/>
          <w:szCs w:val="21"/>
          <w:highlight w:val="none"/>
        </w:rPr>
        <w:t xml:space="preserve">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iCs/>
          <w:color w:val="auto"/>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eastAsia="宋体" w:cs="宋体"/>
          <w:b/>
          <w:bCs/>
          <w:i/>
          <w:iCs/>
          <w:color w:val="auto"/>
          <w:sz w:val="21"/>
          <w:szCs w:val="21"/>
          <w:highlight w:val="none"/>
          <w:u w:val="single"/>
        </w:rPr>
        <w:t xml:space="preserve">（本项目涉及强制采购范围内产品有：</w:t>
      </w:r>
      <w:r>
        <w:rPr>
          <w:rFonts w:hint="eastAsia" w:ascii="宋体" w:hAnsi="宋体" w:eastAsia="宋体" w:cs="宋体"/>
          <w:b/>
          <w:bCs/>
          <w:i/>
          <w:iCs/>
          <w:color w:val="auto"/>
          <w:sz w:val="21"/>
          <w:szCs w:val="21"/>
          <w:highlight w:val="none"/>
          <w:u w:val="single"/>
          <w:lang w:eastAsia="zh-CN"/>
        </w:rPr>
        <w:t xml:space="preserve">无</w:t>
      </w:r>
      <w:r>
        <w:rPr>
          <w:rFonts w:hint="eastAsia" w:ascii="宋体" w:hAnsi="宋体" w:eastAsia="宋体" w:cs="宋体"/>
          <w:b/>
          <w:bCs/>
          <w:i/>
          <w:iCs/>
          <w:color w:val="auto"/>
          <w:sz w:val="21"/>
          <w:szCs w:val="21"/>
          <w:highlight w:val="none"/>
          <w:u w:val="single"/>
        </w:rPr>
        <w:t xml:space="preserve">）</w:t>
      </w:r>
      <w:r/>
    </w:p>
    <w:p>
      <w:pPr>
        <w:pStyle w:val="938"/>
        <w:jc w:val="center"/>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38"/>
        <w:jc w:val="both"/>
        <w:spacing w:before="0" w:after="0"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38"/>
        <w:jc w:val="center"/>
        <w:spacing w:before="0" w:after="0"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第五章</w:t>
      </w:r>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评标方法及评标标准</w:t>
      </w:r>
      <w:r/>
    </w:p>
    <w:p>
      <w:pPr>
        <w:rPr>
          <w:rFonts w:hint="eastAsia"/>
          <w:color w:val="auto"/>
          <w:highlight w:val="none"/>
        </w:rPr>
      </w:pPr>
      <w:r>
        <w:rPr>
          <w:rFonts w:hint="eastAsia"/>
          <w:color w:val="auto"/>
          <w:highlight w:val="none"/>
        </w:rPr>
      </w:r>
      <w:r/>
    </w:p>
    <w:p>
      <w:pPr>
        <w:numPr>
          <w:ilvl w:val="0"/>
          <w:numId w:val="4"/>
        </w:numPr>
        <w:ind w:firstLine="422"/>
        <w:spacing w:line="400" w:lineRule="exact"/>
        <w:rPr>
          <w:color w:val="auto"/>
          <w:highlight w:val="none"/>
        </w:rPr>
      </w:pPr>
      <w:r>
        <w:rPr>
          <w:rFonts w:hint="eastAsia"/>
          <w:b/>
          <w:bCs/>
          <w:color w:val="auto"/>
          <w:highlight w:val="none"/>
        </w:rPr>
        <w:t xml:space="preserve">评标方法</w:t>
      </w:r>
      <w:r/>
    </w:p>
    <w:p>
      <w:pPr>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keepLines w:val="0"/>
        <w:keepNext w:val="0"/>
        <w:pageBreakBefore w:val="0"/>
        <w:spacing w:line="360" w:lineRule="auto"/>
        <w:widowControl w:val="off"/>
        <w:rPr>
          <w:rFonts w:hint="eastAsia"/>
          <w:b/>
          <w:bCs/>
          <w:color w:val="auto"/>
          <w:highlight w:val="none"/>
        </w:rPr>
      </w:pPr>
      <w:r/>
      <w:bookmarkStart w:id="54" w:name="_Toc449016388"/>
      <w:r/>
      <w:bookmarkStart w:id="55" w:name="_Toc449017024"/>
      <w:r>
        <w:rPr>
          <w:rFonts w:hint="eastAsia"/>
          <w:b/>
          <w:bCs/>
          <w:color w:val="auto"/>
          <w:highlight w:val="none"/>
        </w:rPr>
        <w:t xml:space="preserve">二、政府采购政策功能落实</w:t>
      </w:r>
      <w:bookmarkEnd w:id="54"/>
      <w:r/>
      <w:bookmarkEnd w:id="55"/>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本项目专门面向中小企业采购。</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1、小微型企业价格扣除</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（1）本项目对小型和微型企业提供的服务给予/的扣除价格，用扣除后的价格参与评审。</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（2）供应商需按照采购文件的要求提供相应的《小微企业声明函》。</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（3）企业标准请参照《关于印发中小企业划型标准规定的通知》（工信部联企业[2011]300号）文件规定自行填写。</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2、残疾人福利单位价格扣除</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（1）本项目对残疾人福利性单位视同小型、微型企业，给予/的价格扣除，用扣除后的价格参与评审。</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（2）残疾人福利单位需按照采购文件的要求提供《残疾人福利性单位声明函》。</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（3）残疾人福利单位标准请参照《关于促进残疾人就业政府采购政策的通知》（财库〔2017〕141号）。</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3、监狱和戒毒企业价格扣除</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（1）本项目对监狱和戒毒企业（简称监狱企业）视同小型、微型企业，给予/的价格扣除，用扣除后的价格参与评审。</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（3）监狱企业标准请参照《关于政府采购支持监狱企业发展有关问题的通知》（财库[2014]68号）。</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4、残疾人福利单位、监狱企业属于小型、微型企业的，不重复享受政策。</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的价格扣除，用扣除后的价格参与评审。</w:t>
      </w:r>
      <w:r/>
    </w:p>
    <w:p>
      <w:pPr>
        <w:ind w:firstLine="422"/>
        <w:keepLines w:val="0"/>
        <w:keepNext w:val="0"/>
        <w:pageBreakBefore w:val="0"/>
        <w:spacing w:line="360" w:lineRule="auto"/>
        <w:widowControl w:val="off"/>
        <w:rPr>
          <w:rFonts w:hint="eastAsia"/>
          <w:color w:val="auto"/>
          <w:highlight w:val="none"/>
        </w:rPr>
      </w:pPr>
      <w:r>
        <w:rPr>
          <w:rFonts w:hint="eastAsia"/>
          <w:color w:val="auto"/>
          <w:highlight w:val="none"/>
        </w:rPr>
        <w:t xml:space="preserve">6、联合体各方均为小型、微型企业（残疾人福利单位、监狱企业）的，联合体享受/价格扣除，用扣除后的价格参与评审。</w:t>
      </w:r>
      <w:r/>
    </w:p>
    <w:p>
      <w:pPr>
        <w:ind w:firstLine="422"/>
        <w:spacing w:line="360" w:lineRule="auto"/>
        <w:rPr>
          <w:rFonts w:hint="eastAsia"/>
          <w:color w:val="auto"/>
          <w:highlight w:val="none"/>
        </w:rPr>
      </w:pPr>
      <w:r>
        <w:rPr>
          <w:rFonts w:hint="eastAsia" w:ascii="宋体" w:hAnsi="宋体"/>
          <w:b/>
          <w:color w:val="auto"/>
          <w:szCs w:val="21"/>
          <w:highlight w:val="none"/>
        </w:rPr>
        <w:t xml:space="preserve">三、评标标准</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7905"/>
      </w:tblGrid>
      <w:tr>
        <w:trPr>
          <w:jc w:val="center"/>
          <w:trHeight w:val="582"/>
        </w:trPr>
        <w:tc>
          <w:tcPr>
            <w:tcW w:w="116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投标报价（10）</w:t>
            </w:r>
            <w:r/>
          </w:p>
        </w:tc>
        <w:tc>
          <w:tcPr>
            <w:tcW w:w="7905" w:type="dxa"/>
            <w:vAlign w:val="center"/>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以满足采购文件要求的最低报价为基准价，得10分，其他报价=（基准价/其他投标报价）×10×100%。</w:t>
            </w:r>
            <w:r>
              <w:rPr>
                <w:rFonts w:hint="eastAsia" w:ascii="宋体" w:hAnsi="宋体" w:eastAsia="宋体" w:cs="宋体"/>
                <w:color w:val="auto"/>
                <w:sz w:val="21"/>
                <w:szCs w:val="21"/>
                <w:highlight w:val="none"/>
              </w:rPr>
              <w:t xml:space="preserve">（保留2位小数）</w:t>
            </w:r>
            <w:r/>
          </w:p>
        </w:tc>
      </w:tr>
      <w:tr>
        <w:trPr>
          <w:jc w:val="center"/>
          <w:trHeight w:val="1426"/>
        </w:trPr>
        <w:tc>
          <w:tcPr>
            <w:tcW w:w="1160" w:type="dxa"/>
            <w:vAlign w:val="center"/>
            <w:vMerge w:val="restart"/>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p>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eastAsia="zh-CN"/>
              </w:rPr>
              <w:t xml:space="preserve">5</w:t>
            </w:r>
            <w:r>
              <w:rPr>
                <w:rFonts w:hint="eastAsia" w:ascii="宋体" w:hAnsi="宋体" w:eastAsia="宋体" w:cs="宋体"/>
                <w:b/>
                <w:color w:val="auto"/>
                <w:sz w:val="21"/>
                <w:szCs w:val="21"/>
                <w:highlight w:val="none"/>
              </w:rPr>
              <w:t xml:space="preserve">分）</w:t>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个性化服务方案（9分）</w:t>
            </w:r>
            <w:r/>
          </w:p>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供应商根据需要服务的不同类型的老人实际情况合理制定适合的服务方案：</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方案完整、细致，符合项目需求，可操作性强得9分；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方案较完整、较细致，基本符合项目需求，可操作性较强得6分；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方案简单，可操作性一般得3分；</w:t>
            </w:r>
            <w:r/>
          </w:p>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1531"/>
        </w:trPr>
        <w:tc>
          <w:tcPr>
            <w:tcW w:w="1160" w:type="dxa"/>
            <w:vAlign w:val="center"/>
            <w:vMerge w:val="continue"/>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lang w:eastAsia="zh-CN"/>
              </w:rPr>
            </w:pPr>
            <w:r>
              <w:rPr>
                <w:rFonts w:ascii="宋体" w:hAnsi="宋体" w:eastAsia="宋体" w:cs="宋体"/>
                <w:b/>
                <w:color w:val="auto"/>
                <w:sz w:val="21"/>
                <w:szCs w:val="21"/>
                <w:highlight w:val="none"/>
                <w:lang w:eastAsia="zh-CN"/>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医养结合上门护理服务方案（8分）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供应商所制定的方案完整、细致，符合项目需求，可操作性强得8分；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方案较完整、较细致，基本符合项目需求，可操作性较强得5分；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方案简单，可操作性一般得2分；</w:t>
            </w:r>
            <w:r/>
          </w:p>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Pr>
        <w:tc>
          <w:tcPr>
            <w:tcW w:w="1160" w:type="dxa"/>
            <w:vAlign w:val="center"/>
            <w:vMerge w:val="continue"/>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lang w:eastAsia="zh-TW"/>
              </w:rPr>
            </w:pPr>
            <w:r>
              <w:rPr>
                <w:rFonts w:ascii="宋体" w:hAnsi="宋体" w:eastAsia="宋体" w:cs="宋体"/>
                <w:b/>
                <w:color w:val="auto"/>
                <w:sz w:val="21"/>
                <w:szCs w:val="21"/>
                <w:highlight w:val="none"/>
                <w:lang w:eastAsia="zh-TW"/>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服务质量保障方案（8分）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供应商服务质量保障方案完整、细致，符合项目需求，可操作性强得8分；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方案较完整、较细致，基本符合项目需求，可操作性较强得5分；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方案简单，可操作性一般得2分；</w:t>
            </w:r>
            <w:r/>
          </w:p>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282"/>
        </w:trPr>
        <w:tc>
          <w:tcPr>
            <w:tcW w:w="1160" w:type="dxa"/>
            <w:vAlign w:val="center"/>
            <w:vMerge w:val="continue"/>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lang w:eastAsia="zh-TW"/>
              </w:rPr>
            </w:pPr>
            <w:r>
              <w:rPr>
                <w:rFonts w:ascii="宋体" w:hAnsi="宋体" w:eastAsia="宋体" w:cs="宋体"/>
                <w:b/>
                <w:color w:val="auto"/>
                <w:sz w:val="21"/>
                <w:szCs w:val="21"/>
                <w:highlight w:val="none"/>
                <w:lang w:eastAsia="zh-TW"/>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内部管理方案（5分）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供应商针对本项目制定内部管理架构、运行管理制度、财务管理制度、内部考核制度完善、合理的，得5分；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较完善、较合理的，得3分；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不完善、合理性一般的，得1分；</w:t>
            </w:r>
            <w:r/>
          </w:p>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894"/>
        </w:trPr>
        <w:tc>
          <w:tcPr>
            <w:tcW w:w="1160" w:type="dxa"/>
            <w:vAlign w:val="center"/>
            <w:vMerge w:val="continue"/>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人员培训方案（5分）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针对本项目人员的服务培训计划、方式、目的等进行评审，完善、合理的，得5分；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较完善、较合理的，得3分；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不完善、合理性一般的，得1分；</w:t>
            </w:r>
            <w:r/>
          </w:p>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1421"/>
        </w:trPr>
        <w:tc>
          <w:tcPr>
            <w:tcW w:w="1160" w:type="dxa"/>
            <w:vAlign w:val="center"/>
            <w:vMerge w:val="continue"/>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服务承诺（5分）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对所有委托事项有具体的管理指标承诺及具体措施，与采购人之间建立有效的沟通、回访机制，及时有效的处理采购人所提出的合理要求与建议，措施合理、建议合理、合理性高，得5分；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措施比较合理、建议较合理、合理性好，得3分；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措施一般、建议合理性一般，得1分；</w:t>
            </w:r>
            <w:r/>
          </w:p>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未提供的不得分。</w:t>
            </w:r>
            <w:r/>
          </w:p>
        </w:tc>
      </w:tr>
      <w:tr>
        <w:trPr>
          <w:jc w:val="center"/>
          <w:trHeight w:val="775"/>
        </w:trPr>
        <w:tc>
          <w:tcPr>
            <w:tcW w:w="1160" w:type="dxa"/>
            <w:vAlign w:val="center"/>
            <w:vMerge w:val="continue"/>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lang w:eastAsia="zh-TW"/>
              </w:rPr>
            </w:pPr>
            <w:r>
              <w:rPr>
                <w:rFonts w:ascii="宋体" w:hAnsi="宋体" w:eastAsia="宋体" w:cs="宋体"/>
                <w:b/>
                <w:color w:val="auto"/>
                <w:sz w:val="21"/>
                <w:szCs w:val="21"/>
                <w:highlight w:val="none"/>
                <w:lang w:eastAsia="zh-TW"/>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突发事件应急预案（5分）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供应商能提供突发事件（包括突发公共卫生事件、安全事故等）应急预案，应急预案完整、细致，符合项目需求，可操作性强得5分；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应急预案较完整、较细致，基本符合项目需求，可操作性较强得3分；</w:t>
            </w:r>
            <w:r/>
          </w:p>
          <w:p>
            <w:pP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应急预案简单，可操作性一般得1分；</w:t>
            </w:r>
            <w:r/>
          </w:p>
          <w:p>
            <w:pPr>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未提供的不得分。</w:t>
            </w:r>
            <w:r/>
          </w:p>
        </w:tc>
      </w:tr>
      <w:tr>
        <w:trPr>
          <w:jc w:val="center"/>
          <w:trHeight w:val="2500"/>
        </w:trPr>
        <w:tc>
          <w:tcPr>
            <w:tcW w:w="1160" w:type="dxa"/>
            <w:vAlign w:val="center"/>
            <w:vMerge w:val="restart"/>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人员配置</w:t>
            </w:r>
            <w:r/>
          </w:p>
          <w:p>
            <w:pPr>
              <w:jc w:val="center"/>
              <w:keepLines w:val="0"/>
              <w:keepNext w:val="0"/>
              <w:pageBreakBefore w:val="0"/>
              <w:spacing w:line="360" w:lineRule="auto"/>
              <w:widowControl w:val="off"/>
              <w:rPr>
                <w:rFonts w:ascii="宋体" w:hAnsi="宋体" w:eastAsia="宋体" w:cs="宋体"/>
                <w:b/>
                <w:color w:val="auto"/>
                <w:sz w:val="21"/>
                <w:szCs w:val="21"/>
                <w:highlight w:val="none"/>
                <w:lang w:eastAsia="zh-TW"/>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eastAsia="zh-CN"/>
              </w:rPr>
              <w:t xml:space="preserve">6</w:t>
            </w:r>
            <w:r>
              <w:rPr>
                <w:rFonts w:hint="eastAsia" w:ascii="宋体" w:hAnsi="宋体" w:eastAsia="宋体" w:cs="宋体"/>
                <w:b/>
                <w:color w:val="auto"/>
                <w:sz w:val="21"/>
                <w:szCs w:val="21"/>
                <w:highlight w:val="none"/>
              </w:rPr>
              <w:t xml:space="preserve">分）</w:t>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1、针对本项目配备的项目负责人具有：</w:t>
            </w:r>
            <w:r/>
          </w:p>
          <w:p>
            <w:pPr>
              <w:pStyle w:val="986"/>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（1）项目负责人持养老护理员证书的，得2分；</w:t>
            </w:r>
            <w:r/>
          </w:p>
          <w:p>
            <w:pPr>
              <w:pStyle w:val="986"/>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（2）项目负责人持社工证证书的，得2分；</w:t>
            </w:r>
            <w:r/>
          </w:p>
          <w:p>
            <w:pPr>
              <w:pStyle w:val="986"/>
              <w:keepLines w:val="0"/>
              <w:keepNext w:val="0"/>
              <w:pageBreakBefore w:val="0"/>
              <w:spacing w:line="360" w:lineRule="auto"/>
              <w:widowControl w:val="off"/>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（3）项目负责人具有大专及以上学历的得2分，具有中专学历得1分；</w:t>
            </w:r>
            <w:r/>
          </w:p>
          <w:p>
            <w:pPr>
              <w:pStyle w:val="986"/>
              <w:keepLines w:val="0"/>
              <w:keepNext w:val="0"/>
              <w:pageBreakBefore w:val="0"/>
              <w:spacing w:line="360" w:lineRule="auto"/>
              <w:widowControl w:val="off"/>
              <w:rPr>
                <w:rFonts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（提供项目负责人证书原件扫描上传及近三个月供应商为其缴纳的任意一月社保缴纳证明材料原件扫描上传）</w:t>
            </w:r>
            <w:r/>
          </w:p>
        </w:tc>
      </w:tr>
      <w:tr>
        <w:trPr>
          <w:jc w:val="center"/>
        </w:trPr>
        <w:tc>
          <w:tcPr>
            <w:tcW w:w="1160" w:type="dxa"/>
            <w:vMerge w:val="continue"/>
            <w:textDirection w:val="lrTb"/>
            <w:noWrap w:val="false"/>
          </w:tcPr>
          <w:p>
            <w:pPr>
              <w:pStyle w:val="988"/>
              <w:ind w:firstLine="0"/>
              <w:jc w:val="center"/>
              <w:keepLines w:val="0"/>
              <w:keepNext w:val="0"/>
              <w:pageBreakBefore w:val="0"/>
              <w:spacing w:line="360" w:lineRule="auto"/>
              <w:widowControl w:val="off"/>
              <w:rPr>
                <w:rFonts w:eastAsia="宋体"/>
                <w:color w:val="auto"/>
                <w:sz w:val="21"/>
                <w:szCs w:val="21"/>
                <w:highlight w:val="none"/>
                <w:lang w:val="en-US"/>
              </w:rPr>
            </w:pPr>
            <w:r>
              <w:rPr>
                <w:rFonts w:eastAsia="宋体"/>
                <w:color w:val="auto"/>
                <w:sz w:val="21"/>
                <w:szCs w:val="21"/>
                <w:highlight w:val="none"/>
                <w:lang w:val="en-US"/>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2、供应商具有养老护理员团队人员（项目负责人除外）大于等于20人的，得5分；15-19人的，得3分；10-14人的，得2分；10人以下的不得分。</w:t>
            </w:r>
            <w:r>
              <w:rPr>
                <w:rFonts w:hint="eastAsia" w:ascii="宋体" w:hAnsi="宋体" w:eastAsia="宋体" w:cs="宋体"/>
                <w:b/>
                <w:bCs/>
                <w:color w:val="auto"/>
                <w:sz w:val="21"/>
                <w:szCs w:val="21"/>
                <w:highlight w:val="none"/>
                <w:lang w:eastAsia="zh-CN"/>
              </w:rPr>
              <w:t xml:space="preserve">（须提供人员花名册、相关劳动或劳务合同，原件扫描件上传）</w:t>
            </w:r>
            <w:r/>
          </w:p>
        </w:tc>
      </w:tr>
      <w:tr>
        <w:trPr>
          <w:jc w:val="center"/>
          <w:trHeight w:val="775"/>
        </w:trPr>
        <w:tc>
          <w:tcPr>
            <w:tcW w:w="1160" w:type="dxa"/>
            <w:vMerge w:val="continue"/>
            <w:textDirection w:val="lrTb"/>
            <w:noWrap w:val="false"/>
          </w:tcPr>
          <w:p>
            <w:pPr>
              <w:pStyle w:val="988"/>
              <w:ind w:firstLine="0"/>
              <w:jc w:val="center"/>
              <w:keepLines w:val="0"/>
              <w:keepNext w:val="0"/>
              <w:pageBreakBefore w:val="0"/>
              <w:spacing w:line="360" w:lineRule="auto"/>
              <w:widowControl w:val="off"/>
              <w:rPr>
                <w:rFonts w:eastAsia="宋体"/>
                <w:color w:val="auto"/>
                <w:sz w:val="21"/>
                <w:szCs w:val="21"/>
                <w:highlight w:val="none"/>
                <w:lang w:val="en-US"/>
              </w:rPr>
            </w:pPr>
            <w:r>
              <w:rPr>
                <w:rFonts w:eastAsia="宋体"/>
                <w:color w:val="auto"/>
                <w:sz w:val="21"/>
                <w:szCs w:val="21"/>
                <w:highlight w:val="none"/>
                <w:lang w:val="en-US"/>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3、本次采购项目中含有一定数量的失能、半失能服务对象，供应商拟投入的人员中（项目负责人除外）具有医生、护士、社会工作者、健康管理师、养老护理员，每项证书得1分，本项最高得5分。</w:t>
            </w:r>
            <w:r>
              <w:rPr>
                <w:rFonts w:hint="eastAsia" w:ascii="宋体" w:hAnsi="宋体" w:eastAsia="宋体" w:cs="宋体"/>
                <w:b/>
                <w:bCs/>
                <w:color w:val="auto"/>
                <w:sz w:val="21"/>
                <w:szCs w:val="21"/>
                <w:highlight w:val="none"/>
                <w:lang w:eastAsia="zh-CN"/>
              </w:rPr>
              <w:t xml:space="preserve">（须提供相关证书、相关劳动或劳务合同，原件扫描件上传）</w:t>
            </w:r>
            <w:r/>
          </w:p>
        </w:tc>
      </w:tr>
      <w:tr>
        <w:trPr>
          <w:jc w:val="center"/>
          <w:trHeight w:val="312"/>
        </w:trPr>
        <w:tc>
          <w:tcPr>
            <w:tcW w:w="1160" w:type="dxa"/>
            <w:vAlign w:val="center"/>
            <w:vMerge w:val="restart"/>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企业实力</w:t>
            </w:r>
            <w:r/>
          </w:p>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tc>
        <w:tc>
          <w:tcPr>
            <w:tcW w:w="7905" w:type="dxa"/>
            <w:textDirection w:val="lrTb"/>
            <w:noWrap w:val="false"/>
          </w:tcPr>
          <w:p>
            <w:pPr>
              <w:keepLines w:val="0"/>
              <w:keepNext w:val="0"/>
              <w:pageBreakBefore w:val="0"/>
              <w:spacing w:line="360" w:lineRule="auto"/>
              <w:widowControl w:val="off"/>
              <w:rPr>
                <w:rFonts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1、供应商具有长护险定点单位，得2分。</w:t>
            </w:r>
            <w:r>
              <w:rPr>
                <w:rFonts w:hint="eastAsia" w:ascii="宋体" w:hAnsi="宋体" w:eastAsia="宋体" w:cs="宋体"/>
                <w:b/>
                <w:bCs/>
                <w:color w:val="auto"/>
                <w:sz w:val="21"/>
                <w:szCs w:val="21"/>
                <w:highlight w:val="none"/>
                <w:lang w:eastAsia="zh-CN"/>
              </w:rPr>
              <w:t xml:space="preserve">（提供长护险协议原件扫描件上传）</w:t>
            </w:r>
            <w:r/>
          </w:p>
        </w:tc>
      </w:tr>
      <w:tr>
        <w:trPr>
          <w:jc w:val="center"/>
          <w:trHeight w:val="90"/>
        </w:trPr>
        <w:tc>
          <w:tcPr>
            <w:tcW w:w="1160" w:type="dxa"/>
            <w:vMerge w:val="continue"/>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lang w:eastAsia="zh-CN"/>
              </w:rPr>
            </w:pPr>
            <w:r>
              <w:rPr>
                <w:rFonts w:ascii="宋体" w:hAnsi="宋体" w:eastAsia="宋体" w:cs="宋体"/>
                <w:b/>
                <w:color w:val="auto"/>
                <w:sz w:val="21"/>
                <w:szCs w:val="21"/>
                <w:highlight w:val="none"/>
                <w:lang w:eastAsia="zh-CN"/>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2、供应商具有质量管理体系认证证书（有效期内）、环境管理体系认证证书（有效期内）、职业健康安全管理体系认证证书（有效期内），每有一个得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须提供证书原件扫描件</w:t>
            </w:r>
            <w:r>
              <w:rPr>
                <w:rFonts w:hint="eastAsia" w:ascii="宋体" w:hAnsi="宋体" w:eastAsia="宋体" w:cs="宋体"/>
                <w:b/>
                <w:bCs/>
                <w:color w:val="auto"/>
                <w:sz w:val="21"/>
                <w:szCs w:val="21"/>
                <w:highlight w:val="none"/>
              </w:rPr>
              <w:t xml:space="preserve">上传）</w:t>
            </w:r>
            <w:r/>
          </w:p>
        </w:tc>
      </w:tr>
      <w:tr>
        <w:trPr>
          <w:jc w:val="center"/>
          <w:trHeight w:val="630"/>
        </w:trPr>
        <w:tc>
          <w:tcPr>
            <w:tcW w:w="1160" w:type="dxa"/>
            <w:vMerge w:val="continue"/>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3、供应商具有医疗执业资质的，得3分；没有不得分。</w:t>
            </w:r>
            <w:r>
              <w:rPr>
                <w:rFonts w:hint="eastAsia" w:ascii="宋体" w:hAnsi="宋体" w:eastAsia="宋体" w:cs="宋体"/>
                <w:b/>
                <w:bCs/>
                <w:color w:val="auto"/>
                <w:sz w:val="21"/>
                <w:szCs w:val="21"/>
                <w:highlight w:val="none"/>
                <w:lang w:eastAsia="zh-CN"/>
              </w:rPr>
              <w:t xml:space="preserve">（须提供医疗执业许可证证书原件扫描件上传）</w:t>
            </w:r>
            <w:r>
              <w:rPr>
                <w:rFonts w:hint="eastAsia" w:ascii="宋体" w:hAnsi="宋体" w:eastAsia="宋体" w:cs="宋体"/>
                <w:color w:val="auto"/>
                <w:sz w:val="21"/>
                <w:szCs w:val="21"/>
                <w:highlight w:val="none"/>
                <w:lang w:eastAsia="zh-CN"/>
              </w:rPr>
              <w:t xml:space="preserve">。</w:t>
            </w:r>
            <w:r/>
          </w:p>
        </w:tc>
      </w:tr>
      <w:tr>
        <w:trPr>
          <w:jc w:val="center"/>
          <w:trHeight w:val="554"/>
        </w:trPr>
        <w:tc>
          <w:tcPr>
            <w:tcW w:w="1160" w:type="dxa"/>
            <w:vMerge w:val="continue"/>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c>
          <w:tcPr>
            <w:tcW w:w="7905" w:type="dxa"/>
            <w:textDirection w:val="lrTb"/>
            <w:noWrap w:val="false"/>
          </w:tcPr>
          <w:p>
            <w:pPr>
              <w:keepLines w:val="0"/>
              <w:keepNext w:val="0"/>
              <w:pageBreakBefore w:val="0"/>
              <w:spacing w:line="360"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4、供应商在服务地有联络点的或承诺中标后在服务地设立联络点，得2分，本项最高得2分。</w:t>
            </w:r>
            <w:r>
              <w:rPr>
                <w:rFonts w:hint="eastAsia" w:ascii="宋体" w:hAnsi="宋体" w:eastAsia="宋体" w:cs="宋体"/>
                <w:b/>
                <w:bCs/>
                <w:color w:val="auto"/>
                <w:sz w:val="21"/>
                <w:szCs w:val="21"/>
                <w:highlight w:val="none"/>
                <w:lang w:eastAsia="zh-CN"/>
              </w:rPr>
              <w:t xml:space="preserve">（须提供相关材料或承诺函，原件扫描件上传）</w:t>
            </w:r>
            <w:r/>
          </w:p>
        </w:tc>
      </w:tr>
      <w:tr>
        <w:trPr>
          <w:jc w:val="center"/>
        </w:trPr>
        <w:tc>
          <w:tcPr>
            <w:tcW w:w="1160" w:type="dxa"/>
            <w:vAlign w:val="center"/>
            <w:textDirection w:val="lrTb"/>
            <w:noWrap w:val="false"/>
          </w:tcPr>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业绩</w:t>
            </w:r>
            <w:r/>
          </w:p>
          <w:p>
            <w:pPr>
              <w:jc w:val="center"/>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分）</w:t>
            </w:r>
            <w:r/>
          </w:p>
        </w:tc>
        <w:tc>
          <w:tcPr>
            <w:tcW w:w="7905" w:type="dxa"/>
            <w:textDirection w:val="lrTb"/>
            <w:noWrap w:val="false"/>
          </w:tcPr>
          <w:p>
            <w:pPr>
              <w:keepLines w:val="0"/>
              <w:keepNext w:val="0"/>
              <w:pageBreakBefore w:val="0"/>
              <w:spacing w:line="360"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1、202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年1月1日以来，供应商承担过与本项目类似服务项目的，每有1个得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分，本项最高</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（须提供服务合同原件扫描件上传，时间以合同签订日期为准）</w:t>
            </w:r>
            <w:r/>
          </w:p>
          <w:p>
            <w:pPr>
              <w:keepLines w:val="0"/>
              <w:keepNext w:val="0"/>
              <w:pageBreakBefore w:val="0"/>
              <w:spacing w:line="360" w:lineRule="auto"/>
              <w:widowControl w:val="off"/>
              <w:rPr>
                <w:color w:val="auto"/>
                <w:highlight w:val="none"/>
              </w:rPr>
            </w:pPr>
            <w:r>
              <w:rPr>
                <w:rFonts w:hint="eastAsia" w:ascii="宋体" w:hAnsi="宋体" w:eastAsia="宋体" w:cs="宋体"/>
                <w:color w:val="auto"/>
                <w:sz w:val="21"/>
                <w:szCs w:val="21"/>
                <w:highlight w:val="none"/>
                <w:lang w:eastAsia="zh-CN"/>
              </w:rPr>
              <w:t xml:space="preserve">2、供应商提供自202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年1月1日以来提供过类似业绩相对应的服务单位履约评价，履约评价优秀的每有1个得2分；履约评价良好的每有1个得1分；履约评价差的不得分，最高得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须提供履约评价</w:t>
            </w:r>
            <w:r>
              <w:rPr>
                <w:rFonts w:hint="eastAsia" w:ascii="宋体" w:hAnsi="宋体" w:eastAsia="宋体" w:cs="宋体"/>
                <w:b/>
                <w:bCs/>
                <w:color w:val="auto"/>
                <w:sz w:val="21"/>
                <w:szCs w:val="21"/>
                <w:highlight w:val="none"/>
              </w:rPr>
              <w:t xml:space="preserve">原件扫描件上传）</w:t>
            </w:r>
            <w:r/>
          </w:p>
        </w:tc>
      </w:tr>
    </w:tbl>
    <w:p>
      <w:pPr>
        <w:pStyle w:val="964"/>
        <w:ind w:firstLine="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lang w:val="zh-TW" w:eastAsia="zh-TW"/>
        </w:rPr>
      </w:pPr>
      <w:r>
        <w:rPr>
          <w:rFonts w:hint="eastAsia"/>
          <w:color w:val="auto"/>
          <w:highlight w:val="none"/>
          <w:lang w:val="zh-TW" w:eastAsia="zh-TW"/>
        </w:rPr>
      </w:r>
      <w:r/>
    </w:p>
    <w:p>
      <w:pPr>
        <w:pStyle w:val="934"/>
        <w:jc w:val="center"/>
        <w:rPr>
          <w:rFonts w:hint="eastAsia"/>
          <w:color w:val="auto"/>
          <w:highlight w:val="none"/>
          <w:lang w:val="zh-TW" w:eastAsia="zh-TW"/>
        </w:rPr>
      </w:pPr>
      <w:r>
        <w:rPr>
          <w:rFonts w:hint="eastAsia"/>
          <w:color w:val="auto"/>
          <w:highlight w:val="none"/>
          <w:lang w:val="zh-TW" w:eastAsia="zh-TW"/>
        </w:rPr>
        <w:br w:type="page" w:clear="all"/>
      </w:r>
      <w:r/>
    </w:p>
    <w:p>
      <w:pPr>
        <w:pStyle w:val="934"/>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807"/>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rPr>
          <w:rFonts w:ascii="宋体" w:hAnsi="宋体"/>
          <w:b/>
          <w:bCs/>
          <w:color w:val="auto"/>
          <w:sz w:val="32"/>
          <w:szCs w:val="32"/>
          <w:highlight w:val="none"/>
        </w:rPr>
      </w:pPr>
      <w:r>
        <w:rPr>
          <w:rFonts w:ascii="宋体" w:hAnsi="宋体"/>
          <w:b/>
          <w:bCs/>
          <w:color w:val="auto"/>
          <w:sz w:val="32"/>
          <w:szCs w:val="32"/>
          <w:highlight w:val="none"/>
        </w:rPr>
      </w:r>
      <w:r/>
    </w:p>
    <w:p>
      <w:pPr>
        <w:pStyle w:val="959"/>
        <w:ind w:firstLine="643"/>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五、分项报价表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35"/>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2"/>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682"/>
        </w:trPr>
        <w:tc>
          <w:tcPr>
            <w:tcW w:w="660"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2207" w:type="dxa"/>
            <w:vAlign w:val="center"/>
            <w:textDirection w:val="lrTb"/>
            <w:noWrap w:val="false"/>
          </w:tcPr>
          <w:p>
            <w:pPr>
              <w:spacing w:line="400" w:lineRule="exact"/>
              <w:rPr>
                <w:rFonts w:ascii="宋体" w:hAnsi="宋体"/>
                <w:b/>
                <w:color w:val="auto"/>
                <w:szCs w:val="21"/>
                <w:highlight w:val="none"/>
              </w:rPr>
            </w:pPr>
            <w:r>
              <w:rPr>
                <w:rFonts w:ascii="宋体" w:hAnsi="宋体"/>
                <w:b/>
                <w:color w:val="auto"/>
                <w:szCs w:val="21"/>
                <w:highlight w:val="none"/>
              </w:rPr>
            </w:r>
            <w:r/>
          </w:p>
        </w:tc>
      </w:tr>
      <w:tr>
        <w:trPr>
          <w:trHeight w:val="592"/>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rPr>
              <w:t xml:space="preserve">上一年度的财务状况报告（成立不满一年无需提供）</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618"/>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43"/>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lang w:eastAsia="zh-CN"/>
              </w:rPr>
              <w:t xml:space="preserve">具备履行合同所必需的设备和专业技术能力的书面声明</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821"/>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rPr>
              <w:t xml:space="preserve">参加政府采购活动前3年内在经营活动中没有重大违法记录的书面声明</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72"/>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6311" w:type="dxa"/>
            <w:vAlign w:val="center"/>
            <w:textDirection w:val="lrTb"/>
            <w:noWrap w:val="false"/>
          </w:tcPr>
          <w:p>
            <w:pPr>
              <w:spacing w:line="400" w:lineRule="exact"/>
              <w:rPr>
                <w:rFonts w:ascii="宋体" w:hAnsi="宋体"/>
                <w:iCs/>
                <w:color w:val="auto"/>
                <w:szCs w:val="21"/>
                <w:highlight w:val="none"/>
              </w:rPr>
            </w:pPr>
            <w:r>
              <w:rPr>
                <w:rFonts w:hint="eastAsia" w:ascii="宋体" w:hAnsi="宋体" w:cs="宋体"/>
                <w:color w:val="auto"/>
                <w:szCs w:val="21"/>
                <w:highlight w:val="none"/>
              </w:rPr>
              <w:t xml:space="preserve">供应商信用承诺函</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1257"/>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6311"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594"/>
        </w:trPr>
        <w:tc>
          <w:tcPr>
            <w:tcW w:w="660"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311"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本项目专门面向中小企业采购，供应商须提供《中小企业声明函》</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426"/>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6311" w:type="dxa"/>
            <w:vAlign w:val="center"/>
            <w:textDirection w:val="lrTb"/>
            <w:noWrap w:val="false"/>
          </w:tcPr>
          <w:p>
            <w:pPr>
              <w:spacing w:line="400" w:lineRule="exact"/>
              <w:rPr>
                <w:rFonts w:hint="eastAsia" w:ascii="宋体" w:hAnsi="宋体" w:eastAsia="宋体"/>
                <w:iCs/>
                <w:color w:val="auto"/>
                <w:szCs w:val="21"/>
                <w:highlight w:val="none"/>
                <w:lang w:eastAsia="zh-CN"/>
              </w:rPr>
            </w:pPr>
            <w:r>
              <w:rPr>
                <w:rFonts w:hint="eastAsia" w:ascii="宋体" w:hAnsi="宋体"/>
                <w:iCs/>
                <w:color w:val="auto"/>
                <w:szCs w:val="21"/>
                <w:highlight w:val="none"/>
                <w:lang w:eastAsia="zh-CN"/>
              </w:rPr>
              <w:t xml:space="preserve">无</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26"/>
        </w:trPr>
        <w:tc>
          <w:tcPr>
            <w:gridSpan w:val="3"/>
            <w:tcW w:w="9178" w:type="dxa"/>
            <w:vAlign w:val="center"/>
            <w:textDirection w:val="lrTb"/>
            <w:noWrap w:val="false"/>
          </w:tcPr>
          <w:p>
            <w:pPr>
              <w:spacing w:line="400" w:lineRule="exact"/>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6311" w:type="dxa"/>
            <w:vAlign w:val="center"/>
            <w:textDirection w:val="lrTb"/>
            <w:noWrap w:val="false"/>
          </w:tcPr>
          <w:p>
            <w:pPr>
              <w:jc w:val="left"/>
              <w:spacing w:line="400" w:lineRule="exac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6311"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erReference w:type="default" r:id="rId12"/>
          <w:footnotePr/>
          <w:endnotePr/>
          <w:type w:val="nextPage"/>
          <w:pgSz w:w="11906" w:h="16838" w:orient="portrait"/>
          <w:pgMar w:top="1440" w:right="1576" w:bottom="1440" w:left="1463" w:header="851" w:footer="992" w:gutter="0"/>
          <w:pgNumType w:start="3"/>
          <w:cols w:num="1" w:sep="0" w:space="1701" w:equalWidth="1"/>
          <w:docGrid w:linePitch="360"/>
        </w:sectPr>
      </w:pPr>
      <w:r>
        <w:rPr>
          <w:rFonts w:hint="eastAsia" w:ascii="宋体" w:hAnsi="宋体"/>
          <w:b/>
          <w:bCs/>
          <w:color w:val="auto"/>
          <w:highlight w:val="none"/>
        </w:rPr>
      </w:r>
      <w:r/>
    </w:p>
    <w:p>
      <w:pPr>
        <w:jc w:val="center"/>
        <w:spacing w:before="156" w:after="156"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59"/>
        <w:ind w:firstLine="723"/>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59"/>
        <w:ind w:firstLine="723"/>
        <w:jc w:val="righ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left"/>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spacing w:line="560" w:lineRule="exact"/>
        <w:rPr>
          <w:rFonts w:ascii="宋体" w:hAnsi="宋体"/>
          <w:b/>
          <w:bCs/>
          <w:color w:val="auto"/>
          <w:highlight w:val="none"/>
        </w:rPr>
      </w:pPr>
      <w:r>
        <w:rPr>
          <w:rFonts w:hint="eastAsia" w:ascii="宋体" w:hAnsi="宋体"/>
          <w:color w:val="auto"/>
          <w:szCs w:val="21"/>
          <w:highlight w:val="none"/>
        </w:rPr>
        <w:t xml:space="preserve">　　　　　　　　　      　年    月    日</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766"/>
        <w:rPr>
          <w:rFonts w:hint="eastAsia" w:ascii="宋体" w:hAnsi="宋体"/>
          <w:b/>
          <w:bCs/>
          <w:color w:val="auto"/>
          <w:sz w:val="28"/>
          <w:szCs w:val="28"/>
          <w:highlight w:val="none"/>
        </w:rPr>
      </w:pPr>
      <w:r>
        <w:rPr>
          <w:rFonts w:hint="eastAsia" w:ascii="宋体" w:hAnsi="宋体"/>
          <w:b/>
          <w:bCs/>
          <w:color w:val="auto"/>
          <w:sz w:val="28"/>
          <w:szCs w:val="28"/>
          <w:highlight w:val="none"/>
        </w:rPr>
      </w:r>
      <w:r/>
    </w:p>
    <w:p>
      <w:pPr>
        <w:pStyle w:val="767"/>
        <w:rPr>
          <w:rFonts w:hint="eastAsia"/>
          <w:color w:val="auto"/>
          <w:highlight w:val="none"/>
        </w:rPr>
      </w:pPr>
      <w:r>
        <w:rPr>
          <w:rFonts w:hint="eastAsia"/>
          <w:color w:val="auto"/>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77"/>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97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7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7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7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7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77"/>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77"/>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77"/>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7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7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7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7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8"/>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pStyle w:val="935"/>
        <w:jc w:val="both"/>
        <w:rPr>
          <w:rFonts w:hint="eastAsia" w:ascii="宋体" w:hAnsi="宋体" w:eastAsia="宋体"/>
          <w:color w:val="auto"/>
          <w:sz w:val="28"/>
          <w:szCs w:val="28"/>
          <w:highlight w:val="none"/>
        </w:rPr>
      </w:pPr>
      <w:r>
        <w:rPr>
          <w:rFonts w:hint="eastAsia" w:ascii="宋体" w:hAnsi="宋体" w:eastAsia="宋体"/>
          <w:color w:val="auto"/>
          <w:sz w:val="28"/>
          <w:szCs w:val="28"/>
          <w:highlight w:val="none"/>
        </w:rPr>
      </w:r>
      <w:r/>
    </w:p>
    <w:p>
      <w:pPr>
        <w:pStyle w:val="936"/>
        <w:rPr>
          <w:rFonts w:hint="eastAsia"/>
          <w:color w:val="auto"/>
          <w:highlight w:val="none"/>
        </w:rPr>
      </w:pPr>
      <w:r>
        <w:rPr>
          <w:rFonts w:hint="eastAsia"/>
          <w:color w:val="auto"/>
          <w:highlight w:val="none"/>
        </w:rPr>
      </w:r>
      <w:r/>
    </w:p>
    <w:p>
      <w:pPr>
        <w:pStyle w:val="935"/>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35"/>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2"/>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pStyle w:val="959"/>
        <w:ind w:firstLine="400"/>
        <w:rPr>
          <w:color w:val="auto"/>
          <w:highlight w:val="none"/>
        </w:rPr>
      </w:pPr>
      <w:r>
        <w:rPr>
          <w:color w:val="auto"/>
          <w:highlight w:val="none"/>
        </w:rPr>
      </w:r>
      <w:r/>
    </w:p>
    <w:p>
      <w:pPr>
        <w:jc w:val="center"/>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spacing w:line="400" w:lineRule="exact"/>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400" w:lineRule="exact"/>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400" w:lineRule="exact"/>
        <w:rPr>
          <w:color w:val="auto"/>
          <w:highlight w:val="none"/>
        </w:rPr>
      </w:pPr>
      <w:r>
        <w:rPr>
          <w:rFonts w:hint="eastAsia"/>
          <w:color w:val="auto"/>
          <w:highlight w:val="none"/>
        </w:rPr>
        <w:t xml:space="preserve">……</w:t>
      </w:r>
      <w:r/>
    </w:p>
    <w:p>
      <w:pPr>
        <w:ind w:firstLine="420"/>
        <w:jc w:val="left"/>
        <w:spacing w:line="400" w:lineRule="exact"/>
        <w:rPr>
          <w:rFonts w:hint="eastAsia" w:eastAsia="宋体"/>
          <w:color w:val="auto"/>
          <w:highlight w:val="none"/>
          <w:lang w:val="en-US" w:eastAsia="zh-CN"/>
        </w:rPr>
      </w:pPr>
      <w:r>
        <w:rPr>
          <w:rFonts w:hint="eastAsia"/>
          <w:color w:val="auto"/>
          <w:highlight w:val="none"/>
        </w:rPr>
        <w:t xml:space="preserve">以上企业，不属于大企业的分支机构，不存在控股股东为大企业的情形，也不存在与大企业的负责人为同一人的情形。</w:t>
      </w:r>
      <w:r>
        <w:rPr>
          <w:rFonts w:hint="eastAsia"/>
          <w:color w:val="auto"/>
          <w:highlight w:val="none"/>
          <w:lang w:val="en-US" w:eastAsia="zh-CN"/>
        </w:rPr>
        <w:tab/>
      </w:r>
      <w:r/>
    </w:p>
    <w:p>
      <w:pPr>
        <w:ind w:firstLine="420"/>
        <w:jc w:val="left"/>
        <w:spacing w:line="400" w:lineRule="exact"/>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400" w:lineRule="exact"/>
        <w:rPr>
          <w:color w:val="auto"/>
          <w:highlight w:val="none"/>
        </w:rPr>
      </w:pPr>
      <w:r>
        <w:rPr>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400" w:lineRule="exact"/>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400" w:lineRule="exact"/>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400" w:lineRule="exact"/>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auto"/>
          <w:highlight w:val="none"/>
        </w:rPr>
      </w:pPr>
      <w:r>
        <w:rPr>
          <w:rFonts w:hint="eastAsia"/>
          <w:color w:val="auto"/>
          <w:highlight w:val="none"/>
        </w:rPr>
        <w:t xml:space="preserve">企业名称（盖章）：</w:t>
      </w:r>
      <w:r/>
    </w:p>
    <w:p>
      <w:pPr>
        <w:ind w:firstLine="4620"/>
        <w:jc w:val="left"/>
        <w:spacing w:line="400" w:lineRule="exact"/>
        <w:rPr>
          <w:color w:val="auto"/>
          <w:highlight w:val="none"/>
        </w:rPr>
      </w:pPr>
      <w:r>
        <w:rPr>
          <w:rFonts w:hint="eastAsia"/>
          <w:color w:val="auto"/>
          <w:highlight w:val="none"/>
        </w:rPr>
        <w:t xml:space="preserve">日 期：</w:t>
      </w:r>
      <w:r/>
    </w:p>
    <w:p>
      <w:pPr>
        <w:pStyle w:val="935"/>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56"/>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1"/>
          <w:rFonts w:hint="eastAsia" w:ascii="宋体" w:hAnsi="宋体" w:cs="仿宋"/>
          <w:color w:val="auto"/>
          <w:sz w:val="21"/>
          <w:szCs w:val="21"/>
          <w:highlight w:val="none"/>
        </w:rPr>
        <w:t xml:space="preserve">中小微企业划型标准如下：</w:t>
      </w:r>
      <w:r/>
    </w:p>
    <w:tbl>
      <w:tblPr>
        <w:tblStyle w:val="762"/>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ind w:firstLine="420"/>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56"/>
              <w:jc w:val="center"/>
              <w:spacing w:after="150" w:line="300" w:lineRule="exact"/>
              <w:widowControl/>
              <w:rPr>
                <w:rFonts w:ascii="宋体" w:hAnsi="宋体"/>
                <w:color w:val="auto"/>
                <w:sz w:val="21"/>
                <w:szCs w:val="21"/>
                <w:highlight w:val="none"/>
              </w:rPr>
            </w:pPr>
            <w:r>
              <w:rPr>
                <w:rStyle w:val="961"/>
                <w:rFonts w:hint="eastAsia" w:ascii="宋体" w:hAnsi="宋体" w:cs="仿宋"/>
                <w:color w:val="auto"/>
                <w:sz w:val="21"/>
                <w:szCs w:val="21"/>
                <w:highlight w:val="none"/>
              </w:rPr>
              <w:t xml:space="preserve">X＜10</w:t>
            </w:r>
            <w:r/>
          </w:p>
        </w:tc>
      </w:tr>
    </w:tbl>
    <w:p>
      <w:pPr>
        <w:pStyle w:val="956"/>
        <w:ind w:firstLine="422"/>
        <w:spacing w:before="300" w:after="452" w:line="360" w:lineRule="auto"/>
        <w:widowControl/>
        <w:rPr>
          <w:color w:val="auto"/>
          <w:highlight w:val="none"/>
        </w:rPr>
      </w:pPr>
      <w:r>
        <w:rPr>
          <w:rStyle w:val="96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61"/>
          <w:rFonts w:hint="eastAsia" w:ascii="宋体" w:hAnsi="宋体" w:cs="仿宋"/>
          <w:color w:val="auto"/>
          <w:sz w:val="21"/>
          <w:szCs w:val="21"/>
          <w:highlight w:val="none"/>
          <w:lang w:eastAsia="zh-CN"/>
        </w:rPr>
        <w:t xml:space="preserve">。</w:t>
      </w:r>
      <w:r>
        <w:rPr>
          <w:rStyle w:val="961"/>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35"/>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2"/>
        <w:tblW w:w="75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045"/>
      </w:tblGrid>
      <w:tr>
        <w:trPr>
          <w:cantSplit/>
          <w:trHeight w:val="1098"/>
        </w:trPr>
        <w:tc>
          <w:tcPr>
            <w:tcW w:w="1468" w:type="dxa"/>
            <w:vAlign w:val="center"/>
            <w:textDirection w:val="lrTb"/>
            <w:noWrap w:val="false"/>
          </w:tcPr>
          <w:p>
            <w:pPr>
              <w:pStyle w:val="94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045"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投标报价</w:t>
            </w:r>
            <w:r>
              <w:rPr>
                <w:rFonts w:hint="eastAsia" w:ascii="宋体" w:hAnsi="宋体"/>
                <w:b w:val="0"/>
                <w:bCs w:val="0"/>
                <w:color w:val="auto"/>
                <w:szCs w:val="21"/>
                <w:highlight w:val="none"/>
                <w:lang w:eastAsia="zh-CN"/>
              </w:rPr>
              <w:t xml:space="preserve">（元）</w:t>
            </w:r>
            <w:r/>
          </w:p>
        </w:tc>
      </w:tr>
      <w:tr>
        <w:trPr>
          <w:cantSplit/>
          <w:trHeight w:val="1697"/>
        </w:trPr>
        <w:tc>
          <w:tcPr>
            <w:tcW w:w="1468" w:type="dxa"/>
            <w:vAlign w:val="center"/>
            <w:textDirection w:val="lrTb"/>
            <w:noWrap w:val="false"/>
          </w:tcPr>
          <w:p>
            <w:pPr>
              <w:pStyle w:val="94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045" w:type="dxa"/>
            <w:vAlign w:val="center"/>
            <w:textDirection w:val="lrTb"/>
            <w:noWrap w:val="false"/>
          </w:tcPr>
          <w:p>
            <w:pPr>
              <w:pStyle w:val="977"/>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rPr>
                <w:rFonts w:hint="eastAsia" w:ascii="宋体" w:hAnsi="宋体" w:cs="宋体"/>
                <w:color w:val="auto"/>
                <w:sz w:val="21"/>
                <w:szCs w:val="21"/>
                <w:highlight w:val="none"/>
                <w:lang w:val="en-US" w:eastAsia="zh-CN"/>
              </w:rPr>
              <w:t xml:space="preserve">/小时</w:t>
            </w:r>
            <w:r>
              <w:rPr>
                <w:rFonts w:hint="eastAsia" w:ascii="宋体" w:hAnsi="宋体" w:cs="宋体"/>
                <w:color w:val="auto"/>
                <w:sz w:val="21"/>
                <w:szCs w:val="21"/>
                <w:highlight w:val="none"/>
              </w:rPr>
              <w:t xml:space="preserve">         </w:t>
            </w:r>
            <w:r/>
          </w:p>
          <w:p>
            <w:pPr>
              <w:pStyle w:val="977"/>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/小时</w:t>
            </w:r>
            <w:r>
              <w:rPr>
                <w:rFonts w:hint="eastAsia" w:ascii="宋体" w:hAnsi="宋体" w:cs="宋体"/>
                <w:color w:val="auto"/>
                <w:sz w:val="21"/>
                <w:szCs w:val="21"/>
                <w:highlight w:val="none"/>
              </w:rPr>
              <w:t xml:space="preserve">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5"/>
        <w:ind w:firstLine="2108"/>
        <w:jc w:val="both"/>
        <w:rPr>
          <w:rFonts w:ascii="宋体" w:hAnsi="宋体" w:eastAsia="宋体" w:cs="Times New Roman"/>
          <w:bCs w:val="0"/>
          <w:color w:val="auto"/>
          <w:sz w:val="21"/>
          <w:szCs w:val="21"/>
          <w:highlight w:val="none"/>
        </w:rPr>
      </w:pPr>
      <w:r>
        <w:rPr>
          <w:rFonts w:ascii="宋体" w:hAnsi="宋体" w:eastAsia="宋体" w:cs="Times New Roman"/>
          <w:bCs w:val="0"/>
          <w:color w:val="auto"/>
          <w:sz w:val="21"/>
          <w:szCs w:val="21"/>
          <w:highlight w:val="none"/>
        </w:rPr>
      </w:r>
      <w:r/>
    </w:p>
    <w:p>
      <w:pPr>
        <w:ind w:firstLine="420"/>
        <w:spacing w:line="550" w:lineRule="exact"/>
        <w:rPr>
          <w:rFonts w:ascii="宋体" w:hAnsi="宋体" w:eastAsia="宋体" w:cs="宋体"/>
          <w:bCs/>
          <w:color w:val="auto"/>
          <w:szCs w:val="21"/>
          <w:highlight w:val="none"/>
          <w:lang w:val="en-US" w:eastAsia="zh-CN"/>
        </w:rPr>
      </w:pPr>
      <w:r>
        <w:rPr>
          <w:rFonts w:ascii="宋体" w:hAnsi="宋体" w:eastAsia="宋体" w:cs="宋体"/>
          <w:bCs/>
          <w:color w:val="auto"/>
          <w:szCs w:val="21"/>
          <w:highlight w:val="none"/>
          <w:lang w:val="en-US" w:eastAsia="zh-CN"/>
        </w:rPr>
      </w:r>
      <w:r/>
    </w:p>
    <w:p>
      <w:pPr>
        <w:pStyle w:val="936"/>
        <w:ind w:firstLine="640"/>
        <w:rPr>
          <w:rFonts w:ascii="宋体" w:hAnsi="宋体"/>
          <w:color w:val="auto"/>
          <w:sz w:val="32"/>
          <w:szCs w:val="32"/>
          <w:highlight w:val="none"/>
        </w:rPr>
      </w:pPr>
      <w:r>
        <w:rPr>
          <w:rFonts w:ascii="宋体" w:hAnsi="宋体"/>
          <w:color w:val="auto"/>
          <w:sz w:val="32"/>
          <w:szCs w:val="32"/>
          <w:highlight w:val="none"/>
        </w:rPr>
      </w:r>
      <w:r/>
    </w:p>
    <w:p>
      <w:pPr>
        <w:pStyle w:val="935"/>
        <w:numPr>
          <w:ilvl w:val="0"/>
          <w:numId w:val="5"/>
        </w:numPr>
        <w:rPr>
          <w:rFonts w:hint="eastAsia" w:ascii="宋体" w:hAnsi="宋体" w:eastAsia="宋体"/>
          <w:color w:val="auto"/>
          <w:sz w:val="28"/>
          <w:szCs w:val="28"/>
          <w:highlight w:val="none"/>
          <w:lang w:val="en-US" w:eastAsia="zh-CN"/>
        </w:rPr>
      </w:pPr>
      <w:r>
        <w:rPr>
          <w:rFonts w:hint="eastAsia" w:ascii="宋体" w:hAnsi="宋体"/>
          <w:color w:val="auto"/>
          <w:sz w:val="32"/>
          <w:szCs w:val="32"/>
          <w:highlight w:val="none"/>
        </w:rPr>
        <w:br w:type="page" w:clear="all"/>
      </w:r>
      <w:r>
        <w:rPr>
          <w:rFonts w:hint="eastAsia" w:ascii="宋体" w:hAnsi="宋体" w:eastAsia="宋体"/>
          <w:color w:val="auto"/>
          <w:sz w:val="28"/>
          <w:szCs w:val="28"/>
          <w:highlight w:val="none"/>
          <w:lang w:val="en-US" w:eastAsia="zh-CN"/>
        </w:rPr>
        <w:t xml:space="preserve">分项报价表（如有）</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2"/>
        <w:tblW w:w="8626" w:type="dxa"/>
        <w:tblInd w:w="-250" w:type="dxa"/>
        <w:tblLayout w:type="fixed"/>
        <w:tblCellMar>
          <w:left w:w="108" w:type="dxa"/>
          <w:top w:w="0" w:type="dxa"/>
          <w:right w:w="108" w:type="dxa"/>
          <w:bottom w:w="0" w:type="dxa"/>
        </w:tblCellMar>
        <w:tblLook w:val="04A0" w:firstRow="1" w:lastRow="0" w:firstColumn="1" w:lastColumn="0" w:noHBand="0" w:noVBand="1"/>
      </w:tblPr>
      <w:tblGrid>
        <w:gridCol w:w="850"/>
        <w:gridCol w:w="2834"/>
        <w:gridCol w:w="1134"/>
        <w:gridCol w:w="1206"/>
        <w:gridCol w:w="1072"/>
        <w:gridCol w:w="1530"/>
      </w:tblGrid>
      <w:tr>
        <w:trPr>
          <w:trHeight w:val="73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highlight w:val="none"/>
              </w:rPr>
              <w:t xml:space="preserve">项目</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highlight w:val="none"/>
              </w:rPr>
              <w:t xml:space="preserve">单价</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olor w:val="auto"/>
                <w:szCs w:val="21"/>
                <w:highlight w:val="none"/>
              </w:rPr>
            </w:pPr>
            <w:r>
              <w:rPr>
                <w:rFonts w:hint="eastAsia" w:ascii="宋体" w:hAnsi="宋体"/>
                <w:color w:val="auto"/>
                <w:highlight w:val="none"/>
              </w:rPr>
              <w:t xml:space="preserve">总价</w:t>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auto"/>
              <w:widowControl/>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备注</w:t>
            </w:r>
            <w:r/>
          </w:p>
        </w:tc>
      </w:tr>
      <w:tr>
        <w:trPr>
          <w:trHeight w:val="450"/>
        </w:trPr>
        <w:tc>
          <w:tcPr>
            <w:tcBorders>
              <w:top w:val="non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1</w:t>
            </w:r>
            <w:r/>
          </w:p>
        </w:tc>
        <w:tc>
          <w:tcPr>
            <w:tcBorders>
              <w:top w:val="none" w:color="000000" w:sz="4" w:space="0"/>
              <w:left w:val="none" w:color="000000" w:sz="4" w:space="0"/>
              <w:bottom w:val="none" w:color="000000" w:sz="4" w:space="0"/>
              <w:right w:val="single" w:color="000000"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　</w:t>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none" w:color="000000" w:sz="4" w:space="0"/>
              <w:right w:val="single" w:color="000000" w:sz="4" w:space="0"/>
            </w:tcBorders>
            <w:tcW w:w="1530" w:type="dxa"/>
            <w:vAlign w:val="center"/>
            <w:textDirection w:val="lrTb"/>
            <w:noWrap w:val="false"/>
          </w:tcPr>
          <w:p>
            <w:pPr>
              <w:jc w:val="left"/>
              <w:spacing w:line="280" w:lineRule="exact"/>
              <w:widowControl/>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center"/>
              <w:spacing w:line="360" w:lineRule="exact"/>
              <w:widowControl/>
              <w:rPr>
                <w:rFonts w:ascii="宋体" w:hAnsi="宋体" w:cs="宋体"/>
                <w:color w:val="auto"/>
                <w:szCs w:val="24"/>
                <w:highlight w:val="none"/>
              </w:rPr>
            </w:pPr>
            <w:r>
              <w:rPr>
                <w:rFonts w:ascii="宋体" w:hAnsi="宋体" w:cs="宋体"/>
                <w:color w:val="auto"/>
                <w:szCs w:val="24"/>
                <w:highlight w:val="none"/>
              </w:rPr>
            </w:r>
            <w:r/>
          </w:p>
        </w:tc>
      </w:tr>
      <w:tr>
        <w:trPr>
          <w:trHeight w:val="49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834" w:type="dxa"/>
            <w:vAlign w:val="center"/>
            <w:textDirection w:val="lrTb"/>
            <w:noWrap w:val="false"/>
          </w:tcPr>
          <w:p>
            <w:pPr>
              <w:jc w:val="center"/>
              <w:spacing w:line="280" w:lineRule="exact"/>
              <w:widowControl/>
              <w:rPr>
                <w:rFonts w:ascii="宋体" w:hAnsi="宋体"/>
                <w:color w:val="auto"/>
                <w:szCs w:val="21"/>
                <w:highlight w:val="none"/>
              </w:rPr>
            </w:pPr>
            <w:r>
              <w:rPr>
                <w:rFonts w:hint="eastAsia" w:ascii="宋体" w:hAnsi="宋体"/>
                <w:color w:val="auto"/>
                <w:highlight w:val="none"/>
              </w:rPr>
              <w:t xml:space="preserve">合计</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206"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72" w:type="dxa"/>
            <w:vAlign w:val="center"/>
            <w:textDirection w:val="lrTb"/>
            <w:noWrap w:val="false"/>
          </w:tcPr>
          <w:p>
            <w:pPr>
              <w:jc w:val="center"/>
              <w:spacing w:line="280" w:lineRule="exact"/>
              <w:widowControl/>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30" w:type="dxa"/>
            <w:vAlign w:val="center"/>
            <w:textDirection w:val="lrTb"/>
            <w:noWrap w:val="false"/>
          </w:tcPr>
          <w:p>
            <w:pPr>
              <w:jc w:val="left"/>
              <w:spacing w:line="280" w:lineRule="exact"/>
              <w:widowControl/>
              <w:rPr>
                <w:rFonts w:ascii="宋体" w:hAnsi="宋体"/>
                <w:color w:val="auto"/>
                <w:szCs w:val="21"/>
                <w:highlight w:val="none"/>
              </w:rPr>
            </w:pPr>
            <w:r>
              <w:rPr>
                <w:rFonts w:ascii="宋体" w:hAnsi="宋体"/>
                <w:color w:val="auto"/>
                <w:szCs w:val="21"/>
                <w:highlight w:val="none"/>
              </w:rPr>
            </w:r>
            <w:r/>
          </w:p>
        </w:tc>
      </w:tr>
    </w:tbl>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36"/>
        <w:rPr>
          <w:rFonts w:hint="eastAsia"/>
          <w:color w:val="auto"/>
          <w:highlight w:val="none"/>
          <w:lang w:val="en-US" w:eastAsia="zh-CN"/>
        </w:rPr>
      </w:pPr>
      <w:r>
        <w:rPr>
          <w:rFonts w:hint="eastAsia"/>
          <w:color w:val="auto"/>
          <w:highlight w:val="none"/>
          <w:lang w:val="en-US" w:eastAsia="zh-CN"/>
        </w:rPr>
        <w:br w:type="page" w:clear="all"/>
      </w:r>
      <w:r/>
    </w:p>
    <w:p>
      <w:pPr>
        <w:pStyle w:val="935"/>
        <w:numPr>
          <w:ilvl w:val="0"/>
          <w:numId w:val="5"/>
        </w:numPr>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技术参数响应及偏离表</w:t>
      </w:r>
      <w:r/>
    </w:p>
    <w:tbl>
      <w:tblPr>
        <w:tblStyle w:val="762"/>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79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r/>
      <w:bookmarkEnd w:id="56"/>
      <w:r/>
      <w:bookmarkStart w:id="57" w:name="_Toc113352363"/>
      <w:r>
        <w:rPr>
          <w:rFonts w:hint="eastAsia" w:ascii="宋体" w:hAnsi="宋体"/>
          <w:b/>
          <w:bCs/>
          <w:color w:val="auto"/>
          <w:sz w:val="28"/>
          <w:szCs w:val="28"/>
          <w:highlight w:val="none"/>
        </w:rPr>
        <w:t xml:space="preserve">七、商务条款响应及偏离表</w:t>
      </w:r>
      <w:bookmarkEnd w:id="57"/>
      <w:r/>
      <w:r/>
    </w:p>
    <w:tbl>
      <w:tblPr>
        <w:tblStyle w:val="762"/>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36"/>
        <w:ind w:firstLine="480"/>
        <w:rPr>
          <w:rFonts w:ascii="宋体" w:hAnsi="宋体"/>
          <w:color w:val="auto"/>
          <w:sz w:val="24"/>
          <w:highlight w:val="none"/>
        </w:rPr>
      </w:pPr>
      <w:r/>
      <w:bookmarkStart w:id="58" w:name="_Hlt26671374"/>
      <w:r/>
      <w:bookmarkEnd w:id="58"/>
      <w:r/>
      <w:bookmarkStart w:id="59" w:name="_Hlt26609389"/>
      <w:r/>
      <w:bookmarkEnd w:id="59"/>
      <w:r/>
      <w:bookmarkStart w:id="60" w:name="_Hlt26955066"/>
      <w:r/>
      <w:bookmarkEnd w:id="60"/>
      <w:r/>
      <w:bookmarkStart w:id="61" w:name="_Toc462564146"/>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hint="eastAsia" w:ascii="宋体" w:hAnsi="宋体"/>
          <w:color w:val="auto"/>
          <w:sz w:val="24"/>
          <w:highlight w:val="none"/>
        </w:rPr>
        <w:t xml:space="preserve">.</w:t>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r/>
    </w:p>
    <w:p>
      <w:pPr>
        <w:pStyle w:val="936"/>
        <w:ind w:firstLine="480"/>
        <w:rPr>
          <w:rFonts w:ascii="宋体" w:hAnsi="宋体"/>
          <w:color w:val="auto"/>
          <w:sz w:val="24"/>
          <w:highlight w:val="none"/>
        </w:rPr>
      </w:pPr>
      <w:r>
        <w:rPr>
          <w:rFonts w:ascii="宋体" w:hAnsi="宋体"/>
          <w:color w:val="auto"/>
          <w:sz w:val="24"/>
          <w:highlight w:val="none"/>
        </w:rPr>
      </w:r>
      <w:bookmarkEnd w:id="61"/>
      <w:r/>
      <w:r/>
    </w:p>
    <w:p>
      <w:pPr>
        <w:jc w:val="center"/>
        <w:widowControl/>
        <w:rPr>
          <w:rFonts w:ascii="宋体" w:hAnsi="宋体"/>
          <w:b/>
          <w:color w:val="auto"/>
          <w:highlight w:val="none"/>
        </w:rPr>
      </w:pPr>
      <w:r/>
      <w:bookmarkStart w:id="62" w:name="_格式2__法定代表人授权书"/>
      <w:r/>
      <w:bookmarkEnd w:id="62"/>
      <w:r>
        <w:rPr>
          <w:rFonts w:ascii="宋体" w:hAnsi="宋体"/>
          <w:b/>
          <w:color w:val="auto"/>
          <w:highlight w:val="none"/>
        </w:rPr>
        <w:br w:type="page" w:clear="all"/>
      </w:r>
      <w:r>
        <w:rPr>
          <w:rFonts w:hint="eastAsia" w:ascii="宋体" w:hAnsi="宋体"/>
          <w:b/>
          <w:color w:val="auto"/>
          <w:sz w:val="28"/>
          <w:szCs w:val="28"/>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2"/>
        <w:tblW w:w="8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5"/>
      </w:tblGrid>
      <w:tr>
        <w:trPr/>
        <w:tc>
          <w:tcPr>
            <w:tcW w:w="8165"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4810"/>
        </w:trPr>
        <w:tc>
          <w:tcPr>
            <w:tcW w:w="8165"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rPr>
          <w:color w:val="auto"/>
          <w:highlight w:val="none"/>
        </w:rPr>
      </w:pPr>
      <w:r>
        <w:rPr>
          <w:color w:val="auto"/>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r/>
                    <w:r/>
                  </w:p>
                </w:txbxContent>
              </v:textbox>
            </v:shape>
          </w:pict>
        </mc:Fallback>
      </mc:AlternateContent>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28</w:t>
                    </w:r>
                    <w:r>
                      <w:rPr>
                        <w:lang w:val="zh-CN"/>
                      </w:rPr>
                      <w:fldChar w:fldCharType="end"/>
                    </w:r>
                    <w:r/>
                  </w:p>
                  <w:p>
                    <w:r/>
                    <w:r/>
                  </w:p>
                </w:txbxContent>
              </v:textbox>
            </v:shape>
          </w:pict>
        </mc:Fallback>
      </mc:AlternateContent>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rPr>
    </w:pPr>
    <w:r>
      <w:rPr>
        <w:rFonts w:hint="eastAsia"/>
        <w:lang w:eastAsia="zh-CN"/>
      </w:rPr>
      <w:t xml:space="preserve">JSZC-321003-SWGC-G2024-0210</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rPr>
    </w:pPr>
    <w:r>
      <w:rPr>
        <w:rFonts w:hint="eastAsia"/>
        <w:lang w:eastAsia="zh-CN"/>
      </w:rPr>
      <w:t xml:space="preserve">JSZC-321003-SWGC-G2024-0210</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963"/>
    <w:uiPriority w:val="0"/>
    <w:qFormat/>
    <w:pPr>
      <w:jc w:val="both"/>
      <w:widowControl w:val="off"/>
    </w:pPr>
    <w:rPr>
      <w:rFonts w:hint="default" w:ascii="Calibri" w:hAnsi="Calibri" w:eastAsia="宋体" w:cs="Times New Roman"/>
      <w:sz w:val="21"/>
      <w:szCs w:val="22"/>
      <w:lang w:val="en-US" w:eastAsia="zh-CN" w:bidi="ar-SA"/>
    </w:rPr>
  </w:style>
  <w:style w:type="paragraph" w:styleId="752">
    <w:name w:val="Heading 1"/>
    <w:basedOn w:val="751"/>
    <w:next w:val="751"/>
    <w:link w:val="787"/>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88"/>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89"/>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0"/>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1"/>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2"/>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94"/>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95"/>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right="0" w:firstLine="0"/>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1"/>
    <w:uiPriority w:val="99"/>
    <w:semiHidden/>
    <w:unhideWhenUsed/>
    <w:qFormat/>
    <w:pPr>
      <w:jc w:val="left"/>
    </w:pPr>
  </w:style>
  <w:style w:type="paragraph" w:styleId="766">
    <w:name w:val="Body Text"/>
    <w:basedOn w:val="751"/>
    <w:next w:val="767"/>
    <w:uiPriority w:val="99"/>
    <w:unhideWhenUsed/>
    <w:qFormat/>
    <w:pPr>
      <w:spacing w:after="120"/>
    </w:pPr>
  </w:style>
  <w:style w:type="paragraph" w:styleId="767">
    <w:name w:val="Body Text 2"/>
    <w:basedOn w:val="751"/>
    <w:uiPriority w:val="0"/>
    <w:qFormat/>
    <w:pPr>
      <w:spacing w:after="120" w:line="480" w:lineRule="auto"/>
    </w:pPr>
  </w:style>
  <w:style w:type="paragraph" w:styleId="768">
    <w:name w:val="toc 5"/>
    <w:basedOn w:val="751"/>
    <w:next w:val="751"/>
    <w:uiPriority w:val="39"/>
    <w:unhideWhenUsed/>
    <w:qFormat/>
    <w:pPr>
      <w:ind w:left="1134" w:right="0" w:firstLine="0"/>
      <w:spacing w:after="57"/>
    </w:pPr>
  </w:style>
  <w:style w:type="paragraph" w:styleId="769">
    <w:name w:val="toc 3"/>
    <w:basedOn w:val="751"/>
    <w:next w:val="751"/>
    <w:uiPriority w:val="39"/>
    <w:unhideWhenUsed/>
    <w:qFormat/>
    <w:pPr>
      <w:ind w:left="567" w:right="0" w:firstLine="0"/>
      <w:spacing w:after="57"/>
    </w:pPr>
  </w:style>
  <w:style w:type="paragraph" w:styleId="770">
    <w:name w:val="toc 8"/>
    <w:basedOn w:val="751"/>
    <w:next w:val="751"/>
    <w:uiPriority w:val="39"/>
    <w:unhideWhenUsed/>
    <w:qFormat/>
    <w:pPr>
      <w:ind w:left="1984" w:right="0" w:firstLine="0"/>
      <w:spacing w:after="57"/>
    </w:pPr>
  </w:style>
  <w:style w:type="paragraph" w:styleId="771">
    <w:name w:val="endnote text"/>
    <w:basedOn w:val="751"/>
    <w:link w:val="932"/>
    <w:uiPriority w:val="99"/>
    <w:semiHidden/>
    <w:unhideWhenUsed/>
    <w:qFormat/>
    <w:pPr>
      <w:spacing w:after="0" w:line="240" w:lineRule="auto"/>
    </w:pPr>
    <w:rPr>
      <w:sz w:val="20"/>
    </w:rPr>
  </w:style>
  <w:style w:type="paragraph" w:styleId="772">
    <w:name w:val="Footer"/>
    <w:basedOn w:val="751"/>
    <w:link w:val="805"/>
    <w:uiPriority w:val="99"/>
    <w:unhideWhenUsed/>
    <w:qFormat/>
    <w:pPr>
      <w:spacing w:after="0" w:line="240" w:lineRule="auto"/>
      <w:tabs>
        <w:tab w:val="center" w:pos="7143" w:leader="none"/>
        <w:tab w:val="right" w:pos="14287" w:leader="none"/>
      </w:tabs>
    </w:pPr>
  </w:style>
  <w:style w:type="paragraph" w:styleId="773">
    <w:name w:val="Header"/>
    <w:basedOn w:val="751"/>
    <w:link w:val="803"/>
    <w:uiPriority w:val="99"/>
    <w:unhideWhenUsed/>
    <w:qFormat/>
    <w:pPr>
      <w:spacing w:after="0" w:line="240" w:lineRule="auto"/>
      <w:tabs>
        <w:tab w:val="center" w:pos="7143" w:leader="none"/>
        <w:tab w:val="right" w:pos="14287" w:leader="none"/>
      </w:tabs>
    </w:pPr>
  </w:style>
  <w:style w:type="paragraph" w:styleId="774">
    <w:name w:val="toc 1"/>
    <w:basedOn w:val="751"/>
    <w:next w:val="751"/>
    <w:uiPriority w:val="39"/>
    <w:unhideWhenUsed/>
    <w:qFormat/>
    <w:pPr>
      <w:ind w:left="0" w:right="0" w:firstLine="0"/>
      <w:spacing w:after="57"/>
    </w:pPr>
  </w:style>
  <w:style w:type="paragraph" w:styleId="775">
    <w:name w:val="toc 4"/>
    <w:basedOn w:val="751"/>
    <w:next w:val="751"/>
    <w:uiPriority w:val="39"/>
    <w:unhideWhenUsed/>
    <w:qFormat/>
    <w:pPr>
      <w:ind w:left="850" w:right="0" w:firstLine="0"/>
      <w:spacing w:after="57"/>
    </w:pPr>
  </w:style>
  <w:style w:type="paragraph" w:styleId="776">
    <w:name w:val="Subtitle"/>
    <w:basedOn w:val="751"/>
    <w:next w:val="751"/>
    <w:link w:val="798"/>
    <w:uiPriority w:val="11"/>
    <w:qFormat/>
    <w:pPr>
      <w:spacing w:before="200" w:after="200"/>
    </w:pPr>
    <w:rPr>
      <w:sz w:val="24"/>
      <w:szCs w:val="24"/>
    </w:rPr>
  </w:style>
  <w:style w:type="paragraph" w:styleId="777">
    <w:name w:val="footnote text"/>
    <w:basedOn w:val="751"/>
    <w:link w:val="931"/>
    <w:uiPriority w:val="99"/>
    <w:semiHidden/>
    <w:unhideWhenUsed/>
    <w:qFormat/>
    <w:pPr>
      <w:spacing w:after="40" w:line="240" w:lineRule="auto"/>
    </w:pPr>
    <w:rPr>
      <w:sz w:val="18"/>
    </w:rPr>
  </w:style>
  <w:style w:type="paragraph" w:styleId="778">
    <w:name w:val="toc 6"/>
    <w:basedOn w:val="751"/>
    <w:next w:val="751"/>
    <w:uiPriority w:val="39"/>
    <w:unhideWhenUsed/>
    <w:qFormat/>
    <w:pPr>
      <w:ind w:left="1417" w:right="0" w:firstLine="0"/>
      <w:spacing w:after="57"/>
    </w:pPr>
  </w:style>
  <w:style w:type="paragraph" w:styleId="779">
    <w:name w:val="table of figures"/>
    <w:basedOn w:val="751"/>
    <w:next w:val="751"/>
    <w:uiPriority w:val="99"/>
    <w:unhideWhenUsed/>
    <w:qFormat/>
    <w:pPr>
      <w:spacing w:after="0" w:afterAutospacing="0"/>
    </w:pPr>
  </w:style>
  <w:style w:type="paragraph" w:styleId="780">
    <w:name w:val="toc 2"/>
    <w:basedOn w:val="751"/>
    <w:next w:val="751"/>
    <w:uiPriority w:val="39"/>
    <w:unhideWhenUsed/>
    <w:qFormat/>
    <w:pPr>
      <w:ind w:left="283" w:right="0" w:firstLine="0"/>
      <w:spacing w:after="57"/>
    </w:pPr>
  </w:style>
  <w:style w:type="paragraph" w:styleId="781">
    <w:name w:val="toc 9"/>
    <w:basedOn w:val="751"/>
    <w:next w:val="751"/>
    <w:uiPriority w:val="39"/>
    <w:unhideWhenUsed/>
    <w:qFormat/>
    <w:pPr>
      <w:ind w:left="2268" w:right="0" w:firstLine="0"/>
      <w:spacing w:after="57"/>
    </w:pPr>
  </w:style>
  <w:style w:type="paragraph" w:styleId="782">
    <w:name w:val="Title"/>
    <w:basedOn w:val="751"/>
    <w:next w:val="751"/>
    <w:link w:val="797"/>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character" w:styleId="787" w:customStyle="1">
    <w:name w:val="Heading 1 Char"/>
    <w:link w:val="752"/>
    <w:uiPriority w:val="9"/>
    <w:qFormat/>
    <w:rPr>
      <w:rFonts w:ascii="Arial" w:hAnsi="Arial" w:eastAsia="Arial" w:cs="Arial"/>
      <w:sz w:val="40"/>
      <w:szCs w:val="40"/>
    </w:rPr>
  </w:style>
  <w:style w:type="character" w:styleId="788" w:customStyle="1">
    <w:name w:val="Heading 2 Char"/>
    <w:link w:val="753"/>
    <w:uiPriority w:val="9"/>
    <w:qFormat/>
    <w:rPr>
      <w:rFonts w:ascii="Arial" w:hAnsi="Arial" w:eastAsia="Arial" w:cs="Arial"/>
      <w:sz w:val="34"/>
    </w:rPr>
  </w:style>
  <w:style w:type="character" w:styleId="789" w:customStyle="1">
    <w:name w:val="Heading 3 Char"/>
    <w:link w:val="754"/>
    <w:uiPriority w:val="9"/>
    <w:qFormat/>
    <w:rPr>
      <w:rFonts w:ascii="Arial" w:hAnsi="Arial" w:eastAsia="Arial" w:cs="Arial"/>
      <w:sz w:val="30"/>
      <w:szCs w:val="30"/>
    </w:rPr>
  </w:style>
  <w:style w:type="character" w:styleId="790" w:customStyle="1">
    <w:name w:val="Heading 4 Char"/>
    <w:link w:val="755"/>
    <w:uiPriority w:val="9"/>
    <w:qFormat/>
    <w:rPr>
      <w:rFonts w:ascii="Arial" w:hAnsi="Arial" w:eastAsia="Arial" w:cs="Arial"/>
      <w:b/>
      <w:bCs/>
      <w:sz w:val="26"/>
      <w:szCs w:val="26"/>
    </w:rPr>
  </w:style>
  <w:style w:type="character" w:styleId="791" w:customStyle="1">
    <w:name w:val="Heading 5 Char"/>
    <w:link w:val="756"/>
    <w:uiPriority w:val="9"/>
    <w:qFormat/>
    <w:rPr>
      <w:rFonts w:ascii="Arial" w:hAnsi="Arial" w:eastAsia="Arial" w:cs="Arial"/>
      <w:b/>
      <w:bCs/>
      <w:sz w:val="24"/>
      <w:szCs w:val="24"/>
    </w:rPr>
  </w:style>
  <w:style w:type="character" w:styleId="792" w:customStyle="1">
    <w:name w:val="Heading 6 Char"/>
    <w:link w:val="757"/>
    <w:uiPriority w:val="9"/>
    <w:qFormat/>
    <w:rPr>
      <w:rFonts w:ascii="Arial" w:hAnsi="Arial" w:eastAsia="Arial" w:cs="Arial"/>
      <w:b/>
      <w:bCs/>
      <w:sz w:val="22"/>
      <w:szCs w:val="22"/>
    </w:rPr>
  </w:style>
  <w:style w:type="character" w:styleId="793" w:customStyle="1">
    <w:name w:val="Heading 7 Char"/>
    <w:link w:val="758"/>
    <w:uiPriority w:val="9"/>
    <w:qFormat/>
    <w:rPr>
      <w:rFonts w:ascii="Arial" w:hAnsi="Arial" w:eastAsia="Arial" w:cs="Arial"/>
      <w:b/>
      <w:bCs/>
      <w:i/>
      <w:iCs/>
      <w:sz w:val="22"/>
      <w:szCs w:val="22"/>
    </w:rPr>
  </w:style>
  <w:style w:type="character" w:styleId="794" w:customStyle="1">
    <w:name w:val="Heading 8 Char"/>
    <w:link w:val="759"/>
    <w:uiPriority w:val="9"/>
    <w:qFormat/>
    <w:rPr>
      <w:rFonts w:ascii="Arial" w:hAnsi="Arial" w:eastAsia="Arial" w:cs="Arial"/>
      <w:i/>
      <w:iCs/>
      <w:sz w:val="22"/>
      <w:szCs w:val="22"/>
    </w:rPr>
  </w:style>
  <w:style w:type="character" w:styleId="795" w:customStyle="1">
    <w:name w:val="Heading 9 Char"/>
    <w:link w:val="760"/>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82"/>
    <w:uiPriority w:val="10"/>
    <w:qFormat/>
    <w:rPr>
      <w:sz w:val="48"/>
      <w:szCs w:val="48"/>
    </w:rPr>
  </w:style>
  <w:style w:type="character" w:styleId="798" w:customStyle="1">
    <w:name w:val="Subtitle Char"/>
    <w:link w:val="776"/>
    <w:uiPriority w:val="11"/>
    <w:qFormat/>
    <w:rPr>
      <w:sz w:val="24"/>
      <w:szCs w:val="24"/>
    </w:rPr>
  </w:style>
  <w:style w:type="paragraph" w:styleId="799">
    <w:name w:val="Quote"/>
    <w:basedOn w:val="751"/>
    <w:next w:val="751"/>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1"/>
    <w:next w:val="751"/>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3"/>
    <w:uiPriority w:val="99"/>
    <w:qFormat/>
  </w:style>
  <w:style w:type="character" w:styleId="804" w:customStyle="1">
    <w:name w:val="Footer Char"/>
    <w:link w:val="772"/>
    <w:uiPriority w:val="99"/>
    <w:qFormat/>
  </w:style>
  <w:style w:type="character" w:styleId="805" w:customStyle="1">
    <w:name w:val="Caption Char"/>
    <w:link w:val="772"/>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7"/>
    <w:uiPriority w:val="99"/>
    <w:qFormat/>
    <w:rPr>
      <w:sz w:val="18"/>
    </w:rPr>
  </w:style>
  <w:style w:type="character" w:styleId="932" w:customStyle="1">
    <w:name w:val="Endnote Text Char"/>
    <w:link w:val="771"/>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1"/>
    <w:next w:val="751"/>
    <w:uiPriority w:val="9"/>
    <w:qFormat/>
    <w:pPr>
      <w:keepLines/>
      <w:keepNext/>
      <w:spacing w:before="340" w:after="330" w:line="578" w:lineRule="auto"/>
      <w:outlineLvl w:val="0"/>
    </w:pPr>
    <w:rPr>
      <w:b/>
      <w:bCs/>
      <w:sz w:val="44"/>
      <w:szCs w:val="44"/>
    </w:rPr>
  </w:style>
  <w:style w:type="paragraph" w:styleId="935" w:customStyle="1">
    <w:name w:val="标题 211"/>
    <w:basedOn w:val="751"/>
    <w:next w:val="9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正文缩进11"/>
    <w:basedOn w:val="751"/>
    <w:uiPriority w:val="0"/>
    <w:unhideWhenUsed/>
    <w:qFormat/>
    <w:pPr>
      <w:ind w:firstLine="420"/>
    </w:pPr>
  </w:style>
  <w:style w:type="paragraph" w:styleId="937" w:customStyle="1">
    <w:name w:val="标题 31"/>
    <w:basedOn w:val="751"/>
    <w:next w:val="751"/>
    <w:uiPriority w:val="0"/>
    <w:qFormat/>
    <w:pPr>
      <w:keepLines/>
      <w:keepNext/>
      <w:spacing w:before="260" w:after="260" w:line="416" w:lineRule="auto"/>
      <w:outlineLvl w:val="2"/>
    </w:pPr>
    <w:rPr>
      <w:b/>
      <w:bCs/>
      <w:sz w:val="32"/>
      <w:szCs w:val="32"/>
    </w:rPr>
  </w:style>
  <w:style w:type="paragraph" w:styleId="938" w:customStyle="1">
    <w:name w:val="标题 41"/>
    <w:basedOn w:val="751"/>
    <w:next w:val="751"/>
    <w:uiPriority w:val="0"/>
    <w:qFormat/>
    <w:pPr>
      <w:spacing w:before="280" w:after="290" w:line="377" w:lineRule="auto"/>
      <w:outlineLvl w:val="3"/>
    </w:pPr>
    <w:rPr>
      <w:rFonts w:ascii="Arial" w:hAnsi="Arial" w:eastAsia="黑体"/>
      <w:b/>
      <w:bCs/>
      <w:sz w:val="28"/>
      <w:szCs w:val="28"/>
    </w:rPr>
  </w:style>
  <w:style w:type="character" w:styleId="939" w:customStyle="1">
    <w:name w:val="默认段落字体1"/>
    <w:link w:val="751"/>
    <w:uiPriority w:val="1"/>
    <w:unhideWhenUsed/>
    <w:qFormat/>
  </w:style>
  <w:style w:type="table" w:styleId="940" w:customStyle="1">
    <w:name w:val="普通表格1"/>
    <w:uiPriority w:val="99"/>
    <w:unhideWhenUsed/>
    <w:qFormat/>
    <w:tblPr/>
  </w:style>
  <w:style w:type="paragraph" w:styleId="941" w:customStyle="1">
    <w:name w:val="引文目录1"/>
    <w:basedOn w:val="751"/>
    <w:next w:val="751"/>
    <w:uiPriority w:val="0"/>
    <w:qFormat/>
    <w:pPr>
      <w:ind w:left="420"/>
    </w:pPr>
  </w:style>
  <w:style w:type="paragraph" w:styleId="942" w:customStyle="1">
    <w:name w:val="批注文字1"/>
    <w:basedOn w:val="751"/>
    <w:link w:val="943"/>
    <w:uiPriority w:val="0"/>
    <w:qFormat/>
    <w:pPr>
      <w:jc w:val="left"/>
    </w:pPr>
  </w:style>
  <w:style w:type="character" w:styleId="943" w:customStyle="1">
    <w:name w:val="批注文字 Char"/>
    <w:link w:val="942"/>
    <w:uiPriority w:val="0"/>
    <w:qFormat/>
    <w:rPr>
      <w:rFonts w:ascii="Calibri" w:hAnsi="Calibri"/>
      <w:sz w:val="21"/>
      <w:szCs w:val="22"/>
    </w:rPr>
  </w:style>
  <w:style w:type="paragraph" w:styleId="944" w:customStyle="1">
    <w:name w:val="正文文本111"/>
    <w:basedOn w:val="751"/>
    <w:next w:val="751"/>
    <w:uiPriority w:val="0"/>
    <w:qFormat/>
    <w:rPr>
      <w:rFonts w:ascii="楷体_GB2312" w:hAnsi="Arial" w:eastAsia="楷体_GB2312"/>
      <w:sz w:val="28"/>
      <w:szCs w:val="28"/>
    </w:rPr>
  </w:style>
  <w:style w:type="paragraph" w:styleId="945" w:customStyle="1">
    <w:name w:val="正文文本缩进1"/>
    <w:basedOn w:val="751"/>
    <w:uiPriority w:val="99"/>
    <w:unhideWhenUsed/>
    <w:qFormat/>
    <w:pPr>
      <w:ind w:firstLine="540"/>
      <w:spacing w:line="400" w:lineRule="exact"/>
    </w:pPr>
    <w:rPr>
      <w:sz w:val="24"/>
    </w:rPr>
  </w:style>
  <w:style w:type="paragraph" w:styleId="946" w:customStyle="1">
    <w:name w:val="列表项目符号 21"/>
    <w:basedOn w:val="751"/>
    <w:uiPriority w:val="0"/>
    <w:qFormat/>
    <w:pPr>
      <w:numPr>
        <w:ilvl w:val="0"/>
        <w:numId w:val="1"/>
      </w:numPr>
    </w:pPr>
  </w:style>
  <w:style w:type="paragraph" w:styleId="947" w:customStyle="1">
    <w:name w:val="纯文本1"/>
    <w:basedOn w:val="751"/>
    <w:uiPriority w:val="99"/>
    <w:qFormat/>
    <w:rPr>
      <w:rFonts w:ascii="宋体" w:hAnsi="Courier New"/>
      <w:sz w:val="20"/>
      <w:szCs w:val="21"/>
    </w:rPr>
  </w:style>
  <w:style w:type="paragraph" w:styleId="948" w:customStyle="1">
    <w:name w:val="批注框文本1"/>
    <w:basedOn w:val="751"/>
    <w:link w:val="949"/>
    <w:uiPriority w:val="0"/>
    <w:qFormat/>
    <w:rPr>
      <w:sz w:val="18"/>
      <w:szCs w:val="18"/>
    </w:rPr>
  </w:style>
  <w:style w:type="character" w:styleId="949" w:customStyle="1">
    <w:name w:val="批注框文本 Char"/>
    <w:link w:val="948"/>
    <w:uiPriority w:val="0"/>
    <w:qFormat/>
    <w:rPr>
      <w:sz w:val="18"/>
      <w:szCs w:val="18"/>
    </w:rPr>
  </w:style>
  <w:style w:type="paragraph" w:styleId="950" w:customStyle="1">
    <w:name w:val="页脚1"/>
    <w:basedOn w:val="751"/>
    <w:uiPriority w:val="99"/>
    <w:unhideWhenUsed/>
    <w:qFormat/>
    <w:pPr>
      <w:jc w:val="left"/>
      <w:tabs>
        <w:tab w:val="center" w:pos="4153" w:leader="none"/>
        <w:tab w:val="right" w:pos="8306" w:leader="none"/>
      </w:tabs>
    </w:pPr>
    <w:rPr>
      <w:sz w:val="18"/>
      <w:szCs w:val="18"/>
    </w:rPr>
  </w:style>
  <w:style w:type="paragraph" w:styleId="951" w:customStyle="1">
    <w:name w:val="寄信人地址1"/>
    <w:basedOn w:val="751"/>
    <w:uiPriority w:val="99"/>
    <w:unhideWhenUsed/>
    <w:qFormat/>
    <w:rPr>
      <w:rFonts w:ascii="Arial" w:hAnsi="Arial"/>
    </w:rPr>
  </w:style>
  <w:style w:type="paragraph" w:styleId="952" w:customStyle="1">
    <w:name w:val="页眉1"/>
    <w:basedOn w:val="75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3" w:customStyle="1">
    <w:name w:val="目录 11"/>
    <w:basedOn w:val="751"/>
    <w:next w:val="751"/>
    <w:uiPriority w:val="39"/>
    <w:unhideWhenUsed/>
    <w:qFormat/>
  </w:style>
  <w:style w:type="paragraph" w:styleId="954" w:customStyle="1">
    <w:name w:val="正文文本 211"/>
    <w:basedOn w:val="751"/>
    <w:uiPriority w:val="0"/>
    <w:qFormat/>
    <w:pPr>
      <w:spacing w:after="120" w:line="480" w:lineRule="auto"/>
    </w:pPr>
  </w:style>
  <w:style w:type="paragraph" w:styleId="955" w:customStyle="1">
    <w:name w:val="信息标题1"/>
    <w:basedOn w:val="75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6" w:customStyle="1">
    <w:name w:val="普通(网站)1"/>
    <w:basedOn w:val="751"/>
    <w:uiPriority w:val="0"/>
    <w:qFormat/>
    <w:rPr>
      <w:rFonts w:ascii="Times New Roman" w:hAnsi="Times New Roman"/>
      <w:sz w:val="24"/>
    </w:rPr>
  </w:style>
  <w:style w:type="paragraph" w:styleId="957" w:customStyle="1">
    <w:name w:val="批注主题1"/>
    <w:basedOn w:val="942"/>
    <w:next w:val="942"/>
    <w:link w:val="958"/>
    <w:uiPriority w:val="0"/>
    <w:qFormat/>
    <w:rPr>
      <w:b/>
      <w:bCs/>
    </w:rPr>
  </w:style>
  <w:style w:type="character" w:styleId="958" w:customStyle="1">
    <w:name w:val="批注主题 Char"/>
    <w:link w:val="957"/>
    <w:uiPriority w:val="0"/>
    <w:qFormat/>
    <w:rPr>
      <w:rFonts w:ascii="Calibri" w:hAnsi="Calibri"/>
      <w:b/>
      <w:bCs/>
      <w:sz w:val="21"/>
      <w:szCs w:val="22"/>
    </w:rPr>
  </w:style>
  <w:style w:type="paragraph" w:styleId="959" w:customStyle="1">
    <w:name w:val="正文首行缩进 21"/>
    <w:basedOn w:val="945"/>
    <w:uiPriority w:val="0"/>
    <w:qFormat/>
    <w:pPr>
      <w:ind w:firstLine="420"/>
      <w:spacing w:before="100" w:beforeAutospacing="1"/>
    </w:pPr>
    <w:rPr>
      <w:rFonts w:ascii="Times New Roman" w:hAnsi="Times New Roman" w:eastAsia="宋体"/>
      <w:sz w:val="20"/>
      <w:szCs w:val="21"/>
    </w:rPr>
  </w:style>
  <w:style w:type="table" w:styleId="960" w:customStyle="1">
    <w:name w:val="网格型1"/>
    <w:basedOn w:val="940"/>
    <w:uiPriority w:val="59"/>
    <w:qFormat/>
    <w:tblPr/>
  </w:style>
  <w:style w:type="character" w:styleId="961" w:customStyle="1">
    <w:name w:val="要点1"/>
    <w:link w:val="751"/>
    <w:uiPriority w:val="0"/>
    <w:qFormat/>
    <w:rPr>
      <w:b/>
    </w:rPr>
  </w:style>
  <w:style w:type="character" w:styleId="962" w:customStyle="1">
    <w:name w:val="超链接1"/>
    <w:link w:val="751"/>
    <w:uiPriority w:val="0"/>
    <w:qFormat/>
    <w:rPr>
      <w:color w:val="0000ff"/>
      <w:u w:val="single"/>
    </w:rPr>
  </w:style>
  <w:style w:type="character" w:styleId="963" w:customStyle="1">
    <w:name w:val="批注引用1"/>
    <w:link w:val="751"/>
    <w:uiPriority w:val="0"/>
    <w:qFormat/>
    <w:rPr>
      <w:sz w:val="21"/>
      <w:szCs w:val="21"/>
    </w:rPr>
  </w:style>
  <w:style w:type="paragraph" w:styleId="964" w:customStyle="1">
    <w:name w:val="正文（缩进）"/>
    <w:basedOn w:val="751"/>
    <w:uiPriority w:val="0"/>
    <w:qFormat/>
    <w:pPr>
      <w:ind w:firstLine="480"/>
      <w:spacing w:before="156" w:after="156"/>
    </w:pPr>
  </w:style>
  <w:style w:type="paragraph" w:styleId="965" w:customStyle="1">
    <w:name w:val="Char Char Char Char Char Char Char Char Char"/>
    <w:basedOn w:val="751"/>
    <w:next w:val="966"/>
    <w:uiPriority w:val="0"/>
    <w:qFormat/>
    <w:pPr>
      <w:ind w:left="360" w:hanging="360"/>
      <w:jc w:val="both"/>
      <w:tabs>
        <w:tab w:val="left" w:pos="360" w:leader="none"/>
      </w:tabs>
    </w:pPr>
    <w:rPr>
      <w:rFonts w:ascii="Calibri" w:hAnsi="Calibri" w:eastAsia="Calibri"/>
      <w:sz w:val="24"/>
      <w:szCs w:val="24"/>
      <w:lang w:val="zh-CN"/>
    </w:rPr>
  </w:style>
  <w:style w:type="paragraph" w:styleId="966" w:customStyle="1">
    <w:name w:val="正文文本 21"/>
    <w:basedOn w:val="751"/>
    <w:next w:val="967"/>
    <w:uiPriority w:val="0"/>
    <w:qFormat/>
    <w:pPr>
      <w:spacing w:after="120" w:line="480" w:lineRule="auto"/>
    </w:pPr>
  </w:style>
  <w:style w:type="paragraph" w:styleId="967" w:customStyle="1">
    <w:name w:val="默认段落字体 Para Char Char Char Char Char Char Char"/>
    <w:basedOn w:val="751"/>
    <w:next w:val="968"/>
    <w:uiPriority w:val="0"/>
    <w:qFormat/>
    <w:pPr>
      <w:ind w:firstLine="200"/>
    </w:pPr>
  </w:style>
  <w:style w:type="paragraph" w:styleId="968" w:customStyle="1">
    <w:name w:val="样式 首行缩进:  2 字符"/>
    <w:basedOn w:val="751"/>
    <w:next w:val="969"/>
    <w:uiPriority w:val="0"/>
    <w:qFormat/>
    <w:pPr>
      <w:ind w:firstLine="480"/>
      <w:jc w:val="both"/>
      <w:spacing w:line="360" w:lineRule="auto"/>
    </w:pPr>
    <w:rPr>
      <w:rFonts w:ascii="Times New Roman" w:hAnsi="Times New Roman"/>
      <w:sz w:val="24"/>
      <w:szCs w:val="20"/>
      <w:lang w:val="zh-CN"/>
    </w:rPr>
  </w:style>
  <w:style w:type="paragraph" w:styleId="969" w:customStyle="1">
    <w:name w:val="样式 段后: 0.25 行"/>
    <w:basedOn w:val="751"/>
    <w:next w:val="970"/>
    <w:uiPriority w:val="0"/>
    <w:qFormat/>
    <w:pPr>
      <w:ind w:firstLine="420"/>
      <w:spacing w:line="300" w:lineRule="auto"/>
      <w:widowControl/>
    </w:pPr>
    <w:rPr>
      <w:rFonts w:ascii="Arial" w:hAnsi="Arial" w:eastAsia="Calibri"/>
      <w:sz w:val="22"/>
      <w:szCs w:val="20"/>
      <w:lang w:val="zh-CN" w:eastAsia="en-US" w:bidi="en-US"/>
    </w:rPr>
  </w:style>
  <w:style w:type="paragraph" w:styleId="970" w:customStyle="1">
    <w:name w:val="正文 New New New New New New New New New New New New New New"/>
    <w:next w:val="971"/>
    <w:uiPriority w:val="0"/>
    <w:qFormat/>
    <w:pPr>
      <w:jc w:val="both"/>
      <w:widowControl w:val="off"/>
    </w:pPr>
    <w:rPr>
      <w:rFonts w:hint="eastAsia" w:ascii="Times New Roman" w:hAnsi="Times New Roman" w:eastAsia="宋体" w:cs="Times New Roman"/>
      <w:sz w:val="21"/>
      <w:lang w:val="en-US" w:eastAsia="zh-CN" w:bidi="ar-SA"/>
    </w:rPr>
  </w:style>
  <w:style w:type="paragraph" w:styleId="971" w:customStyle="1">
    <w:name w:val="目录 911"/>
    <w:basedOn w:val="751"/>
    <w:next w:val="751"/>
    <w:uiPriority w:val="2"/>
    <w:qFormat/>
    <w:pPr>
      <w:ind w:left="1680"/>
      <w:jc w:val="left"/>
    </w:pPr>
    <w:rPr>
      <w:rFonts w:ascii="Calibri" w:hAnsi="Calibri"/>
      <w:sz w:val="18"/>
      <w:szCs w:val="18"/>
    </w:rPr>
  </w:style>
  <w:style w:type="paragraph" w:styleId="972" w:customStyle="1">
    <w:name w:val="正文1"/>
    <w:basedOn w:val="751"/>
    <w:next w:val="973"/>
    <w:uiPriority w:val="0"/>
    <w:qFormat/>
    <w:pPr>
      <w:jc w:val="left"/>
      <w:spacing w:line="360" w:lineRule="atLeast"/>
    </w:pPr>
    <w:rPr>
      <w:rFonts w:ascii="宋体" w:hAnsi="Calibri" w:eastAsia="宋体" w:cs="Times New Roman"/>
      <w:sz w:val="24"/>
      <w:szCs w:val="20"/>
    </w:rPr>
  </w:style>
  <w:style w:type="paragraph" w:styleId="973" w:customStyle="1">
    <w:name w:val="正文文本1"/>
    <w:basedOn w:val="972"/>
    <w:next w:val="974"/>
    <w:uiPriority w:val="0"/>
    <w:qFormat/>
    <w:pPr>
      <w:spacing w:after="120"/>
    </w:pPr>
    <w:rPr>
      <w:lang w:eastAsia="en-US"/>
    </w:rPr>
  </w:style>
  <w:style w:type="paragraph" w:styleId="974" w:customStyle="1">
    <w:name w:val="一级条标题"/>
    <w:basedOn w:val="975"/>
    <w:next w:val="9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customStyle="1">
    <w:name w:val="章标题"/>
    <w:next w:val="7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6" w:customStyle="1">
    <w:name w:val="段"/>
    <w:basedOn w:val="972"/>
    <w:next w:val="751"/>
    <w:uiPriority w:val="0"/>
    <w:qFormat/>
    <w:pPr>
      <w:ind w:firstLine="200"/>
      <w:widowControl/>
    </w:pPr>
    <w:rPr>
      <w:sz w:val="20"/>
    </w:rPr>
  </w:style>
  <w:style w:type="paragraph" w:styleId="977" w:customStyle="1">
    <w:name w:val="普通正文"/>
    <w:basedOn w:val="751"/>
    <w:uiPriority w:val="0"/>
    <w:qFormat/>
    <w:pPr>
      <w:ind w:firstLine="480"/>
      <w:jc w:val="left"/>
      <w:spacing w:before="120" w:after="120" w:line="360" w:lineRule="auto"/>
    </w:pPr>
    <w:rPr>
      <w:rFonts w:ascii="Arial" w:hAnsi="Arial"/>
      <w:sz w:val="24"/>
      <w:szCs w:val="24"/>
    </w:rPr>
  </w:style>
  <w:style w:type="paragraph" w:styleId="978" w:customStyle="1">
    <w:name w:val="Char"/>
    <w:basedOn w:val="751"/>
    <w:uiPriority w:val="0"/>
    <w:qFormat/>
    <w:pPr>
      <w:ind w:firstLine="200"/>
      <w:tabs>
        <w:tab w:val="left" w:pos="360" w:leader="none"/>
      </w:tabs>
    </w:pPr>
    <w:rPr>
      <w:rFonts w:ascii="Times New Roman" w:hAnsi="Times New Roman"/>
      <w:sz w:val="28"/>
      <w:szCs w:val="30"/>
    </w:rPr>
  </w:style>
  <w:style w:type="paragraph" w:styleId="979" w:customStyle="1">
    <w:name w:val="正文空2格  1."/>
    <w:basedOn w:val="751"/>
    <w:uiPriority w:val="0"/>
    <w:qFormat/>
    <w:pPr>
      <w:ind w:firstLine="480"/>
    </w:pPr>
    <w:rPr>
      <w:rFonts w:cs="宋体"/>
      <w:sz w:val="28"/>
      <w:szCs w:val="20"/>
    </w:rPr>
  </w:style>
  <w:style w:type="paragraph" w:styleId="980" w:customStyle="1">
    <w:name w:val="标题 21"/>
    <w:basedOn w:val="751"/>
    <w:next w:val="981"/>
    <w:uiPriority w:val="9"/>
    <w:qFormat/>
    <w:pPr>
      <w:keepLines/>
      <w:keepNext/>
      <w:spacing w:before="260" w:after="260" w:line="416" w:lineRule="auto"/>
      <w:outlineLvl w:val="1"/>
    </w:pPr>
    <w:rPr>
      <w:rFonts w:ascii="Cambria" w:hAnsi="Cambria"/>
      <w:b/>
      <w:bCs/>
      <w:sz w:val="32"/>
      <w:szCs w:val="32"/>
    </w:rPr>
  </w:style>
  <w:style w:type="paragraph" w:styleId="981" w:customStyle="1">
    <w:name w:val="正文首行缩进1"/>
    <w:basedOn w:val="982"/>
    <w:uiPriority w:val="0"/>
    <w:qFormat/>
    <w:pPr>
      <w:ind w:firstLine="425"/>
      <w:spacing w:before="100" w:after="100" w:line="360" w:lineRule="atLeast"/>
    </w:pPr>
    <w:rPr>
      <w:rFonts w:ascii="Times New Roman" w:hAnsi="Times New Roman" w:eastAsia="宋体" w:cs="Times New Roman"/>
    </w:rPr>
  </w:style>
  <w:style w:type="paragraph" w:styleId="982" w:customStyle="1">
    <w:name w:val="正文文本11"/>
    <w:basedOn w:val="751"/>
    <w:next w:val="966"/>
    <w:uiPriority w:val="0"/>
    <w:qFormat/>
    <w:rPr>
      <w:rFonts w:ascii="楷体_GB2312" w:hAnsi="Arial" w:eastAsia="楷体_GB2312"/>
      <w:sz w:val="28"/>
      <w:szCs w:val="28"/>
    </w:rPr>
  </w:style>
  <w:style w:type="paragraph" w:styleId="983" w:customStyle="1">
    <w:name w:val="正文缩进1"/>
    <w:basedOn w:val="751"/>
    <w:uiPriority w:val="0"/>
    <w:unhideWhenUsed/>
    <w:qFormat/>
    <w:pPr>
      <w:ind w:firstLine="420"/>
    </w:pPr>
    <w:rPr>
      <w:rFonts w:ascii="Calibri" w:hAnsi="Calibri" w:eastAsia="宋体" w:cs="Times New Roman"/>
    </w:rPr>
  </w:style>
  <w:style w:type="paragraph" w:styleId="984">
    <w:name w:val="List Paragraph"/>
    <w:basedOn w:val="751"/>
    <w:uiPriority w:val="99"/>
    <w:qFormat/>
    <w:pPr>
      <w:ind w:firstLine="420"/>
    </w:pPr>
    <w:rPr>
      <w:rFonts w:ascii="Times New Roman" w:hAnsi="Times New Roman" w:eastAsia="宋体" w:cs="Times New Roman"/>
      <w:szCs w:val="21"/>
    </w:rPr>
  </w:style>
  <w:style w:type="paragraph" w:styleId="985" w:customStyle="1">
    <w:name w:val="正文缩进2格"/>
    <w:basedOn w:val="751"/>
    <w:uiPriority w:val="0"/>
    <w:qFormat/>
    <w:pPr>
      <w:ind w:firstLine="206"/>
      <w:spacing w:line="600" w:lineRule="exact"/>
    </w:pPr>
    <w:rPr>
      <w:rFonts w:ascii="仿宋_GB2312" w:eastAsia="仿宋_GB2312"/>
      <w:sz w:val="31"/>
      <w:szCs w:val="24"/>
    </w:rPr>
  </w:style>
  <w:style w:type="paragraph" w:styleId="986" w:customStyle="1">
    <w:name w:val="footer1"/>
    <w:basedOn w:val="751"/>
    <w:uiPriority w:val="0"/>
    <w:qFormat/>
    <w:pPr>
      <w:tabs>
        <w:tab w:val="center" w:pos="4153" w:leader="none"/>
        <w:tab w:val="right" w:pos="8306" w:leader="none"/>
      </w:tabs>
    </w:pPr>
    <w:rPr>
      <w:sz w:val="18"/>
      <w:szCs w:val="24"/>
    </w:rPr>
  </w:style>
  <w:style w:type="paragraph" w:styleId="987" w:customStyle="1">
    <w:name w:val="列出段落1"/>
    <w:basedOn w:val="751"/>
    <w:uiPriority w:val="0"/>
    <w:qFormat/>
    <w:pPr>
      <w:contextualSpacing/>
      <w:ind w:left="720"/>
      <w:jc w:val="left"/>
      <w:widowControl/>
    </w:pPr>
    <w:rPr>
      <w:sz w:val="24"/>
      <w:szCs w:val="24"/>
      <w:lang w:eastAsia="en-US" w:bidi="en-US"/>
    </w:rPr>
  </w:style>
  <w:style w:type="paragraph" w:styleId="988" w:customStyle="1">
    <w:name w:val="Body text|1"/>
    <w:basedOn w:val="751"/>
    <w:uiPriority w:val="0"/>
    <w:qFormat/>
    <w:pPr>
      <w:ind w:firstLine="400"/>
      <w:spacing w:line="353" w:lineRule="auto"/>
    </w:pPr>
    <w:rPr>
      <w:rFonts w:ascii="宋体" w:hAnsi="宋体" w:cs="宋体"/>
      <w:lang w:val="zh-TW" w:eastAsia="zh-TW" w:bidi="zh-TW"/>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金雨薇</cp:lastModifiedBy>
  <cp:revision>9</cp:revision>
  <dcterms:created xsi:type="dcterms:W3CDTF">2024-01-01T08:34:00Z</dcterms:created>
  <dcterms:modified xsi:type="dcterms:W3CDTF">2024-10-14T03:00:02Z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8B9548DFF9284FD5996548D9237A8982_13</vt:lpwstr>
  </property>
</Properties>
</file>